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5049C">
      <w:pPr>
        <w:spacing w:line="560" w:lineRule="exact"/>
        <w:jc w:val="center"/>
        <w:rPr>
          <w:rFonts w:hint="eastAsia" w:ascii="宋体" w:hAnsi="宋体"/>
          <w:b/>
          <w:sz w:val="44"/>
          <w:szCs w:val="44"/>
        </w:rPr>
      </w:pPr>
      <w:r>
        <w:rPr>
          <w:rFonts w:hint="eastAsia" w:ascii="宋体" w:hAnsi="宋体"/>
          <w:b/>
          <w:sz w:val="44"/>
          <w:szCs w:val="44"/>
        </w:rPr>
        <w:t>涞水县审计局行政执法事项清单</w:t>
      </w:r>
    </w:p>
    <w:p w14:paraId="073B67BB">
      <w:pPr>
        <w:spacing w:line="560" w:lineRule="exact"/>
        <w:rPr>
          <w:rFonts w:hint="eastAsia" w:ascii="宋体" w:hAnsi="宋体"/>
          <w:b/>
          <w:sz w:val="32"/>
          <w:szCs w:val="32"/>
        </w:rPr>
      </w:pPr>
      <w:r>
        <w:rPr>
          <w:rFonts w:hint="eastAsia" w:ascii="宋体" w:hAnsi="宋体"/>
          <w:b/>
          <w:sz w:val="32"/>
          <w:szCs w:val="32"/>
        </w:rPr>
        <w:t>填报单位：涞水县审计局                                            主要领导签字：</w:t>
      </w:r>
    </w:p>
    <w:tbl>
      <w:tblPr>
        <w:tblStyle w:val="4"/>
        <w:tblW w:w="14824" w:type="dxa"/>
        <w:jc w:val="center"/>
        <w:tblLayout w:type="fixed"/>
        <w:tblCellMar>
          <w:top w:w="0" w:type="dxa"/>
          <w:left w:w="57" w:type="dxa"/>
          <w:bottom w:w="0" w:type="dxa"/>
          <w:right w:w="57" w:type="dxa"/>
        </w:tblCellMar>
      </w:tblPr>
      <w:tblGrid>
        <w:gridCol w:w="616"/>
        <w:gridCol w:w="1147"/>
        <w:gridCol w:w="1131"/>
        <w:gridCol w:w="1366"/>
        <w:gridCol w:w="7030"/>
        <w:gridCol w:w="1197"/>
        <w:gridCol w:w="1150"/>
        <w:gridCol w:w="1187"/>
      </w:tblGrid>
      <w:tr w14:paraId="28AAEC22">
        <w:tblPrEx>
          <w:tblCellMar>
            <w:top w:w="0" w:type="dxa"/>
            <w:left w:w="57" w:type="dxa"/>
            <w:bottom w:w="0" w:type="dxa"/>
            <w:right w:w="57" w:type="dxa"/>
          </w:tblCellMar>
        </w:tblPrEx>
        <w:trPr>
          <w:cantSplit/>
          <w:trHeight w:val="470" w:hRule="atLeast"/>
          <w:tblHeader/>
          <w:jc w:val="center"/>
        </w:trPr>
        <w:tc>
          <w:tcPr>
            <w:tcW w:w="616" w:type="dxa"/>
            <w:tcBorders>
              <w:top w:val="single" w:color="auto" w:sz="4" w:space="0"/>
              <w:left w:val="single" w:color="auto" w:sz="4" w:space="0"/>
              <w:bottom w:val="single" w:color="auto" w:sz="4" w:space="0"/>
              <w:right w:val="single" w:color="auto" w:sz="4" w:space="0"/>
            </w:tcBorders>
            <w:vAlign w:val="center"/>
          </w:tcPr>
          <w:p w14:paraId="45B0E311">
            <w:pPr>
              <w:widowControl/>
              <w:spacing w:line="240" w:lineRule="exact"/>
              <w:jc w:val="center"/>
              <w:rPr>
                <w:rFonts w:ascii="宋体" w:hAnsi="宋体" w:cs="宋体"/>
                <w:b/>
                <w:color w:val="000000"/>
                <w:kern w:val="0"/>
                <w:szCs w:val="21"/>
              </w:rPr>
            </w:pPr>
            <w:r>
              <w:rPr>
                <w:rFonts w:hint="eastAsia" w:ascii="宋体" w:hAnsi="宋体" w:cs="宋体"/>
                <w:b/>
                <w:color w:val="000000"/>
                <w:kern w:val="0"/>
                <w:szCs w:val="21"/>
              </w:rPr>
              <w:t>序号</w:t>
            </w:r>
          </w:p>
        </w:tc>
        <w:tc>
          <w:tcPr>
            <w:tcW w:w="1147" w:type="dxa"/>
            <w:tcBorders>
              <w:top w:val="single" w:color="auto" w:sz="4" w:space="0"/>
              <w:left w:val="single" w:color="auto" w:sz="4" w:space="0"/>
              <w:bottom w:val="single" w:color="auto" w:sz="4" w:space="0"/>
              <w:right w:val="single" w:color="auto" w:sz="4" w:space="0"/>
            </w:tcBorders>
            <w:vAlign w:val="center"/>
          </w:tcPr>
          <w:p w14:paraId="352A379B">
            <w:pPr>
              <w:widowControl/>
              <w:spacing w:line="240" w:lineRule="exact"/>
              <w:jc w:val="center"/>
              <w:rPr>
                <w:rFonts w:hint="eastAsia" w:ascii="宋体" w:hAnsi="宋体" w:cs="宋体"/>
                <w:b/>
                <w:color w:val="000000"/>
                <w:kern w:val="0"/>
                <w:szCs w:val="21"/>
              </w:rPr>
            </w:pPr>
            <w:r>
              <w:rPr>
                <w:rFonts w:hint="eastAsia" w:ascii="宋体" w:hAnsi="宋体" w:cs="宋体"/>
                <w:b/>
                <w:color w:val="000000"/>
                <w:kern w:val="0"/>
                <w:szCs w:val="21"/>
              </w:rPr>
              <w:t>权力分类</w:t>
            </w:r>
          </w:p>
        </w:tc>
        <w:tc>
          <w:tcPr>
            <w:tcW w:w="1131" w:type="dxa"/>
            <w:tcBorders>
              <w:top w:val="single" w:color="auto" w:sz="4" w:space="0"/>
              <w:left w:val="single" w:color="auto" w:sz="4" w:space="0"/>
              <w:bottom w:val="single" w:color="auto" w:sz="4" w:space="0"/>
              <w:right w:val="single" w:color="auto" w:sz="4" w:space="0"/>
            </w:tcBorders>
            <w:vAlign w:val="center"/>
          </w:tcPr>
          <w:p w14:paraId="46E66A87">
            <w:pPr>
              <w:widowControl/>
              <w:spacing w:line="240" w:lineRule="exact"/>
              <w:jc w:val="center"/>
              <w:rPr>
                <w:rFonts w:ascii="宋体" w:hAnsi="宋体" w:cs="宋体"/>
                <w:b/>
                <w:color w:val="000000"/>
                <w:kern w:val="0"/>
                <w:szCs w:val="21"/>
              </w:rPr>
            </w:pPr>
            <w:r>
              <w:rPr>
                <w:rFonts w:hint="eastAsia" w:ascii="宋体" w:hAnsi="宋体" w:cs="宋体"/>
                <w:b/>
                <w:color w:val="000000"/>
                <w:kern w:val="0"/>
                <w:szCs w:val="21"/>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14:paraId="53CFA555">
            <w:pPr>
              <w:widowControl/>
              <w:spacing w:line="240" w:lineRule="exact"/>
              <w:jc w:val="center"/>
              <w:rPr>
                <w:rFonts w:ascii="宋体" w:hAnsi="宋体" w:cs="宋体"/>
                <w:b/>
                <w:color w:val="000000"/>
                <w:kern w:val="0"/>
                <w:szCs w:val="21"/>
              </w:rPr>
            </w:pPr>
            <w:r>
              <w:rPr>
                <w:rFonts w:hint="eastAsia" w:ascii="宋体" w:hAnsi="宋体" w:cs="宋体"/>
                <w:b/>
                <w:color w:val="000000"/>
                <w:kern w:val="0"/>
                <w:szCs w:val="21"/>
              </w:rPr>
              <w:t>子项</w:t>
            </w:r>
          </w:p>
        </w:tc>
        <w:tc>
          <w:tcPr>
            <w:tcW w:w="7030" w:type="dxa"/>
            <w:tcBorders>
              <w:top w:val="single" w:color="auto" w:sz="4" w:space="0"/>
              <w:left w:val="single" w:color="auto" w:sz="4" w:space="0"/>
              <w:bottom w:val="single" w:color="auto" w:sz="4" w:space="0"/>
              <w:right w:val="single" w:color="auto" w:sz="4" w:space="0"/>
            </w:tcBorders>
            <w:vAlign w:val="center"/>
          </w:tcPr>
          <w:p w14:paraId="575DB9B1">
            <w:pPr>
              <w:widowControl/>
              <w:spacing w:line="240" w:lineRule="exact"/>
              <w:jc w:val="center"/>
              <w:rPr>
                <w:rFonts w:ascii="宋体" w:hAnsi="宋体" w:cs="宋体"/>
                <w:b/>
                <w:color w:val="000000"/>
                <w:kern w:val="0"/>
                <w:szCs w:val="21"/>
              </w:rPr>
            </w:pPr>
            <w:r>
              <w:rPr>
                <w:rFonts w:hint="eastAsia" w:ascii="宋体" w:hAnsi="宋体" w:cs="宋体"/>
                <w:b/>
                <w:color w:val="000000"/>
                <w:kern w:val="0"/>
                <w:szCs w:val="21"/>
              </w:rPr>
              <w:t>实施依据</w:t>
            </w:r>
          </w:p>
        </w:tc>
        <w:tc>
          <w:tcPr>
            <w:tcW w:w="1197" w:type="dxa"/>
            <w:tcBorders>
              <w:top w:val="single" w:color="auto" w:sz="4" w:space="0"/>
              <w:left w:val="single" w:color="auto" w:sz="4" w:space="0"/>
              <w:bottom w:val="single" w:color="auto" w:sz="4" w:space="0"/>
              <w:right w:val="single" w:color="auto" w:sz="4" w:space="0"/>
            </w:tcBorders>
            <w:vAlign w:val="center"/>
          </w:tcPr>
          <w:p w14:paraId="175846A5">
            <w:pPr>
              <w:widowControl/>
              <w:spacing w:line="240" w:lineRule="exact"/>
              <w:jc w:val="center"/>
              <w:rPr>
                <w:rFonts w:hint="eastAsia" w:ascii="宋体" w:hAnsi="宋体" w:cs="宋体"/>
                <w:b/>
                <w:color w:val="000000"/>
                <w:kern w:val="0"/>
                <w:szCs w:val="21"/>
              </w:rPr>
            </w:pPr>
            <w:r>
              <w:rPr>
                <w:rFonts w:hint="eastAsia" w:ascii="宋体" w:hAnsi="宋体" w:cs="宋体"/>
                <w:b/>
                <w:color w:val="000000"/>
                <w:kern w:val="0"/>
                <w:szCs w:val="21"/>
              </w:rPr>
              <w:t>实施对象</w:t>
            </w:r>
          </w:p>
        </w:tc>
        <w:tc>
          <w:tcPr>
            <w:tcW w:w="1150" w:type="dxa"/>
            <w:tcBorders>
              <w:top w:val="single" w:color="auto" w:sz="4" w:space="0"/>
              <w:left w:val="single" w:color="auto" w:sz="4" w:space="0"/>
              <w:bottom w:val="single" w:color="auto" w:sz="4" w:space="0"/>
              <w:right w:val="single" w:color="auto" w:sz="4" w:space="0"/>
            </w:tcBorders>
            <w:vAlign w:val="center"/>
          </w:tcPr>
          <w:p w14:paraId="2AB8C045">
            <w:pPr>
              <w:widowControl/>
              <w:spacing w:line="240" w:lineRule="exact"/>
              <w:jc w:val="center"/>
              <w:rPr>
                <w:rFonts w:ascii="宋体" w:hAnsi="宋体" w:cs="宋体"/>
                <w:b/>
                <w:color w:val="000000"/>
                <w:kern w:val="0"/>
                <w:szCs w:val="21"/>
              </w:rPr>
            </w:pPr>
            <w:r>
              <w:rPr>
                <w:rFonts w:hint="eastAsia" w:ascii="宋体" w:hAnsi="宋体" w:cs="宋体"/>
                <w:b/>
                <w:color w:val="000000"/>
                <w:kern w:val="0"/>
                <w:szCs w:val="21"/>
              </w:rPr>
              <w:t>承办机构</w:t>
            </w:r>
          </w:p>
        </w:tc>
        <w:tc>
          <w:tcPr>
            <w:tcW w:w="1187" w:type="dxa"/>
            <w:tcBorders>
              <w:top w:val="single" w:color="auto" w:sz="4" w:space="0"/>
              <w:left w:val="single" w:color="auto" w:sz="4" w:space="0"/>
              <w:bottom w:val="single" w:color="auto" w:sz="4" w:space="0"/>
              <w:right w:val="single" w:color="auto" w:sz="4" w:space="0"/>
            </w:tcBorders>
            <w:vAlign w:val="center"/>
          </w:tcPr>
          <w:p w14:paraId="635F9FDC">
            <w:pPr>
              <w:widowControl/>
              <w:spacing w:line="240" w:lineRule="exact"/>
              <w:jc w:val="center"/>
              <w:rPr>
                <w:rFonts w:ascii="宋体" w:hAnsi="宋体" w:cs="宋体"/>
                <w:b/>
                <w:color w:val="000000"/>
                <w:kern w:val="0"/>
                <w:szCs w:val="21"/>
              </w:rPr>
            </w:pPr>
            <w:r>
              <w:rPr>
                <w:rFonts w:hint="eastAsia" w:ascii="宋体" w:hAnsi="宋体" w:cs="宋体"/>
                <w:b/>
                <w:color w:val="000000"/>
                <w:kern w:val="0"/>
                <w:szCs w:val="21"/>
              </w:rPr>
              <w:t>备注</w:t>
            </w:r>
          </w:p>
        </w:tc>
      </w:tr>
      <w:tr w14:paraId="2BCCB0F5">
        <w:tblPrEx>
          <w:tblCellMar>
            <w:top w:w="0" w:type="dxa"/>
            <w:left w:w="57" w:type="dxa"/>
            <w:bottom w:w="0" w:type="dxa"/>
            <w:right w:w="57" w:type="dxa"/>
          </w:tblCellMar>
        </w:tblPrEx>
        <w:trPr>
          <w:trHeight w:val="6692" w:hRule="atLeast"/>
          <w:jc w:val="center"/>
        </w:trPr>
        <w:tc>
          <w:tcPr>
            <w:tcW w:w="616" w:type="dxa"/>
            <w:tcBorders>
              <w:top w:val="nil"/>
              <w:left w:val="single" w:color="auto" w:sz="4" w:space="0"/>
              <w:bottom w:val="single" w:color="auto" w:sz="4" w:space="0"/>
              <w:right w:val="single" w:color="auto" w:sz="4" w:space="0"/>
            </w:tcBorders>
            <w:vAlign w:val="center"/>
          </w:tcPr>
          <w:p w14:paraId="084101F6">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147" w:type="dxa"/>
            <w:tcBorders>
              <w:top w:val="nil"/>
              <w:left w:val="nil"/>
              <w:bottom w:val="single" w:color="auto" w:sz="4" w:space="0"/>
              <w:right w:val="single" w:color="auto" w:sz="4" w:space="0"/>
            </w:tcBorders>
            <w:vAlign w:val="center"/>
          </w:tcPr>
          <w:p w14:paraId="455D5CD7">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行政处罚</w:t>
            </w:r>
          </w:p>
        </w:tc>
        <w:tc>
          <w:tcPr>
            <w:tcW w:w="1131" w:type="dxa"/>
            <w:tcBorders>
              <w:top w:val="nil"/>
              <w:left w:val="nil"/>
              <w:bottom w:val="single" w:color="auto" w:sz="4" w:space="0"/>
              <w:right w:val="single" w:color="auto" w:sz="4" w:space="0"/>
            </w:tcBorders>
            <w:vAlign w:val="center"/>
          </w:tcPr>
          <w:p w14:paraId="7C5D1B57">
            <w:pPr>
              <w:jc w:val="center"/>
              <w:rPr>
                <w:rFonts w:ascii="宋体" w:hAnsi="宋体" w:cs="宋体"/>
                <w:szCs w:val="21"/>
              </w:rPr>
            </w:pPr>
            <w:r>
              <w:rPr>
                <w:rFonts w:hint="eastAsia" w:ascii="宋体" w:hAnsi="宋体"/>
                <w:szCs w:val="21"/>
              </w:rPr>
              <w:t>对被审计单位拒绝、阻碍审计监督检查行为的处罚</w:t>
            </w:r>
          </w:p>
          <w:p w14:paraId="18ED8894">
            <w:pPr>
              <w:widowControl/>
              <w:spacing w:line="240" w:lineRule="exact"/>
              <w:jc w:val="center"/>
              <w:rPr>
                <w:rFonts w:ascii="宋体" w:hAnsi="宋体" w:cs="宋体"/>
                <w:color w:val="000000"/>
                <w:kern w:val="0"/>
                <w:szCs w:val="21"/>
              </w:rPr>
            </w:pPr>
          </w:p>
        </w:tc>
        <w:tc>
          <w:tcPr>
            <w:tcW w:w="1366" w:type="dxa"/>
            <w:tcBorders>
              <w:top w:val="nil"/>
              <w:left w:val="nil"/>
              <w:bottom w:val="single" w:color="auto" w:sz="4" w:space="0"/>
              <w:right w:val="single" w:color="auto" w:sz="4" w:space="0"/>
            </w:tcBorders>
            <w:vAlign w:val="center"/>
          </w:tcPr>
          <w:p w14:paraId="2E975A65">
            <w:pPr>
              <w:widowControl/>
              <w:spacing w:line="240" w:lineRule="exact"/>
              <w:jc w:val="center"/>
              <w:rPr>
                <w:rFonts w:ascii="宋体" w:hAnsi="宋体" w:cs="宋体"/>
                <w:color w:val="000000"/>
                <w:kern w:val="0"/>
                <w:szCs w:val="21"/>
              </w:rPr>
            </w:pPr>
          </w:p>
        </w:tc>
        <w:tc>
          <w:tcPr>
            <w:tcW w:w="7030" w:type="dxa"/>
            <w:tcBorders>
              <w:top w:val="nil"/>
              <w:left w:val="nil"/>
              <w:bottom w:val="single" w:color="auto" w:sz="4" w:space="0"/>
              <w:right w:val="single" w:color="auto" w:sz="4" w:space="0"/>
            </w:tcBorders>
            <w:vAlign w:val="top"/>
          </w:tcPr>
          <w:p w14:paraId="344C407C">
            <w:pPr>
              <w:rPr>
                <w:rFonts w:ascii="宋体" w:hAnsi="宋体" w:cs="宋体"/>
                <w:szCs w:val="21"/>
              </w:rPr>
            </w:pPr>
            <w:r>
              <w:rPr>
                <w:rFonts w:hint="eastAsia" w:ascii="宋体" w:hAnsi="宋体"/>
                <w:szCs w:val="21"/>
              </w:rPr>
              <w:t xml:space="preserve">    1.【法律】《中华人民共和国审计法》（2006年2月28日中华人民共和国主席令第48号公布，自2006年6月1日起施行）第四十三条：被审计单位违反本法规定，拒绝或者拖延提供与审计事项有关的资料的，或者提供的资料不真实、不完整的，或者拒绝、阻碍检查的，由审计机关责令改正，可以通报批评，给予警告；拒不改正的，依法追究责任。</w:t>
            </w:r>
            <w:r>
              <w:rPr>
                <w:rFonts w:hint="eastAsia" w:ascii="宋体" w:hAnsi="宋体"/>
                <w:szCs w:val="21"/>
              </w:rPr>
              <w:br w:type="textWrapping"/>
            </w:r>
            <w:r>
              <w:rPr>
                <w:rFonts w:hint="eastAsia" w:ascii="宋体" w:hAnsi="宋体"/>
                <w:szCs w:val="21"/>
              </w:rPr>
              <w:t xml:space="preserve">    2.【法律】《中华人民共和国行政处罚法》（1996年3月17日中华人民共和国主席令第63号公布，2009年8月27日中华人民共和国主席令第18号修订，自2009年8月27日起施行）第二十三条：行政机关实施行政处罚时，应当责令当事人改正或者限期改正违法行为。</w:t>
            </w:r>
            <w:r>
              <w:rPr>
                <w:rFonts w:hint="eastAsia" w:ascii="宋体" w:hAnsi="宋体"/>
                <w:szCs w:val="21"/>
              </w:rPr>
              <w:br w:type="textWrapping"/>
            </w:r>
            <w:r>
              <w:rPr>
                <w:rFonts w:hint="eastAsia" w:ascii="宋体" w:hAnsi="宋体"/>
                <w:szCs w:val="21"/>
              </w:rPr>
              <w:t xml:space="preserve">    3.【行政法规】《中华人民共和国审计法实施条例》（2010年2月2日中华人民共和国主席令第571号公布，自2010年5月1日起施行）第四十七条：被审计单位违反审计法和本条例的规定，拒绝、拖延提供与审计事项有关的资料，或者提供的资料不真实、不完整，或者拒绝、阻碍检查的，由审计机关责令改正，可以通报批评，给予警告；拒不改正的，对被审计单位可以处5万元以下的罚款，对直接负责的主管人员和其他直接责任人员，可以处2万元以下的罚款，审计机关认为应当给予处分的，向有关主管机关、单位提出给予处分的建议；构成犯罪的，依法追究刑事责任。</w:t>
            </w:r>
            <w:r>
              <w:rPr>
                <w:rFonts w:hint="eastAsia" w:ascii="宋体" w:hAnsi="宋体"/>
                <w:szCs w:val="21"/>
              </w:rPr>
              <w:br w:type="textWrapping"/>
            </w:r>
            <w:r>
              <w:rPr>
                <w:rFonts w:hint="eastAsia" w:ascii="宋体" w:hAnsi="宋体"/>
                <w:szCs w:val="21"/>
              </w:rPr>
              <w:t xml:space="preserve">    4.【行政法规】《财政违法行为处罚处分条例》（2004年11月30日中华人民共和国国务院令第427号公布，2011年1月8日中华人民共和国国务院令第588号修订，自2011年1月8日起施行）第二条第一款：县级以上人民政府财政部门及审计机关在各自职权范围内，依法对财政违法行为作出处理、处罚决定。</w:t>
            </w:r>
          </w:p>
          <w:p w14:paraId="4FCC10D5">
            <w:pPr>
              <w:widowControl/>
              <w:spacing w:line="240" w:lineRule="exact"/>
              <w:rPr>
                <w:rFonts w:ascii="宋体" w:hAnsi="宋体" w:cs="宋体"/>
                <w:color w:val="000000"/>
                <w:kern w:val="0"/>
                <w:szCs w:val="21"/>
              </w:rPr>
            </w:pPr>
          </w:p>
        </w:tc>
        <w:tc>
          <w:tcPr>
            <w:tcW w:w="1197" w:type="dxa"/>
            <w:tcBorders>
              <w:top w:val="nil"/>
              <w:left w:val="nil"/>
              <w:bottom w:val="single" w:color="auto" w:sz="4" w:space="0"/>
              <w:right w:val="single" w:color="auto" w:sz="4" w:space="0"/>
            </w:tcBorders>
            <w:vAlign w:val="center"/>
          </w:tcPr>
          <w:p w14:paraId="27A9004E">
            <w:pPr>
              <w:jc w:val="center"/>
              <w:rPr>
                <w:rFonts w:ascii="宋体" w:hAnsi="宋体" w:cs="宋体"/>
                <w:szCs w:val="21"/>
              </w:rPr>
            </w:pPr>
            <w:r>
              <w:rPr>
                <w:rFonts w:hint="eastAsia" w:ascii="宋体" w:hAnsi="宋体"/>
                <w:szCs w:val="21"/>
              </w:rPr>
              <w:t>1.被审计单位；</w:t>
            </w:r>
            <w:r>
              <w:rPr>
                <w:rFonts w:hint="eastAsia" w:ascii="宋体" w:hAnsi="宋体"/>
                <w:szCs w:val="21"/>
              </w:rPr>
              <w:br w:type="textWrapping"/>
            </w:r>
            <w:r>
              <w:rPr>
                <w:rFonts w:hint="eastAsia" w:ascii="宋体" w:hAnsi="宋体"/>
                <w:szCs w:val="21"/>
              </w:rPr>
              <w:t>2.被审计单位直接负责的主管人员和其他直接责任人员；</w:t>
            </w:r>
            <w:r>
              <w:rPr>
                <w:rFonts w:hint="eastAsia" w:ascii="宋体" w:hAnsi="宋体"/>
                <w:szCs w:val="21"/>
              </w:rPr>
              <w:br w:type="textWrapping"/>
            </w:r>
            <w:r>
              <w:rPr>
                <w:rFonts w:hint="eastAsia" w:ascii="宋体" w:hAnsi="宋体"/>
                <w:szCs w:val="21"/>
              </w:rPr>
              <w:t>3.有关当事人。</w:t>
            </w:r>
          </w:p>
          <w:p w14:paraId="366F7F8F">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7FB3B417">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6FC06AD7">
            <w:pPr>
              <w:widowControl/>
              <w:spacing w:line="240" w:lineRule="exact"/>
              <w:jc w:val="center"/>
              <w:rPr>
                <w:rFonts w:ascii="宋体" w:hAnsi="宋体" w:cs="宋体"/>
                <w:color w:val="000000"/>
                <w:kern w:val="0"/>
                <w:szCs w:val="21"/>
              </w:rPr>
            </w:pPr>
          </w:p>
        </w:tc>
      </w:tr>
      <w:tr w14:paraId="6D85246F">
        <w:tblPrEx>
          <w:tblCellMar>
            <w:top w:w="0" w:type="dxa"/>
            <w:left w:w="57" w:type="dxa"/>
            <w:bottom w:w="0" w:type="dxa"/>
            <w:right w:w="57" w:type="dxa"/>
          </w:tblCellMar>
        </w:tblPrEx>
        <w:trPr>
          <w:trHeight w:val="1220" w:hRule="atLeast"/>
          <w:jc w:val="center"/>
        </w:trPr>
        <w:tc>
          <w:tcPr>
            <w:tcW w:w="616" w:type="dxa"/>
            <w:tcBorders>
              <w:top w:val="nil"/>
              <w:left w:val="single" w:color="auto" w:sz="4" w:space="0"/>
              <w:bottom w:val="single" w:color="auto" w:sz="4" w:space="0"/>
              <w:right w:val="single" w:color="auto" w:sz="4" w:space="0"/>
            </w:tcBorders>
            <w:vAlign w:val="center"/>
          </w:tcPr>
          <w:p w14:paraId="5E99A7A9">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2</w:t>
            </w:r>
          </w:p>
        </w:tc>
        <w:tc>
          <w:tcPr>
            <w:tcW w:w="1147" w:type="dxa"/>
            <w:tcBorders>
              <w:top w:val="nil"/>
              <w:left w:val="single" w:color="auto" w:sz="4" w:space="0"/>
              <w:bottom w:val="single" w:color="auto" w:sz="4" w:space="0"/>
              <w:right w:val="single" w:color="auto" w:sz="4" w:space="0"/>
            </w:tcBorders>
            <w:vAlign w:val="center"/>
          </w:tcPr>
          <w:p w14:paraId="249DB4CA">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行政处罚</w:t>
            </w:r>
          </w:p>
        </w:tc>
        <w:tc>
          <w:tcPr>
            <w:tcW w:w="1131" w:type="dxa"/>
            <w:tcBorders>
              <w:top w:val="nil"/>
              <w:left w:val="single" w:color="auto" w:sz="4" w:space="0"/>
              <w:bottom w:val="single" w:color="auto" w:sz="4" w:space="0"/>
              <w:right w:val="single" w:color="auto" w:sz="4" w:space="0"/>
            </w:tcBorders>
            <w:vAlign w:val="center"/>
          </w:tcPr>
          <w:p w14:paraId="46D57902">
            <w:pPr>
              <w:spacing w:after="240"/>
              <w:jc w:val="center"/>
              <w:rPr>
                <w:rFonts w:ascii="宋体" w:hAnsi="宋体" w:cs="宋体"/>
                <w:szCs w:val="21"/>
              </w:rPr>
            </w:pPr>
            <w:r>
              <w:rPr>
                <w:rFonts w:hint="eastAsia" w:ascii="宋体" w:hAnsi="宋体"/>
                <w:szCs w:val="21"/>
              </w:rPr>
              <w:t>对建设单位违反国家投资与建设管理法规行为的处罚</w:t>
            </w:r>
          </w:p>
          <w:p w14:paraId="021DCE97">
            <w:pPr>
              <w:widowControl/>
              <w:spacing w:line="240" w:lineRule="exact"/>
              <w:jc w:val="center"/>
              <w:rPr>
                <w:rFonts w:ascii="宋体" w:hAnsi="宋体" w:cs="宋体"/>
                <w:color w:val="000000"/>
                <w:kern w:val="0"/>
                <w:szCs w:val="21"/>
              </w:rPr>
            </w:pPr>
          </w:p>
        </w:tc>
        <w:tc>
          <w:tcPr>
            <w:tcW w:w="1366" w:type="dxa"/>
            <w:tcBorders>
              <w:top w:val="nil"/>
              <w:left w:val="nil"/>
              <w:bottom w:val="single" w:color="auto" w:sz="4" w:space="0"/>
              <w:right w:val="single" w:color="auto" w:sz="4" w:space="0"/>
            </w:tcBorders>
            <w:vAlign w:val="center"/>
          </w:tcPr>
          <w:p w14:paraId="178E6A08">
            <w:pPr>
              <w:widowControl/>
              <w:spacing w:line="240" w:lineRule="exact"/>
              <w:jc w:val="center"/>
              <w:rPr>
                <w:rFonts w:ascii="宋体" w:hAnsi="宋体" w:cs="宋体"/>
                <w:color w:val="000000"/>
                <w:kern w:val="0"/>
                <w:szCs w:val="21"/>
              </w:rPr>
            </w:pPr>
          </w:p>
        </w:tc>
        <w:tc>
          <w:tcPr>
            <w:tcW w:w="7030" w:type="dxa"/>
            <w:tcBorders>
              <w:top w:val="nil"/>
              <w:left w:val="nil"/>
              <w:bottom w:val="single" w:color="auto" w:sz="4" w:space="0"/>
              <w:right w:val="single" w:color="auto" w:sz="4" w:space="0"/>
            </w:tcBorders>
            <w:vAlign w:val="top"/>
          </w:tcPr>
          <w:p w14:paraId="5ED28493">
            <w:pPr>
              <w:widowControl/>
              <w:spacing w:line="220" w:lineRule="exact"/>
              <w:rPr>
                <w:rFonts w:hint="eastAsia" w:ascii="宋体" w:hAnsi="宋体" w:cs="宋体"/>
                <w:color w:val="000000"/>
                <w:kern w:val="0"/>
                <w:szCs w:val="21"/>
              </w:rPr>
            </w:pPr>
            <w:r>
              <w:rPr>
                <w:rFonts w:hint="eastAsia" w:ascii="宋体" w:hAnsi="宋体" w:cs="宋体"/>
                <w:color w:val="000000"/>
                <w:kern w:val="0"/>
                <w:szCs w:val="21"/>
              </w:rPr>
              <w:t xml:space="preserve">  1.【行政法规】《财政违法行为处罚处分条例》（2004年11月30日中华人民共和国国务院令第427号公布，2011年1月8日中华人民共和国国务院令第588号修订，自2011年1月8日起施行）第九条：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一）截留、挪用国家建设资金；（二）以虚报、冒领、关联交易等手段骗取国家建设资金；（三）违反规定超概算投资；（四）虚列投资完成额；（五）其他违反国家投资建设项目有关规定的行为。</w:t>
            </w:r>
          </w:p>
          <w:p w14:paraId="4345A58A">
            <w:pPr>
              <w:widowControl/>
              <w:spacing w:line="220" w:lineRule="exact"/>
              <w:ind w:firstLine="390"/>
              <w:rPr>
                <w:rFonts w:hint="eastAsia" w:ascii="宋体" w:hAnsi="宋体" w:cs="宋体"/>
                <w:color w:val="000000"/>
                <w:kern w:val="0"/>
                <w:szCs w:val="21"/>
              </w:rPr>
            </w:pPr>
            <w:r>
              <w:rPr>
                <w:rFonts w:hint="eastAsia" w:ascii="宋体" w:hAnsi="宋体" w:cs="宋体"/>
                <w:color w:val="000000"/>
                <w:kern w:val="0"/>
                <w:szCs w:val="21"/>
              </w:rPr>
              <w:t>《中华人民共和国政府采购法》、《中华人民共和国招标投标法》、《国家重点建设项目管理办法》等法律、行政法规另有规定的，依照其规定处理、处罚。</w:t>
            </w:r>
          </w:p>
          <w:p w14:paraId="7D38487E">
            <w:pPr>
              <w:widowControl/>
              <w:spacing w:line="220" w:lineRule="exact"/>
              <w:rPr>
                <w:rFonts w:hint="eastAsia" w:ascii="宋体" w:hAnsi="宋体" w:cs="宋体"/>
                <w:color w:val="000000"/>
                <w:kern w:val="0"/>
                <w:szCs w:val="21"/>
              </w:rPr>
            </w:pPr>
            <w:r>
              <w:rPr>
                <w:rFonts w:hint="eastAsia" w:ascii="宋体" w:hAnsi="宋体" w:cs="宋体"/>
                <w:color w:val="000000"/>
                <w:kern w:val="0"/>
                <w:szCs w:val="21"/>
              </w:rPr>
              <w:t xml:space="preserve">2.【规章】《建设项目审计处理暂行规定》（审投发〔1996〕105号)第三条：凡属国家规定必须进行开工前审计的建设项目，未取得审计机关出具开工前审计意见书而擅自开工建设的，应当建议有关主管部门责令其停工，并履行审计手续；不按规定时限履行审计手续的，视情节处以总投资1%以下的罚款，罚款由建设单位以自有资金支付。                                                  </w:t>
            </w:r>
          </w:p>
          <w:p w14:paraId="15C0D922">
            <w:pPr>
              <w:widowControl/>
              <w:spacing w:line="22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第六条：建设项目不突破概算总投资的单项工程间投资调剂，应督促建设单位向原审批部门申报批准。批准设计外的在建工程，应要求其暂停、缓建，并报原审批部门审批；原审批部门不予批准的计划外工程，由建设单位筹措符合规定资金予以归垫，并处以投资额5%以下罚款，由建设单位以自有资金支付。建设单位擅自扩大建设规模、提高建筑装修及设备购置标准的投资，视同计划外工程投资处理。                         </w:t>
            </w:r>
          </w:p>
          <w:p w14:paraId="084B9733">
            <w:pPr>
              <w:widowControl/>
              <w:spacing w:line="22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第八条：建设单位违反有关批准文件规定，以合同形式要求设计单位扩大规模和提高标准而增加的概算投资，应由建设单位报原审批部门予以批准；否则，应停止建设，并对建设单位处以超投资部分5%以下的罚款，罚款由建设单位以自有资金支付。设计单位未经批准，擅自扩大规模、提高标准或违反合同规定范围，进行设计而增加的概算投资，对设计单位处以该部分设计费50%以下罚款；情节严重的，建议有关部门降低其资质等级，直至依法吊销营业执照。 第十条：国家建设项目实施过程中违反有关规定搞其它开发建设、非法进行房地产交易的，应予以制止，并没收非法所得。 第十一条：对转移、侵占和挪用的建设资金，应责令有关单位限期收回。进行经营活动的，收缴其经营收益。</w:t>
            </w:r>
          </w:p>
          <w:p w14:paraId="77A97E2E">
            <w:pPr>
              <w:widowControl/>
              <w:spacing w:line="220" w:lineRule="exact"/>
              <w:rPr>
                <w:rFonts w:ascii="宋体" w:hAnsi="宋体" w:cs="宋体"/>
                <w:color w:val="000000"/>
                <w:kern w:val="0"/>
                <w:szCs w:val="21"/>
              </w:rPr>
            </w:pPr>
            <w:r>
              <w:rPr>
                <w:rFonts w:hint="eastAsia" w:ascii="宋体" w:hAnsi="宋体" w:cs="宋体"/>
                <w:color w:val="000000"/>
                <w:kern w:val="0"/>
                <w:szCs w:val="21"/>
              </w:rPr>
              <w:t xml:space="preserve">第十四条：工程价款结算中多计少计的工程款应予调整；建设单位已签证多付工程款的，应予以收缴。施工单位偷工减料、虚报冒领工程款金额较大、情节严重的，除按违纪金额处以20%以下的罚款外，对质量低劣的工程项目，应由有关部门查明责任并由施工单位限期修复，费用由责任方承担。  第十五条：应计、应缴而未计缴的各种税费，应督促补计、补缴，超过法律规定期限的，应予以收缴，并按国家有关法规给予处罚。第十七条：基本建设收入按国家有关规定处理。隐瞒、截留的基本建设收入，应予以追回并收缴。                                                     </w:t>
            </w:r>
          </w:p>
        </w:tc>
        <w:tc>
          <w:tcPr>
            <w:tcW w:w="1197" w:type="dxa"/>
            <w:tcBorders>
              <w:top w:val="nil"/>
              <w:left w:val="nil"/>
              <w:bottom w:val="single" w:color="auto" w:sz="4" w:space="0"/>
              <w:right w:val="single" w:color="auto" w:sz="4" w:space="0"/>
            </w:tcBorders>
            <w:vAlign w:val="center"/>
          </w:tcPr>
          <w:p w14:paraId="787151B9">
            <w:pPr>
              <w:jc w:val="center"/>
              <w:rPr>
                <w:rFonts w:ascii="宋体" w:hAnsi="宋体" w:cs="宋体"/>
                <w:szCs w:val="21"/>
              </w:rPr>
            </w:pPr>
            <w:r>
              <w:rPr>
                <w:rFonts w:hint="eastAsia" w:ascii="宋体" w:hAnsi="宋体"/>
                <w:szCs w:val="21"/>
              </w:rPr>
              <w:t>建设单位、设计单位和施工单位</w:t>
            </w:r>
          </w:p>
          <w:p w14:paraId="1AD6C780">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3CC609D2">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54ECE7CB">
            <w:pPr>
              <w:widowControl/>
              <w:spacing w:line="240" w:lineRule="exact"/>
              <w:jc w:val="center"/>
              <w:rPr>
                <w:rFonts w:ascii="宋体" w:hAnsi="宋体" w:cs="宋体"/>
                <w:color w:val="000000"/>
                <w:kern w:val="0"/>
                <w:sz w:val="20"/>
              </w:rPr>
            </w:pPr>
          </w:p>
        </w:tc>
      </w:tr>
      <w:tr w14:paraId="40F074EE">
        <w:tblPrEx>
          <w:tblCellMar>
            <w:top w:w="0" w:type="dxa"/>
            <w:left w:w="57" w:type="dxa"/>
            <w:bottom w:w="0" w:type="dxa"/>
            <w:right w:w="57" w:type="dxa"/>
          </w:tblCellMar>
        </w:tblPrEx>
        <w:trPr>
          <w:trHeight w:val="2465" w:hRule="atLeast"/>
          <w:jc w:val="center"/>
        </w:trPr>
        <w:tc>
          <w:tcPr>
            <w:tcW w:w="616" w:type="dxa"/>
            <w:tcBorders>
              <w:top w:val="nil"/>
              <w:left w:val="single" w:color="auto" w:sz="4" w:space="0"/>
              <w:bottom w:val="single" w:color="auto" w:sz="4" w:space="0"/>
              <w:right w:val="single" w:color="auto" w:sz="4" w:space="0"/>
            </w:tcBorders>
            <w:vAlign w:val="center"/>
          </w:tcPr>
          <w:p w14:paraId="37804349">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3</w:t>
            </w:r>
          </w:p>
        </w:tc>
        <w:tc>
          <w:tcPr>
            <w:tcW w:w="1147" w:type="dxa"/>
            <w:tcBorders>
              <w:top w:val="nil"/>
              <w:left w:val="single" w:color="auto" w:sz="4" w:space="0"/>
              <w:bottom w:val="single" w:color="auto" w:sz="4" w:space="0"/>
              <w:right w:val="single" w:color="auto" w:sz="4" w:space="0"/>
            </w:tcBorders>
            <w:vAlign w:val="center"/>
          </w:tcPr>
          <w:p w14:paraId="24DC8337">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行政处罚</w:t>
            </w:r>
          </w:p>
        </w:tc>
        <w:tc>
          <w:tcPr>
            <w:tcW w:w="1131" w:type="dxa"/>
            <w:tcBorders>
              <w:top w:val="nil"/>
              <w:left w:val="single" w:color="auto" w:sz="4" w:space="0"/>
              <w:bottom w:val="single" w:color="auto" w:sz="4" w:space="0"/>
              <w:right w:val="single" w:color="auto" w:sz="4" w:space="0"/>
            </w:tcBorders>
            <w:vAlign w:val="center"/>
          </w:tcPr>
          <w:p w14:paraId="3944804C">
            <w:pPr>
              <w:jc w:val="center"/>
              <w:rPr>
                <w:rFonts w:ascii="宋体" w:hAnsi="宋体" w:cs="宋体"/>
                <w:szCs w:val="21"/>
              </w:rPr>
            </w:pPr>
            <w:r>
              <w:rPr>
                <w:rFonts w:hint="eastAsia" w:ascii="宋体" w:hAnsi="宋体"/>
                <w:szCs w:val="21"/>
              </w:rPr>
              <w:t>对社会审计组织、注册会计师违规行为的处罚</w:t>
            </w:r>
          </w:p>
          <w:p w14:paraId="247CEAB3">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366" w:type="dxa"/>
            <w:tcBorders>
              <w:top w:val="nil"/>
              <w:left w:val="nil"/>
              <w:bottom w:val="single" w:color="auto" w:sz="4" w:space="0"/>
              <w:right w:val="single" w:color="auto" w:sz="4" w:space="0"/>
            </w:tcBorders>
            <w:vAlign w:val="center"/>
          </w:tcPr>
          <w:p w14:paraId="4F8C3B45">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7030" w:type="dxa"/>
            <w:tcBorders>
              <w:top w:val="nil"/>
              <w:left w:val="nil"/>
              <w:bottom w:val="single" w:color="auto" w:sz="4" w:space="0"/>
              <w:right w:val="single" w:color="auto" w:sz="4" w:space="0"/>
            </w:tcBorders>
            <w:vAlign w:val="top"/>
          </w:tcPr>
          <w:p w14:paraId="48829BED">
            <w:pPr>
              <w:widowControl/>
              <w:spacing w:line="220" w:lineRule="exact"/>
              <w:rPr>
                <w:rFonts w:hint="eastAsia" w:ascii="宋体" w:hAnsi="宋体" w:cs="宋体"/>
                <w:color w:val="000000"/>
                <w:kern w:val="0"/>
                <w:szCs w:val="21"/>
              </w:rPr>
            </w:pPr>
            <w:r>
              <w:rPr>
                <w:rFonts w:hint="eastAsia" w:ascii="宋体" w:hAnsi="宋体"/>
                <w:szCs w:val="21"/>
              </w:rPr>
              <w:t>【规章】《审计机关监督社会审计组织审计业务质量的暂行规定》（1999年4月1日中华人民共和国审计署令第1号公布，自1999年4月1日期施行）第十三条：审计机关审定检查报告，对被检查的社会审计组织、注册会计师违反国家规定的执业行为，审计机关应当按照其行为情节轻重分别依法给予下列处理、处罚：（一）责令改正，给予警告、通报批评；（二）建议有关主管机关依照法律、法规规定予以处理、处罚；（三）移送司法机关依法追究刑事责任；（四）通报或者公布监督检查结果；（五）法律、行政法规、规章规定的其他可以采取的处理、处罚。</w:t>
            </w:r>
            <w:r>
              <w:rPr>
                <w:rFonts w:hint="eastAsia" w:ascii="宋体" w:hAnsi="宋体"/>
                <w:szCs w:val="21"/>
              </w:rPr>
              <w:br w:type="textWrapping"/>
            </w:r>
            <w:r>
              <w:rPr>
                <w:rFonts w:hint="eastAsia" w:ascii="宋体" w:hAnsi="宋体"/>
                <w:szCs w:val="21"/>
              </w:rPr>
              <w:t xml:space="preserve">第五条第二款：省、自治区、直辖市审计机关组织地方各级审计机关开展对本地区不具有从事证券相关业务许可证的社会审计组织审计业务质量的监督检查工作。  </w:t>
            </w:r>
          </w:p>
        </w:tc>
        <w:tc>
          <w:tcPr>
            <w:tcW w:w="1197" w:type="dxa"/>
            <w:tcBorders>
              <w:top w:val="nil"/>
              <w:left w:val="nil"/>
              <w:bottom w:val="single" w:color="auto" w:sz="4" w:space="0"/>
              <w:right w:val="single" w:color="auto" w:sz="4" w:space="0"/>
            </w:tcBorders>
            <w:vAlign w:val="center"/>
          </w:tcPr>
          <w:p w14:paraId="4CB6BC02">
            <w:pPr>
              <w:jc w:val="center"/>
              <w:rPr>
                <w:rFonts w:ascii="宋体" w:hAnsi="宋体" w:cs="宋体"/>
                <w:szCs w:val="21"/>
              </w:rPr>
            </w:pPr>
            <w:r>
              <w:rPr>
                <w:rFonts w:hint="eastAsia" w:ascii="宋体" w:hAnsi="宋体"/>
                <w:szCs w:val="21"/>
              </w:rPr>
              <w:t>社会审计组织、注册会计师</w:t>
            </w:r>
          </w:p>
          <w:p w14:paraId="62BAA611">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　</w:t>
            </w:r>
          </w:p>
        </w:tc>
        <w:tc>
          <w:tcPr>
            <w:tcW w:w="1150" w:type="dxa"/>
            <w:tcBorders>
              <w:top w:val="nil"/>
              <w:left w:val="nil"/>
              <w:bottom w:val="single" w:color="auto" w:sz="4" w:space="0"/>
              <w:right w:val="single" w:color="auto" w:sz="4" w:space="0"/>
            </w:tcBorders>
            <w:vAlign w:val="center"/>
          </w:tcPr>
          <w:p w14:paraId="11754911">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683A2710">
            <w:pPr>
              <w:widowControl/>
              <w:spacing w:line="240" w:lineRule="exact"/>
              <w:jc w:val="center"/>
              <w:rPr>
                <w:rFonts w:ascii="宋体" w:hAnsi="宋体" w:cs="宋体"/>
                <w:color w:val="000000"/>
                <w:kern w:val="0"/>
                <w:sz w:val="20"/>
              </w:rPr>
            </w:pPr>
          </w:p>
        </w:tc>
      </w:tr>
      <w:tr w14:paraId="6E2A52D3">
        <w:tblPrEx>
          <w:tblCellMar>
            <w:top w:w="0" w:type="dxa"/>
            <w:left w:w="57" w:type="dxa"/>
            <w:bottom w:w="0" w:type="dxa"/>
            <w:right w:w="57" w:type="dxa"/>
          </w:tblCellMar>
        </w:tblPrEx>
        <w:trPr>
          <w:trHeight w:val="5268" w:hRule="atLeast"/>
          <w:jc w:val="center"/>
        </w:trPr>
        <w:tc>
          <w:tcPr>
            <w:tcW w:w="616" w:type="dxa"/>
            <w:tcBorders>
              <w:top w:val="nil"/>
              <w:left w:val="single" w:color="auto" w:sz="4" w:space="0"/>
              <w:bottom w:val="single" w:color="auto" w:sz="4" w:space="0"/>
              <w:right w:val="single" w:color="auto" w:sz="4" w:space="0"/>
            </w:tcBorders>
            <w:vAlign w:val="center"/>
          </w:tcPr>
          <w:p w14:paraId="67370743">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4</w:t>
            </w:r>
          </w:p>
        </w:tc>
        <w:tc>
          <w:tcPr>
            <w:tcW w:w="1147" w:type="dxa"/>
            <w:tcBorders>
              <w:top w:val="nil"/>
              <w:left w:val="single" w:color="auto" w:sz="4" w:space="0"/>
              <w:bottom w:val="single" w:color="auto" w:sz="4" w:space="0"/>
              <w:right w:val="single" w:color="auto" w:sz="4" w:space="0"/>
            </w:tcBorders>
            <w:vAlign w:val="center"/>
          </w:tcPr>
          <w:p w14:paraId="41AD0407">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行政强制</w:t>
            </w:r>
          </w:p>
        </w:tc>
        <w:tc>
          <w:tcPr>
            <w:tcW w:w="1131" w:type="dxa"/>
            <w:tcBorders>
              <w:top w:val="nil"/>
              <w:left w:val="single" w:color="auto" w:sz="4" w:space="0"/>
              <w:bottom w:val="single" w:color="auto" w:sz="4" w:space="0"/>
              <w:right w:val="single" w:color="auto" w:sz="4" w:space="0"/>
            </w:tcBorders>
            <w:vAlign w:val="center"/>
          </w:tcPr>
          <w:p w14:paraId="2CC3DE4F">
            <w:pPr>
              <w:jc w:val="center"/>
              <w:rPr>
                <w:rFonts w:ascii="宋体" w:hAnsi="宋体" w:cs="宋体"/>
                <w:szCs w:val="21"/>
              </w:rPr>
            </w:pPr>
            <w:r>
              <w:rPr>
                <w:rFonts w:hint="eastAsia" w:ascii="宋体" w:hAnsi="宋体"/>
                <w:szCs w:val="21"/>
              </w:rPr>
              <w:t>违规行为制止</w:t>
            </w:r>
          </w:p>
          <w:p w14:paraId="1D9BD3C1">
            <w:pPr>
              <w:widowControl/>
              <w:spacing w:line="240" w:lineRule="exact"/>
              <w:jc w:val="center"/>
              <w:rPr>
                <w:rFonts w:ascii="宋体" w:hAnsi="宋体" w:cs="宋体"/>
                <w:color w:val="000000"/>
                <w:kern w:val="0"/>
                <w:szCs w:val="21"/>
              </w:rPr>
            </w:pPr>
          </w:p>
        </w:tc>
        <w:tc>
          <w:tcPr>
            <w:tcW w:w="1366" w:type="dxa"/>
            <w:tcBorders>
              <w:top w:val="nil"/>
              <w:left w:val="nil"/>
              <w:bottom w:val="single" w:color="auto" w:sz="4" w:space="0"/>
              <w:right w:val="single" w:color="auto" w:sz="4" w:space="0"/>
            </w:tcBorders>
            <w:vAlign w:val="center"/>
          </w:tcPr>
          <w:p w14:paraId="58B3A491">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7030" w:type="dxa"/>
            <w:tcBorders>
              <w:top w:val="nil"/>
              <w:left w:val="nil"/>
              <w:bottom w:val="single" w:color="auto" w:sz="4" w:space="0"/>
              <w:right w:val="single" w:color="auto" w:sz="4" w:space="0"/>
            </w:tcBorders>
            <w:vAlign w:val="top"/>
          </w:tcPr>
          <w:p w14:paraId="6408BC38">
            <w:pPr>
              <w:widowControl/>
              <w:spacing w:line="240" w:lineRule="exact"/>
              <w:rPr>
                <w:rFonts w:hint="eastAsia" w:ascii="宋体" w:hAnsi="宋体" w:cs="宋体"/>
                <w:color w:val="000000"/>
                <w:kern w:val="0"/>
                <w:szCs w:val="21"/>
              </w:rPr>
            </w:pPr>
            <w:r>
              <w:rPr>
                <w:rFonts w:hint="eastAsia" w:ascii="宋体" w:hAnsi="宋体" w:cs="宋体"/>
                <w:color w:val="000000"/>
                <w:kern w:val="0"/>
                <w:szCs w:val="21"/>
              </w:rPr>
              <w:t xml:space="preserve">　1.【法律】《中华人民共和国审计法》（2006年2月28日中华人民共和国主席令第48号公布，自2006年6月1日起施行）第三十四条：审计机关进行审计时，被审计单位不得转移、隐匿、篡改、毁弃会计凭证、会计账簿、财务会计报告以及其他与财政收支或者财务收支有关的资料，不得转移、隐匿所持有的违反国家规定取得的资产。                                                      </w:t>
            </w:r>
          </w:p>
          <w:p w14:paraId="1542C1B8">
            <w:pPr>
              <w:widowControl/>
              <w:spacing w:line="240" w:lineRule="exact"/>
              <w:rPr>
                <w:rFonts w:hint="eastAsia" w:ascii="宋体" w:hAnsi="宋体" w:cs="宋体"/>
                <w:color w:val="000000"/>
                <w:kern w:val="0"/>
                <w:szCs w:val="21"/>
              </w:rPr>
            </w:pPr>
            <w:r>
              <w:rPr>
                <w:rFonts w:hint="eastAsia" w:ascii="宋体" w:hAnsi="宋体" w:cs="宋体"/>
                <w:color w:val="000000"/>
                <w:kern w:val="0"/>
                <w:szCs w:val="21"/>
              </w:rPr>
              <w:t xml:space="preserve">    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p>
          <w:p w14:paraId="5001DE94">
            <w:pPr>
              <w:widowControl/>
              <w:spacing w:line="240" w:lineRule="exact"/>
              <w:rPr>
                <w:rFonts w:hint="eastAsia" w:ascii="宋体" w:hAnsi="宋体" w:cs="宋体"/>
                <w:color w:val="000000"/>
                <w:kern w:val="0"/>
                <w:szCs w:val="21"/>
              </w:rPr>
            </w:pPr>
            <w:r>
              <w:rPr>
                <w:rFonts w:hint="eastAsia" w:ascii="宋体" w:hAnsi="宋体" w:cs="宋体"/>
                <w:color w:val="000000"/>
                <w:kern w:val="0"/>
                <w:szCs w:val="21"/>
              </w:rPr>
              <w:t xml:space="preserve">　　审计机关对被审计单位正在进行的违反国家规定的财政收支、财务收支行为，有权予以制止；制止无效的，经县级以上人民政府审计机关负责人批准，通知财政部门和有关主管部门暂停拨付与违反国家规定的财政收支、财务收支行为直接有关的款项，已经拨付的，暂停使用。                              </w:t>
            </w:r>
          </w:p>
          <w:p w14:paraId="674477B1">
            <w:pPr>
              <w:widowControl/>
              <w:spacing w:line="240" w:lineRule="exact"/>
              <w:rPr>
                <w:rFonts w:ascii="宋体" w:hAnsi="宋体" w:cs="宋体"/>
                <w:color w:val="000000"/>
                <w:kern w:val="0"/>
                <w:szCs w:val="21"/>
              </w:rPr>
            </w:pPr>
            <w:r>
              <w:rPr>
                <w:rFonts w:hint="eastAsia" w:ascii="宋体" w:hAnsi="宋体" w:cs="宋体"/>
                <w:color w:val="000000"/>
                <w:kern w:val="0"/>
                <w:szCs w:val="21"/>
              </w:rPr>
              <w:t xml:space="preserve">    2.【行政法规】《财政违法行为处罚处分条例》（2004年11月30日中华人民共和国国务院令第427号公布，2011年1月8日中华人民共和国国务院令第588号修订，自2011年1月8日起施行）第二十四条“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p>
        </w:tc>
        <w:tc>
          <w:tcPr>
            <w:tcW w:w="1197" w:type="dxa"/>
            <w:tcBorders>
              <w:top w:val="nil"/>
              <w:left w:val="nil"/>
              <w:bottom w:val="single" w:color="auto" w:sz="4" w:space="0"/>
              <w:right w:val="single" w:color="auto" w:sz="4" w:space="0"/>
            </w:tcBorders>
            <w:vAlign w:val="center"/>
          </w:tcPr>
          <w:p w14:paraId="35007A22">
            <w:pPr>
              <w:jc w:val="center"/>
              <w:rPr>
                <w:rFonts w:ascii="宋体" w:hAnsi="宋体" w:cs="宋体"/>
                <w:szCs w:val="21"/>
              </w:rPr>
            </w:pPr>
            <w:r>
              <w:rPr>
                <w:rFonts w:hint="eastAsia" w:ascii="宋体" w:hAnsi="宋体"/>
                <w:szCs w:val="21"/>
              </w:rPr>
              <w:t>被审计单位</w:t>
            </w:r>
          </w:p>
          <w:p w14:paraId="5C5860A7">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28E35316">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5B937D60">
            <w:pPr>
              <w:widowControl/>
              <w:spacing w:line="240" w:lineRule="exact"/>
              <w:jc w:val="center"/>
              <w:rPr>
                <w:rFonts w:ascii="宋体" w:hAnsi="宋体" w:cs="宋体"/>
                <w:color w:val="000000"/>
                <w:kern w:val="0"/>
                <w:sz w:val="20"/>
              </w:rPr>
            </w:pPr>
          </w:p>
        </w:tc>
      </w:tr>
      <w:tr w14:paraId="0B03AF65">
        <w:tblPrEx>
          <w:tblCellMar>
            <w:top w:w="0" w:type="dxa"/>
            <w:left w:w="57" w:type="dxa"/>
            <w:bottom w:w="0" w:type="dxa"/>
            <w:right w:w="57" w:type="dxa"/>
          </w:tblCellMar>
        </w:tblPrEx>
        <w:trPr>
          <w:trHeight w:val="4645" w:hRule="atLeast"/>
          <w:jc w:val="center"/>
        </w:trPr>
        <w:tc>
          <w:tcPr>
            <w:tcW w:w="616" w:type="dxa"/>
            <w:tcBorders>
              <w:top w:val="nil"/>
              <w:left w:val="single" w:color="auto" w:sz="4" w:space="0"/>
              <w:bottom w:val="single" w:color="auto" w:sz="4" w:space="0"/>
              <w:right w:val="single" w:color="auto" w:sz="4" w:space="0"/>
            </w:tcBorders>
            <w:vAlign w:val="center"/>
          </w:tcPr>
          <w:p w14:paraId="01813684">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5</w:t>
            </w:r>
          </w:p>
        </w:tc>
        <w:tc>
          <w:tcPr>
            <w:tcW w:w="1147" w:type="dxa"/>
            <w:tcBorders>
              <w:top w:val="nil"/>
              <w:left w:val="nil"/>
              <w:bottom w:val="single" w:color="auto" w:sz="4" w:space="0"/>
              <w:right w:val="single" w:color="auto" w:sz="4" w:space="0"/>
            </w:tcBorders>
            <w:vAlign w:val="center"/>
          </w:tcPr>
          <w:p w14:paraId="45CBB21B">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行政强制</w:t>
            </w:r>
          </w:p>
        </w:tc>
        <w:tc>
          <w:tcPr>
            <w:tcW w:w="1131" w:type="dxa"/>
            <w:tcBorders>
              <w:top w:val="nil"/>
              <w:left w:val="nil"/>
              <w:bottom w:val="single" w:color="auto" w:sz="4" w:space="0"/>
              <w:right w:val="single" w:color="auto" w:sz="4" w:space="0"/>
            </w:tcBorders>
            <w:vAlign w:val="center"/>
          </w:tcPr>
          <w:p w14:paraId="5A0FFA44">
            <w:pPr>
              <w:widowControl/>
              <w:spacing w:line="240" w:lineRule="exact"/>
              <w:jc w:val="center"/>
              <w:rPr>
                <w:rFonts w:ascii="宋体" w:hAnsi="宋体" w:cs="宋体"/>
                <w:color w:val="000000"/>
                <w:kern w:val="0"/>
                <w:szCs w:val="21"/>
              </w:rPr>
            </w:pPr>
            <w:r>
              <w:rPr>
                <w:rFonts w:hint="eastAsia" w:ascii="宋体" w:hAnsi="宋体"/>
                <w:szCs w:val="21"/>
              </w:rPr>
              <w:t>封存账册资料与违规资产</w:t>
            </w:r>
          </w:p>
        </w:tc>
        <w:tc>
          <w:tcPr>
            <w:tcW w:w="1366" w:type="dxa"/>
            <w:tcBorders>
              <w:top w:val="nil"/>
              <w:left w:val="nil"/>
              <w:bottom w:val="single" w:color="auto" w:sz="4" w:space="0"/>
              <w:right w:val="single" w:color="auto" w:sz="4" w:space="0"/>
            </w:tcBorders>
            <w:vAlign w:val="center"/>
          </w:tcPr>
          <w:p w14:paraId="5CACD41B">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6957EF3A">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三十四条第一款：审计机关进行审计时，被审计单位不得转移、隐匿、篡改、毁弃会计凭证、会计账簿、财务会计报告以及其他与财政收支或者财务收支有关的资料，不得转移、隐匿所持有的违反国家规定取得的资产。</w:t>
            </w:r>
            <w:r>
              <w:rPr>
                <w:rFonts w:hint="eastAsia" w:ascii="宋体" w:hAnsi="宋体"/>
                <w:szCs w:val="21"/>
              </w:rPr>
              <w:br w:type="textWrapping"/>
            </w:r>
            <w:r>
              <w:rPr>
                <w:rFonts w:hint="eastAsia" w:ascii="宋体" w:hAnsi="宋体"/>
                <w:szCs w:val="21"/>
              </w:rPr>
              <w:t xml:space="preserve">    第二款：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r>
              <w:rPr>
                <w:rFonts w:hint="eastAsia" w:ascii="宋体" w:hAnsi="宋体"/>
                <w:szCs w:val="21"/>
              </w:rPr>
              <w:br w:type="textWrapping"/>
            </w:r>
            <w:r>
              <w:rPr>
                <w:rFonts w:hint="eastAsia" w:ascii="宋体" w:hAnsi="宋体"/>
                <w:szCs w:val="21"/>
              </w:rPr>
              <w:t xml:space="preserve">    【行政法规】《中华人民共和国审计法实施条例》（国务院令第571号）第三十二条审计机关依照审计法第三十四条规定封存被审计单位有关资料和违反国家规定取得的资产的，应当持县级以上人民政府审计机关负责人签发的封存通知书，并在依法收集与审计事项相关的证明材料或者采取其他措施后解除封存。封存的期限为7日以内；有特殊情况需要延长的，经县级以上人民政府审计机关负责人批准，可以适当延长，但延长的期限不得超过7日。对封存的资料、资产，审计机关可以指定被审计单位负责保管，被审计单位不得损毁或者擅自转移。</w:t>
            </w:r>
          </w:p>
        </w:tc>
        <w:tc>
          <w:tcPr>
            <w:tcW w:w="1197" w:type="dxa"/>
            <w:tcBorders>
              <w:top w:val="nil"/>
              <w:left w:val="nil"/>
              <w:bottom w:val="single" w:color="auto" w:sz="4" w:space="0"/>
              <w:right w:val="single" w:color="auto" w:sz="4" w:space="0"/>
            </w:tcBorders>
            <w:vAlign w:val="center"/>
          </w:tcPr>
          <w:p w14:paraId="6B0657CF">
            <w:pPr>
              <w:jc w:val="center"/>
              <w:rPr>
                <w:rFonts w:ascii="宋体" w:hAnsi="宋体" w:cs="宋体"/>
                <w:szCs w:val="21"/>
              </w:rPr>
            </w:pPr>
            <w:r>
              <w:rPr>
                <w:rFonts w:hint="eastAsia" w:ascii="宋体" w:hAnsi="宋体"/>
                <w:szCs w:val="21"/>
              </w:rPr>
              <w:t>被审计单位</w:t>
            </w:r>
          </w:p>
          <w:p w14:paraId="4E4B4F05">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11DB4F3A">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742FB060">
            <w:pPr>
              <w:widowControl/>
              <w:spacing w:line="240" w:lineRule="exact"/>
              <w:jc w:val="center"/>
              <w:rPr>
                <w:rFonts w:ascii="宋体" w:hAnsi="宋体" w:cs="宋体"/>
                <w:color w:val="000000"/>
                <w:kern w:val="0"/>
                <w:sz w:val="20"/>
              </w:rPr>
            </w:pPr>
          </w:p>
        </w:tc>
      </w:tr>
      <w:tr w14:paraId="7F9E4613">
        <w:tblPrEx>
          <w:tblCellMar>
            <w:top w:w="0" w:type="dxa"/>
            <w:left w:w="57" w:type="dxa"/>
            <w:bottom w:w="0" w:type="dxa"/>
            <w:right w:w="57" w:type="dxa"/>
          </w:tblCellMar>
        </w:tblPrEx>
        <w:trPr>
          <w:trHeight w:val="1800" w:hRule="atLeast"/>
          <w:jc w:val="center"/>
        </w:trPr>
        <w:tc>
          <w:tcPr>
            <w:tcW w:w="616" w:type="dxa"/>
            <w:tcBorders>
              <w:top w:val="nil"/>
              <w:left w:val="single" w:color="auto" w:sz="4" w:space="0"/>
              <w:bottom w:val="single" w:color="auto" w:sz="4" w:space="0"/>
              <w:right w:val="single" w:color="auto" w:sz="4" w:space="0"/>
            </w:tcBorders>
            <w:vAlign w:val="center"/>
          </w:tcPr>
          <w:p w14:paraId="1E77B7E3">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6</w:t>
            </w:r>
          </w:p>
        </w:tc>
        <w:tc>
          <w:tcPr>
            <w:tcW w:w="1147" w:type="dxa"/>
            <w:tcBorders>
              <w:top w:val="nil"/>
              <w:left w:val="nil"/>
              <w:bottom w:val="single" w:color="auto" w:sz="4" w:space="0"/>
              <w:right w:val="single" w:color="auto" w:sz="4" w:space="0"/>
            </w:tcBorders>
            <w:vAlign w:val="center"/>
          </w:tcPr>
          <w:p w14:paraId="5A647939">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3EA96CF0">
            <w:pPr>
              <w:jc w:val="center"/>
              <w:rPr>
                <w:rFonts w:ascii="宋体" w:hAnsi="宋体" w:cs="宋体"/>
                <w:szCs w:val="21"/>
              </w:rPr>
            </w:pPr>
            <w:r>
              <w:rPr>
                <w:rFonts w:hint="eastAsia" w:ascii="宋体" w:hAnsi="宋体"/>
                <w:szCs w:val="21"/>
              </w:rPr>
              <w:t>财政预决算审计</w:t>
            </w:r>
          </w:p>
          <w:p w14:paraId="5066CA34">
            <w:pPr>
              <w:widowControl/>
              <w:spacing w:line="240" w:lineRule="exact"/>
              <w:jc w:val="center"/>
              <w:rPr>
                <w:rFonts w:ascii="宋体" w:hAnsi="宋体" w:cs="宋体"/>
                <w:color w:val="000000"/>
                <w:kern w:val="0"/>
                <w:szCs w:val="21"/>
              </w:rPr>
            </w:pPr>
          </w:p>
        </w:tc>
        <w:tc>
          <w:tcPr>
            <w:tcW w:w="1366" w:type="dxa"/>
            <w:tcBorders>
              <w:top w:val="nil"/>
              <w:left w:val="nil"/>
              <w:bottom w:val="single" w:color="auto" w:sz="4" w:space="0"/>
              <w:right w:val="single" w:color="auto" w:sz="4" w:space="0"/>
            </w:tcBorders>
            <w:vAlign w:val="center"/>
          </w:tcPr>
          <w:p w14:paraId="6D7F4E9A">
            <w:pPr>
              <w:widowControl/>
              <w:spacing w:line="240" w:lineRule="exact"/>
              <w:jc w:val="center"/>
              <w:rPr>
                <w:rFonts w:ascii="宋体" w:hAnsi="宋体" w:cs="宋体"/>
                <w:color w:val="000000"/>
                <w:kern w:val="0"/>
                <w:szCs w:val="21"/>
              </w:rPr>
            </w:pPr>
          </w:p>
        </w:tc>
        <w:tc>
          <w:tcPr>
            <w:tcW w:w="7030" w:type="dxa"/>
            <w:tcBorders>
              <w:top w:val="nil"/>
              <w:left w:val="nil"/>
              <w:bottom w:val="single" w:color="auto" w:sz="4" w:space="0"/>
              <w:right w:val="single" w:color="auto" w:sz="4" w:space="0"/>
            </w:tcBorders>
            <w:vAlign w:val="top"/>
          </w:tcPr>
          <w:p w14:paraId="0DD3DB5D">
            <w:pPr>
              <w:rPr>
                <w:rFonts w:ascii="宋体" w:hAnsi="宋体" w:cs="宋体"/>
                <w:szCs w:val="21"/>
              </w:rPr>
            </w:pPr>
            <w:r>
              <w:rPr>
                <w:rFonts w:hint="eastAsia" w:ascii="宋体" w:hAnsi="宋体"/>
                <w:szCs w:val="21"/>
              </w:rPr>
              <w:t xml:space="preserve">    1.【法律】《中华人民共和国审计法》（2006年2月28日中华人民共和国主席令第48号公布，自2006年6月1日起施行）第四条：国务院和县级以上地方人民政府应当每年向本级人民代表大会常务委员会提出审计机关对预算执行和其他财政收支的审计工作报告。审计工作报告应当重点报告对预算执行的审计情况。必要时，人民代表大会常务委员会可以对审计工作报告作出决议。</w:t>
            </w:r>
            <w:r>
              <w:rPr>
                <w:rFonts w:hint="eastAsia" w:ascii="宋体" w:hAnsi="宋体"/>
                <w:szCs w:val="21"/>
              </w:rPr>
              <w:br w:type="textWrapping"/>
            </w:r>
            <w:r>
              <w:rPr>
                <w:rFonts w:hint="eastAsia" w:ascii="宋体" w:hAnsi="宋体"/>
                <w:szCs w:val="21"/>
              </w:rPr>
              <w:t xml:space="preserve">    第十六条：审计机关对本级各部门（含直属单位）和下级政府预算的执行情况和决算以及其他财政收支情况，进行审计监督。</w:t>
            </w:r>
            <w:r>
              <w:rPr>
                <w:rFonts w:hint="eastAsia" w:ascii="宋体" w:hAnsi="宋体"/>
                <w:szCs w:val="21"/>
              </w:rPr>
              <w:br w:type="textWrapping"/>
            </w:r>
            <w:r>
              <w:rPr>
                <w:rFonts w:hint="eastAsia" w:ascii="宋体" w:hAnsi="宋体"/>
                <w:szCs w:val="21"/>
              </w:rPr>
              <w:t xml:space="preserve">    第十七条第二款：地方各级审计机关分别在省长、自治区主席、市长、州长、县长、区长和上一级审计机关的领导下，对本级预算执行情况和其他财政收支情况进行审计监督，向本级人民政府和上一级审计机关提出审计结果报告。</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r>
              <w:rPr>
                <w:rFonts w:hint="eastAsia" w:ascii="宋体" w:hAnsi="宋体"/>
                <w:szCs w:val="21"/>
              </w:rPr>
              <w:br w:type="textWrapping"/>
            </w:r>
            <w:r>
              <w:rPr>
                <w:rFonts w:hint="eastAsia" w:ascii="宋体" w:hAnsi="宋体"/>
                <w:szCs w:val="21"/>
              </w:rPr>
              <w:t xml:space="preserve">    2.【行政法规】《中华人民共和国审计法实施条例》（2010年2月2日中华人民共和国主席令第571号公布，自2010年5月1日起施行）第十五条：审计机关对本级人民政府财政部门具体组织本级预算执行的情况，本级预算收入征收部门征收预算收入的情况，与本级人民政府财政部门直接发生预算缴款、拨款关系的部门、单位的预算执行情况和决算，下级人民政府的预算执行情况和决算，以及其他财政收支情况，依法进行审计监督。经本级人民政府批准，审计机关对其他取得财政资金的单位和项目接受、运用财政资金的真实、合法和效益情况，依法进行审计监督。</w:t>
            </w:r>
          </w:p>
          <w:p w14:paraId="1E5C57DF">
            <w:pPr>
              <w:widowControl/>
              <w:spacing w:line="240" w:lineRule="exact"/>
              <w:rPr>
                <w:rFonts w:ascii="宋体" w:hAnsi="宋体" w:cs="宋体"/>
                <w:color w:val="000000"/>
                <w:kern w:val="0"/>
                <w:szCs w:val="21"/>
              </w:rPr>
            </w:pPr>
          </w:p>
        </w:tc>
        <w:tc>
          <w:tcPr>
            <w:tcW w:w="1197" w:type="dxa"/>
            <w:tcBorders>
              <w:top w:val="nil"/>
              <w:left w:val="nil"/>
              <w:bottom w:val="single" w:color="auto" w:sz="4" w:space="0"/>
              <w:right w:val="single" w:color="auto" w:sz="4" w:space="0"/>
            </w:tcBorders>
            <w:vAlign w:val="center"/>
          </w:tcPr>
          <w:p w14:paraId="518E6C7D">
            <w:pPr>
              <w:jc w:val="center"/>
              <w:rPr>
                <w:rFonts w:ascii="宋体" w:hAnsi="宋体" w:cs="宋体"/>
                <w:szCs w:val="21"/>
              </w:rPr>
            </w:pPr>
            <w:r>
              <w:rPr>
                <w:rFonts w:hint="eastAsia" w:ascii="宋体" w:hAnsi="宋体"/>
                <w:szCs w:val="21"/>
              </w:rPr>
              <w:t>涞水县本级各部门(含直属单位)和下级政府</w:t>
            </w:r>
          </w:p>
          <w:p w14:paraId="13D49828">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5628FC81">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3B2C5911">
            <w:pPr>
              <w:widowControl/>
              <w:spacing w:line="240" w:lineRule="exact"/>
              <w:jc w:val="center"/>
              <w:rPr>
                <w:rFonts w:ascii="宋体" w:hAnsi="宋体" w:cs="宋体"/>
                <w:color w:val="000000"/>
                <w:kern w:val="0"/>
                <w:sz w:val="20"/>
              </w:rPr>
            </w:pPr>
          </w:p>
        </w:tc>
      </w:tr>
      <w:tr w14:paraId="2E25047C">
        <w:tblPrEx>
          <w:tblCellMar>
            <w:top w:w="0" w:type="dxa"/>
            <w:left w:w="57" w:type="dxa"/>
            <w:bottom w:w="0" w:type="dxa"/>
            <w:right w:w="57" w:type="dxa"/>
          </w:tblCellMar>
        </w:tblPrEx>
        <w:trPr>
          <w:trHeight w:val="2373" w:hRule="atLeast"/>
          <w:jc w:val="center"/>
        </w:trPr>
        <w:tc>
          <w:tcPr>
            <w:tcW w:w="616" w:type="dxa"/>
            <w:tcBorders>
              <w:top w:val="nil"/>
              <w:left w:val="single" w:color="auto" w:sz="4" w:space="0"/>
              <w:bottom w:val="single" w:color="auto" w:sz="4" w:space="0"/>
              <w:right w:val="single" w:color="auto" w:sz="4" w:space="0"/>
            </w:tcBorders>
            <w:vAlign w:val="center"/>
          </w:tcPr>
          <w:p w14:paraId="70867D63">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7</w:t>
            </w:r>
          </w:p>
        </w:tc>
        <w:tc>
          <w:tcPr>
            <w:tcW w:w="1147" w:type="dxa"/>
            <w:tcBorders>
              <w:top w:val="nil"/>
              <w:left w:val="nil"/>
              <w:bottom w:val="single" w:color="auto" w:sz="4" w:space="0"/>
              <w:right w:val="single" w:color="auto" w:sz="4" w:space="0"/>
            </w:tcBorders>
            <w:vAlign w:val="center"/>
          </w:tcPr>
          <w:p w14:paraId="064C71BA">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7A137E85">
            <w:pPr>
              <w:widowControl/>
              <w:spacing w:line="240" w:lineRule="exact"/>
              <w:jc w:val="center"/>
              <w:rPr>
                <w:rFonts w:ascii="宋体" w:hAnsi="宋体" w:cs="宋体"/>
                <w:color w:val="000000"/>
                <w:kern w:val="0"/>
                <w:szCs w:val="21"/>
              </w:rPr>
            </w:pPr>
            <w:r>
              <w:rPr>
                <w:rFonts w:hint="eastAsia" w:ascii="宋体" w:hAnsi="宋体"/>
                <w:szCs w:val="21"/>
              </w:rPr>
              <w:t>行政事业审计</w:t>
            </w:r>
          </w:p>
        </w:tc>
        <w:tc>
          <w:tcPr>
            <w:tcW w:w="1366" w:type="dxa"/>
            <w:tcBorders>
              <w:top w:val="nil"/>
              <w:left w:val="nil"/>
              <w:bottom w:val="single" w:color="auto" w:sz="4" w:space="0"/>
              <w:right w:val="single" w:color="auto" w:sz="4" w:space="0"/>
            </w:tcBorders>
            <w:vAlign w:val="center"/>
          </w:tcPr>
          <w:p w14:paraId="6604A8D1">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6C981335">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【法律】《中华人民共和国审计法》（2006年2月28日中华人民共和国主席令第48号公布，自2006年6月1日起施行）第十九条：审计机关对国家的事业组织和使用财政资金的其他事业组织的财务收支，进行审计监督。</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1197" w:type="dxa"/>
            <w:tcBorders>
              <w:top w:val="nil"/>
              <w:left w:val="nil"/>
              <w:bottom w:val="single" w:color="auto" w:sz="4" w:space="0"/>
              <w:right w:val="single" w:color="auto" w:sz="4" w:space="0"/>
            </w:tcBorders>
            <w:vAlign w:val="center"/>
          </w:tcPr>
          <w:p w14:paraId="4CB7D966">
            <w:pPr>
              <w:jc w:val="center"/>
              <w:rPr>
                <w:rFonts w:ascii="宋体" w:hAnsi="宋体" w:cs="宋体"/>
                <w:szCs w:val="21"/>
              </w:rPr>
            </w:pPr>
            <w:r>
              <w:rPr>
                <w:rFonts w:hint="eastAsia" w:ascii="宋体" w:hAnsi="宋体"/>
                <w:szCs w:val="21"/>
              </w:rPr>
              <w:t>涞水县行政、事业单位</w:t>
            </w:r>
          </w:p>
          <w:p w14:paraId="53850EFE">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1637A7A4">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3A80A3B9">
            <w:pPr>
              <w:widowControl/>
              <w:spacing w:line="240" w:lineRule="exact"/>
              <w:jc w:val="center"/>
              <w:rPr>
                <w:rFonts w:ascii="宋体" w:hAnsi="宋体" w:cs="宋体"/>
                <w:color w:val="000000"/>
                <w:kern w:val="0"/>
                <w:sz w:val="20"/>
              </w:rPr>
            </w:pPr>
          </w:p>
        </w:tc>
      </w:tr>
      <w:tr w14:paraId="5A428960">
        <w:tblPrEx>
          <w:tblCellMar>
            <w:top w:w="0" w:type="dxa"/>
            <w:left w:w="57" w:type="dxa"/>
            <w:bottom w:w="0" w:type="dxa"/>
            <w:right w:w="57" w:type="dxa"/>
          </w:tblCellMar>
        </w:tblPrEx>
        <w:trPr>
          <w:trHeight w:val="2593" w:hRule="atLeast"/>
          <w:jc w:val="center"/>
        </w:trPr>
        <w:tc>
          <w:tcPr>
            <w:tcW w:w="616" w:type="dxa"/>
            <w:tcBorders>
              <w:top w:val="nil"/>
              <w:left w:val="single" w:color="auto" w:sz="4" w:space="0"/>
              <w:bottom w:val="single" w:color="auto" w:sz="4" w:space="0"/>
              <w:right w:val="single" w:color="auto" w:sz="4" w:space="0"/>
            </w:tcBorders>
            <w:vAlign w:val="center"/>
          </w:tcPr>
          <w:p w14:paraId="54E1DA12">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8</w:t>
            </w:r>
          </w:p>
        </w:tc>
        <w:tc>
          <w:tcPr>
            <w:tcW w:w="1147" w:type="dxa"/>
            <w:tcBorders>
              <w:top w:val="nil"/>
              <w:left w:val="nil"/>
              <w:bottom w:val="single" w:color="auto" w:sz="4" w:space="0"/>
              <w:right w:val="single" w:color="auto" w:sz="4" w:space="0"/>
            </w:tcBorders>
            <w:vAlign w:val="center"/>
          </w:tcPr>
          <w:p w14:paraId="651C0FB8">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08AE3C33">
            <w:pPr>
              <w:widowControl/>
              <w:spacing w:line="240" w:lineRule="exact"/>
              <w:jc w:val="center"/>
              <w:rPr>
                <w:rFonts w:ascii="宋体" w:hAnsi="宋体" w:cs="宋体"/>
                <w:color w:val="000000"/>
                <w:kern w:val="0"/>
                <w:szCs w:val="21"/>
              </w:rPr>
            </w:pPr>
            <w:r>
              <w:rPr>
                <w:rFonts w:hint="eastAsia" w:ascii="宋体" w:hAnsi="宋体"/>
                <w:szCs w:val="21"/>
              </w:rPr>
              <w:t>固定资产投资审计</w:t>
            </w:r>
          </w:p>
        </w:tc>
        <w:tc>
          <w:tcPr>
            <w:tcW w:w="1366" w:type="dxa"/>
            <w:tcBorders>
              <w:top w:val="nil"/>
              <w:left w:val="nil"/>
              <w:bottom w:val="single" w:color="auto" w:sz="4" w:space="0"/>
              <w:right w:val="single" w:color="auto" w:sz="4" w:space="0"/>
            </w:tcBorders>
            <w:vAlign w:val="center"/>
          </w:tcPr>
          <w:p w14:paraId="46FF3701">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49369101">
            <w:pPr>
              <w:rPr>
                <w:rFonts w:hint="eastAsia" w:ascii="宋体" w:hAnsi="宋体"/>
                <w:szCs w:val="21"/>
              </w:rPr>
            </w:pPr>
            <w:r>
              <w:rPr>
                <w:rFonts w:hint="eastAsia" w:ascii="宋体" w:hAnsi="宋体"/>
                <w:szCs w:val="21"/>
              </w:rPr>
              <w:t>【法律】《中华人民共和国审计法》（2006年2月28日中华人民共和国主席令第48号公布，自2006年6月1日起施行）第二十二条：审计机关对政府投资和以政府投资为主的建设项目的预算执行情况和决算，进行审计监督。</w:t>
            </w:r>
            <w:r>
              <w:rPr>
                <w:rFonts w:hint="eastAsia" w:ascii="宋体" w:hAnsi="宋体"/>
                <w:szCs w:val="21"/>
              </w:rPr>
              <w:br w:type="textWrapping"/>
            </w:r>
            <w:r>
              <w:rPr>
                <w:rFonts w:hint="eastAsia" w:ascii="宋体" w:hAnsi="宋体"/>
                <w:szCs w:val="21"/>
              </w:rPr>
              <w:t>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p w14:paraId="5E86385B">
            <w:pPr>
              <w:rPr>
                <w:rFonts w:ascii="宋体" w:hAnsi="宋体" w:cs="宋体"/>
                <w:szCs w:val="21"/>
              </w:rPr>
            </w:pPr>
            <w:r>
              <w:rPr>
                <w:rFonts w:hint="eastAsia" w:ascii="宋体" w:hAnsi="宋体"/>
                <w:szCs w:val="21"/>
              </w:rPr>
              <w:t>【行政法规】《中华人民共和国审计法实施条例》（2010年2月2日中华人民共和国主席令第571号公布，自2010年5月1日起施行）第二十条：</w:t>
            </w:r>
            <w:r>
              <w:rPr>
                <w:rFonts w:hint="eastAsia" w:ascii="宋体" w:hAnsi="宋体"/>
                <w:szCs w:val="21"/>
                <w:lang w:eastAsia="zh-CN"/>
              </w:rPr>
              <w:t>《中华人民共和国</w:t>
            </w:r>
            <w:r>
              <w:rPr>
                <w:rFonts w:hint="eastAsia" w:ascii="宋体" w:hAnsi="宋体"/>
                <w:szCs w:val="21"/>
              </w:rPr>
              <w:t>审计法</w:t>
            </w:r>
            <w:r>
              <w:rPr>
                <w:rFonts w:hint="eastAsia" w:ascii="宋体" w:hAnsi="宋体"/>
                <w:szCs w:val="21"/>
                <w:lang w:eastAsia="zh-CN"/>
              </w:rPr>
              <w:t>》</w:t>
            </w:r>
            <w:r>
              <w:rPr>
                <w:rFonts w:hint="eastAsia" w:ascii="宋体" w:hAnsi="宋体"/>
                <w:szCs w:val="21"/>
              </w:rPr>
              <w:t>第二十二条所称政府投资和以政府投资为主的建设项目，包括：</w:t>
            </w:r>
            <w:r>
              <w:rPr>
                <w:rFonts w:hint="eastAsia" w:ascii="宋体" w:hAnsi="宋体"/>
                <w:szCs w:val="21"/>
              </w:rPr>
              <w:br w:type="textWrapping"/>
            </w:r>
            <w:r>
              <w:rPr>
                <w:rFonts w:hint="eastAsia" w:ascii="宋体" w:hAnsi="宋体"/>
                <w:szCs w:val="21"/>
              </w:rPr>
              <w:t>（一）全部使用预算内投资资金、专项建设基金、政府举借债务筹措的资金等财政资金的；（二）未全部使用财政资金，财政资金占项目总投资的比例超过50%，或者占项目总投资的比例在50%以下，但政府拥有项目建设、运营实际控制权的。审计机关对前款规定的建设项目的总预算或者概算的执行情况、年度预算的执行情况和年度决算、单项工程结算、项目竣工决算，依法进行审计监督；对前款规定的建设项目进行审计时，可以对直接有关的设计、施工、供货等单位取得建设项目资金的真实性、合法性进行调查。</w:t>
            </w:r>
            <w:r>
              <w:rPr>
                <w:rFonts w:hint="eastAsia" w:ascii="宋体" w:hAnsi="宋体"/>
                <w:szCs w:val="21"/>
              </w:rPr>
              <w:br w:type="textWrapping"/>
            </w:r>
          </w:p>
        </w:tc>
        <w:tc>
          <w:tcPr>
            <w:tcW w:w="1197" w:type="dxa"/>
            <w:tcBorders>
              <w:top w:val="nil"/>
              <w:left w:val="nil"/>
              <w:bottom w:val="single" w:color="auto" w:sz="4" w:space="0"/>
              <w:right w:val="single" w:color="auto" w:sz="4" w:space="0"/>
            </w:tcBorders>
            <w:vAlign w:val="center"/>
          </w:tcPr>
          <w:p w14:paraId="02E60751">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公民、企业、社会组织</w:t>
            </w:r>
          </w:p>
        </w:tc>
        <w:tc>
          <w:tcPr>
            <w:tcW w:w="1150" w:type="dxa"/>
            <w:tcBorders>
              <w:top w:val="nil"/>
              <w:left w:val="nil"/>
              <w:bottom w:val="single" w:color="auto" w:sz="4" w:space="0"/>
              <w:right w:val="single" w:color="auto" w:sz="4" w:space="0"/>
            </w:tcBorders>
            <w:vAlign w:val="center"/>
          </w:tcPr>
          <w:p w14:paraId="33656B0F">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780D8654">
            <w:pPr>
              <w:widowControl/>
              <w:spacing w:line="240" w:lineRule="exact"/>
              <w:jc w:val="center"/>
              <w:rPr>
                <w:rFonts w:ascii="宋体" w:hAnsi="宋体" w:cs="宋体"/>
                <w:color w:val="000000"/>
                <w:kern w:val="0"/>
                <w:sz w:val="20"/>
              </w:rPr>
            </w:pPr>
          </w:p>
        </w:tc>
      </w:tr>
      <w:tr w14:paraId="0E0D970C">
        <w:tblPrEx>
          <w:tblCellMar>
            <w:top w:w="0" w:type="dxa"/>
            <w:left w:w="57" w:type="dxa"/>
            <w:bottom w:w="0" w:type="dxa"/>
            <w:right w:w="57" w:type="dxa"/>
          </w:tblCellMar>
        </w:tblPrEx>
        <w:trPr>
          <w:trHeight w:val="6203" w:hRule="atLeast"/>
          <w:jc w:val="center"/>
        </w:trPr>
        <w:tc>
          <w:tcPr>
            <w:tcW w:w="616" w:type="dxa"/>
            <w:tcBorders>
              <w:top w:val="nil"/>
              <w:left w:val="single" w:color="auto" w:sz="4" w:space="0"/>
              <w:bottom w:val="single" w:color="auto" w:sz="4" w:space="0"/>
              <w:right w:val="single" w:color="auto" w:sz="4" w:space="0"/>
            </w:tcBorders>
            <w:vAlign w:val="center"/>
          </w:tcPr>
          <w:p w14:paraId="438E57F5">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9</w:t>
            </w:r>
          </w:p>
        </w:tc>
        <w:tc>
          <w:tcPr>
            <w:tcW w:w="1147" w:type="dxa"/>
            <w:tcBorders>
              <w:top w:val="nil"/>
              <w:left w:val="nil"/>
              <w:bottom w:val="single" w:color="auto" w:sz="4" w:space="0"/>
              <w:right w:val="single" w:color="auto" w:sz="4" w:space="0"/>
            </w:tcBorders>
            <w:vAlign w:val="center"/>
          </w:tcPr>
          <w:p w14:paraId="26D051BE">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360D31FA">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366" w:type="dxa"/>
            <w:tcBorders>
              <w:top w:val="nil"/>
              <w:left w:val="nil"/>
              <w:bottom w:val="single" w:color="auto" w:sz="4" w:space="0"/>
              <w:right w:val="single" w:color="auto" w:sz="4" w:space="0"/>
            </w:tcBorders>
            <w:vAlign w:val="center"/>
          </w:tcPr>
          <w:p w14:paraId="1F4E11C6">
            <w:pPr>
              <w:widowControl/>
              <w:spacing w:line="240" w:lineRule="exact"/>
              <w:jc w:val="center"/>
              <w:rPr>
                <w:rFonts w:ascii="宋体" w:hAnsi="宋体" w:cs="宋体"/>
                <w:color w:val="000000"/>
                <w:kern w:val="0"/>
                <w:szCs w:val="21"/>
              </w:rPr>
            </w:pPr>
          </w:p>
        </w:tc>
        <w:tc>
          <w:tcPr>
            <w:tcW w:w="7030" w:type="dxa"/>
            <w:tcBorders>
              <w:top w:val="nil"/>
              <w:left w:val="nil"/>
              <w:bottom w:val="single" w:color="auto" w:sz="4" w:space="0"/>
              <w:right w:val="single" w:color="auto" w:sz="4" w:space="0"/>
            </w:tcBorders>
            <w:vAlign w:val="top"/>
          </w:tcPr>
          <w:p w14:paraId="35B888F6">
            <w:pPr>
              <w:widowControl/>
              <w:spacing w:line="240" w:lineRule="exact"/>
              <w:rPr>
                <w:rFonts w:ascii="宋体" w:hAnsi="宋体" w:cs="宋体"/>
                <w:color w:val="000000"/>
                <w:kern w:val="0"/>
                <w:szCs w:val="21"/>
              </w:rPr>
            </w:pPr>
            <w:r>
              <w:rPr>
                <w:rFonts w:hint="eastAsia" w:ascii="宋体" w:hAnsi="宋体" w:cs="宋体"/>
                <w:color w:val="000000"/>
                <w:kern w:val="0"/>
                <w:szCs w:val="21"/>
              </w:rPr>
              <w:t>【法律】《中华人民共和国价格法》第二条：在中华人民共和国境内发生的价格行为，适用本法。第一款 本法所称价格包括商品价格和服务价格。第二款 商品价格是指各类有形产品和无形资产的价格。第三款 服务价格是指各类有偿服务的收费。第十四条：经营者不得有下列不正当价格行为：（一）相互串通，操纵市场价格，损害社会经营者或者消费者的合法权益；（二）在依法降价处理鲜活商品、季节性商品、积压商品等商品外，为了排挤竞争对手或者独占市场，以低于成本的价格倾销，扰乱正常的生产经营秩序，损害国家利益或者社会经营者的合法权益；（三）捏造、散布涨价信息，哄抬价格，推动商品价格过高上涨的；（四）利用虚假的或者使人误解的价格手段，诱骗消费者或者社会经营者与其进行交易。（五）提供相同商品或者服务，对具有同等交易条件的社会经营者实行价格歧视；（六）采取抬高等级或者压低等手段收购、销售商品或者提供服务，变相提高或是压低价格；（七）违反法律、法规的规定牟取暴</w:t>
            </w:r>
            <w:r>
              <w:rPr>
                <w:rFonts w:hint="eastAsia" w:ascii="宋体" w:hAnsi="宋体" w:cs="宋体"/>
                <w:color w:val="000000"/>
                <w:kern w:val="0"/>
                <w:szCs w:val="21"/>
                <w:lang w:eastAsia="zh-CN"/>
              </w:rPr>
              <w:t>利</w:t>
            </w:r>
            <w:bookmarkStart w:id="0" w:name="_GoBack"/>
            <w:bookmarkEnd w:id="0"/>
            <w:r>
              <w:rPr>
                <w:rFonts w:hint="eastAsia" w:ascii="宋体" w:hAnsi="宋体" w:cs="宋体"/>
                <w:color w:val="000000"/>
                <w:kern w:val="0"/>
                <w:szCs w:val="21"/>
              </w:rPr>
              <w:t>；（八）法律、行政法规禁止的社会不正当价格行力。第四十条：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有本法第十四条第（一）项、第（二）项所列行为，属于是全国性的，由国务院价格主管部门认定；属于是省及省以下区域性的，由省、自治区、直辖市人民政府价格主管部门认定。</w:t>
            </w:r>
          </w:p>
          <w:p w14:paraId="3E85DD58">
            <w:pPr>
              <w:widowControl/>
              <w:spacing w:line="240" w:lineRule="exact"/>
              <w:rPr>
                <w:rFonts w:ascii="宋体" w:hAnsi="宋体" w:cs="宋体"/>
                <w:color w:val="000000"/>
                <w:kern w:val="0"/>
                <w:szCs w:val="21"/>
              </w:rPr>
            </w:pPr>
            <w:r>
              <w:rPr>
                <w:rFonts w:hint="eastAsia" w:ascii="宋体" w:hAnsi="宋体" w:cs="宋体"/>
                <w:color w:val="000000"/>
                <w:kern w:val="0"/>
                <w:szCs w:val="21"/>
              </w:rPr>
              <w:t>【行政法规】《中华人民共和国价格管理条例》第十五条：省、自治区、直辖市人民政府物价部门在价格管理方面履行下列职责：......（六）协调、处理本地区内的价格争议。</w:t>
            </w:r>
          </w:p>
          <w:p w14:paraId="03049CE2">
            <w:pPr>
              <w:widowControl/>
              <w:spacing w:line="240" w:lineRule="exact"/>
              <w:rPr>
                <w:rFonts w:ascii="宋体" w:hAnsi="宋体" w:cs="宋体"/>
                <w:color w:val="000000"/>
                <w:kern w:val="0"/>
                <w:szCs w:val="21"/>
              </w:rPr>
            </w:pPr>
            <w:r>
              <w:rPr>
                <w:rFonts w:hint="eastAsia" w:ascii="宋体" w:hAnsi="宋体" w:cs="宋体"/>
                <w:color w:val="000000"/>
                <w:kern w:val="0"/>
                <w:szCs w:val="21"/>
              </w:rPr>
              <w:t>《价格认证管理办法》（计价格[1999]1074号）第六条：国务院及地方人民政府价格主管部门是价格认证工作的主管部门，依法设立的价格鉴证机构是受理价格认证的专业机构，社会任何机构或者公民出具的价格证明不具备价格公</w:t>
            </w:r>
            <w:r>
              <w:rPr>
                <w:rFonts w:hint="eastAsia" w:ascii="宋体" w:hAnsi="宋体" w:cs="宋体"/>
                <w:color w:val="000000"/>
                <w:kern w:val="0"/>
                <w:szCs w:val="21"/>
                <w:lang w:eastAsia="zh-CN"/>
              </w:rPr>
              <w:t>正</w:t>
            </w:r>
            <w:r>
              <w:rPr>
                <w:rFonts w:hint="eastAsia" w:ascii="宋体" w:hAnsi="宋体" w:cs="宋体"/>
                <w:color w:val="000000"/>
                <w:kern w:val="0"/>
                <w:szCs w:val="21"/>
              </w:rPr>
              <w:t>性效力。</w:t>
            </w:r>
          </w:p>
        </w:tc>
        <w:tc>
          <w:tcPr>
            <w:tcW w:w="1197" w:type="dxa"/>
            <w:tcBorders>
              <w:top w:val="nil"/>
              <w:left w:val="nil"/>
              <w:bottom w:val="single" w:color="auto" w:sz="4" w:space="0"/>
              <w:right w:val="single" w:color="auto" w:sz="4" w:space="0"/>
            </w:tcBorders>
            <w:vAlign w:val="center"/>
          </w:tcPr>
          <w:p w14:paraId="71D4FB27">
            <w:pPr>
              <w:jc w:val="center"/>
              <w:rPr>
                <w:rFonts w:ascii="宋体" w:hAnsi="宋体" w:cs="宋体"/>
                <w:szCs w:val="21"/>
              </w:rPr>
            </w:pPr>
            <w:r>
              <w:rPr>
                <w:rFonts w:hint="eastAsia" w:ascii="宋体" w:hAnsi="宋体"/>
                <w:szCs w:val="21"/>
              </w:rPr>
              <w:t>与政府投资和以政府投资为主的建设项目有关的建设单位、建筑企业，以及有关的勘察、设计、施工、监理、检测、咨询、供货等单位。</w:t>
            </w:r>
          </w:p>
          <w:p w14:paraId="75A3EC35">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150BE8D1">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091B6D98">
            <w:pPr>
              <w:widowControl/>
              <w:spacing w:line="240" w:lineRule="exact"/>
              <w:jc w:val="center"/>
              <w:rPr>
                <w:rFonts w:ascii="宋体" w:hAnsi="宋体" w:cs="宋体"/>
                <w:color w:val="000000"/>
                <w:kern w:val="0"/>
                <w:sz w:val="20"/>
              </w:rPr>
            </w:pPr>
          </w:p>
        </w:tc>
      </w:tr>
      <w:tr w14:paraId="6DAE619E">
        <w:tblPrEx>
          <w:tblCellMar>
            <w:top w:w="0" w:type="dxa"/>
            <w:left w:w="57" w:type="dxa"/>
            <w:bottom w:w="0" w:type="dxa"/>
            <w:right w:w="57" w:type="dxa"/>
          </w:tblCellMar>
        </w:tblPrEx>
        <w:trPr>
          <w:trHeight w:val="1417" w:hRule="atLeast"/>
          <w:jc w:val="center"/>
        </w:trPr>
        <w:tc>
          <w:tcPr>
            <w:tcW w:w="616" w:type="dxa"/>
            <w:tcBorders>
              <w:top w:val="nil"/>
              <w:left w:val="single" w:color="auto" w:sz="4" w:space="0"/>
              <w:bottom w:val="single" w:color="auto" w:sz="4" w:space="0"/>
              <w:right w:val="single" w:color="auto" w:sz="4" w:space="0"/>
            </w:tcBorders>
            <w:vAlign w:val="center"/>
          </w:tcPr>
          <w:p w14:paraId="46B6C243">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10</w:t>
            </w:r>
          </w:p>
        </w:tc>
        <w:tc>
          <w:tcPr>
            <w:tcW w:w="1147" w:type="dxa"/>
            <w:tcBorders>
              <w:top w:val="nil"/>
              <w:left w:val="nil"/>
              <w:bottom w:val="single" w:color="auto" w:sz="4" w:space="0"/>
              <w:right w:val="single" w:color="auto" w:sz="4" w:space="0"/>
            </w:tcBorders>
            <w:vAlign w:val="center"/>
          </w:tcPr>
          <w:p w14:paraId="65676DE2">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18B6753B">
            <w:pPr>
              <w:widowControl/>
              <w:spacing w:line="240" w:lineRule="exact"/>
              <w:jc w:val="center"/>
              <w:rPr>
                <w:rFonts w:ascii="宋体" w:hAnsi="宋体" w:cs="宋体"/>
                <w:color w:val="000000"/>
                <w:kern w:val="0"/>
                <w:szCs w:val="21"/>
              </w:rPr>
            </w:pPr>
            <w:r>
              <w:rPr>
                <w:rFonts w:hint="eastAsia" w:ascii="宋体" w:hAnsi="宋体"/>
                <w:szCs w:val="21"/>
              </w:rPr>
              <w:t>企业审计</w:t>
            </w:r>
          </w:p>
        </w:tc>
        <w:tc>
          <w:tcPr>
            <w:tcW w:w="1366" w:type="dxa"/>
            <w:tcBorders>
              <w:top w:val="nil"/>
              <w:left w:val="nil"/>
              <w:bottom w:val="single" w:color="auto" w:sz="4" w:space="0"/>
              <w:right w:val="single" w:color="auto" w:sz="4" w:space="0"/>
            </w:tcBorders>
            <w:vAlign w:val="center"/>
          </w:tcPr>
          <w:p w14:paraId="75C34209">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68DCC41A">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【法律】《中华人民共和国审计法》（2006年2月28日中华人民共和国主席令第48号公布，自2006年6月1日起施行）第二十条：审计机关对国有企业的资产、负债、损益，进行审计监督。</w:t>
            </w:r>
            <w:r>
              <w:rPr>
                <w:rFonts w:hint="eastAsia" w:ascii="宋体" w:hAnsi="宋体"/>
                <w:szCs w:val="21"/>
              </w:rPr>
              <w:br w:type="textWrapping"/>
            </w:r>
            <w:r>
              <w:rPr>
                <w:rFonts w:hint="eastAsia" w:ascii="宋体" w:hAnsi="宋体"/>
                <w:szCs w:val="21"/>
              </w:rPr>
              <w:t xml:space="preserve">    第二十一条：对国有资本占控股地位或者主导地位的企业、金融机构的审计监督，由国务院规定。</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1197" w:type="dxa"/>
            <w:tcBorders>
              <w:top w:val="nil"/>
              <w:left w:val="nil"/>
              <w:bottom w:val="single" w:color="auto" w:sz="4" w:space="0"/>
              <w:right w:val="single" w:color="auto" w:sz="4" w:space="0"/>
            </w:tcBorders>
            <w:vAlign w:val="center"/>
          </w:tcPr>
          <w:p w14:paraId="02CF5E8D">
            <w:pPr>
              <w:jc w:val="center"/>
              <w:rPr>
                <w:rFonts w:ascii="宋体" w:hAnsi="宋体" w:cs="宋体"/>
                <w:szCs w:val="21"/>
              </w:rPr>
            </w:pPr>
            <w:r>
              <w:rPr>
                <w:rFonts w:hint="eastAsia" w:ascii="宋体" w:hAnsi="宋体"/>
                <w:szCs w:val="21"/>
              </w:rPr>
              <w:t>涞水县国有资产占控股地位或者主导地位的企业</w:t>
            </w:r>
          </w:p>
          <w:p w14:paraId="0ECFEDD2">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　</w:t>
            </w:r>
          </w:p>
        </w:tc>
        <w:tc>
          <w:tcPr>
            <w:tcW w:w="1150" w:type="dxa"/>
            <w:tcBorders>
              <w:top w:val="nil"/>
              <w:left w:val="nil"/>
              <w:bottom w:val="single" w:color="auto" w:sz="4" w:space="0"/>
              <w:right w:val="single" w:color="auto" w:sz="4" w:space="0"/>
            </w:tcBorders>
            <w:vAlign w:val="center"/>
          </w:tcPr>
          <w:p w14:paraId="77153CC2">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3BE66899">
            <w:pPr>
              <w:widowControl/>
              <w:spacing w:line="240" w:lineRule="exact"/>
              <w:jc w:val="center"/>
              <w:rPr>
                <w:rFonts w:ascii="宋体" w:hAnsi="宋体" w:cs="宋体"/>
                <w:color w:val="000000"/>
                <w:kern w:val="0"/>
                <w:sz w:val="20"/>
              </w:rPr>
            </w:pPr>
          </w:p>
        </w:tc>
      </w:tr>
      <w:tr w14:paraId="0B0440B5">
        <w:tblPrEx>
          <w:tblCellMar>
            <w:top w:w="0" w:type="dxa"/>
            <w:left w:w="57" w:type="dxa"/>
            <w:bottom w:w="0" w:type="dxa"/>
            <w:right w:w="57" w:type="dxa"/>
          </w:tblCellMar>
        </w:tblPrEx>
        <w:trPr>
          <w:trHeight w:val="2303" w:hRule="atLeast"/>
          <w:jc w:val="center"/>
        </w:trPr>
        <w:tc>
          <w:tcPr>
            <w:tcW w:w="616" w:type="dxa"/>
            <w:tcBorders>
              <w:top w:val="nil"/>
              <w:left w:val="single" w:color="auto" w:sz="4" w:space="0"/>
              <w:bottom w:val="single" w:color="auto" w:sz="4" w:space="0"/>
              <w:right w:val="single" w:color="auto" w:sz="4" w:space="0"/>
            </w:tcBorders>
            <w:vAlign w:val="center"/>
          </w:tcPr>
          <w:p w14:paraId="4CC90BEF">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11</w:t>
            </w:r>
          </w:p>
        </w:tc>
        <w:tc>
          <w:tcPr>
            <w:tcW w:w="1147" w:type="dxa"/>
            <w:tcBorders>
              <w:top w:val="nil"/>
              <w:left w:val="nil"/>
              <w:bottom w:val="single" w:color="auto" w:sz="4" w:space="0"/>
              <w:right w:val="single" w:color="auto" w:sz="4" w:space="0"/>
            </w:tcBorders>
            <w:vAlign w:val="center"/>
          </w:tcPr>
          <w:p w14:paraId="6247A233">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2EFD0724">
            <w:pPr>
              <w:widowControl/>
              <w:spacing w:line="240" w:lineRule="exact"/>
              <w:jc w:val="center"/>
              <w:rPr>
                <w:rFonts w:ascii="宋体" w:hAnsi="宋体" w:cs="宋体"/>
                <w:color w:val="000000"/>
                <w:kern w:val="0"/>
                <w:szCs w:val="21"/>
              </w:rPr>
            </w:pPr>
            <w:r>
              <w:rPr>
                <w:rFonts w:hint="eastAsia" w:ascii="宋体" w:hAnsi="宋体"/>
                <w:szCs w:val="21"/>
              </w:rPr>
              <w:t>社会保障审计</w:t>
            </w:r>
          </w:p>
        </w:tc>
        <w:tc>
          <w:tcPr>
            <w:tcW w:w="1366" w:type="dxa"/>
            <w:tcBorders>
              <w:top w:val="nil"/>
              <w:left w:val="nil"/>
              <w:bottom w:val="single" w:color="auto" w:sz="4" w:space="0"/>
              <w:right w:val="single" w:color="auto" w:sz="4" w:space="0"/>
            </w:tcBorders>
            <w:vAlign w:val="center"/>
          </w:tcPr>
          <w:p w14:paraId="7BE830E0">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340F60FA">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二十三条：审计机关对政府部门管理的和其他单位受政府委托管理的社会保障基金、社会捐赠资金以及其他有关基金、资金的财务收支，进行审计监督。</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1197" w:type="dxa"/>
            <w:tcBorders>
              <w:top w:val="nil"/>
              <w:left w:val="nil"/>
              <w:bottom w:val="single" w:color="auto" w:sz="4" w:space="0"/>
              <w:right w:val="single" w:color="auto" w:sz="4" w:space="0"/>
            </w:tcBorders>
            <w:vAlign w:val="center"/>
          </w:tcPr>
          <w:p w14:paraId="342AE410">
            <w:pPr>
              <w:jc w:val="center"/>
              <w:rPr>
                <w:rFonts w:ascii="宋体" w:hAnsi="宋体" w:cs="宋体"/>
                <w:szCs w:val="21"/>
              </w:rPr>
            </w:pPr>
            <w:r>
              <w:rPr>
                <w:rFonts w:hint="eastAsia" w:ascii="宋体" w:hAnsi="宋体"/>
                <w:szCs w:val="21"/>
              </w:rPr>
              <w:t>管理社会保障基金、社会捐赠资金以及其他有关基金、资金的区本级政府部门或其他单位。</w:t>
            </w:r>
          </w:p>
          <w:p w14:paraId="4E1F246A">
            <w:pPr>
              <w:widowControl/>
              <w:spacing w:line="240" w:lineRule="exact"/>
              <w:jc w:val="center"/>
              <w:rPr>
                <w:rFonts w:hint="eastAsia" w:ascii="宋体" w:hAnsi="宋体" w:cs="宋体"/>
                <w:color w:val="000000"/>
                <w:kern w:val="0"/>
                <w:szCs w:val="21"/>
              </w:rPr>
            </w:pPr>
          </w:p>
        </w:tc>
        <w:tc>
          <w:tcPr>
            <w:tcW w:w="1150" w:type="dxa"/>
            <w:tcBorders>
              <w:top w:val="nil"/>
              <w:left w:val="nil"/>
              <w:bottom w:val="single" w:color="auto" w:sz="4" w:space="0"/>
              <w:right w:val="single" w:color="auto" w:sz="4" w:space="0"/>
            </w:tcBorders>
            <w:vAlign w:val="center"/>
          </w:tcPr>
          <w:p w14:paraId="23845570">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7BB20321">
            <w:pPr>
              <w:widowControl/>
              <w:spacing w:line="240" w:lineRule="exact"/>
              <w:jc w:val="center"/>
              <w:rPr>
                <w:rFonts w:ascii="宋体" w:hAnsi="宋体" w:cs="宋体"/>
                <w:color w:val="000000"/>
                <w:kern w:val="0"/>
                <w:sz w:val="20"/>
              </w:rPr>
            </w:pPr>
          </w:p>
        </w:tc>
      </w:tr>
      <w:tr w14:paraId="4A2001C1">
        <w:tblPrEx>
          <w:tblCellMar>
            <w:top w:w="0" w:type="dxa"/>
            <w:left w:w="57" w:type="dxa"/>
            <w:bottom w:w="0" w:type="dxa"/>
            <w:right w:w="57" w:type="dxa"/>
          </w:tblCellMar>
        </w:tblPrEx>
        <w:trPr>
          <w:trHeight w:val="2891" w:hRule="atLeast"/>
          <w:jc w:val="center"/>
        </w:trPr>
        <w:tc>
          <w:tcPr>
            <w:tcW w:w="616" w:type="dxa"/>
            <w:tcBorders>
              <w:top w:val="nil"/>
              <w:left w:val="single" w:color="auto" w:sz="4" w:space="0"/>
              <w:bottom w:val="single" w:color="auto" w:sz="4" w:space="0"/>
              <w:right w:val="single" w:color="auto" w:sz="4" w:space="0"/>
            </w:tcBorders>
            <w:vAlign w:val="center"/>
          </w:tcPr>
          <w:p w14:paraId="09A2AB23">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12</w:t>
            </w:r>
          </w:p>
        </w:tc>
        <w:tc>
          <w:tcPr>
            <w:tcW w:w="1147" w:type="dxa"/>
            <w:tcBorders>
              <w:top w:val="nil"/>
              <w:left w:val="nil"/>
              <w:bottom w:val="single" w:color="auto" w:sz="4" w:space="0"/>
              <w:right w:val="single" w:color="auto" w:sz="4" w:space="0"/>
            </w:tcBorders>
            <w:vAlign w:val="center"/>
          </w:tcPr>
          <w:p w14:paraId="188FA42B">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4B931F12">
            <w:pPr>
              <w:widowControl/>
              <w:spacing w:line="240" w:lineRule="exact"/>
              <w:jc w:val="center"/>
              <w:rPr>
                <w:rFonts w:ascii="宋体" w:hAnsi="宋体" w:cs="宋体"/>
                <w:color w:val="000000"/>
                <w:kern w:val="0"/>
                <w:szCs w:val="21"/>
              </w:rPr>
            </w:pPr>
            <w:r>
              <w:rPr>
                <w:rFonts w:hint="eastAsia" w:ascii="宋体" w:hAnsi="宋体"/>
                <w:szCs w:val="21"/>
              </w:rPr>
              <w:t>外资运用审计</w:t>
            </w:r>
          </w:p>
        </w:tc>
        <w:tc>
          <w:tcPr>
            <w:tcW w:w="1366" w:type="dxa"/>
            <w:tcBorders>
              <w:top w:val="nil"/>
              <w:left w:val="nil"/>
              <w:bottom w:val="single" w:color="auto" w:sz="4" w:space="0"/>
              <w:right w:val="single" w:color="auto" w:sz="4" w:space="0"/>
            </w:tcBorders>
            <w:vAlign w:val="center"/>
          </w:tcPr>
          <w:p w14:paraId="4C89D848">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14834C40">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【法律】《中华人民共和国审计法》（2006年2月28日中华人民共和国主席令第48号公布，自2006年6月1日起施行）第二十四条：审计机关对国际组织和外国政府援助、贷款项目的财务收支，进行审计监督。</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1197" w:type="dxa"/>
            <w:tcBorders>
              <w:top w:val="nil"/>
              <w:left w:val="nil"/>
              <w:bottom w:val="single" w:color="auto" w:sz="4" w:space="0"/>
              <w:right w:val="single" w:color="auto" w:sz="4" w:space="0"/>
            </w:tcBorders>
            <w:vAlign w:val="center"/>
          </w:tcPr>
          <w:p w14:paraId="1E17308B">
            <w:pPr>
              <w:rPr>
                <w:rFonts w:ascii="宋体" w:hAnsi="宋体" w:cs="宋体"/>
                <w:szCs w:val="21"/>
              </w:rPr>
            </w:pPr>
            <w:r>
              <w:rPr>
                <w:rFonts w:hint="eastAsia" w:ascii="宋体" w:hAnsi="宋体"/>
                <w:szCs w:val="21"/>
              </w:rPr>
              <w:t>使用国际组织和外国政府援助、贷款的单位。</w:t>
            </w:r>
          </w:p>
        </w:tc>
        <w:tc>
          <w:tcPr>
            <w:tcW w:w="1150" w:type="dxa"/>
            <w:tcBorders>
              <w:top w:val="nil"/>
              <w:left w:val="nil"/>
              <w:bottom w:val="single" w:color="auto" w:sz="4" w:space="0"/>
              <w:right w:val="single" w:color="auto" w:sz="4" w:space="0"/>
            </w:tcBorders>
            <w:vAlign w:val="center"/>
          </w:tcPr>
          <w:p w14:paraId="04BEE43C">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42CF5B3C">
            <w:pPr>
              <w:widowControl/>
              <w:spacing w:line="240" w:lineRule="exact"/>
              <w:jc w:val="center"/>
              <w:rPr>
                <w:rFonts w:ascii="宋体" w:hAnsi="宋体" w:cs="宋体"/>
                <w:color w:val="000000"/>
                <w:kern w:val="0"/>
                <w:sz w:val="20"/>
              </w:rPr>
            </w:pPr>
          </w:p>
        </w:tc>
      </w:tr>
      <w:tr w14:paraId="20E0C28F">
        <w:tblPrEx>
          <w:tblCellMar>
            <w:top w:w="0" w:type="dxa"/>
            <w:left w:w="57" w:type="dxa"/>
            <w:bottom w:w="0" w:type="dxa"/>
            <w:right w:w="57" w:type="dxa"/>
          </w:tblCellMar>
        </w:tblPrEx>
        <w:trPr>
          <w:trHeight w:val="2891" w:hRule="atLeast"/>
          <w:jc w:val="center"/>
        </w:trPr>
        <w:tc>
          <w:tcPr>
            <w:tcW w:w="616" w:type="dxa"/>
            <w:tcBorders>
              <w:top w:val="nil"/>
              <w:left w:val="single" w:color="auto" w:sz="4" w:space="0"/>
              <w:bottom w:val="single" w:color="auto" w:sz="4" w:space="0"/>
              <w:right w:val="single" w:color="auto" w:sz="4" w:space="0"/>
            </w:tcBorders>
            <w:vAlign w:val="center"/>
          </w:tcPr>
          <w:p w14:paraId="16079A36">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13</w:t>
            </w:r>
          </w:p>
        </w:tc>
        <w:tc>
          <w:tcPr>
            <w:tcW w:w="1147" w:type="dxa"/>
            <w:tcBorders>
              <w:top w:val="nil"/>
              <w:left w:val="nil"/>
              <w:bottom w:val="single" w:color="auto" w:sz="4" w:space="0"/>
              <w:right w:val="single" w:color="auto" w:sz="4" w:space="0"/>
            </w:tcBorders>
            <w:vAlign w:val="center"/>
          </w:tcPr>
          <w:p w14:paraId="18476686">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5AC00CA9">
            <w:pPr>
              <w:widowControl/>
              <w:spacing w:line="240" w:lineRule="exact"/>
              <w:jc w:val="center"/>
              <w:rPr>
                <w:rFonts w:ascii="宋体" w:hAnsi="宋体"/>
                <w:szCs w:val="21"/>
              </w:rPr>
            </w:pPr>
            <w:r>
              <w:rPr>
                <w:rFonts w:hint="eastAsia" w:ascii="宋体" w:hAnsi="宋体"/>
                <w:szCs w:val="21"/>
              </w:rPr>
              <w:t>经济责任审计　</w:t>
            </w:r>
          </w:p>
        </w:tc>
        <w:tc>
          <w:tcPr>
            <w:tcW w:w="1366" w:type="dxa"/>
            <w:tcBorders>
              <w:top w:val="nil"/>
              <w:left w:val="nil"/>
              <w:bottom w:val="single" w:color="auto" w:sz="4" w:space="0"/>
              <w:right w:val="single" w:color="auto" w:sz="4" w:space="0"/>
            </w:tcBorders>
            <w:vAlign w:val="center"/>
          </w:tcPr>
          <w:p w14:paraId="7D26C8CC">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7B34DC1D">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二十五条：审计机关按照国家有关规定，对国家机关和依法属于审计机关审计监督对象的其他单位的主要负责人，在任职期间对本地区、本部门或者本单位的财政收支、财务收支以及有关经济活动应负经济责任的履行情况，进行审计监督。</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1197" w:type="dxa"/>
            <w:tcBorders>
              <w:top w:val="nil"/>
              <w:left w:val="nil"/>
              <w:bottom w:val="single" w:color="auto" w:sz="4" w:space="0"/>
              <w:right w:val="single" w:color="auto" w:sz="4" w:space="0"/>
            </w:tcBorders>
            <w:vAlign w:val="center"/>
          </w:tcPr>
          <w:p w14:paraId="292A4DC2">
            <w:pPr>
              <w:rPr>
                <w:rFonts w:ascii="宋体" w:hAnsi="宋体" w:cs="宋体"/>
                <w:szCs w:val="21"/>
              </w:rPr>
            </w:pPr>
            <w:r>
              <w:rPr>
                <w:rFonts w:hint="eastAsia" w:ascii="宋体" w:hAnsi="宋体"/>
                <w:szCs w:val="21"/>
              </w:rPr>
              <w:t>国家机关和依法属于审计机关审计监督对象的其他单位的主要负责人。</w:t>
            </w:r>
          </w:p>
        </w:tc>
        <w:tc>
          <w:tcPr>
            <w:tcW w:w="1150" w:type="dxa"/>
            <w:tcBorders>
              <w:top w:val="nil"/>
              <w:left w:val="nil"/>
              <w:bottom w:val="single" w:color="auto" w:sz="4" w:space="0"/>
              <w:right w:val="single" w:color="auto" w:sz="4" w:space="0"/>
            </w:tcBorders>
            <w:vAlign w:val="center"/>
          </w:tcPr>
          <w:p w14:paraId="08A8B7C8">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234279A0">
            <w:pPr>
              <w:widowControl/>
              <w:spacing w:line="240" w:lineRule="exact"/>
              <w:jc w:val="center"/>
              <w:rPr>
                <w:rFonts w:ascii="宋体" w:hAnsi="宋体" w:cs="宋体"/>
                <w:color w:val="000000"/>
                <w:kern w:val="0"/>
                <w:sz w:val="20"/>
              </w:rPr>
            </w:pPr>
          </w:p>
        </w:tc>
      </w:tr>
      <w:tr w14:paraId="2B2516A8">
        <w:tblPrEx>
          <w:tblCellMar>
            <w:top w:w="0" w:type="dxa"/>
            <w:left w:w="57" w:type="dxa"/>
            <w:bottom w:w="0" w:type="dxa"/>
            <w:right w:w="57" w:type="dxa"/>
          </w:tblCellMar>
        </w:tblPrEx>
        <w:trPr>
          <w:trHeight w:val="2891" w:hRule="atLeast"/>
          <w:jc w:val="center"/>
        </w:trPr>
        <w:tc>
          <w:tcPr>
            <w:tcW w:w="616" w:type="dxa"/>
            <w:tcBorders>
              <w:top w:val="nil"/>
              <w:left w:val="single" w:color="auto" w:sz="4" w:space="0"/>
              <w:bottom w:val="single" w:color="auto" w:sz="4" w:space="0"/>
              <w:right w:val="single" w:color="auto" w:sz="4" w:space="0"/>
            </w:tcBorders>
            <w:vAlign w:val="center"/>
          </w:tcPr>
          <w:p w14:paraId="5767F259">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14</w:t>
            </w:r>
          </w:p>
        </w:tc>
        <w:tc>
          <w:tcPr>
            <w:tcW w:w="1147" w:type="dxa"/>
            <w:tcBorders>
              <w:top w:val="nil"/>
              <w:left w:val="nil"/>
              <w:bottom w:val="single" w:color="auto" w:sz="4" w:space="0"/>
              <w:right w:val="single" w:color="auto" w:sz="4" w:space="0"/>
            </w:tcBorders>
            <w:vAlign w:val="center"/>
          </w:tcPr>
          <w:p w14:paraId="5B712FC1">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210E232F">
            <w:pPr>
              <w:widowControl/>
              <w:spacing w:line="240" w:lineRule="exact"/>
              <w:jc w:val="center"/>
              <w:rPr>
                <w:rFonts w:ascii="宋体" w:hAnsi="宋体"/>
                <w:szCs w:val="21"/>
              </w:rPr>
            </w:pPr>
            <w:r>
              <w:rPr>
                <w:rFonts w:hint="eastAsia" w:ascii="宋体" w:hAnsi="宋体"/>
                <w:szCs w:val="21"/>
              </w:rPr>
              <w:t>《</w:t>
            </w:r>
            <w:r>
              <w:rPr>
                <w:rFonts w:hint="eastAsia" w:ascii="宋体" w:hAnsi="宋体"/>
                <w:szCs w:val="21"/>
                <w:lang w:eastAsia="zh-CN"/>
              </w:rPr>
              <w:t>中华人民共和国</w:t>
            </w:r>
            <w:r>
              <w:rPr>
                <w:rFonts w:hint="eastAsia" w:ascii="宋体" w:hAnsi="宋体"/>
                <w:szCs w:val="21"/>
              </w:rPr>
              <w:t>审计法》以外的法律法规规定的审计　</w:t>
            </w:r>
          </w:p>
        </w:tc>
        <w:tc>
          <w:tcPr>
            <w:tcW w:w="1366" w:type="dxa"/>
            <w:tcBorders>
              <w:top w:val="nil"/>
              <w:left w:val="nil"/>
              <w:bottom w:val="single" w:color="auto" w:sz="4" w:space="0"/>
              <w:right w:val="single" w:color="auto" w:sz="4" w:space="0"/>
            </w:tcBorders>
            <w:vAlign w:val="center"/>
          </w:tcPr>
          <w:p w14:paraId="221A5961">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3C25E766">
            <w:pPr>
              <w:rPr>
                <w:rFonts w:ascii="宋体" w:hAnsi="宋体" w:cs="宋体"/>
                <w:szCs w:val="21"/>
              </w:rPr>
            </w:pPr>
            <w:r>
              <w:rPr>
                <w:rFonts w:hint="eastAsia" w:ascii="宋体" w:hAnsi="宋体"/>
                <w:szCs w:val="21"/>
              </w:rPr>
              <w:t xml:space="preserve">    【法律】《中华人民共和国审计法》（2006年2月28日中华人民共和国主席令第48号公布，自2006年6月1日起施行）第二十六条：除本法规定的审计事项外，审计机关对其他法律、行政法规规定应当由审计机关进行审计的事项，依照本法和有关法律、行政法规的规定进行审计监督。</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1197" w:type="dxa"/>
            <w:tcBorders>
              <w:top w:val="nil"/>
              <w:left w:val="nil"/>
              <w:bottom w:val="single" w:color="auto" w:sz="4" w:space="0"/>
              <w:right w:val="single" w:color="auto" w:sz="4" w:space="0"/>
            </w:tcBorders>
            <w:vAlign w:val="center"/>
          </w:tcPr>
          <w:p w14:paraId="1A21A0D0">
            <w:pPr>
              <w:rPr>
                <w:rFonts w:ascii="宋体" w:hAnsi="宋体" w:cs="宋体"/>
                <w:szCs w:val="21"/>
              </w:rPr>
            </w:pPr>
            <w:r>
              <w:rPr>
                <w:rFonts w:hint="eastAsia" w:ascii="宋体" w:hAnsi="宋体"/>
                <w:szCs w:val="21"/>
              </w:rPr>
              <w:t>法律、行政法规规定应当由审计机关进行审计的事项涉及的单位。</w:t>
            </w:r>
          </w:p>
        </w:tc>
        <w:tc>
          <w:tcPr>
            <w:tcW w:w="1150" w:type="dxa"/>
            <w:tcBorders>
              <w:top w:val="nil"/>
              <w:left w:val="nil"/>
              <w:bottom w:val="single" w:color="auto" w:sz="4" w:space="0"/>
              <w:right w:val="single" w:color="auto" w:sz="4" w:space="0"/>
            </w:tcBorders>
            <w:vAlign w:val="center"/>
          </w:tcPr>
          <w:p w14:paraId="76B849DE">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3D0F0BD5">
            <w:pPr>
              <w:widowControl/>
              <w:spacing w:line="240" w:lineRule="exact"/>
              <w:jc w:val="center"/>
              <w:rPr>
                <w:rFonts w:ascii="宋体" w:hAnsi="宋体" w:cs="宋体"/>
                <w:color w:val="000000"/>
                <w:kern w:val="0"/>
                <w:sz w:val="20"/>
              </w:rPr>
            </w:pPr>
          </w:p>
        </w:tc>
      </w:tr>
      <w:tr w14:paraId="75496871">
        <w:tblPrEx>
          <w:tblCellMar>
            <w:top w:w="0" w:type="dxa"/>
            <w:left w:w="57" w:type="dxa"/>
            <w:bottom w:w="0" w:type="dxa"/>
            <w:right w:w="57" w:type="dxa"/>
          </w:tblCellMar>
        </w:tblPrEx>
        <w:trPr>
          <w:trHeight w:val="2891" w:hRule="atLeast"/>
          <w:jc w:val="center"/>
        </w:trPr>
        <w:tc>
          <w:tcPr>
            <w:tcW w:w="616" w:type="dxa"/>
            <w:tcBorders>
              <w:top w:val="nil"/>
              <w:left w:val="single" w:color="auto" w:sz="4" w:space="0"/>
              <w:bottom w:val="single" w:color="auto" w:sz="4" w:space="0"/>
              <w:right w:val="single" w:color="auto" w:sz="4" w:space="0"/>
            </w:tcBorders>
            <w:vAlign w:val="center"/>
          </w:tcPr>
          <w:p w14:paraId="3602433F">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　15</w:t>
            </w:r>
          </w:p>
        </w:tc>
        <w:tc>
          <w:tcPr>
            <w:tcW w:w="1147" w:type="dxa"/>
            <w:tcBorders>
              <w:top w:val="nil"/>
              <w:left w:val="nil"/>
              <w:bottom w:val="single" w:color="auto" w:sz="4" w:space="0"/>
              <w:right w:val="single" w:color="auto" w:sz="4" w:space="0"/>
            </w:tcBorders>
            <w:vAlign w:val="center"/>
          </w:tcPr>
          <w:p w14:paraId="57A268D9">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742BECE5">
            <w:pPr>
              <w:widowControl/>
              <w:spacing w:line="240" w:lineRule="exact"/>
              <w:jc w:val="center"/>
              <w:rPr>
                <w:rFonts w:hint="eastAsia" w:ascii="宋体" w:hAnsi="宋体"/>
                <w:szCs w:val="21"/>
              </w:rPr>
            </w:pPr>
            <w:r>
              <w:rPr>
                <w:rFonts w:hint="eastAsia" w:ascii="宋体" w:hAnsi="宋体"/>
                <w:szCs w:val="21"/>
              </w:rPr>
              <w:t>专项审计调查</w:t>
            </w:r>
          </w:p>
        </w:tc>
        <w:tc>
          <w:tcPr>
            <w:tcW w:w="1366" w:type="dxa"/>
            <w:tcBorders>
              <w:top w:val="nil"/>
              <w:left w:val="nil"/>
              <w:bottom w:val="single" w:color="auto" w:sz="4" w:space="0"/>
              <w:right w:val="single" w:color="auto" w:sz="4" w:space="0"/>
            </w:tcBorders>
            <w:vAlign w:val="center"/>
          </w:tcPr>
          <w:p w14:paraId="1EF73917">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661B722B">
            <w:pPr>
              <w:rPr>
                <w:rFonts w:ascii="宋体" w:hAnsi="宋体" w:cs="宋体"/>
                <w:szCs w:val="21"/>
              </w:rPr>
            </w:pPr>
            <w:r>
              <w:rPr>
                <w:rFonts w:hint="eastAsia" w:ascii="宋体" w:hAnsi="宋体"/>
                <w:szCs w:val="21"/>
              </w:rPr>
              <w:t xml:space="preserve">    1.【法律】《中华人民共和国审计法》（2006年2月28日中华人民共和国主席令第48号公布，自2006年6月1日起施行）第二十七条：审计机关有权对与国家财政收支有关的特定事项，向有关地方、部门、单位进行专项审计调查，并向本级人民政府和上一级审计机关报告审计调查结果。</w:t>
            </w:r>
            <w:r>
              <w:rPr>
                <w:rFonts w:hint="eastAsia" w:ascii="宋体" w:hAnsi="宋体"/>
                <w:szCs w:val="21"/>
              </w:rPr>
              <w:br w:type="textWrapping"/>
            </w:r>
            <w:r>
              <w:rPr>
                <w:rFonts w:hint="eastAsia" w:ascii="宋体" w:hAnsi="宋体"/>
                <w:szCs w:val="21"/>
              </w:rPr>
              <w:t xml:space="preserve">    第三十二条：审计机关进行审计时，有权检查被审计单位的会计凭证、会计账簿、财务会计报告和运用电子计算机管理财政收支、财务收支电子数据的系统，以及其他与财政收支、财务收支有关的资料和资产，被审计单位不得拒绝。</w:t>
            </w:r>
            <w:r>
              <w:rPr>
                <w:rFonts w:hint="eastAsia" w:ascii="宋体" w:hAnsi="宋体"/>
                <w:szCs w:val="21"/>
              </w:rPr>
              <w:br w:type="textWrapping"/>
            </w:r>
            <w:r>
              <w:rPr>
                <w:rFonts w:hint="eastAsia" w:ascii="宋体" w:hAnsi="宋体"/>
                <w:szCs w:val="21"/>
              </w:rPr>
              <w:t xml:space="preserve">    </w:t>
            </w:r>
          </w:p>
        </w:tc>
        <w:tc>
          <w:tcPr>
            <w:tcW w:w="1197" w:type="dxa"/>
            <w:tcBorders>
              <w:top w:val="nil"/>
              <w:left w:val="nil"/>
              <w:bottom w:val="single" w:color="auto" w:sz="4" w:space="0"/>
              <w:right w:val="single" w:color="auto" w:sz="4" w:space="0"/>
            </w:tcBorders>
            <w:vAlign w:val="center"/>
          </w:tcPr>
          <w:p w14:paraId="2446527E">
            <w:pPr>
              <w:rPr>
                <w:rFonts w:ascii="宋体" w:hAnsi="宋体" w:cs="宋体"/>
                <w:szCs w:val="21"/>
              </w:rPr>
            </w:pPr>
            <w:r>
              <w:rPr>
                <w:rFonts w:hint="eastAsia" w:ascii="宋体" w:hAnsi="宋体"/>
                <w:szCs w:val="21"/>
              </w:rPr>
              <w:t>与国家财政收支有关的特定事项的单位</w:t>
            </w:r>
          </w:p>
        </w:tc>
        <w:tc>
          <w:tcPr>
            <w:tcW w:w="1150" w:type="dxa"/>
            <w:tcBorders>
              <w:top w:val="nil"/>
              <w:left w:val="nil"/>
              <w:bottom w:val="single" w:color="auto" w:sz="4" w:space="0"/>
              <w:right w:val="single" w:color="auto" w:sz="4" w:space="0"/>
            </w:tcBorders>
            <w:vAlign w:val="center"/>
          </w:tcPr>
          <w:p w14:paraId="3DF07840">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4FC0BF02">
            <w:pPr>
              <w:widowControl/>
              <w:spacing w:line="240" w:lineRule="exact"/>
              <w:jc w:val="center"/>
              <w:rPr>
                <w:rFonts w:ascii="宋体" w:hAnsi="宋体" w:cs="宋体"/>
                <w:color w:val="000000"/>
                <w:kern w:val="0"/>
                <w:sz w:val="20"/>
              </w:rPr>
            </w:pPr>
          </w:p>
        </w:tc>
      </w:tr>
      <w:tr w14:paraId="63AE7778">
        <w:tblPrEx>
          <w:tblCellMar>
            <w:top w:w="0" w:type="dxa"/>
            <w:left w:w="57" w:type="dxa"/>
            <w:bottom w:w="0" w:type="dxa"/>
            <w:right w:w="57" w:type="dxa"/>
          </w:tblCellMar>
        </w:tblPrEx>
        <w:trPr>
          <w:trHeight w:val="2891" w:hRule="atLeast"/>
          <w:jc w:val="center"/>
        </w:trPr>
        <w:tc>
          <w:tcPr>
            <w:tcW w:w="616" w:type="dxa"/>
            <w:tcBorders>
              <w:top w:val="nil"/>
              <w:left w:val="single" w:color="auto" w:sz="4" w:space="0"/>
              <w:bottom w:val="single" w:color="auto" w:sz="4" w:space="0"/>
              <w:right w:val="single" w:color="auto" w:sz="4" w:space="0"/>
            </w:tcBorders>
            <w:vAlign w:val="center"/>
          </w:tcPr>
          <w:p w14:paraId="32F211B6">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16</w:t>
            </w:r>
          </w:p>
        </w:tc>
        <w:tc>
          <w:tcPr>
            <w:tcW w:w="1147" w:type="dxa"/>
            <w:tcBorders>
              <w:top w:val="nil"/>
              <w:left w:val="nil"/>
              <w:bottom w:val="single" w:color="auto" w:sz="4" w:space="0"/>
              <w:right w:val="single" w:color="auto" w:sz="4" w:space="0"/>
            </w:tcBorders>
            <w:vAlign w:val="center"/>
          </w:tcPr>
          <w:p w14:paraId="3B69C021">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5490336E">
            <w:pPr>
              <w:widowControl/>
              <w:spacing w:line="240" w:lineRule="exact"/>
              <w:jc w:val="center"/>
              <w:rPr>
                <w:rFonts w:hint="eastAsia" w:ascii="宋体" w:hAnsi="宋体"/>
                <w:szCs w:val="21"/>
              </w:rPr>
            </w:pPr>
            <w:r>
              <w:rPr>
                <w:rFonts w:hint="eastAsia" w:ascii="宋体" w:hAnsi="宋体"/>
                <w:szCs w:val="21"/>
              </w:rPr>
              <w:t>核查社会审计机构出具的审计报告</w:t>
            </w:r>
          </w:p>
        </w:tc>
        <w:tc>
          <w:tcPr>
            <w:tcW w:w="1366" w:type="dxa"/>
            <w:tcBorders>
              <w:top w:val="nil"/>
              <w:left w:val="nil"/>
              <w:bottom w:val="single" w:color="auto" w:sz="4" w:space="0"/>
              <w:right w:val="single" w:color="auto" w:sz="4" w:space="0"/>
            </w:tcBorders>
            <w:vAlign w:val="center"/>
          </w:tcPr>
          <w:p w14:paraId="459DC58F">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144436A7">
            <w:pPr>
              <w:rPr>
                <w:rFonts w:ascii="宋体" w:hAnsi="宋体" w:cs="宋体"/>
                <w:szCs w:val="21"/>
              </w:rPr>
            </w:pPr>
            <w:r>
              <w:rPr>
                <w:rFonts w:hint="eastAsia" w:ascii="宋体" w:hAnsi="宋体"/>
                <w:szCs w:val="21"/>
              </w:rPr>
              <w:t xml:space="preserve">    1.【法律】《中华人民共和国审计法》（2006年2月28日中华人民共和国主席令第48号公布，自2006年6月1日起施行）第三十条：社会审计机构审计的单位依法属于审计机关审计监督对象的，审计机关按照国务院的规定，有权对该社会审计机构出具的相关审计报告进行核查。</w:t>
            </w:r>
            <w:r>
              <w:rPr>
                <w:rFonts w:hint="eastAsia" w:ascii="宋体" w:hAnsi="宋体"/>
                <w:szCs w:val="21"/>
              </w:rPr>
              <w:br w:type="textWrapping"/>
            </w:r>
            <w:r>
              <w:rPr>
                <w:rFonts w:hint="eastAsia" w:ascii="宋体" w:hAnsi="宋体"/>
                <w:szCs w:val="21"/>
              </w:rPr>
              <w:t xml:space="preserve">    2.【行政法规】《中华人民共和国审计法实施条例》（2010年2月2日中华人民共和国主席令第571号公布，自2010年5月1日起施行）第二十七条第一款：审计机关进行审计或者专项审计调查时，有权对社会审计机构出具的相关审计报告进行核查。</w:t>
            </w:r>
          </w:p>
        </w:tc>
        <w:tc>
          <w:tcPr>
            <w:tcW w:w="1197" w:type="dxa"/>
            <w:tcBorders>
              <w:top w:val="nil"/>
              <w:left w:val="nil"/>
              <w:bottom w:val="single" w:color="auto" w:sz="4" w:space="0"/>
              <w:right w:val="single" w:color="auto" w:sz="4" w:space="0"/>
            </w:tcBorders>
            <w:vAlign w:val="center"/>
          </w:tcPr>
          <w:p w14:paraId="5E17FE7E">
            <w:pPr>
              <w:rPr>
                <w:rFonts w:ascii="宋体" w:hAnsi="宋体" w:cs="宋体"/>
                <w:szCs w:val="21"/>
              </w:rPr>
            </w:pPr>
            <w:r>
              <w:rPr>
                <w:rFonts w:hint="eastAsia" w:ascii="宋体" w:hAnsi="宋体"/>
                <w:szCs w:val="21"/>
              </w:rPr>
              <w:t>社会审计机构</w:t>
            </w:r>
          </w:p>
          <w:p w14:paraId="35CB84D2">
            <w:pPr>
              <w:rPr>
                <w:rFonts w:hint="eastAsia" w:ascii="宋体" w:hAnsi="宋体"/>
                <w:szCs w:val="21"/>
              </w:rPr>
            </w:pPr>
          </w:p>
        </w:tc>
        <w:tc>
          <w:tcPr>
            <w:tcW w:w="1150" w:type="dxa"/>
            <w:tcBorders>
              <w:top w:val="nil"/>
              <w:left w:val="nil"/>
              <w:bottom w:val="single" w:color="auto" w:sz="4" w:space="0"/>
              <w:right w:val="single" w:color="auto" w:sz="4" w:space="0"/>
            </w:tcBorders>
            <w:vAlign w:val="center"/>
          </w:tcPr>
          <w:p w14:paraId="057CD279">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35243BCD">
            <w:pPr>
              <w:widowControl/>
              <w:spacing w:line="240" w:lineRule="exact"/>
              <w:jc w:val="center"/>
              <w:rPr>
                <w:rFonts w:ascii="宋体" w:hAnsi="宋体" w:cs="宋体"/>
                <w:color w:val="000000"/>
                <w:kern w:val="0"/>
                <w:sz w:val="20"/>
              </w:rPr>
            </w:pPr>
          </w:p>
        </w:tc>
      </w:tr>
      <w:tr w14:paraId="25968809">
        <w:tblPrEx>
          <w:tblCellMar>
            <w:top w:w="0" w:type="dxa"/>
            <w:left w:w="57" w:type="dxa"/>
            <w:bottom w:w="0" w:type="dxa"/>
            <w:right w:w="57" w:type="dxa"/>
          </w:tblCellMar>
        </w:tblPrEx>
        <w:trPr>
          <w:trHeight w:val="2891" w:hRule="atLeast"/>
          <w:jc w:val="center"/>
        </w:trPr>
        <w:tc>
          <w:tcPr>
            <w:tcW w:w="616" w:type="dxa"/>
            <w:tcBorders>
              <w:top w:val="nil"/>
              <w:left w:val="single" w:color="auto" w:sz="4" w:space="0"/>
              <w:bottom w:val="single" w:color="auto" w:sz="4" w:space="0"/>
              <w:right w:val="single" w:color="auto" w:sz="4" w:space="0"/>
            </w:tcBorders>
            <w:vAlign w:val="center"/>
          </w:tcPr>
          <w:p w14:paraId="174B6604">
            <w:pPr>
              <w:widowControl/>
              <w:spacing w:line="240" w:lineRule="exact"/>
              <w:jc w:val="center"/>
              <w:rPr>
                <w:rFonts w:hint="eastAsia" w:ascii="宋体" w:hAnsi="宋体" w:cs="宋体"/>
                <w:color w:val="000000"/>
                <w:kern w:val="0"/>
                <w:sz w:val="20"/>
              </w:rPr>
            </w:pPr>
            <w:r>
              <w:rPr>
                <w:rFonts w:hint="eastAsia" w:ascii="宋体" w:hAnsi="宋体" w:cs="宋体"/>
                <w:color w:val="000000"/>
                <w:kern w:val="0"/>
                <w:sz w:val="20"/>
              </w:rPr>
              <w:t>17</w:t>
            </w:r>
          </w:p>
        </w:tc>
        <w:tc>
          <w:tcPr>
            <w:tcW w:w="1147" w:type="dxa"/>
            <w:tcBorders>
              <w:top w:val="nil"/>
              <w:left w:val="nil"/>
              <w:bottom w:val="single" w:color="auto" w:sz="4" w:space="0"/>
              <w:right w:val="single" w:color="auto" w:sz="4" w:space="0"/>
            </w:tcBorders>
            <w:vAlign w:val="center"/>
          </w:tcPr>
          <w:p w14:paraId="21F33CBB">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行政检查</w:t>
            </w:r>
          </w:p>
        </w:tc>
        <w:tc>
          <w:tcPr>
            <w:tcW w:w="1131" w:type="dxa"/>
            <w:tcBorders>
              <w:top w:val="nil"/>
              <w:left w:val="nil"/>
              <w:bottom w:val="single" w:color="auto" w:sz="4" w:space="0"/>
              <w:right w:val="single" w:color="auto" w:sz="4" w:space="0"/>
            </w:tcBorders>
            <w:vAlign w:val="center"/>
          </w:tcPr>
          <w:p w14:paraId="5380B554">
            <w:pPr>
              <w:widowControl/>
              <w:spacing w:line="240" w:lineRule="exact"/>
              <w:jc w:val="center"/>
              <w:rPr>
                <w:rFonts w:hint="eastAsia" w:ascii="宋体" w:hAnsi="宋体"/>
                <w:szCs w:val="21"/>
              </w:rPr>
            </w:pPr>
            <w:r>
              <w:rPr>
                <w:rFonts w:hint="eastAsia" w:ascii="宋体" w:hAnsi="宋体"/>
                <w:szCs w:val="21"/>
              </w:rPr>
              <w:t>审计整改专项检查</w:t>
            </w:r>
          </w:p>
        </w:tc>
        <w:tc>
          <w:tcPr>
            <w:tcW w:w="1366" w:type="dxa"/>
            <w:tcBorders>
              <w:top w:val="nil"/>
              <w:left w:val="nil"/>
              <w:bottom w:val="single" w:color="auto" w:sz="4" w:space="0"/>
              <w:right w:val="single" w:color="auto" w:sz="4" w:space="0"/>
            </w:tcBorders>
            <w:vAlign w:val="center"/>
          </w:tcPr>
          <w:p w14:paraId="139A247A">
            <w:pPr>
              <w:jc w:val="center"/>
              <w:rPr>
                <w:rFonts w:ascii="宋体" w:hAnsi="宋体" w:cs="宋体"/>
                <w:szCs w:val="21"/>
              </w:rPr>
            </w:pPr>
          </w:p>
        </w:tc>
        <w:tc>
          <w:tcPr>
            <w:tcW w:w="7030" w:type="dxa"/>
            <w:tcBorders>
              <w:top w:val="nil"/>
              <w:left w:val="nil"/>
              <w:bottom w:val="single" w:color="auto" w:sz="4" w:space="0"/>
              <w:right w:val="single" w:color="auto" w:sz="4" w:space="0"/>
            </w:tcBorders>
            <w:vAlign w:val="center"/>
          </w:tcPr>
          <w:p w14:paraId="62783F30">
            <w:pPr>
              <w:rPr>
                <w:rFonts w:ascii="宋体" w:hAnsi="宋体" w:cs="宋体"/>
                <w:szCs w:val="21"/>
              </w:rPr>
            </w:pPr>
            <w:r>
              <w:rPr>
                <w:rFonts w:hint="eastAsia" w:ascii="宋体" w:hAnsi="宋体"/>
                <w:szCs w:val="21"/>
              </w:rPr>
              <w:t xml:space="preserve">    【规章】《中华人民共和国国家审计准则》（2010年9月1日中华人民共和国审计署令第8号公布，自2011年1月1日起施行）第一百六十三条：审计机关应当建立审计整改检查机制，督促被审计单位和其他有关单位根据审计结果进行整改。</w:t>
            </w:r>
          </w:p>
        </w:tc>
        <w:tc>
          <w:tcPr>
            <w:tcW w:w="1197" w:type="dxa"/>
            <w:tcBorders>
              <w:top w:val="nil"/>
              <w:left w:val="nil"/>
              <w:bottom w:val="single" w:color="auto" w:sz="4" w:space="0"/>
              <w:right w:val="single" w:color="auto" w:sz="4" w:space="0"/>
            </w:tcBorders>
            <w:vAlign w:val="center"/>
          </w:tcPr>
          <w:p w14:paraId="14A8449F">
            <w:pPr>
              <w:rPr>
                <w:rFonts w:ascii="宋体" w:hAnsi="宋体" w:cs="宋体"/>
                <w:szCs w:val="21"/>
              </w:rPr>
            </w:pPr>
            <w:r>
              <w:rPr>
                <w:rFonts w:hint="eastAsia" w:ascii="宋体" w:hAnsi="宋体"/>
                <w:szCs w:val="21"/>
              </w:rPr>
              <w:t>被审计单位、被审计的个人</w:t>
            </w:r>
          </w:p>
          <w:p w14:paraId="0A79A0FA">
            <w:pPr>
              <w:rPr>
                <w:rFonts w:hint="eastAsia" w:ascii="宋体" w:hAnsi="宋体"/>
                <w:szCs w:val="21"/>
              </w:rPr>
            </w:pPr>
          </w:p>
        </w:tc>
        <w:tc>
          <w:tcPr>
            <w:tcW w:w="1150" w:type="dxa"/>
            <w:tcBorders>
              <w:top w:val="nil"/>
              <w:left w:val="nil"/>
              <w:bottom w:val="single" w:color="auto" w:sz="4" w:space="0"/>
              <w:right w:val="single" w:color="auto" w:sz="4" w:space="0"/>
            </w:tcBorders>
            <w:vAlign w:val="center"/>
          </w:tcPr>
          <w:p w14:paraId="6008687F">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涞水县审计局</w:t>
            </w:r>
          </w:p>
        </w:tc>
        <w:tc>
          <w:tcPr>
            <w:tcW w:w="1187" w:type="dxa"/>
            <w:tcBorders>
              <w:top w:val="nil"/>
              <w:left w:val="nil"/>
              <w:bottom w:val="single" w:color="auto" w:sz="4" w:space="0"/>
              <w:right w:val="single" w:color="auto" w:sz="4" w:space="0"/>
            </w:tcBorders>
            <w:vAlign w:val="center"/>
          </w:tcPr>
          <w:p w14:paraId="213A90F5">
            <w:pPr>
              <w:widowControl/>
              <w:spacing w:line="240" w:lineRule="exact"/>
              <w:jc w:val="center"/>
              <w:rPr>
                <w:rFonts w:ascii="宋体" w:hAnsi="宋体" w:cs="宋体"/>
                <w:color w:val="000000"/>
                <w:kern w:val="0"/>
                <w:sz w:val="20"/>
              </w:rPr>
            </w:pPr>
          </w:p>
        </w:tc>
      </w:tr>
    </w:tbl>
    <w:p w14:paraId="39C3ADF3">
      <w:pPr>
        <w:spacing w:line="560" w:lineRule="exact"/>
        <w:rPr>
          <w:rFonts w:hint="eastAsia" w:ascii="方正小标宋简体" w:eastAsia="方正小标宋简体"/>
          <w:sz w:val="32"/>
          <w:szCs w:val="32"/>
        </w:rPr>
      </w:pPr>
    </w:p>
    <w:p w14:paraId="7DDDBC73"/>
    <w:p w14:paraId="0358A8E2"/>
    <w:sectPr>
      <w:headerReference r:id="rId3" w:type="default"/>
      <w:footerReference r:id="rId4" w:type="default"/>
      <w:footerReference r:id="rId5" w:type="even"/>
      <w:pgSz w:w="16838" w:h="11906" w:orient="landscape"/>
      <w:pgMar w:top="1644" w:right="1418" w:bottom="1531" w:left="1418"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141B">
    <w:pPr>
      <w:pStyle w:val="2"/>
      <w:framePr w:wrap="around" w:vAnchor="text" w:hAnchor="margin" w:xAlign="right" w:y="1"/>
      <w:rPr>
        <w:rStyle w:val="6"/>
      </w:rPr>
    </w:pPr>
    <w:r>
      <w:fldChar w:fldCharType="begin"/>
    </w:r>
    <w:r>
      <w:rPr>
        <w:rStyle w:val="6"/>
      </w:rPr>
      <w:instrText xml:space="preserve">PAGE  </w:instrText>
    </w:r>
    <w:r>
      <w:fldChar w:fldCharType="separate"/>
    </w:r>
    <w:r>
      <w:rPr>
        <w:rStyle w:val="6"/>
      </w:rPr>
      <w:t>4</w:t>
    </w:r>
    <w:r>
      <w:fldChar w:fldCharType="end"/>
    </w:r>
  </w:p>
  <w:p w14:paraId="79449CD8">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C2DC4">
    <w:pPr>
      <w:pStyle w:val="2"/>
      <w:framePr w:wrap="around" w:vAnchor="text" w:hAnchor="margin" w:xAlign="right" w:y="1"/>
      <w:rPr>
        <w:rStyle w:val="6"/>
      </w:rPr>
    </w:pPr>
    <w:r>
      <w:fldChar w:fldCharType="begin"/>
    </w:r>
    <w:r>
      <w:rPr>
        <w:rStyle w:val="6"/>
      </w:rPr>
      <w:instrText xml:space="preserve">PAGE  </w:instrText>
    </w:r>
    <w:r>
      <w:fldChar w:fldCharType="separate"/>
    </w:r>
    <w:r>
      <w:fldChar w:fldCharType="end"/>
    </w:r>
  </w:p>
  <w:p w14:paraId="662E4C3C">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A37A7">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C5881"/>
    <w:rsid w:val="1FCC2947"/>
    <w:rsid w:val="25F81110"/>
    <w:rsid w:val="2D962D7E"/>
    <w:rsid w:val="4CAE35EA"/>
    <w:rsid w:val="61EC5881"/>
    <w:rsid w:val="7BB25C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qFormat/>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8029</Words>
  <Characters>8292</Characters>
  <Lines>0</Lines>
  <Paragraphs>0</Paragraphs>
  <TotalTime>0</TotalTime>
  <ScaleCrop>false</ScaleCrop>
  <LinksUpToDate>false</LinksUpToDate>
  <CharactersWithSpaces>8703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2017-08-24T01:08:00Z</dcterms:created>
  <dc:creator>Administrator</dc:creator>
  <cp:lastModifiedBy>八爪小鱼</cp:lastModifiedBy>
  <dcterms:modified xsi:type="dcterms:W3CDTF">2026-05-14T09:13:57Z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E5737697E8ED4EA19527D8A9C1D3D77F_12</vt:lpwstr>
  </property>
</Properties>
</file>