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涞水县自然资源和规划局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涉企行政检查事项检查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频次上限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涞水县自然资源和规划局涉企行政检查频次上限为4次。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</w:p>
    <w:p>
      <w:pPr>
        <w:ind w:firstLine="5440" w:firstLineChars="17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2026年5月6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E14410"/>
    <w:rsid w:val="7A742213"/>
    <w:rsid w:val="DEFDD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11</TotalTime>
  <ScaleCrop>false</ScaleCrop>
  <LinksUpToDate>false</LinksUpToDate>
  <CharactersWithSpaces>50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2025-11-05T09:38:00Z</dcterms:created>
  <dc:creator>Administrator</dc:creator>
  <cp:lastModifiedBy>kelin</cp:lastModifiedBy>
  <cp:lastPrinted>2026-04-17T10:39:00Z</cp:lastPrinted>
  <dcterms:modified xsi:type="dcterms:W3CDTF">2026-05-06T16:53:25Z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KSOTemplateDocerSaveRecord">
    <vt:lpwstr>eyJoZGlkIjoiY2YzOTcwMjRiODIxMGRkYmU1Mjc3NTdkMzRiNTA1ODkiLCJ1c2VySWQiOiI2MTkwMjM2MTgifQ==</vt:lpwstr>
  </property>
  <property fmtid="{D5CDD505-2E9C-101B-9397-08002B2CF9AE}" pid="4" name="ICV">
    <vt:lpwstr>FFE6525AB8274217909F228E58EC2B65_13</vt:lpwstr>
  </property>
</Properties>
</file>