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0F15B">
      <w:pPr>
        <w:spacing w:before="110" w:line="219" w:lineRule="auto"/>
        <w:ind w:left="4633"/>
        <w:outlineLvl w:val="0"/>
        <w:rPr>
          <w:rFonts w:ascii="宋体" w:hAnsi="宋体" w:eastAsia="宋体" w:cs="宋体"/>
          <w:sz w:val="56"/>
          <w:szCs w:val="56"/>
        </w:rPr>
      </w:pPr>
      <w:r>
        <w:rPr>
          <w:rFonts w:ascii="宋体" w:hAnsi="宋体" w:eastAsia="宋体" w:cs="宋体"/>
          <w:b/>
          <w:bCs/>
          <w:spacing w:val="-5"/>
          <w:sz w:val="56"/>
          <w:szCs w:val="56"/>
        </w:rPr>
        <w:t>河北省公安机关涉企行政检查事项清单</w:t>
      </w:r>
    </w:p>
    <w:p w14:paraId="4849A72D">
      <w:pPr>
        <w:spacing w:line="251" w:lineRule="auto"/>
        <w:rPr>
          <w:rFonts w:ascii="Arial"/>
          <w:sz w:val="21"/>
        </w:rPr>
      </w:pPr>
    </w:p>
    <w:p w14:paraId="61407687">
      <w:pPr>
        <w:spacing w:line="251" w:lineRule="auto"/>
        <w:rPr>
          <w:rFonts w:ascii="Arial"/>
          <w:sz w:val="21"/>
        </w:rPr>
      </w:pPr>
    </w:p>
    <w:p w14:paraId="5AA3F479">
      <w:pPr>
        <w:spacing w:before="126" w:line="222" w:lineRule="auto"/>
        <w:ind w:left="100"/>
        <w:rPr>
          <w:rFonts w:ascii="黑体" w:hAnsi="黑体" w:eastAsia="黑体" w:cs="黑体"/>
          <w:sz w:val="39"/>
          <w:szCs w:val="39"/>
        </w:rPr>
      </w:pPr>
      <w:r>
        <w:rPr>
          <w:rFonts w:ascii="黑体" w:hAnsi="黑体" w:eastAsia="黑体" w:cs="黑体"/>
          <w:b/>
          <w:bCs/>
          <w:spacing w:val="-4"/>
          <w:sz w:val="39"/>
          <w:szCs w:val="39"/>
        </w:rPr>
        <w:t>年度检查频次上限：12次</w:t>
      </w:r>
    </w:p>
    <w:p w14:paraId="38E716AC">
      <w:pPr>
        <w:spacing w:before="26"/>
      </w:pPr>
    </w:p>
    <w:tbl>
      <w:tblPr>
        <w:tblStyle w:val="4"/>
        <w:tblW w:w="188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5"/>
        <w:gridCol w:w="580"/>
        <w:gridCol w:w="3568"/>
        <w:gridCol w:w="9215"/>
        <w:gridCol w:w="1549"/>
        <w:gridCol w:w="1719"/>
        <w:gridCol w:w="1734"/>
      </w:tblGrid>
      <w:tr w14:paraId="142E4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055" w:type="dxa"/>
            <w:gridSpan w:val="2"/>
            <w:vMerge w:val="restart"/>
            <w:tcBorders>
              <w:bottom w:val="nil"/>
            </w:tcBorders>
            <w:vAlign w:val="top"/>
          </w:tcPr>
          <w:p w14:paraId="330FEC08">
            <w:pPr>
              <w:spacing w:line="286" w:lineRule="auto"/>
              <w:rPr>
                <w:rFonts w:ascii="Arial"/>
                <w:sz w:val="21"/>
              </w:rPr>
            </w:pPr>
          </w:p>
          <w:p w14:paraId="2F540531">
            <w:pPr>
              <w:spacing w:line="287" w:lineRule="auto"/>
              <w:rPr>
                <w:rFonts w:ascii="Arial"/>
                <w:sz w:val="21"/>
              </w:rPr>
            </w:pPr>
          </w:p>
          <w:p w14:paraId="06F4BE8E">
            <w:pPr>
              <w:pStyle w:val="5"/>
              <w:spacing w:before="91" w:line="221" w:lineRule="auto"/>
              <w:ind w:left="235"/>
            </w:pPr>
            <w:r>
              <w:rPr>
                <w:color w:val="202050"/>
                <w:spacing w:val="8"/>
              </w:rPr>
              <w:t>序号</w:t>
            </w:r>
          </w:p>
        </w:tc>
        <w:tc>
          <w:tcPr>
            <w:tcW w:w="3568" w:type="dxa"/>
            <w:vMerge w:val="restart"/>
            <w:tcBorders>
              <w:bottom w:val="nil"/>
            </w:tcBorders>
            <w:vAlign w:val="top"/>
          </w:tcPr>
          <w:p w14:paraId="4359C6ED">
            <w:pPr>
              <w:spacing w:line="286" w:lineRule="auto"/>
              <w:rPr>
                <w:rFonts w:ascii="Arial"/>
                <w:sz w:val="21"/>
              </w:rPr>
            </w:pPr>
          </w:p>
          <w:p w14:paraId="062CB04E">
            <w:pPr>
              <w:spacing w:line="286" w:lineRule="auto"/>
              <w:rPr>
                <w:rFonts w:ascii="Arial"/>
                <w:sz w:val="21"/>
              </w:rPr>
            </w:pPr>
          </w:p>
          <w:p w14:paraId="6654F923">
            <w:pPr>
              <w:pStyle w:val="5"/>
              <w:spacing w:before="91" w:line="220" w:lineRule="auto"/>
              <w:ind w:left="1130"/>
            </w:pPr>
            <w:r>
              <w:rPr>
                <w:spacing w:val="3"/>
              </w:rPr>
              <w:t>事项名称</w:t>
            </w:r>
          </w:p>
        </w:tc>
        <w:tc>
          <w:tcPr>
            <w:tcW w:w="9215" w:type="dxa"/>
            <w:vMerge w:val="restart"/>
            <w:tcBorders>
              <w:bottom w:val="nil"/>
            </w:tcBorders>
            <w:vAlign w:val="top"/>
          </w:tcPr>
          <w:p w14:paraId="356BDE78">
            <w:pPr>
              <w:spacing w:line="283" w:lineRule="auto"/>
              <w:rPr>
                <w:rFonts w:ascii="Arial"/>
                <w:sz w:val="21"/>
              </w:rPr>
            </w:pPr>
          </w:p>
          <w:p w14:paraId="1DE20E8F">
            <w:pPr>
              <w:spacing w:line="283" w:lineRule="auto"/>
              <w:rPr>
                <w:rFonts w:ascii="Arial"/>
                <w:sz w:val="21"/>
              </w:rPr>
            </w:pPr>
          </w:p>
          <w:p w14:paraId="78813B55">
            <w:pPr>
              <w:pStyle w:val="5"/>
              <w:spacing w:before="91" w:line="219" w:lineRule="auto"/>
              <w:ind w:left="3955"/>
            </w:pPr>
            <w:r>
              <w:rPr>
                <w:b/>
                <w:bCs/>
                <w:spacing w:val="-1"/>
              </w:rPr>
              <w:t>实施依据</w:t>
            </w:r>
          </w:p>
        </w:tc>
        <w:tc>
          <w:tcPr>
            <w:tcW w:w="5002" w:type="dxa"/>
            <w:gridSpan w:val="3"/>
            <w:vAlign w:val="top"/>
          </w:tcPr>
          <w:p w14:paraId="438750A2">
            <w:pPr>
              <w:pStyle w:val="5"/>
              <w:spacing w:before="157" w:line="220" w:lineRule="auto"/>
              <w:ind w:left="1857"/>
            </w:pPr>
            <w:r>
              <w:rPr>
                <w:spacing w:val="2"/>
              </w:rPr>
              <w:t>实施主体</w:t>
            </w:r>
          </w:p>
        </w:tc>
      </w:tr>
      <w:tr w14:paraId="3437D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1055" w:type="dxa"/>
            <w:gridSpan w:val="2"/>
            <w:vMerge w:val="continue"/>
            <w:tcBorders>
              <w:top w:val="nil"/>
            </w:tcBorders>
            <w:vAlign w:val="top"/>
          </w:tcPr>
          <w:p w14:paraId="743024BD">
            <w:pPr>
              <w:rPr>
                <w:rFonts w:ascii="Arial"/>
                <w:sz w:val="21"/>
              </w:rPr>
            </w:pPr>
          </w:p>
        </w:tc>
        <w:tc>
          <w:tcPr>
            <w:tcW w:w="3568" w:type="dxa"/>
            <w:vMerge w:val="continue"/>
            <w:tcBorders>
              <w:top w:val="nil"/>
            </w:tcBorders>
            <w:vAlign w:val="top"/>
          </w:tcPr>
          <w:p w14:paraId="6798BBEA">
            <w:pPr>
              <w:rPr>
                <w:rFonts w:ascii="Arial"/>
                <w:sz w:val="21"/>
              </w:rPr>
            </w:pPr>
          </w:p>
        </w:tc>
        <w:tc>
          <w:tcPr>
            <w:tcW w:w="9215" w:type="dxa"/>
            <w:vMerge w:val="continue"/>
            <w:tcBorders>
              <w:top w:val="nil"/>
            </w:tcBorders>
            <w:vAlign w:val="top"/>
          </w:tcPr>
          <w:p w14:paraId="21C835C5">
            <w:pPr>
              <w:rPr>
                <w:rFonts w:ascii="Arial"/>
                <w:sz w:val="21"/>
              </w:rPr>
            </w:pPr>
          </w:p>
        </w:tc>
        <w:tc>
          <w:tcPr>
            <w:tcW w:w="1549" w:type="dxa"/>
            <w:vAlign w:val="top"/>
          </w:tcPr>
          <w:p w14:paraId="5960087B">
            <w:pPr>
              <w:pStyle w:val="5"/>
              <w:spacing w:before="143" w:line="282" w:lineRule="auto"/>
              <w:ind w:left="487" w:right="78" w:hanging="400"/>
            </w:pPr>
            <w:r>
              <w:rPr>
                <w:spacing w:val="-15"/>
              </w:rPr>
              <w:t>法</w:t>
            </w:r>
            <w:r>
              <w:rPr>
                <w:spacing w:val="-33"/>
              </w:rPr>
              <w:t xml:space="preserve"> </w:t>
            </w:r>
            <w:r>
              <w:rPr>
                <w:spacing w:val="-15"/>
              </w:rPr>
              <w:t>定</w:t>
            </w:r>
            <w:r>
              <w:rPr>
                <w:spacing w:val="-34"/>
              </w:rPr>
              <w:t xml:space="preserve"> </w:t>
            </w:r>
            <w:r>
              <w:rPr>
                <w:spacing w:val="-15"/>
              </w:rPr>
              <w:t>实</w:t>
            </w:r>
            <w:r>
              <w:rPr>
                <w:spacing w:val="-41"/>
              </w:rPr>
              <w:t xml:space="preserve"> </w:t>
            </w:r>
            <w:r>
              <w:rPr>
                <w:spacing w:val="-15"/>
              </w:rPr>
              <w:t>施</w:t>
            </w:r>
            <w:r>
              <w:t xml:space="preserve"> </w:t>
            </w:r>
            <w:r>
              <w:rPr>
                <w:spacing w:val="5"/>
              </w:rPr>
              <w:t>主体</w:t>
            </w:r>
          </w:p>
        </w:tc>
        <w:tc>
          <w:tcPr>
            <w:tcW w:w="1719" w:type="dxa"/>
            <w:vAlign w:val="top"/>
          </w:tcPr>
          <w:p w14:paraId="7D43C690">
            <w:pPr>
              <w:spacing w:line="279" w:lineRule="auto"/>
              <w:rPr>
                <w:rFonts w:ascii="Arial"/>
                <w:sz w:val="21"/>
              </w:rPr>
            </w:pPr>
          </w:p>
          <w:p w14:paraId="42993186">
            <w:pPr>
              <w:pStyle w:val="5"/>
              <w:spacing w:before="91" w:line="219" w:lineRule="auto"/>
              <w:ind w:left="298"/>
            </w:pPr>
            <w:r>
              <w:rPr>
                <w:spacing w:val="4"/>
              </w:rPr>
              <w:t>行使层级</w:t>
            </w:r>
          </w:p>
        </w:tc>
        <w:tc>
          <w:tcPr>
            <w:tcW w:w="1734" w:type="dxa"/>
            <w:vAlign w:val="top"/>
          </w:tcPr>
          <w:p w14:paraId="2A5BDC11">
            <w:pPr>
              <w:pStyle w:val="5"/>
              <w:spacing w:before="157" w:line="266" w:lineRule="auto"/>
              <w:ind w:left="582" w:right="311" w:hanging="279"/>
            </w:pPr>
            <w:r>
              <w:rPr>
                <w:b/>
                <w:bCs/>
                <w:spacing w:val="-6"/>
              </w:rPr>
              <w:t>第一责任</w:t>
            </w:r>
            <w:r>
              <w:t xml:space="preserve"> </w:t>
            </w:r>
            <w:r>
              <w:rPr>
                <w:b/>
                <w:bCs/>
                <w:spacing w:val="1"/>
              </w:rPr>
              <w:t>层级</w:t>
            </w:r>
          </w:p>
        </w:tc>
      </w:tr>
      <w:tr w14:paraId="66AB5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1055" w:type="dxa"/>
            <w:gridSpan w:val="2"/>
            <w:vAlign w:val="top"/>
          </w:tcPr>
          <w:p w14:paraId="61E5F5DD">
            <w:pPr>
              <w:spacing w:line="251" w:lineRule="auto"/>
              <w:rPr>
                <w:rFonts w:ascii="Arial"/>
                <w:sz w:val="21"/>
              </w:rPr>
            </w:pPr>
          </w:p>
          <w:p w14:paraId="2C320C9A">
            <w:pPr>
              <w:spacing w:line="252" w:lineRule="auto"/>
              <w:rPr>
                <w:rFonts w:ascii="Arial"/>
                <w:sz w:val="21"/>
              </w:rPr>
            </w:pPr>
          </w:p>
          <w:p w14:paraId="58D5E755">
            <w:pPr>
              <w:spacing w:line="252" w:lineRule="auto"/>
              <w:rPr>
                <w:rFonts w:ascii="Arial"/>
                <w:sz w:val="21"/>
              </w:rPr>
            </w:pPr>
          </w:p>
          <w:p w14:paraId="463A87A9">
            <w:pPr>
              <w:pStyle w:val="5"/>
              <w:spacing w:before="91" w:line="241" w:lineRule="auto"/>
              <w:ind w:left="445"/>
            </w:pPr>
            <w:r>
              <w:rPr>
                <w:color w:val="102040"/>
              </w:rPr>
              <w:t>1</w:t>
            </w:r>
          </w:p>
        </w:tc>
        <w:tc>
          <w:tcPr>
            <w:tcW w:w="3568" w:type="dxa"/>
            <w:vAlign w:val="top"/>
          </w:tcPr>
          <w:p w14:paraId="16D837AA">
            <w:pPr>
              <w:spacing w:line="299" w:lineRule="auto"/>
              <w:rPr>
                <w:rFonts w:ascii="Arial"/>
                <w:sz w:val="21"/>
              </w:rPr>
            </w:pPr>
          </w:p>
          <w:p w14:paraId="06021F15">
            <w:pPr>
              <w:spacing w:line="299" w:lineRule="auto"/>
              <w:rPr>
                <w:rFonts w:ascii="Arial"/>
                <w:sz w:val="21"/>
              </w:rPr>
            </w:pPr>
          </w:p>
          <w:p w14:paraId="30DB4D1E">
            <w:pPr>
              <w:pStyle w:val="5"/>
              <w:spacing w:before="91" w:line="226" w:lineRule="auto"/>
              <w:ind w:left="40" w:right="127"/>
            </w:pPr>
            <w:r>
              <w:rPr>
                <w:spacing w:val="2"/>
              </w:rPr>
              <w:t>对保安从业单位、保安培训</w:t>
            </w:r>
            <w:r>
              <w:rPr>
                <w:spacing w:val="5"/>
              </w:rPr>
              <w:t xml:space="preserve"> </w:t>
            </w:r>
            <w:r>
              <w:rPr>
                <w:spacing w:val="1"/>
              </w:rPr>
              <w:t>单位进行监督检查</w:t>
            </w:r>
          </w:p>
        </w:tc>
        <w:tc>
          <w:tcPr>
            <w:tcW w:w="9215" w:type="dxa"/>
            <w:vAlign w:val="top"/>
          </w:tcPr>
          <w:p w14:paraId="5D39F232">
            <w:pPr>
              <w:pStyle w:val="5"/>
              <w:spacing w:before="323" w:line="235" w:lineRule="auto"/>
              <w:ind w:left="22" w:right="203" w:firstLine="289"/>
              <w:jc w:val="both"/>
            </w:pPr>
            <w:r>
              <w:t>《保安服务管理条例》第三十六条公安机关应当指导保安从业单位</w:t>
            </w:r>
            <w:r>
              <w:rPr>
                <w:spacing w:val="-1"/>
              </w:rPr>
              <w:t>建立</w:t>
            </w:r>
            <w:r>
              <w:t xml:space="preserve"> 健全保安服务管理制度、岗位责任制度、保安员管理制度和紧急情况应急</w:t>
            </w:r>
            <w:r>
              <w:rPr>
                <w:spacing w:val="18"/>
              </w:rPr>
              <w:t xml:space="preserve"> </w:t>
            </w:r>
            <w:r>
              <w:t>预案，督促保安从业单位落实相关管理制度。保安从业单位、保安培训单</w:t>
            </w:r>
            <w:r>
              <w:rPr>
                <w:spacing w:val="11"/>
              </w:rPr>
              <w:t xml:space="preserve"> </w:t>
            </w:r>
            <w:r>
              <w:rPr>
                <w:spacing w:val="-3"/>
              </w:rPr>
              <w:t>位和保安员应</w:t>
            </w:r>
            <w:r>
              <w:rPr>
                <w:b/>
                <w:bCs/>
                <w:spacing w:val="-3"/>
              </w:rPr>
              <w:t>当接受公安机关的监督检查。</w:t>
            </w:r>
          </w:p>
        </w:tc>
        <w:tc>
          <w:tcPr>
            <w:tcW w:w="1549" w:type="dxa"/>
            <w:vAlign w:val="top"/>
          </w:tcPr>
          <w:p w14:paraId="65059854">
            <w:pPr>
              <w:spacing w:line="242" w:lineRule="auto"/>
              <w:rPr>
                <w:rFonts w:ascii="Arial"/>
                <w:sz w:val="21"/>
              </w:rPr>
            </w:pPr>
          </w:p>
          <w:p w14:paraId="206CE340">
            <w:pPr>
              <w:spacing w:line="242" w:lineRule="auto"/>
              <w:rPr>
                <w:rFonts w:ascii="Arial"/>
                <w:sz w:val="21"/>
              </w:rPr>
            </w:pPr>
          </w:p>
          <w:p w14:paraId="66D86E98">
            <w:pPr>
              <w:spacing w:line="242" w:lineRule="auto"/>
              <w:rPr>
                <w:rFonts w:ascii="Arial"/>
                <w:sz w:val="21"/>
              </w:rPr>
            </w:pPr>
          </w:p>
          <w:p w14:paraId="1288FA23">
            <w:pPr>
              <w:pStyle w:val="5"/>
              <w:spacing w:before="91" w:line="219" w:lineRule="auto"/>
              <w:ind w:left="207"/>
            </w:pPr>
            <w:r>
              <w:rPr>
                <w:spacing w:val="2"/>
              </w:rPr>
              <w:t>公安机</w:t>
            </w:r>
            <w:r>
              <w:rPr>
                <w:color w:val="204060"/>
                <w:spacing w:val="2"/>
              </w:rPr>
              <w:t>关</w:t>
            </w:r>
          </w:p>
        </w:tc>
        <w:tc>
          <w:tcPr>
            <w:tcW w:w="1719" w:type="dxa"/>
            <w:vAlign w:val="top"/>
          </w:tcPr>
          <w:p w14:paraId="74316FBE">
            <w:pPr>
              <w:spacing w:line="420" w:lineRule="auto"/>
              <w:rPr>
                <w:rFonts w:ascii="Arial"/>
                <w:sz w:val="21"/>
              </w:rPr>
            </w:pPr>
          </w:p>
          <w:p w14:paraId="1CBC10BD">
            <w:pPr>
              <w:pStyle w:val="5"/>
              <w:spacing w:before="91" w:line="219" w:lineRule="auto"/>
              <w:ind w:left="158"/>
            </w:pPr>
            <w:r>
              <w:rPr>
                <w:color w:val="204050"/>
                <w:spacing w:val="-35"/>
                <w:w w:val="98"/>
              </w:rPr>
              <w:t>市</w:t>
            </w:r>
            <w:r>
              <w:rPr>
                <w:color w:val="204050"/>
                <w:spacing w:val="-21"/>
              </w:rPr>
              <w:t xml:space="preserve"> </w:t>
            </w:r>
            <w:r>
              <w:rPr>
                <w:color w:val="204050"/>
                <w:spacing w:val="-35"/>
                <w:w w:val="98"/>
              </w:rPr>
              <w:t>级</w:t>
            </w:r>
            <w:r>
              <w:rPr>
                <w:color w:val="204050"/>
                <w:spacing w:val="-40"/>
              </w:rPr>
              <w:t xml:space="preserve"> </w:t>
            </w:r>
            <w:r>
              <w:rPr>
                <w:color w:val="204050"/>
                <w:spacing w:val="-35"/>
                <w:w w:val="98"/>
              </w:rPr>
              <w:t>、</w:t>
            </w:r>
            <w:r>
              <w:rPr>
                <w:color w:val="102030"/>
                <w:spacing w:val="-35"/>
                <w:w w:val="98"/>
              </w:rPr>
              <w:t>县级</w:t>
            </w:r>
          </w:p>
          <w:p w14:paraId="0F4D7E35">
            <w:pPr>
              <w:pStyle w:val="5"/>
              <w:spacing w:before="10" w:line="215" w:lineRule="auto"/>
              <w:ind w:left="717" w:right="185" w:hanging="559"/>
            </w:pPr>
            <w:r>
              <w:rPr>
                <w:spacing w:val="-7"/>
              </w:rPr>
              <w:t>和公安派</w:t>
            </w:r>
            <w:r>
              <w:rPr>
                <w:color w:val="303060"/>
                <w:spacing w:val="-7"/>
              </w:rPr>
              <w:t>出</w:t>
            </w:r>
            <w:r>
              <w:rPr>
                <w:color w:val="303060"/>
              </w:rPr>
              <w:t xml:space="preserve"> </w:t>
            </w:r>
            <w:r>
              <w:t>所</w:t>
            </w:r>
          </w:p>
        </w:tc>
        <w:tc>
          <w:tcPr>
            <w:tcW w:w="1734" w:type="dxa"/>
            <w:vAlign w:val="top"/>
          </w:tcPr>
          <w:p w14:paraId="57FE2E35">
            <w:pPr>
              <w:spacing w:line="285" w:lineRule="auto"/>
              <w:rPr>
                <w:rFonts w:ascii="Arial"/>
                <w:sz w:val="21"/>
              </w:rPr>
            </w:pPr>
          </w:p>
          <w:p w14:paraId="5D8EA0F7">
            <w:pPr>
              <w:spacing w:line="285" w:lineRule="auto"/>
              <w:rPr>
                <w:rFonts w:ascii="Arial"/>
                <w:sz w:val="21"/>
              </w:rPr>
            </w:pPr>
          </w:p>
          <w:p w14:paraId="51812978">
            <w:pPr>
              <w:pStyle w:val="5"/>
              <w:spacing w:before="91" w:line="226" w:lineRule="auto"/>
              <w:ind w:left="439" w:right="148" w:hanging="280"/>
            </w:pPr>
            <w:r>
              <w:rPr>
                <w:spacing w:val="3"/>
              </w:rPr>
              <w:t>县级和公安</w:t>
            </w:r>
            <w:r>
              <w:t xml:space="preserve"> </w:t>
            </w:r>
            <w:r>
              <w:rPr>
                <w:color w:val="203050"/>
                <w:spacing w:val="11"/>
              </w:rPr>
              <w:t>派出</w:t>
            </w:r>
            <w:r>
              <w:rPr>
                <w:spacing w:val="11"/>
              </w:rPr>
              <w:t>所</w:t>
            </w:r>
          </w:p>
        </w:tc>
      </w:tr>
      <w:tr w14:paraId="4A90B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7" w:hRule="atLeast"/>
        </w:trPr>
        <w:tc>
          <w:tcPr>
            <w:tcW w:w="1055" w:type="dxa"/>
            <w:gridSpan w:val="2"/>
            <w:vAlign w:val="top"/>
          </w:tcPr>
          <w:p w14:paraId="230520B8">
            <w:pPr>
              <w:spacing w:line="293" w:lineRule="auto"/>
              <w:rPr>
                <w:rFonts w:ascii="Arial"/>
                <w:sz w:val="21"/>
              </w:rPr>
            </w:pPr>
          </w:p>
          <w:p w14:paraId="696CC02A">
            <w:pPr>
              <w:spacing w:line="294" w:lineRule="auto"/>
              <w:rPr>
                <w:rFonts w:ascii="Arial"/>
                <w:sz w:val="21"/>
              </w:rPr>
            </w:pPr>
          </w:p>
          <w:p w14:paraId="194E8C61">
            <w:pPr>
              <w:spacing w:line="294" w:lineRule="auto"/>
              <w:rPr>
                <w:rFonts w:ascii="Arial"/>
                <w:sz w:val="21"/>
              </w:rPr>
            </w:pPr>
          </w:p>
          <w:p w14:paraId="528B3069">
            <w:pPr>
              <w:spacing w:line="294" w:lineRule="auto"/>
              <w:rPr>
                <w:rFonts w:ascii="Arial"/>
                <w:sz w:val="21"/>
              </w:rPr>
            </w:pPr>
          </w:p>
          <w:p w14:paraId="5ECE5C74">
            <w:pPr>
              <w:pStyle w:val="5"/>
              <w:spacing w:before="91" w:line="241" w:lineRule="auto"/>
              <w:ind w:left="445"/>
            </w:pPr>
            <w:r>
              <w:t>2</w:t>
            </w:r>
          </w:p>
        </w:tc>
        <w:tc>
          <w:tcPr>
            <w:tcW w:w="3568" w:type="dxa"/>
            <w:vAlign w:val="top"/>
          </w:tcPr>
          <w:p w14:paraId="36EFCA7A">
            <w:pPr>
              <w:spacing w:line="286" w:lineRule="auto"/>
              <w:rPr>
                <w:rFonts w:ascii="Arial"/>
                <w:sz w:val="21"/>
              </w:rPr>
            </w:pPr>
          </w:p>
          <w:p w14:paraId="79D6C23E">
            <w:pPr>
              <w:spacing w:line="287" w:lineRule="auto"/>
              <w:rPr>
                <w:rFonts w:ascii="Arial"/>
                <w:sz w:val="21"/>
              </w:rPr>
            </w:pPr>
          </w:p>
          <w:p w14:paraId="0126DE63">
            <w:pPr>
              <w:spacing w:line="287" w:lineRule="auto"/>
              <w:rPr>
                <w:rFonts w:ascii="Arial"/>
                <w:sz w:val="21"/>
              </w:rPr>
            </w:pPr>
          </w:p>
          <w:p w14:paraId="7DB3AEAD">
            <w:pPr>
              <w:spacing w:line="287" w:lineRule="auto"/>
              <w:rPr>
                <w:rFonts w:ascii="Arial"/>
                <w:sz w:val="21"/>
              </w:rPr>
            </w:pPr>
          </w:p>
          <w:p w14:paraId="1BF0962D">
            <w:pPr>
              <w:pStyle w:val="5"/>
              <w:spacing w:before="91" w:line="219" w:lineRule="auto"/>
              <w:ind w:left="40"/>
            </w:pPr>
            <w:r>
              <w:rPr>
                <w:spacing w:val="1"/>
              </w:rPr>
              <w:t>对娱乐场所进行监督检查</w:t>
            </w:r>
          </w:p>
        </w:tc>
        <w:tc>
          <w:tcPr>
            <w:tcW w:w="9215" w:type="dxa"/>
            <w:vAlign w:val="top"/>
          </w:tcPr>
          <w:p w14:paraId="5CB2C15B">
            <w:pPr>
              <w:pStyle w:val="5"/>
              <w:spacing w:before="91" w:line="226" w:lineRule="auto"/>
              <w:ind w:left="11" w:right="195" w:firstLine="450"/>
            </w:pPr>
            <w:r>
              <w:t>《娱乐场所管理条例》第三条县级以上人民政府文化主管部门负</w:t>
            </w:r>
            <w:r>
              <w:rPr>
                <w:spacing w:val="-1"/>
              </w:rPr>
              <w:t>责对</w:t>
            </w:r>
            <w:r>
              <w:t xml:space="preserve">  </w:t>
            </w:r>
            <w:r>
              <w:rPr>
                <w:color w:val="303060"/>
                <w:spacing w:val="1"/>
              </w:rPr>
              <w:t>娱乐场所日常经营活动的监督</w:t>
            </w:r>
            <w:r>
              <w:rPr>
                <w:spacing w:val="1"/>
              </w:rPr>
              <w:t>管理：县级以上公安部门负责对娱乐场所消</w:t>
            </w:r>
            <w:r>
              <w:rPr>
                <w:spacing w:val="4"/>
              </w:rPr>
              <w:t xml:space="preserve"> </w:t>
            </w:r>
            <w:r>
              <w:rPr>
                <w:spacing w:val="1"/>
              </w:rPr>
              <w:t>防、治安状况的监督管理。第三十二条 文化</w:t>
            </w:r>
            <w:r>
              <w:t xml:space="preserve">主管部门、公安部门和其他  </w:t>
            </w:r>
            <w:r>
              <w:rPr>
                <w:color w:val="303070"/>
                <w:spacing w:val="1"/>
              </w:rPr>
              <w:t>有关部门的工作人员依法</w:t>
            </w:r>
            <w:r>
              <w:rPr>
                <w:spacing w:val="1"/>
              </w:rPr>
              <w:t>履行监督检查职</w:t>
            </w:r>
            <w:r>
              <w:rPr>
                <w:color w:val="203060"/>
                <w:spacing w:val="1"/>
              </w:rPr>
              <w:t>责时，有权进入娱乐场</w:t>
            </w:r>
            <w:r>
              <w:rPr>
                <w:color w:val="203060"/>
              </w:rPr>
              <w:t xml:space="preserve">所。娱乐 </w:t>
            </w:r>
            <w:r>
              <w:rPr>
                <w:spacing w:val="1"/>
              </w:rPr>
              <w:t>场所应当予以配合，不得拒绝、阻挠。文化主管部门</w:t>
            </w:r>
            <w:r>
              <w:t>、公安部门和其他有 关部门的工作人员依法履行监督检查</w:t>
            </w:r>
            <w:r>
              <w:rPr>
                <w:color w:val="202040"/>
              </w:rPr>
              <w:t>职责时，需要查阅闭路电视监控录像</w:t>
            </w:r>
            <w:r>
              <w:rPr>
                <w:color w:val="202040"/>
                <w:spacing w:val="11"/>
              </w:rPr>
              <w:t xml:space="preserve"> </w:t>
            </w:r>
            <w:r>
              <w:t>资料、从业人员名簿、营业日志等资料的，娱乐场所应当及时提供。</w:t>
            </w:r>
          </w:p>
        </w:tc>
        <w:tc>
          <w:tcPr>
            <w:tcW w:w="1549" w:type="dxa"/>
            <w:vAlign w:val="top"/>
          </w:tcPr>
          <w:p w14:paraId="70A66402">
            <w:pPr>
              <w:spacing w:line="286" w:lineRule="auto"/>
              <w:rPr>
                <w:rFonts w:ascii="Arial"/>
                <w:sz w:val="21"/>
              </w:rPr>
            </w:pPr>
          </w:p>
          <w:p w14:paraId="0C46141A">
            <w:pPr>
              <w:spacing w:line="286" w:lineRule="auto"/>
              <w:rPr>
                <w:rFonts w:ascii="Arial"/>
                <w:sz w:val="21"/>
              </w:rPr>
            </w:pPr>
          </w:p>
          <w:p w14:paraId="03175605">
            <w:pPr>
              <w:spacing w:line="286" w:lineRule="auto"/>
              <w:rPr>
                <w:rFonts w:ascii="Arial"/>
                <w:sz w:val="21"/>
              </w:rPr>
            </w:pPr>
          </w:p>
          <w:p w14:paraId="30642768">
            <w:pPr>
              <w:spacing w:line="287" w:lineRule="auto"/>
              <w:rPr>
                <w:rFonts w:ascii="Arial"/>
                <w:sz w:val="21"/>
              </w:rPr>
            </w:pPr>
          </w:p>
          <w:p w14:paraId="40FBD9A3">
            <w:pPr>
              <w:pStyle w:val="5"/>
              <w:spacing w:before="91" w:line="219" w:lineRule="auto"/>
              <w:ind w:left="207"/>
            </w:pPr>
            <w:r>
              <w:rPr>
                <w:spacing w:val="3"/>
              </w:rPr>
              <w:t>公安机关</w:t>
            </w:r>
          </w:p>
        </w:tc>
        <w:tc>
          <w:tcPr>
            <w:tcW w:w="1719" w:type="dxa"/>
            <w:vAlign w:val="top"/>
          </w:tcPr>
          <w:p w14:paraId="6C6EB6B8">
            <w:pPr>
              <w:spacing w:line="286" w:lineRule="auto"/>
              <w:rPr>
                <w:rFonts w:ascii="Arial"/>
                <w:sz w:val="21"/>
              </w:rPr>
            </w:pPr>
          </w:p>
          <w:p w14:paraId="1EF08258">
            <w:pPr>
              <w:spacing w:line="287" w:lineRule="auto"/>
              <w:rPr>
                <w:rFonts w:ascii="Arial"/>
                <w:sz w:val="21"/>
              </w:rPr>
            </w:pPr>
          </w:p>
          <w:p w14:paraId="552C0CC0">
            <w:pPr>
              <w:spacing w:line="287" w:lineRule="auto"/>
              <w:rPr>
                <w:rFonts w:ascii="Arial"/>
                <w:sz w:val="21"/>
              </w:rPr>
            </w:pPr>
          </w:p>
          <w:p w14:paraId="269ABA92">
            <w:pPr>
              <w:spacing w:line="287" w:lineRule="auto"/>
              <w:rPr>
                <w:rFonts w:ascii="Arial"/>
                <w:sz w:val="21"/>
              </w:rPr>
            </w:pPr>
          </w:p>
          <w:p w14:paraId="71832574">
            <w:pPr>
              <w:pStyle w:val="5"/>
              <w:spacing w:before="91" w:line="219" w:lineRule="auto"/>
              <w:ind w:left="158"/>
            </w:pPr>
            <w:r>
              <w:rPr>
                <w:color w:val="204060"/>
                <w:spacing w:val="2"/>
              </w:rPr>
              <w:t>市级、县</w:t>
            </w:r>
            <w:r>
              <w:rPr>
                <w:spacing w:val="2"/>
              </w:rPr>
              <w:t>级</w:t>
            </w:r>
          </w:p>
        </w:tc>
        <w:tc>
          <w:tcPr>
            <w:tcW w:w="1734" w:type="dxa"/>
            <w:vAlign w:val="top"/>
          </w:tcPr>
          <w:p w14:paraId="796C1E5F">
            <w:pPr>
              <w:spacing w:line="287" w:lineRule="auto"/>
              <w:rPr>
                <w:rFonts w:ascii="Arial"/>
                <w:sz w:val="21"/>
              </w:rPr>
            </w:pPr>
          </w:p>
          <w:p w14:paraId="26556127">
            <w:pPr>
              <w:spacing w:line="288" w:lineRule="auto"/>
              <w:rPr>
                <w:rFonts w:ascii="Arial"/>
                <w:sz w:val="21"/>
              </w:rPr>
            </w:pPr>
          </w:p>
          <w:p w14:paraId="7D012EC0">
            <w:pPr>
              <w:spacing w:line="288" w:lineRule="auto"/>
              <w:rPr>
                <w:rFonts w:ascii="Arial"/>
                <w:sz w:val="21"/>
              </w:rPr>
            </w:pPr>
          </w:p>
          <w:p w14:paraId="02570922">
            <w:pPr>
              <w:spacing w:line="288" w:lineRule="auto"/>
              <w:rPr>
                <w:rFonts w:ascii="Arial"/>
                <w:sz w:val="21"/>
              </w:rPr>
            </w:pPr>
          </w:p>
          <w:p w14:paraId="4876600C">
            <w:pPr>
              <w:pStyle w:val="5"/>
              <w:spacing w:before="91" w:line="221" w:lineRule="auto"/>
              <w:ind w:left="579"/>
            </w:pPr>
            <w:r>
              <w:rPr>
                <w:spacing w:val="8"/>
              </w:rPr>
              <w:t>县级</w:t>
            </w:r>
          </w:p>
        </w:tc>
      </w:tr>
      <w:tr w14:paraId="3D18D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trPr>
        <w:tc>
          <w:tcPr>
            <w:tcW w:w="1055" w:type="dxa"/>
            <w:gridSpan w:val="2"/>
            <w:vAlign w:val="top"/>
          </w:tcPr>
          <w:p w14:paraId="10F3ED01">
            <w:pPr>
              <w:spacing w:line="254" w:lineRule="auto"/>
              <w:rPr>
                <w:rFonts w:ascii="Arial"/>
                <w:sz w:val="21"/>
              </w:rPr>
            </w:pPr>
          </w:p>
          <w:p w14:paraId="24353FDB">
            <w:pPr>
              <w:spacing w:line="254" w:lineRule="auto"/>
              <w:rPr>
                <w:rFonts w:ascii="Arial"/>
                <w:sz w:val="21"/>
              </w:rPr>
            </w:pPr>
          </w:p>
          <w:p w14:paraId="2F649264">
            <w:pPr>
              <w:spacing w:line="255" w:lineRule="auto"/>
              <w:rPr>
                <w:rFonts w:ascii="Arial"/>
                <w:sz w:val="21"/>
              </w:rPr>
            </w:pPr>
          </w:p>
          <w:p w14:paraId="5B93DC87">
            <w:pPr>
              <w:spacing w:line="255" w:lineRule="auto"/>
              <w:rPr>
                <w:rFonts w:ascii="Arial"/>
                <w:sz w:val="21"/>
              </w:rPr>
            </w:pPr>
          </w:p>
          <w:p w14:paraId="68C7A634">
            <w:pPr>
              <w:pStyle w:val="5"/>
              <w:spacing w:before="91"/>
              <w:ind w:left="445"/>
            </w:pPr>
            <w:r>
              <w:t>3</w:t>
            </w:r>
          </w:p>
        </w:tc>
        <w:tc>
          <w:tcPr>
            <w:tcW w:w="3568" w:type="dxa"/>
            <w:vAlign w:val="top"/>
          </w:tcPr>
          <w:p w14:paraId="610CFC38">
            <w:pPr>
              <w:spacing w:line="247" w:lineRule="auto"/>
              <w:rPr>
                <w:rFonts w:ascii="Arial"/>
                <w:sz w:val="21"/>
              </w:rPr>
            </w:pPr>
          </w:p>
          <w:p w14:paraId="03DFDC47">
            <w:pPr>
              <w:spacing w:line="248" w:lineRule="auto"/>
              <w:rPr>
                <w:rFonts w:ascii="Arial"/>
                <w:sz w:val="21"/>
              </w:rPr>
            </w:pPr>
          </w:p>
          <w:p w14:paraId="2F663A8C">
            <w:pPr>
              <w:spacing w:line="248" w:lineRule="auto"/>
              <w:rPr>
                <w:rFonts w:ascii="Arial"/>
                <w:sz w:val="21"/>
              </w:rPr>
            </w:pPr>
          </w:p>
          <w:p w14:paraId="3B781F24">
            <w:pPr>
              <w:spacing w:line="248" w:lineRule="auto"/>
              <w:rPr>
                <w:rFonts w:ascii="Arial"/>
                <w:sz w:val="21"/>
              </w:rPr>
            </w:pPr>
          </w:p>
          <w:p w14:paraId="3F2A421F">
            <w:pPr>
              <w:pStyle w:val="5"/>
              <w:spacing w:before="91" w:line="219" w:lineRule="auto"/>
              <w:ind w:left="40"/>
            </w:pPr>
            <w:r>
              <w:rPr>
                <w:spacing w:val="1"/>
              </w:rPr>
              <w:t>对旅馆业进行治安管理检查</w:t>
            </w:r>
          </w:p>
        </w:tc>
        <w:tc>
          <w:tcPr>
            <w:tcW w:w="9215" w:type="dxa"/>
            <w:vAlign w:val="top"/>
          </w:tcPr>
          <w:p w14:paraId="6EB55F2C">
            <w:pPr>
              <w:pStyle w:val="5"/>
              <w:spacing w:before="272" w:line="219" w:lineRule="auto"/>
              <w:ind w:left="482"/>
            </w:pPr>
            <w:r>
              <w:t>《旅馆业治安管理办法》第十四条</w:t>
            </w:r>
            <w:r>
              <w:rPr>
                <w:b/>
                <w:bCs/>
              </w:rPr>
              <w:t>公安机关对旅馆</w:t>
            </w:r>
            <w:r>
              <w:t>治安</w:t>
            </w:r>
            <w:r>
              <w:rPr>
                <w:spacing w:val="-1"/>
              </w:rPr>
              <w:t>管理的职责</w:t>
            </w:r>
          </w:p>
          <w:p w14:paraId="094A78AB">
            <w:pPr>
              <w:pStyle w:val="5"/>
              <w:spacing w:before="20" w:line="224" w:lineRule="auto"/>
              <w:ind w:left="11" w:right="210" w:firstLine="10"/>
            </w:pPr>
            <w:r>
              <w:t>是，指导、监督旅馆建立各项安全管理制度和落实安全防范措施，协助旅</w:t>
            </w:r>
            <w:r>
              <w:rPr>
                <w:spacing w:val="10"/>
              </w:rPr>
              <w:t xml:space="preserve"> </w:t>
            </w:r>
            <w:r>
              <w:rPr>
                <w:spacing w:val="1"/>
              </w:rPr>
              <w:t>馆对工作人员进行安全业务知识的培训，依法</w:t>
            </w:r>
            <w:r>
              <w:t>惩办侵犯旅馆和旅客合法权 益的违法犯罪分子。公安人员到旅馆执行</w:t>
            </w:r>
            <w:r>
              <w:rPr>
                <w:color w:val="203050"/>
              </w:rPr>
              <w:t>公务时，应当出示证件，严格依</w:t>
            </w:r>
            <w:r>
              <w:rPr>
                <w:color w:val="203050"/>
                <w:spacing w:val="15"/>
              </w:rPr>
              <w:t xml:space="preserve"> </w:t>
            </w:r>
            <w:r>
              <w:rPr>
                <w:spacing w:val="1"/>
              </w:rPr>
              <w:t>法办事，要文明礼貌待人，维护旅馆的正常经营</w:t>
            </w:r>
            <w:r>
              <w:t>和旅客的合法权益。旅馆 工作人员和旅客应当予以协助。</w:t>
            </w:r>
          </w:p>
        </w:tc>
        <w:tc>
          <w:tcPr>
            <w:tcW w:w="1549" w:type="dxa"/>
            <w:vAlign w:val="top"/>
          </w:tcPr>
          <w:p w14:paraId="0EB1EA3F">
            <w:pPr>
              <w:spacing w:line="247" w:lineRule="auto"/>
              <w:rPr>
                <w:rFonts w:ascii="Arial"/>
                <w:sz w:val="21"/>
              </w:rPr>
            </w:pPr>
          </w:p>
          <w:p w14:paraId="062F1E65">
            <w:pPr>
              <w:spacing w:line="247" w:lineRule="auto"/>
              <w:rPr>
                <w:rFonts w:ascii="Arial"/>
                <w:sz w:val="21"/>
              </w:rPr>
            </w:pPr>
          </w:p>
          <w:p w14:paraId="217F4488">
            <w:pPr>
              <w:spacing w:line="247" w:lineRule="auto"/>
              <w:rPr>
                <w:rFonts w:ascii="Arial"/>
                <w:sz w:val="21"/>
              </w:rPr>
            </w:pPr>
          </w:p>
          <w:p w14:paraId="1947BEBA">
            <w:pPr>
              <w:spacing w:line="248" w:lineRule="auto"/>
              <w:rPr>
                <w:rFonts w:ascii="Arial"/>
                <w:sz w:val="21"/>
              </w:rPr>
            </w:pPr>
          </w:p>
          <w:p w14:paraId="219345BD">
            <w:pPr>
              <w:pStyle w:val="5"/>
              <w:spacing w:before="91" w:line="219" w:lineRule="auto"/>
              <w:ind w:left="207"/>
            </w:pPr>
            <w:r>
              <w:rPr>
                <w:spacing w:val="3"/>
              </w:rPr>
              <w:t>公安机关</w:t>
            </w:r>
          </w:p>
        </w:tc>
        <w:tc>
          <w:tcPr>
            <w:tcW w:w="1719" w:type="dxa"/>
            <w:vAlign w:val="top"/>
          </w:tcPr>
          <w:p w14:paraId="1CDE9DC6">
            <w:pPr>
              <w:spacing w:line="247" w:lineRule="auto"/>
              <w:rPr>
                <w:rFonts w:ascii="Arial"/>
                <w:sz w:val="21"/>
              </w:rPr>
            </w:pPr>
          </w:p>
          <w:p w14:paraId="471C3E3B">
            <w:pPr>
              <w:spacing w:line="248" w:lineRule="auto"/>
              <w:rPr>
                <w:rFonts w:ascii="Arial"/>
                <w:sz w:val="21"/>
              </w:rPr>
            </w:pPr>
          </w:p>
          <w:p w14:paraId="0F7D4522">
            <w:pPr>
              <w:spacing w:line="248" w:lineRule="auto"/>
              <w:rPr>
                <w:rFonts w:ascii="Arial"/>
                <w:sz w:val="21"/>
              </w:rPr>
            </w:pPr>
          </w:p>
          <w:p w14:paraId="706940BD">
            <w:pPr>
              <w:spacing w:line="248" w:lineRule="auto"/>
              <w:rPr>
                <w:rFonts w:ascii="Arial"/>
                <w:sz w:val="21"/>
              </w:rPr>
            </w:pPr>
          </w:p>
          <w:p w14:paraId="4578F26E">
            <w:pPr>
              <w:pStyle w:val="5"/>
              <w:spacing w:before="91" w:line="219" w:lineRule="auto"/>
              <w:ind w:left="158"/>
            </w:pPr>
            <w:r>
              <w:rPr>
                <w:spacing w:val="3"/>
              </w:rPr>
              <w:t>市级、县级</w:t>
            </w:r>
          </w:p>
        </w:tc>
        <w:tc>
          <w:tcPr>
            <w:tcW w:w="1734" w:type="dxa"/>
            <w:vAlign w:val="top"/>
          </w:tcPr>
          <w:p w14:paraId="0E2F6188">
            <w:pPr>
              <w:spacing w:line="248" w:lineRule="auto"/>
              <w:rPr>
                <w:rFonts w:ascii="Arial"/>
                <w:sz w:val="21"/>
              </w:rPr>
            </w:pPr>
          </w:p>
          <w:p w14:paraId="1F78BED3">
            <w:pPr>
              <w:spacing w:line="249" w:lineRule="auto"/>
              <w:rPr>
                <w:rFonts w:ascii="Arial"/>
                <w:sz w:val="21"/>
              </w:rPr>
            </w:pPr>
          </w:p>
          <w:p w14:paraId="3FECB637">
            <w:pPr>
              <w:spacing w:line="249" w:lineRule="auto"/>
              <w:rPr>
                <w:rFonts w:ascii="Arial"/>
                <w:sz w:val="21"/>
              </w:rPr>
            </w:pPr>
          </w:p>
          <w:p w14:paraId="6C8A29BF">
            <w:pPr>
              <w:spacing w:line="249" w:lineRule="auto"/>
              <w:rPr>
                <w:rFonts w:ascii="Arial"/>
                <w:sz w:val="21"/>
              </w:rPr>
            </w:pPr>
          </w:p>
          <w:p w14:paraId="2FB4BB7B">
            <w:pPr>
              <w:pStyle w:val="5"/>
              <w:spacing w:before="91" w:line="221" w:lineRule="auto"/>
              <w:ind w:left="579"/>
            </w:pPr>
            <w:r>
              <w:rPr>
                <w:color w:val="102040"/>
                <w:spacing w:val="8"/>
              </w:rPr>
              <w:t>县级</w:t>
            </w:r>
          </w:p>
        </w:tc>
      </w:tr>
      <w:tr w14:paraId="47313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3" w:hRule="atLeast"/>
        </w:trPr>
        <w:tc>
          <w:tcPr>
            <w:tcW w:w="475" w:type="dxa"/>
            <w:vAlign w:val="top"/>
          </w:tcPr>
          <w:p w14:paraId="182C51D8">
            <w:pPr>
              <w:rPr>
                <w:rFonts w:ascii="Arial"/>
                <w:sz w:val="21"/>
              </w:rPr>
            </w:pPr>
          </w:p>
        </w:tc>
        <w:tc>
          <w:tcPr>
            <w:tcW w:w="580" w:type="dxa"/>
            <w:vAlign w:val="top"/>
          </w:tcPr>
          <w:p w14:paraId="4728048E">
            <w:pPr>
              <w:spacing w:line="255" w:lineRule="auto"/>
              <w:rPr>
                <w:rFonts w:ascii="Arial"/>
                <w:sz w:val="21"/>
              </w:rPr>
            </w:pPr>
          </w:p>
          <w:p w14:paraId="7ABDC4BA">
            <w:pPr>
              <w:spacing w:line="255" w:lineRule="auto"/>
              <w:rPr>
                <w:rFonts w:ascii="Arial"/>
                <w:sz w:val="21"/>
              </w:rPr>
            </w:pPr>
          </w:p>
          <w:p w14:paraId="3FF0FCC3">
            <w:pPr>
              <w:spacing w:line="255" w:lineRule="auto"/>
              <w:rPr>
                <w:rFonts w:ascii="Arial"/>
                <w:sz w:val="21"/>
              </w:rPr>
            </w:pPr>
          </w:p>
          <w:p w14:paraId="34285705">
            <w:pPr>
              <w:spacing w:line="256" w:lineRule="auto"/>
              <w:rPr>
                <w:rFonts w:ascii="Arial"/>
                <w:sz w:val="21"/>
              </w:rPr>
            </w:pPr>
          </w:p>
          <w:p w14:paraId="635643FE">
            <w:pPr>
              <w:pStyle w:val="5"/>
              <w:spacing w:before="91" w:line="241" w:lineRule="auto"/>
              <w:ind w:left="10"/>
            </w:pPr>
            <w:r>
              <w:t>4</w:t>
            </w:r>
          </w:p>
        </w:tc>
        <w:tc>
          <w:tcPr>
            <w:tcW w:w="3568" w:type="dxa"/>
            <w:vAlign w:val="top"/>
          </w:tcPr>
          <w:p w14:paraId="1210AB09">
            <w:pPr>
              <w:spacing w:line="352" w:lineRule="auto"/>
              <w:rPr>
                <w:rFonts w:ascii="Arial"/>
                <w:sz w:val="21"/>
              </w:rPr>
            </w:pPr>
          </w:p>
          <w:p w14:paraId="74CD8E3F">
            <w:pPr>
              <w:spacing w:line="353" w:lineRule="auto"/>
              <w:rPr>
                <w:rFonts w:ascii="Arial"/>
                <w:sz w:val="21"/>
              </w:rPr>
            </w:pPr>
          </w:p>
          <w:p w14:paraId="4B9F55EB">
            <w:pPr>
              <w:pStyle w:val="5"/>
              <w:spacing w:before="91" w:line="231" w:lineRule="auto"/>
              <w:ind w:left="40" w:right="134"/>
              <w:jc w:val="both"/>
            </w:pPr>
            <w:r>
              <w:rPr>
                <w:spacing w:val="1"/>
              </w:rPr>
              <w:t>对银行业金融机构内部的安</w:t>
            </w:r>
            <w:r>
              <w:rPr>
                <w:spacing w:val="3"/>
              </w:rPr>
              <w:t xml:space="preserve"> </w:t>
            </w:r>
            <w:r>
              <w:rPr>
                <w:spacing w:val="1"/>
              </w:rPr>
              <w:t>全防范制度、措施、人员和</w:t>
            </w:r>
            <w:r>
              <w:rPr>
                <w:spacing w:val="10"/>
              </w:rPr>
              <w:t xml:space="preserve"> </w:t>
            </w:r>
            <w:r>
              <w:rPr>
                <w:spacing w:val="1"/>
              </w:rPr>
              <w:t>设施进行综合评估</w:t>
            </w:r>
          </w:p>
        </w:tc>
        <w:tc>
          <w:tcPr>
            <w:tcW w:w="9215" w:type="dxa"/>
            <w:vAlign w:val="top"/>
          </w:tcPr>
          <w:p w14:paraId="14F04E28">
            <w:pPr>
              <w:spacing w:line="261" w:lineRule="auto"/>
              <w:rPr>
                <w:rFonts w:ascii="Arial"/>
                <w:sz w:val="21"/>
              </w:rPr>
            </w:pPr>
          </w:p>
          <w:p w14:paraId="15510A58">
            <w:pPr>
              <w:spacing w:line="262" w:lineRule="auto"/>
              <w:rPr>
                <w:rFonts w:ascii="Arial"/>
                <w:sz w:val="21"/>
              </w:rPr>
            </w:pPr>
          </w:p>
          <w:p w14:paraId="4D0C25F4">
            <w:pPr>
              <w:pStyle w:val="5"/>
              <w:spacing w:before="91" w:line="228" w:lineRule="auto"/>
              <w:ind w:left="22" w:right="192" w:firstLine="310"/>
              <w:jc w:val="both"/>
            </w:pPr>
            <w:r>
              <w:t>《银行业金融机构安全评估办法</w:t>
            </w:r>
            <w:bookmarkStart w:id="0" w:name="_GoBack"/>
            <w:bookmarkEnd w:id="0"/>
            <w:r>
              <w:t>》第二条本办法所称安全评估，是指公安机关和银行业金融机构管理部门依法对银行业金融机构内部的安全防范</w:t>
            </w:r>
            <w:r>
              <w:rPr>
                <w:spacing w:val="15"/>
              </w:rPr>
              <w:t xml:space="preserve"> </w:t>
            </w:r>
            <w:r>
              <w:rPr>
                <w:spacing w:val="1"/>
              </w:rPr>
              <w:t>制度、措施、人员和设施进行综合评估</w:t>
            </w:r>
            <w:r>
              <w:rPr>
                <w:color w:val="202040"/>
                <w:spacing w:val="1"/>
              </w:rPr>
              <w:t>的活动。第六条</w:t>
            </w:r>
            <w:r>
              <w:rPr>
                <w:color w:val="202040"/>
              </w:rPr>
              <w:t xml:space="preserve">安全评估的方法主 </w:t>
            </w:r>
            <w:r>
              <w:rPr>
                <w:spacing w:val="10"/>
              </w:rPr>
              <w:t>要有：(六</w:t>
            </w:r>
            <w:r>
              <w:rPr>
                <w:color w:val="202040"/>
                <w:spacing w:val="10"/>
              </w:rPr>
              <w:t>)突</w:t>
            </w:r>
            <w:r>
              <w:rPr>
                <w:spacing w:val="10"/>
              </w:rPr>
              <w:t>击检查和抽查；</w:t>
            </w:r>
          </w:p>
        </w:tc>
        <w:tc>
          <w:tcPr>
            <w:tcW w:w="1549" w:type="dxa"/>
            <w:vAlign w:val="top"/>
          </w:tcPr>
          <w:p w14:paraId="76F287CC">
            <w:pPr>
              <w:spacing w:line="247" w:lineRule="auto"/>
              <w:rPr>
                <w:rFonts w:ascii="Arial"/>
                <w:sz w:val="21"/>
              </w:rPr>
            </w:pPr>
          </w:p>
          <w:p w14:paraId="273D6011">
            <w:pPr>
              <w:spacing w:line="248" w:lineRule="auto"/>
              <w:rPr>
                <w:rFonts w:ascii="Arial"/>
                <w:sz w:val="21"/>
              </w:rPr>
            </w:pPr>
          </w:p>
          <w:p w14:paraId="5637A289">
            <w:pPr>
              <w:spacing w:line="248" w:lineRule="auto"/>
              <w:rPr>
                <w:rFonts w:ascii="Arial"/>
                <w:sz w:val="21"/>
              </w:rPr>
            </w:pPr>
          </w:p>
          <w:p w14:paraId="156D1C0E">
            <w:pPr>
              <w:spacing w:line="248" w:lineRule="auto"/>
              <w:rPr>
                <w:rFonts w:ascii="Arial"/>
                <w:sz w:val="21"/>
              </w:rPr>
            </w:pPr>
          </w:p>
          <w:p w14:paraId="65B65556">
            <w:pPr>
              <w:pStyle w:val="5"/>
              <w:spacing w:before="91" w:line="219" w:lineRule="auto"/>
              <w:ind w:left="207"/>
            </w:pPr>
            <w:r>
              <w:rPr>
                <w:spacing w:val="3"/>
              </w:rPr>
              <w:t>公安机关</w:t>
            </w:r>
          </w:p>
        </w:tc>
        <w:tc>
          <w:tcPr>
            <w:tcW w:w="1719" w:type="dxa"/>
            <w:vAlign w:val="top"/>
          </w:tcPr>
          <w:p w14:paraId="311AA522">
            <w:pPr>
              <w:spacing w:line="288" w:lineRule="auto"/>
              <w:rPr>
                <w:rFonts w:ascii="Arial"/>
                <w:sz w:val="21"/>
              </w:rPr>
            </w:pPr>
          </w:p>
          <w:p w14:paraId="04A503BC">
            <w:pPr>
              <w:spacing w:line="288" w:lineRule="auto"/>
              <w:rPr>
                <w:rFonts w:ascii="Arial"/>
                <w:sz w:val="21"/>
              </w:rPr>
            </w:pPr>
          </w:p>
          <w:p w14:paraId="052916CF">
            <w:pPr>
              <w:spacing w:line="288" w:lineRule="auto"/>
              <w:rPr>
                <w:rFonts w:ascii="Arial"/>
                <w:sz w:val="21"/>
              </w:rPr>
            </w:pPr>
          </w:p>
          <w:p w14:paraId="51C187F2">
            <w:pPr>
              <w:pStyle w:val="5"/>
              <w:spacing w:before="91" w:line="219" w:lineRule="auto"/>
              <w:ind w:left="158"/>
            </w:pPr>
            <w:r>
              <w:rPr>
                <w:color w:val="203050"/>
                <w:spacing w:val="3"/>
              </w:rPr>
              <w:t>省级、市级</w:t>
            </w:r>
          </w:p>
          <w:p w14:paraId="7C6F45B7">
            <w:pPr>
              <w:pStyle w:val="5"/>
              <w:spacing w:before="11" w:line="221" w:lineRule="auto"/>
              <w:ind w:left="438"/>
            </w:pPr>
            <w:r>
              <w:t>、县级</w:t>
            </w:r>
          </w:p>
        </w:tc>
        <w:tc>
          <w:tcPr>
            <w:tcW w:w="1734" w:type="dxa"/>
            <w:vAlign w:val="top"/>
          </w:tcPr>
          <w:p w14:paraId="7B7D7093">
            <w:pPr>
              <w:spacing w:line="249" w:lineRule="auto"/>
              <w:rPr>
                <w:rFonts w:ascii="Arial"/>
                <w:sz w:val="21"/>
              </w:rPr>
            </w:pPr>
          </w:p>
          <w:p w14:paraId="27CB5469">
            <w:pPr>
              <w:spacing w:line="249" w:lineRule="auto"/>
              <w:rPr>
                <w:rFonts w:ascii="Arial"/>
                <w:sz w:val="21"/>
              </w:rPr>
            </w:pPr>
          </w:p>
          <w:p w14:paraId="441B2204">
            <w:pPr>
              <w:spacing w:line="249" w:lineRule="auto"/>
              <w:rPr>
                <w:rFonts w:ascii="Arial"/>
                <w:sz w:val="21"/>
              </w:rPr>
            </w:pPr>
          </w:p>
          <w:p w14:paraId="3BF64D08">
            <w:pPr>
              <w:spacing w:line="250" w:lineRule="auto"/>
              <w:rPr>
                <w:rFonts w:ascii="Arial"/>
                <w:sz w:val="21"/>
              </w:rPr>
            </w:pPr>
          </w:p>
          <w:p w14:paraId="4B575BA2">
            <w:pPr>
              <w:pStyle w:val="5"/>
              <w:spacing w:before="91" w:line="221" w:lineRule="auto"/>
              <w:ind w:left="579"/>
            </w:pPr>
            <w:r>
              <w:rPr>
                <w:spacing w:val="8"/>
              </w:rPr>
              <w:t>县级</w:t>
            </w:r>
          </w:p>
        </w:tc>
      </w:tr>
    </w:tbl>
    <w:p w14:paraId="019EB3A6">
      <w:pPr>
        <w:rPr>
          <w:rFonts w:ascii="Arial"/>
          <w:sz w:val="21"/>
        </w:rPr>
      </w:pPr>
    </w:p>
    <w:sectPr>
      <w:pgSz w:w="23380" w:h="16530"/>
      <w:pgMar w:top="590" w:right="2715" w:bottom="0" w:left="181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6DC2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809</Words>
  <Characters>810</Characters>
  <TotalTime>0</TotalTime>
  <ScaleCrop>false</ScaleCrop>
  <LinksUpToDate>false</LinksUpToDate>
  <CharactersWithSpaces>841</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2026-04-02T15:51:00Z</dcterms:created>
  <dc:creator>Administrator</dc:creator>
  <cp:lastModifiedBy>八爪小鱼</cp:lastModifiedBy>
  <dcterms:modified xsi:type="dcterms:W3CDTF">2026-04-23T03:34:51Z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2026-04-02T15:51:45Z</vt:filetime>
  </property>
  <property fmtid="{D5CDD505-2E9C-101B-9397-08002B2CF9AE}" pid="4" name="UsrData">
    <vt:lpwstr>69ce200fb40101001f579c4ewl</vt:lpwstr>
  </property>
  <property fmtid="{D5CDD505-2E9C-101B-9397-08002B2CF9AE}" pid="5" name="KSOTemplateDocerSaveRecord">
    <vt:lpwstr>eyJoZGlkIjoiNTY3NzU0NDM5MWFkMmY4ZmZmZjJjODBjMzI2N2ZmYWUiLCJ1c2VySWQiOiI0MDE5OTQ3MTgifQ==</vt:lpwstr>
  </property>
  <property fmtid="{D5CDD505-2E9C-101B-9397-08002B2CF9AE}" pid="6" name="KSOProductBuildVer">
    <vt:lpwstr>2052-12.1.0.25865</vt:lpwstr>
  </property>
  <property fmtid="{D5CDD505-2E9C-101B-9397-08002B2CF9AE}" pid="7" name="ICV">
    <vt:lpwstr>8744E9B4C1BC45BFBB92BFD831EFB849_12</vt:lpwstr>
  </property>
</Properties>
</file>