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tbl>
      <w:tblPr>
        <w:tblStyle w:val="TableNormal"/>
        <w:tblW w:w="1880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035"/>
        <w:gridCol w:w="3598"/>
        <w:gridCol w:w="9175"/>
        <w:gridCol w:w="1539"/>
        <w:gridCol w:w="1729"/>
        <w:gridCol w:w="1724"/>
      </w:tblGrid>
      <w:tr>
        <w:trPr>
          <w:trHeight w:val="4588" w:hRule="atLeast"/>
        </w:trPr>
        <w:tc>
          <w:tcPr>
            <w:tcW w:w="103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91"/>
              <w:rPr/>
            </w:pPr>
            <w:r>
              <w:rPr>
                <w:spacing w:val="-8"/>
              </w:rPr>
              <w:t>10</w:t>
            </w:r>
          </w:p>
        </w:tc>
        <w:tc>
          <w:tcPr>
            <w:tcW w:w="359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217"/>
              <w:spacing w:before="91" w:line="233" w:lineRule="auto"/>
              <w:rPr/>
            </w:pPr>
            <w:r>
              <w:rPr/>
              <w:t>对易制毒化学品购销和运输</w:t>
            </w:r>
            <w:r>
              <w:rPr>
                <w:spacing w:val="9"/>
              </w:rPr>
              <w:t xml:space="preserve"> </w:t>
            </w:r>
            <w:r>
              <w:rPr>
                <w:spacing w:val="2"/>
              </w:rPr>
              <w:t>等情况进行检查</w:t>
            </w:r>
          </w:p>
        </w:tc>
        <w:tc>
          <w:tcPr>
            <w:tcW w:w="9175" w:type="dxa"/>
            <w:vAlign w:val="top"/>
          </w:tcPr>
          <w:p>
            <w:pPr>
              <w:pStyle w:val="TableText"/>
              <w:ind w:left="22" w:right="13" w:firstLine="309"/>
              <w:spacing w:before="264" w:line="229" w:lineRule="auto"/>
              <w:jc w:val="both"/>
              <w:rPr/>
            </w:pPr>
            <w:r>
              <w:rPr>
                <w:spacing w:val="4"/>
              </w:rPr>
              <w:t>《易制毒化学品管理条例》第三十二条，县级以上人民政府公安机关、</w:t>
            </w:r>
            <w:r>
              <w:rPr>
                <w:spacing w:val="14"/>
              </w:rPr>
              <w:t xml:space="preserve"> </w:t>
            </w:r>
            <w:r>
              <w:rPr/>
              <w:t>负责药品监督管理的部门、安全生产监督管理部门、商务主管部门、卫生</w:t>
            </w:r>
            <w:r>
              <w:rPr>
                <w:spacing w:val="5"/>
              </w:rPr>
              <w:t xml:space="preserve">  </w:t>
            </w:r>
            <w:r>
              <w:rPr>
                <w:spacing w:val="2"/>
              </w:rPr>
              <w:t>主管部门、价格主管部门、铁路主管部门、交通主管部门、市场监督管理</w:t>
            </w:r>
            <w:r>
              <w:rPr>
                <w:spacing w:val="14"/>
              </w:rPr>
              <w:t xml:space="preserve"> </w:t>
            </w:r>
            <w:r>
              <w:rPr/>
              <w:t>部门、生态环境主管部门和海关，应当依照本条例和有关法律、行政法规</w:t>
            </w:r>
            <w:r>
              <w:rPr>
                <w:spacing w:val="5"/>
              </w:rPr>
              <w:t xml:space="preserve">  </w:t>
            </w:r>
            <w:r>
              <w:rPr>
                <w:spacing w:val="4"/>
              </w:rPr>
              <w:t>的规定，在各自的职责范围内，加强对易制毒化学品生产、经营、购买、</w:t>
            </w:r>
            <w:r>
              <w:rPr>
                <w:spacing w:val="11"/>
              </w:rPr>
              <w:t xml:space="preserve"> </w:t>
            </w:r>
            <w:r>
              <w:rPr/>
              <w:t>运输、价格以及进11、出口的</w:t>
            </w:r>
            <w:r>
              <w:rPr>
                <w:b/>
                <w:bCs/>
              </w:rPr>
              <w:t>监督检查；</w:t>
            </w:r>
            <w:r>
              <w:rPr/>
              <w:t>对非法生产、经营、</w:t>
            </w:r>
            <w:r>
              <w:rPr>
                <w:spacing w:val="-1"/>
              </w:rPr>
              <w:t>购买、运输</w:t>
            </w:r>
            <w:r>
              <w:rPr/>
              <w:t xml:space="preserve">  </w:t>
            </w:r>
            <w:r>
              <w:rPr/>
              <w:t>易制毒化学品，或者走私易制毒化学品的行为，依法予以查处。</w:t>
            </w:r>
          </w:p>
          <w:p>
            <w:pPr>
              <w:pStyle w:val="TableText"/>
              <w:ind w:left="22" w:right="143" w:firstLine="589"/>
              <w:spacing w:line="224" w:lineRule="auto"/>
              <w:jc w:val="both"/>
              <w:rPr/>
            </w:pPr>
            <w:r>
              <w:rPr/>
              <w:t>前款规定的行政主管部门在进行易制毒化学品监督检查时，可以依法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查看现场、查阅和复制有关资料、记录有关情况</w:t>
            </w:r>
            <w:r>
              <w:rPr/>
              <w:t>、扣押相关的证据材料和 </w:t>
            </w:r>
            <w:r>
              <w:rPr>
                <w:spacing w:val="-1"/>
              </w:rPr>
              <w:t>违法物品；必要时，可以临时查封有关场所。</w:t>
            </w:r>
          </w:p>
          <w:p>
            <w:pPr>
              <w:pStyle w:val="TableText"/>
              <w:ind w:left="601"/>
              <w:spacing w:line="218" w:lineRule="auto"/>
              <w:rPr/>
            </w:pPr>
            <w:r>
              <w:rPr>
                <w:color w:val="101030"/>
              </w:rPr>
              <w:t>被检查的单位或者个人应当如实提供有关情况和材料、物品，不得拒</w:t>
            </w:r>
          </w:p>
          <w:p>
            <w:pPr>
              <w:pStyle w:val="TableText"/>
              <w:ind w:left="22"/>
              <w:spacing w:before="51" w:line="221" w:lineRule="auto"/>
              <w:rPr/>
            </w:pPr>
            <w:r>
              <w:rPr>
                <w:spacing w:val="-1"/>
              </w:rPr>
              <w:t>绝或者隐匿。</w:t>
            </w:r>
          </w:p>
        </w:tc>
        <w:tc>
          <w:tcPr>
            <w:tcW w:w="153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7"/>
              <w:spacing w:before="91" w:line="219" w:lineRule="auto"/>
              <w:rPr/>
            </w:pPr>
            <w:r>
              <w:rPr>
                <w:color w:val="202040"/>
                <w:spacing w:val="3"/>
              </w:rPr>
              <w:t>公安机关</w:t>
            </w:r>
          </w:p>
        </w:tc>
        <w:tc>
          <w:tcPr>
            <w:tcW w:w="1729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7" w:right="143" w:hanging="279"/>
              <w:spacing w:before="91" w:line="236" w:lineRule="auto"/>
              <w:rPr/>
            </w:pPr>
            <w:r>
              <w:rPr>
                <w:spacing w:val="3"/>
              </w:rPr>
              <w:t>省级、市级</w:t>
            </w:r>
            <w:r>
              <w:rPr>
                <w:spacing w:val="1"/>
              </w:rPr>
              <w:t xml:space="preserve"> </w:t>
            </w:r>
            <w:r>
              <w:rPr/>
              <w:t>、县级</w:t>
            </w:r>
          </w:p>
        </w:tc>
        <w:tc>
          <w:tcPr>
            <w:tcW w:w="1724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9"/>
              <w:spacing w:before="91" w:line="221" w:lineRule="auto"/>
              <w:rPr/>
            </w:pPr>
            <w:r>
              <w:rPr>
                <w:spacing w:val="8"/>
              </w:rPr>
              <w:t>县级</w:t>
            </w:r>
          </w:p>
        </w:tc>
      </w:tr>
      <w:tr>
        <w:trPr>
          <w:trHeight w:val="1692" w:hRule="atLeast"/>
        </w:trPr>
        <w:tc>
          <w:tcPr>
            <w:tcW w:w="1035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91" w:line="241" w:lineRule="auto"/>
              <w:rPr/>
            </w:pPr>
            <w:r>
              <w:rPr>
                <w:spacing w:val="-8"/>
              </w:rPr>
              <w:t>11</w:t>
            </w:r>
          </w:p>
        </w:tc>
        <w:tc>
          <w:tcPr>
            <w:tcW w:w="3598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217"/>
              <w:spacing w:before="91" w:line="215" w:lineRule="auto"/>
              <w:rPr/>
            </w:pPr>
            <w:r>
              <w:rPr>
                <w:color w:val="202040"/>
              </w:rPr>
              <w:t>对建设、</w:t>
            </w:r>
            <w:r>
              <w:rPr/>
              <w:t>使用公共安全视频</w:t>
            </w:r>
            <w:r>
              <w:rPr>
                <w:spacing w:val="9"/>
              </w:rPr>
              <w:t xml:space="preserve"> </w:t>
            </w:r>
            <w:r>
              <w:rPr/>
              <w:t>图像信息系统实施监督管理</w:t>
            </w:r>
          </w:p>
        </w:tc>
        <w:tc>
          <w:tcPr>
            <w:tcW w:w="9175" w:type="dxa"/>
            <w:vAlign w:val="top"/>
          </w:tcPr>
          <w:p>
            <w:pPr>
              <w:pStyle w:val="TableText"/>
              <w:ind w:left="12" w:right="139" w:firstLine="309"/>
              <w:spacing w:before="218" w:line="234" w:lineRule="auto"/>
              <w:jc w:val="both"/>
              <w:rPr/>
            </w:pPr>
            <w:r>
              <w:rPr>
                <w:color w:val="202040"/>
              </w:rPr>
              <w:t>《公共安全视频图像信息系统管理</w:t>
            </w:r>
            <w:r>
              <w:rPr/>
              <w:t>条例》第五条国务院公安部门负责全</w:t>
            </w:r>
            <w:r>
              <w:rPr>
                <w:spacing w:val="12"/>
              </w:rPr>
              <w:t xml:space="preserve"> </w:t>
            </w:r>
            <w:r>
              <w:rPr/>
              <w:t>国公共安全视频系统建设、使用的指导和监督管理工作。第二十四条公安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机关对公共安全视频系统的建设、使用情况实</w:t>
            </w:r>
            <w:r>
              <w:rPr>
                <w:spacing w:val="1"/>
              </w:rPr>
              <w:t>施监督检查，有关单位或者</w:t>
            </w:r>
            <w:r>
              <w:rPr/>
              <w:t xml:space="preserve"> </w:t>
            </w:r>
            <w:r>
              <w:rPr/>
              <w:t>个人应当予以协助、配合。</w:t>
            </w:r>
          </w:p>
        </w:tc>
        <w:tc>
          <w:tcPr>
            <w:tcW w:w="1539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7"/>
              <w:spacing w:before="91" w:line="219" w:lineRule="auto"/>
              <w:rPr/>
            </w:pPr>
            <w:r>
              <w:rPr>
                <w:spacing w:val="3"/>
              </w:rPr>
              <w:t>公安机关</w:t>
            </w:r>
          </w:p>
        </w:tc>
        <w:tc>
          <w:tcPr>
            <w:tcW w:w="1729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8"/>
              <w:spacing w:before="91" w:line="219" w:lineRule="auto"/>
              <w:rPr/>
            </w:pPr>
            <w:r>
              <w:rPr>
                <w:spacing w:val="3"/>
              </w:rPr>
              <w:t>省级、市级</w:t>
            </w:r>
          </w:p>
          <w:p>
            <w:pPr>
              <w:pStyle w:val="TableText"/>
              <w:ind w:left="158"/>
              <w:spacing w:before="11" w:line="221" w:lineRule="auto"/>
              <w:rPr/>
            </w:pPr>
            <w:r>
              <w:rPr/>
              <w:t>、县级和公</w:t>
            </w:r>
          </w:p>
          <w:p>
            <w:pPr>
              <w:pStyle w:val="TableText"/>
              <w:ind w:left="298"/>
              <w:spacing w:before="11" w:line="220" w:lineRule="auto"/>
              <w:rPr/>
            </w:pPr>
            <w:r>
              <w:rPr>
                <w:spacing w:val="2"/>
              </w:rPr>
              <w:t>安派出所</w:t>
            </w:r>
          </w:p>
        </w:tc>
        <w:tc>
          <w:tcPr>
            <w:tcW w:w="1724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8" w:right="138" w:hanging="280"/>
              <w:spacing w:before="91" w:line="233" w:lineRule="auto"/>
              <w:rPr/>
            </w:pPr>
            <w:r>
              <w:rPr>
                <w:spacing w:val="3"/>
              </w:rPr>
              <w:t>县级和公安</w:t>
            </w:r>
            <w:r>
              <w:rPr/>
              <w:t xml:space="preserve"> </w:t>
            </w:r>
            <w:r>
              <w:rPr>
                <w:spacing w:val="3"/>
              </w:rPr>
              <w:t>派出所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23380" w:h="16530"/>
      <w:pgMar w:top="404" w:right="2734" w:bottom="0" w:left="183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2026-04-02T15:54:50Z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2026-04-02T15:54:51</vt:filetime>
  </property>
  <property fmtid="{D5CDD505-2E9C-101B-9397-08002B2CF9AE}" pid="4" name="UsrData">
    <vt:lpwstr>69ce20c88b072f001f230dc0wl</vt:lpwstr>
  </property>
</Properties>
</file>