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58E55">
      <w:pPr>
        <w:pStyle w:val="2"/>
        <w:keepNext w:val="0"/>
        <w:keepLines w:val="0"/>
        <w:widowControl/>
        <w:suppressLineNumbers w:val="0"/>
        <w:pBdr>
          <w:bottom w:val="none" w:color="auto" w:sz="0" w:space="0"/>
        </w:pBdr>
        <w:shd w:val="clear" w:color="auto" w:fill="F5F5F5"/>
        <w:spacing w:before="180" w:beforeAutospacing="0" w:after="60" w:afterAutospacing="0" w:line="360" w:lineRule="atLeast"/>
        <w:ind w:left="0" w:right="0" w:firstLine="0"/>
        <w:jc w:val="center"/>
        <w:rPr>
          <w:rFonts w:ascii="Segoe UI" w:hAnsi="Segoe UI" w:eastAsia="Segoe UI" w:cs="Segoe UI"/>
          <w:b/>
          <w:bCs/>
          <w:i w:val="0"/>
          <w:iCs w:val="0"/>
          <w:caps w:val="0"/>
          <w:color w:val="000000"/>
          <w:spacing w:val="0"/>
          <w:sz w:val="48"/>
          <w:szCs w:val="48"/>
        </w:rPr>
      </w:pPr>
      <w:r>
        <w:rPr>
          <w:rFonts w:hint="eastAsia" w:ascii="Segoe UI" w:hAnsi="Segoe UI" w:cs="Segoe UI"/>
          <w:b/>
          <w:bCs/>
          <w:i w:val="0"/>
          <w:iCs w:val="0"/>
          <w:caps w:val="0"/>
          <w:color w:val="000000"/>
          <w:spacing w:val="0"/>
          <w:sz w:val="48"/>
          <w:szCs w:val="48"/>
          <w:shd w:val="clear" w:color="auto" w:fill="F5F5F5"/>
          <w:lang w:val="en-US" w:eastAsia="zh-CN"/>
        </w:rPr>
        <w:t>野三坡景区管委会</w:t>
      </w:r>
      <w:r>
        <w:rPr>
          <w:rFonts w:hint="default" w:ascii="Segoe UI" w:hAnsi="Segoe UI" w:eastAsia="Segoe UI" w:cs="Segoe UI"/>
          <w:b/>
          <w:bCs/>
          <w:i w:val="0"/>
          <w:iCs w:val="0"/>
          <w:caps w:val="0"/>
          <w:color w:val="000000"/>
          <w:spacing w:val="0"/>
          <w:sz w:val="48"/>
          <w:szCs w:val="48"/>
          <w:shd w:val="clear" w:color="auto" w:fill="F5F5F5"/>
        </w:rPr>
        <w:t>涉企行政检查事项清单</w:t>
      </w:r>
    </w:p>
    <w:p w14:paraId="7D776A48">
      <w:pPr>
        <w:keepNext w:val="0"/>
        <w:keepLines w:val="0"/>
        <w:widowControl/>
        <w:suppressLineNumbers w:val="0"/>
        <w:jc w:val="left"/>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06"/>
        <w:gridCol w:w="1091"/>
        <w:gridCol w:w="3070"/>
        <w:gridCol w:w="5926"/>
        <w:gridCol w:w="1800"/>
        <w:gridCol w:w="1830"/>
      </w:tblGrid>
      <w:tr w14:paraId="655C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1" w:hRule="atLeast"/>
          <w:tblHeader/>
        </w:trPr>
        <w:tc>
          <w:tcPr>
            <w:tcW w:w="706" w:type="dxa"/>
            <w:noWrap w:val="0"/>
            <w:tcMar>
              <w:top w:w="180" w:type="dxa"/>
              <w:left w:w="270" w:type="dxa"/>
              <w:bottom w:w="180" w:type="dxa"/>
              <w:right w:w="270" w:type="dxa"/>
            </w:tcMar>
            <w:vAlign w:val="center"/>
          </w:tcPr>
          <w:p w14:paraId="7414A8C2">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1091" w:type="dxa"/>
            <w:noWrap w:val="0"/>
            <w:tcMar>
              <w:top w:w="180" w:type="dxa"/>
              <w:left w:w="270" w:type="dxa"/>
              <w:bottom w:w="180" w:type="dxa"/>
              <w:right w:w="270" w:type="dxa"/>
            </w:tcMar>
            <w:vAlign w:val="center"/>
          </w:tcPr>
          <w:p w14:paraId="5DCF1DB5">
            <w:pPr>
              <w:keepNext w:val="0"/>
              <w:keepLines w:val="0"/>
              <w:widowControl/>
              <w:suppressLineNumbers w:val="0"/>
              <w:jc w:val="center"/>
              <w:rPr>
                <w:b/>
                <w:bCs/>
              </w:rPr>
            </w:pPr>
            <w:r>
              <w:rPr>
                <w:rFonts w:ascii="宋体" w:hAnsi="宋体" w:eastAsia="宋体" w:cs="宋体"/>
                <w:b/>
                <w:bCs/>
                <w:kern w:val="0"/>
                <w:sz w:val="24"/>
                <w:szCs w:val="24"/>
                <w:lang w:val="en-US" w:eastAsia="zh-CN" w:bidi="ar"/>
              </w:rPr>
              <w:t>检查事项</w:t>
            </w:r>
          </w:p>
        </w:tc>
        <w:tc>
          <w:tcPr>
            <w:tcW w:w="3070" w:type="dxa"/>
            <w:noWrap w:val="0"/>
            <w:tcMar>
              <w:top w:w="180" w:type="dxa"/>
              <w:left w:w="270" w:type="dxa"/>
              <w:bottom w:w="180" w:type="dxa"/>
              <w:right w:w="270" w:type="dxa"/>
            </w:tcMar>
            <w:vAlign w:val="center"/>
          </w:tcPr>
          <w:p w14:paraId="07E3ED57">
            <w:pPr>
              <w:keepNext w:val="0"/>
              <w:keepLines w:val="0"/>
              <w:widowControl/>
              <w:suppressLineNumbers w:val="0"/>
              <w:jc w:val="center"/>
              <w:rPr>
                <w:b/>
                <w:bCs/>
              </w:rPr>
            </w:pPr>
            <w:r>
              <w:rPr>
                <w:rFonts w:ascii="宋体" w:hAnsi="宋体" w:eastAsia="宋体" w:cs="宋体"/>
                <w:b/>
                <w:bCs/>
                <w:kern w:val="0"/>
                <w:sz w:val="24"/>
                <w:szCs w:val="24"/>
                <w:lang w:val="en-US" w:eastAsia="zh-CN" w:bidi="ar"/>
              </w:rPr>
              <w:t>检查内容</w:t>
            </w:r>
          </w:p>
        </w:tc>
        <w:tc>
          <w:tcPr>
            <w:tcW w:w="5926" w:type="dxa"/>
            <w:noWrap w:val="0"/>
            <w:tcMar>
              <w:top w:w="180" w:type="dxa"/>
              <w:left w:w="270" w:type="dxa"/>
              <w:bottom w:w="180" w:type="dxa"/>
              <w:right w:w="270" w:type="dxa"/>
            </w:tcMar>
            <w:vAlign w:val="center"/>
          </w:tcPr>
          <w:p w14:paraId="63941E2B">
            <w:pPr>
              <w:keepNext w:val="0"/>
              <w:keepLines w:val="0"/>
              <w:widowControl/>
              <w:suppressLineNumbers w:val="0"/>
              <w:jc w:val="center"/>
              <w:rPr>
                <w:b/>
                <w:bCs/>
              </w:rPr>
            </w:pPr>
            <w:r>
              <w:rPr>
                <w:rFonts w:ascii="宋体" w:hAnsi="宋体" w:eastAsia="宋体" w:cs="宋体"/>
                <w:b/>
                <w:bCs/>
                <w:kern w:val="0"/>
                <w:sz w:val="24"/>
                <w:szCs w:val="24"/>
                <w:lang w:val="en-US" w:eastAsia="zh-CN" w:bidi="ar"/>
              </w:rPr>
              <w:t>检查依据</w:t>
            </w:r>
          </w:p>
        </w:tc>
        <w:tc>
          <w:tcPr>
            <w:tcW w:w="1800" w:type="dxa"/>
            <w:noWrap w:val="0"/>
            <w:tcMar>
              <w:top w:w="180" w:type="dxa"/>
              <w:left w:w="270" w:type="dxa"/>
              <w:bottom w:w="180" w:type="dxa"/>
              <w:right w:w="270" w:type="dxa"/>
            </w:tcMar>
            <w:vAlign w:val="center"/>
          </w:tcPr>
          <w:p w14:paraId="1BA5C516">
            <w:pPr>
              <w:keepNext w:val="0"/>
              <w:keepLines w:val="0"/>
              <w:widowControl/>
              <w:suppressLineNumbers w:val="0"/>
              <w:jc w:val="center"/>
              <w:rPr>
                <w:b/>
                <w:bCs/>
              </w:rPr>
            </w:pPr>
            <w:r>
              <w:rPr>
                <w:rFonts w:ascii="宋体" w:hAnsi="宋体" w:eastAsia="宋体" w:cs="宋体"/>
                <w:b/>
                <w:bCs/>
                <w:kern w:val="0"/>
                <w:sz w:val="24"/>
                <w:szCs w:val="24"/>
                <w:lang w:val="en-US" w:eastAsia="zh-CN" w:bidi="ar"/>
              </w:rPr>
              <w:t>检查方式</w:t>
            </w:r>
          </w:p>
        </w:tc>
        <w:tc>
          <w:tcPr>
            <w:tcW w:w="1830" w:type="dxa"/>
            <w:noWrap w:val="0"/>
            <w:tcMar>
              <w:top w:w="180" w:type="dxa"/>
              <w:left w:w="270" w:type="dxa"/>
              <w:bottom w:w="180" w:type="dxa"/>
              <w:right w:w="270" w:type="dxa"/>
            </w:tcMar>
            <w:vAlign w:val="center"/>
          </w:tcPr>
          <w:p w14:paraId="08937ED3">
            <w:pPr>
              <w:keepNext w:val="0"/>
              <w:keepLines w:val="0"/>
              <w:widowControl/>
              <w:suppressLineNumbers w:val="0"/>
              <w:jc w:val="center"/>
              <w:rPr>
                <w:b/>
                <w:bCs/>
              </w:rPr>
            </w:pPr>
            <w:r>
              <w:rPr>
                <w:rFonts w:ascii="宋体" w:hAnsi="宋体" w:eastAsia="宋体" w:cs="宋体"/>
                <w:b/>
                <w:bCs/>
                <w:kern w:val="0"/>
                <w:sz w:val="24"/>
                <w:szCs w:val="24"/>
                <w:lang w:val="en-US" w:eastAsia="zh-CN" w:bidi="ar"/>
              </w:rPr>
              <w:t>检查</w:t>
            </w:r>
            <w:r>
              <w:rPr>
                <w:rFonts w:hint="eastAsia" w:ascii="宋体" w:hAnsi="宋体" w:eastAsia="宋体" w:cs="宋体"/>
                <w:b/>
                <w:bCs/>
                <w:kern w:val="0"/>
                <w:sz w:val="24"/>
                <w:szCs w:val="24"/>
                <w:lang w:val="en-US" w:eastAsia="zh-CN" w:bidi="ar"/>
              </w:rPr>
              <w:t>科室</w:t>
            </w:r>
          </w:p>
        </w:tc>
      </w:tr>
      <w:tr w14:paraId="2085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63" w:hRule="atLeast"/>
        </w:trPr>
        <w:tc>
          <w:tcPr>
            <w:tcW w:w="706" w:type="dxa"/>
            <w:noWrap w:val="0"/>
            <w:tcMar>
              <w:top w:w="180" w:type="dxa"/>
              <w:left w:w="270" w:type="dxa"/>
              <w:bottom w:w="180" w:type="dxa"/>
              <w:right w:w="270" w:type="dxa"/>
            </w:tcMar>
            <w:vAlign w:val="center"/>
          </w:tcPr>
          <w:p w14:paraId="13B9A353">
            <w:pPr>
              <w:keepNext w:val="0"/>
              <w:keepLines w:val="0"/>
              <w:widowControl/>
              <w:suppressLineNumbers w:val="0"/>
              <w:jc w:val="left"/>
            </w:pPr>
            <w:r>
              <w:rPr>
                <w:rFonts w:ascii="宋体" w:hAnsi="宋体" w:eastAsia="宋体" w:cs="宋体"/>
                <w:kern w:val="0"/>
                <w:sz w:val="24"/>
                <w:szCs w:val="24"/>
                <w:lang w:val="en-US" w:eastAsia="zh-CN" w:bidi="ar"/>
              </w:rPr>
              <w:t>1</w:t>
            </w:r>
          </w:p>
        </w:tc>
        <w:tc>
          <w:tcPr>
            <w:tcW w:w="1091" w:type="dxa"/>
            <w:noWrap w:val="0"/>
            <w:tcMar>
              <w:top w:w="180" w:type="dxa"/>
              <w:left w:w="270" w:type="dxa"/>
              <w:bottom w:w="180" w:type="dxa"/>
              <w:right w:w="270" w:type="dxa"/>
            </w:tcMar>
            <w:vAlign w:val="center"/>
          </w:tcPr>
          <w:p w14:paraId="122871AB">
            <w:pPr>
              <w:keepNext w:val="0"/>
              <w:keepLines w:val="0"/>
              <w:widowControl/>
              <w:suppressLineNumbers w:val="0"/>
              <w:jc w:val="left"/>
            </w:pPr>
            <w:r>
              <w:rPr>
                <w:rFonts w:ascii="宋体" w:hAnsi="宋体" w:eastAsia="宋体" w:cs="宋体"/>
                <w:kern w:val="0"/>
                <w:sz w:val="24"/>
                <w:szCs w:val="24"/>
                <w:lang w:val="en-US" w:eastAsia="zh-CN" w:bidi="ar"/>
              </w:rPr>
              <w:t>规划建设检查</w:t>
            </w:r>
          </w:p>
        </w:tc>
        <w:tc>
          <w:tcPr>
            <w:tcW w:w="3070" w:type="dxa"/>
            <w:noWrap w:val="0"/>
            <w:tcMar>
              <w:top w:w="180" w:type="dxa"/>
              <w:left w:w="270" w:type="dxa"/>
              <w:bottom w:w="180" w:type="dxa"/>
              <w:right w:w="270" w:type="dxa"/>
            </w:tcMar>
            <w:vAlign w:val="center"/>
          </w:tcPr>
          <w:p w14:paraId="0B183886">
            <w:pPr>
              <w:keepNext w:val="0"/>
              <w:keepLines w:val="0"/>
              <w:widowControl/>
              <w:suppressLineNumbers w:val="0"/>
              <w:jc w:val="left"/>
            </w:pPr>
            <w:r>
              <w:rPr>
                <w:rFonts w:ascii="宋体" w:hAnsi="宋体" w:eastAsia="宋体" w:cs="宋体"/>
                <w:kern w:val="0"/>
                <w:sz w:val="24"/>
                <w:szCs w:val="24"/>
                <w:lang w:val="en-US" w:eastAsia="zh-CN" w:bidi="ar"/>
              </w:rPr>
              <w:t>1. 建设项目是否取得风景名胜区规划许可及相关审批文件，审批手续是否齐全合规。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项目建设内容、规模、选址等是否与获批的规划设计方案一致，有无擅自变更、超范围建设情况。</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 建筑物、构筑物的风格、高度、色彩等是否与风景名胜区整体风貌相协调。</w:t>
            </w:r>
          </w:p>
        </w:tc>
        <w:tc>
          <w:tcPr>
            <w:tcW w:w="5926" w:type="dxa"/>
            <w:noWrap w:val="0"/>
            <w:tcMar>
              <w:top w:w="180" w:type="dxa"/>
              <w:left w:w="270" w:type="dxa"/>
              <w:bottom w:w="180" w:type="dxa"/>
              <w:right w:w="270" w:type="dxa"/>
            </w:tcMar>
            <w:vAlign w:val="center"/>
          </w:tcPr>
          <w:p w14:paraId="2E2C1F67">
            <w:pPr>
              <w:keepNext w:val="0"/>
              <w:keepLines w:val="0"/>
              <w:widowControl/>
              <w:suppressLineNumbers w:val="0"/>
              <w:jc w:val="left"/>
            </w:pPr>
            <w:r>
              <w:rPr>
                <w:rFonts w:ascii="宋体" w:hAnsi="宋体" w:eastAsia="宋体" w:cs="宋体"/>
                <w:kern w:val="0"/>
                <w:sz w:val="24"/>
                <w:szCs w:val="24"/>
                <w:lang w:val="en-US" w:eastAsia="zh-CN" w:bidi="ar"/>
              </w:rPr>
              <w:t>《风景名胜区条例》第二十七条：禁止违反风景名胜区规划，在风景名胜区内设立各类开发区和在核心景区内建设宾馆、招待所、培训中心、疗养院以及与风景名胜资源保护无关的其他建筑物；已经建设的，应当按照风景名胜区规划，逐步迁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第二十八条：在风景名胜区内从事本条例第二十六条、第二十七条禁止范围以外的建设活动，应当经风景名胜区管理机构审核后，依照有关法律、法规的规定办理审批手续。</w:t>
            </w:r>
          </w:p>
        </w:tc>
        <w:tc>
          <w:tcPr>
            <w:tcW w:w="1800" w:type="dxa"/>
            <w:noWrap w:val="0"/>
            <w:tcMar>
              <w:top w:w="180" w:type="dxa"/>
              <w:left w:w="270" w:type="dxa"/>
              <w:bottom w:w="180" w:type="dxa"/>
              <w:right w:w="270" w:type="dxa"/>
            </w:tcMar>
            <w:vAlign w:val="center"/>
          </w:tcPr>
          <w:p w14:paraId="5DB3D969">
            <w:pPr>
              <w:keepNext w:val="0"/>
              <w:keepLines w:val="0"/>
              <w:widowControl/>
              <w:suppressLineNumbers w:val="0"/>
              <w:jc w:val="left"/>
            </w:pPr>
            <w:r>
              <w:rPr>
                <w:rFonts w:ascii="宋体" w:hAnsi="宋体" w:eastAsia="宋体" w:cs="宋体"/>
                <w:kern w:val="0"/>
                <w:sz w:val="24"/>
                <w:szCs w:val="24"/>
                <w:lang w:val="en-US" w:eastAsia="zh-CN" w:bidi="ar"/>
              </w:rPr>
              <w:t>现场查看建设项目档案资料、实地勘查项目建设现场</w:t>
            </w:r>
          </w:p>
        </w:tc>
        <w:tc>
          <w:tcPr>
            <w:tcW w:w="1830" w:type="dxa"/>
            <w:noWrap w:val="0"/>
            <w:tcMar>
              <w:top w:w="180" w:type="dxa"/>
              <w:left w:w="270" w:type="dxa"/>
              <w:bottom w:w="180" w:type="dxa"/>
              <w:right w:w="270" w:type="dxa"/>
            </w:tcMar>
            <w:vAlign w:val="center"/>
          </w:tcPr>
          <w:p w14:paraId="37F8808F">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综合执法科</w:t>
            </w:r>
          </w:p>
          <w:p w14:paraId="313C9221">
            <w:pPr>
              <w:keepNext w:val="0"/>
              <w:keepLines w:val="0"/>
              <w:widowControl/>
              <w:suppressLineNumbers w:val="0"/>
              <w:jc w:val="left"/>
              <w:rPr>
                <w:rFonts w:hint="eastAsia" w:ascii="宋体" w:hAnsi="宋体" w:eastAsia="宋体" w:cs="宋体"/>
                <w:kern w:val="0"/>
                <w:sz w:val="24"/>
                <w:szCs w:val="24"/>
                <w:lang w:val="en-US" w:eastAsia="zh-CN" w:bidi="ar"/>
              </w:rPr>
            </w:pPr>
          </w:p>
          <w:p w14:paraId="05F05CC2">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规划建设科</w:t>
            </w:r>
          </w:p>
        </w:tc>
      </w:tr>
      <w:tr w14:paraId="71BF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7" w:hRule="atLeast"/>
        </w:trPr>
        <w:tc>
          <w:tcPr>
            <w:tcW w:w="706" w:type="dxa"/>
            <w:noWrap w:val="0"/>
            <w:tcMar>
              <w:top w:w="180" w:type="dxa"/>
              <w:left w:w="270" w:type="dxa"/>
              <w:bottom w:w="180" w:type="dxa"/>
              <w:right w:w="270" w:type="dxa"/>
            </w:tcMar>
            <w:vAlign w:val="center"/>
          </w:tcPr>
          <w:p w14:paraId="7A1F3E06">
            <w:pPr>
              <w:keepNext w:val="0"/>
              <w:keepLines w:val="0"/>
              <w:widowControl/>
              <w:suppressLineNumbers w:val="0"/>
              <w:jc w:val="left"/>
            </w:pPr>
            <w:r>
              <w:rPr>
                <w:rFonts w:ascii="宋体" w:hAnsi="宋体" w:eastAsia="宋体" w:cs="宋体"/>
                <w:kern w:val="0"/>
                <w:sz w:val="24"/>
                <w:szCs w:val="24"/>
                <w:lang w:val="en-US" w:eastAsia="zh-CN" w:bidi="ar"/>
              </w:rPr>
              <w:t>2</w:t>
            </w:r>
          </w:p>
        </w:tc>
        <w:tc>
          <w:tcPr>
            <w:tcW w:w="1091" w:type="dxa"/>
            <w:noWrap w:val="0"/>
            <w:tcMar>
              <w:top w:w="180" w:type="dxa"/>
              <w:left w:w="270" w:type="dxa"/>
              <w:bottom w:w="180" w:type="dxa"/>
              <w:right w:w="270" w:type="dxa"/>
            </w:tcMar>
            <w:vAlign w:val="center"/>
          </w:tcPr>
          <w:p w14:paraId="2A72B4CC">
            <w:pPr>
              <w:keepNext w:val="0"/>
              <w:keepLines w:val="0"/>
              <w:widowControl/>
              <w:suppressLineNumbers w:val="0"/>
              <w:jc w:val="left"/>
            </w:pPr>
            <w:r>
              <w:rPr>
                <w:rFonts w:ascii="宋体" w:hAnsi="宋体" w:eastAsia="宋体" w:cs="宋体"/>
                <w:kern w:val="0"/>
                <w:sz w:val="24"/>
                <w:szCs w:val="24"/>
                <w:lang w:val="en-US" w:eastAsia="zh-CN" w:bidi="ar"/>
              </w:rPr>
              <w:t>资源保护检查</w:t>
            </w:r>
          </w:p>
        </w:tc>
        <w:tc>
          <w:tcPr>
            <w:tcW w:w="3070" w:type="dxa"/>
            <w:noWrap w:val="0"/>
            <w:tcMar>
              <w:top w:w="180" w:type="dxa"/>
              <w:left w:w="270" w:type="dxa"/>
              <w:bottom w:w="180" w:type="dxa"/>
              <w:right w:w="270" w:type="dxa"/>
            </w:tcMar>
            <w:vAlign w:val="center"/>
          </w:tcPr>
          <w:p w14:paraId="00CE589D">
            <w:pPr>
              <w:keepNext w:val="0"/>
              <w:keepLines w:val="0"/>
              <w:widowControl/>
              <w:suppressLineNumbers w:val="0"/>
              <w:jc w:val="left"/>
            </w:pP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 有无破坏、损毁资源的行为，包括非法采矿、挖沙、取土、砍伐树木、破坏文物等。</w:t>
            </w:r>
            <w:r>
              <w:rPr>
                <w:rFonts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 企业是否按照规定对资源进行合理开发利用，有无过度开发导致资源受损情况。</w:t>
            </w:r>
          </w:p>
        </w:tc>
        <w:tc>
          <w:tcPr>
            <w:tcW w:w="5926" w:type="dxa"/>
            <w:noWrap w:val="0"/>
            <w:tcMar>
              <w:top w:w="180" w:type="dxa"/>
              <w:left w:w="270" w:type="dxa"/>
              <w:bottom w:w="180" w:type="dxa"/>
              <w:right w:w="270" w:type="dxa"/>
            </w:tcMar>
            <w:vAlign w:val="center"/>
          </w:tcPr>
          <w:p w14:paraId="5DFD2EE0">
            <w:pPr>
              <w:keepNext w:val="0"/>
              <w:keepLines w:val="0"/>
              <w:widowControl/>
              <w:suppressLineNumbers w:val="0"/>
              <w:jc w:val="left"/>
            </w:pPr>
            <w:r>
              <w:rPr>
                <w:rFonts w:ascii="宋体" w:hAnsi="宋体" w:eastAsia="宋体" w:cs="宋体"/>
                <w:kern w:val="0"/>
                <w:sz w:val="24"/>
                <w:szCs w:val="24"/>
                <w:lang w:val="en-US" w:eastAsia="zh-CN" w:bidi="ar"/>
              </w:rPr>
              <w:t>《风景名胜区条例》第二十六条：在风景名胜区内禁止进行下列活动：（一）开山、采石、开矿、开荒、修坟立碑等破坏景观、植被和地形地貌的活动；（二）修建储存爆炸性、易燃性、放射性、毒害性、腐蚀性物品的设施；（三）在景物或者设施上刻划、涂污；（四）乱扔垃圾。</w:t>
            </w:r>
          </w:p>
        </w:tc>
        <w:tc>
          <w:tcPr>
            <w:tcW w:w="1800" w:type="dxa"/>
            <w:noWrap w:val="0"/>
            <w:tcMar>
              <w:top w:w="180" w:type="dxa"/>
              <w:left w:w="270" w:type="dxa"/>
              <w:bottom w:w="180" w:type="dxa"/>
              <w:right w:w="270" w:type="dxa"/>
            </w:tcMar>
            <w:vAlign w:val="center"/>
          </w:tcPr>
          <w:p w14:paraId="05118206">
            <w:pPr>
              <w:keepNext w:val="0"/>
              <w:keepLines w:val="0"/>
              <w:widowControl/>
              <w:suppressLineNumbers w:val="0"/>
              <w:jc w:val="left"/>
            </w:pPr>
            <w:r>
              <w:rPr>
                <w:rFonts w:ascii="宋体" w:hAnsi="宋体" w:eastAsia="宋体" w:cs="宋体"/>
                <w:kern w:val="0"/>
                <w:sz w:val="24"/>
                <w:szCs w:val="24"/>
                <w:lang w:val="en-US" w:eastAsia="zh-CN" w:bidi="ar"/>
              </w:rPr>
              <w:t>实地巡查、查阅资源保护记录和报告、走访周边群众了解情况</w:t>
            </w:r>
          </w:p>
        </w:tc>
        <w:tc>
          <w:tcPr>
            <w:tcW w:w="1830" w:type="dxa"/>
            <w:noWrap w:val="0"/>
            <w:tcMar>
              <w:top w:w="180" w:type="dxa"/>
              <w:left w:w="270" w:type="dxa"/>
              <w:bottom w:w="180" w:type="dxa"/>
              <w:right w:w="270" w:type="dxa"/>
            </w:tcMar>
            <w:vAlign w:val="center"/>
          </w:tcPr>
          <w:p w14:paraId="6FBDB140">
            <w:pPr>
              <w:keepNext w:val="0"/>
              <w:keepLines w:val="0"/>
              <w:widowControl/>
              <w:suppressLineNumbers w:val="0"/>
              <w:jc w:val="left"/>
            </w:pPr>
            <w:r>
              <w:rPr>
                <w:rFonts w:hint="eastAsia" w:ascii="宋体" w:hAnsi="宋体" w:eastAsia="宋体" w:cs="宋体"/>
                <w:kern w:val="0"/>
                <w:sz w:val="24"/>
                <w:szCs w:val="24"/>
                <w:lang w:val="en-US" w:eastAsia="zh-CN" w:bidi="ar"/>
              </w:rPr>
              <w:t>综合执法科</w:t>
            </w:r>
          </w:p>
        </w:tc>
      </w:tr>
      <w:tr w14:paraId="7EA6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06" w:type="dxa"/>
            <w:noWrap w:val="0"/>
            <w:tcMar>
              <w:top w:w="180" w:type="dxa"/>
              <w:left w:w="270" w:type="dxa"/>
              <w:bottom w:w="180" w:type="dxa"/>
              <w:right w:w="270" w:type="dxa"/>
            </w:tcMar>
            <w:vAlign w:val="center"/>
          </w:tcPr>
          <w:p w14:paraId="5D228490">
            <w:pPr>
              <w:keepNext w:val="0"/>
              <w:keepLines w:val="0"/>
              <w:widowControl/>
              <w:suppressLineNumbers w:val="0"/>
              <w:jc w:val="left"/>
            </w:pPr>
            <w:r>
              <w:rPr>
                <w:rFonts w:ascii="宋体" w:hAnsi="宋体" w:eastAsia="宋体" w:cs="宋体"/>
                <w:kern w:val="0"/>
                <w:sz w:val="24"/>
                <w:szCs w:val="24"/>
                <w:lang w:val="en-US" w:eastAsia="zh-CN" w:bidi="ar"/>
              </w:rPr>
              <w:t>3</w:t>
            </w:r>
          </w:p>
        </w:tc>
        <w:tc>
          <w:tcPr>
            <w:tcW w:w="1091" w:type="dxa"/>
            <w:noWrap w:val="0"/>
            <w:tcMar>
              <w:top w:w="180" w:type="dxa"/>
              <w:left w:w="270" w:type="dxa"/>
              <w:bottom w:w="180" w:type="dxa"/>
              <w:right w:w="270" w:type="dxa"/>
            </w:tcMar>
            <w:vAlign w:val="center"/>
          </w:tcPr>
          <w:p w14:paraId="32D7BC84">
            <w:pPr>
              <w:keepNext w:val="0"/>
              <w:keepLines w:val="0"/>
              <w:widowControl/>
              <w:suppressLineNumbers w:val="0"/>
              <w:jc w:val="left"/>
            </w:pPr>
            <w:r>
              <w:rPr>
                <w:rFonts w:ascii="宋体" w:hAnsi="宋体" w:eastAsia="宋体" w:cs="宋体"/>
                <w:kern w:val="0"/>
                <w:sz w:val="24"/>
                <w:szCs w:val="24"/>
                <w:lang w:val="en-US" w:eastAsia="zh-CN" w:bidi="ar"/>
              </w:rPr>
              <w:t>环境卫生检查</w:t>
            </w:r>
          </w:p>
        </w:tc>
        <w:tc>
          <w:tcPr>
            <w:tcW w:w="3070" w:type="dxa"/>
            <w:noWrap w:val="0"/>
            <w:tcMar>
              <w:top w:w="180" w:type="dxa"/>
              <w:left w:w="270" w:type="dxa"/>
              <w:bottom w:w="180" w:type="dxa"/>
              <w:right w:w="270" w:type="dxa"/>
            </w:tcMar>
            <w:vAlign w:val="center"/>
          </w:tcPr>
          <w:p w14:paraId="02269D95">
            <w:pPr>
              <w:keepNext w:val="0"/>
              <w:keepLines w:val="0"/>
              <w:widowControl/>
              <w:numPr>
                <w:ilvl w:val="0"/>
                <w:numId w:val="1"/>
              </w:numPr>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景区内道路是否保持整洁，有无杂物堆积、污水横流现象。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景区内垃圾收集容器设置是否合理，是否及时清理转运垃圾。</w:t>
            </w:r>
          </w:p>
          <w:p w14:paraId="42487E62">
            <w:pPr>
              <w:keepNext w:val="0"/>
              <w:keepLines w:val="0"/>
              <w:widowControl/>
              <w:numPr>
                <w:ilvl w:val="0"/>
                <w:numId w:val="0"/>
              </w:numPr>
              <w:suppressLineNumbers w:val="0"/>
              <w:ind w:left="0" w:leftChars="0" w:firstLine="0" w:firstLineChars="0"/>
              <w:jc w:val="left"/>
            </w:pPr>
            <w:r>
              <w:rPr>
                <w:rFonts w:ascii="宋体" w:hAnsi="宋体" w:eastAsia="宋体" w:cs="宋体"/>
                <w:kern w:val="0"/>
                <w:sz w:val="24"/>
                <w:szCs w:val="24"/>
                <w:lang w:val="en-US" w:eastAsia="zh-CN" w:bidi="ar"/>
              </w:rPr>
              <w:t>3.企业经营活动中垃圾处理是否规范，是否做到分类收集、及时清运，有无垃圾堆积、随意倾倒情况。</w:t>
            </w:r>
          </w:p>
        </w:tc>
        <w:tc>
          <w:tcPr>
            <w:tcW w:w="5926" w:type="dxa"/>
            <w:noWrap w:val="0"/>
            <w:tcMar>
              <w:top w:w="180" w:type="dxa"/>
              <w:left w:w="270" w:type="dxa"/>
              <w:bottom w:w="180" w:type="dxa"/>
              <w:right w:w="270" w:type="dxa"/>
            </w:tcMar>
            <w:vAlign w:val="center"/>
          </w:tcPr>
          <w:p w14:paraId="4D8B8A80">
            <w:pPr>
              <w:bidi w:val="0"/>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《风景名胜区条例》</w:t>
            </w:r>
            <w:r>
              <w:rPr>
                <w:rFonts w:hint="default" w:ascii="宋体" w:hAnsi="宋体" w:eastAsia="宋体" w:cs="宋体"/>
                <w:kern w:val="0"/>
                <w:sz w:val="24"/>
                <w:szCs w:val="24"/>
                <w:lang w:val="en-US" w:eastAsia="zh-CN" w:bidi="ar"/>
              </w:rPr>
              <w:t>第三十条</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风景名胜区内的建设项目应当符合风景名胜区规划，并与景观相协调，不得破坏景观、污染环境、妨碍游览。在风景名胜区内进行建设活动的，建设单位、施工单位应当制定污染防治和水土保持方案，并采取有效措施，保护好周围景物、水体、林草植被、野生动物资源和地形地貌。</w:t>
            </w:r>
          </w:p>
          <w:p w14:paraId="6DE881DF">
            <w:pPr>
              <w:bidi w:val="0"/>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《河北省</w:t>
            </w:r>
            <w:r>
              <w:rPr>
                <w:rFonts w:ascii="宋体" w:hAnsi="宋体" w:eastAsia="宋体" w:cs="宋体"/>
                <w:kern w:val="0"/>
                <w:sz w:val="24"/>
                <w:szCs w:val="24"/>
                <w:lang w:val="en-US" w:eastAsia="zh-CN" w:bidi="ar"/>
              </w:rPr>
              <w:t>风景名胜区条例》</w:t>
            </w:r>
            <w:r>
              <w:rPr>
                <w:sz w:val="24"/>
                <w:szCs w:val="24"/>
              </w:rPr>
              <w:t>第三十二条</w:t>
            </w:r>
            <w:r>
              <w:rPr>
                <w:rFonts w:hint="eastAsia"/>
                <w:sz w:val="24"/>
                <w:szCs w:val="24"/>
                <w:lang w:val="en-US" w:eastAsia="zh-CN"/>
              </w:rPr>
              <w:t>:</w:t>
            </w:r>
            <w:r>
              <w:rPr>
                <w:sz w:val="24"/>
                <w:szCs w:val="24"/>
              </w:rPr>
              <w:t>风景名胜区管理机构应当完善环境卫生设施，及时清理和运输垃圾、粪便，保持风景名胜区的整洁卫生。风景名胜区内的单位以及从事经营活动的个人，应当负责占用范围内的绿化美化和环境卫生。</w:t>
            </w:r>
          </w:p>
        </w:tc>
        <w:tc>
          <w:tcPr>
            <w:tcW w:w="1800" w:type="dxa"/>
            <w:noWrap w:val="0"/>
            <w:tcMar>
              <w:top w:w="180" w:type="dxa"/>
              <w:left w:w="270" w:type="dxa"/>
              <w:bottom w:w="180" w:type="dxa"/>
              <w:right w:w="270" w:type="dxa"/>
            </w:tcMar>
            <w:vAlign w:val="center"/>
          </w:tcPr>
          <w:p w14:paraId="1FD8DEE1">
            <w:pPr>
              <w:keepNext w:val="0"/>
              <w:keepLines w:val="0"/>
              <w:widowControl/>
              <w:suppressLineNumbers w:val="0"/>
              <w:jc w:val="left"/>
            </w:pPr>
            <w:r>
              <w:rPr>
                <w:rFonts w:ascii="宋体" w:hAnsi="宋体" w:eastAsia="宋体" w:cs="宋体"/>
                <w:kern w:val="0"/>
                <w:sz w:val="24"/>
                <w:szCs w:val="24"/>
                <w:lang w:val="en-US" w:eastAsia="zh-CN" w:bidi="ar"/>
              </w:rPr>
              <w:t>实地查看环境卫生状况、询问保洁人员工作情况、检查垃圾处理记录</w:t>
            </w:r>
          </w:p>
        </w:tc>
        <w:tc>
          <w:tcPr>
            <w:tcW w:w="1830" w:type="dxa"/>
            <w:noWrap w:val="0"/>
            <w:tcMar>
              <w:top w:w="180" w:type="dxa"/>
              <w:left w:w="270" w:type="dxa"/>
              <w:bottom w:w="180" w:type="dxa"/>
              <w:right w:w="270" w:type="dxa"/>
            </w:tcMar>
            <w:vAlign w:val="center"/>
          </w:tcPr>
          <w:p w14:paraId="509E8733">
            <w:pPr>
              <w:keepNext w:val="0"/>
              <w:keepLines w:val="0"/>
              <w:widowControl/>
              <w:suppressLineNumbers w:val="0"/>
              <w:jc w:val="left"/>
            </w:pPr>
            <w:r>
              <w:rPr>
                <w:rFonts w:hint="eastAsia" w:ascii="宋体" w:hAnsi="宋体" w:eastAsia="宋体" w:cs="宋体"/>
                <w:kern w:val="0"/>
                <w:sz w:val="24"/>
                <w:szCs w:val="24"/>
                <w:lang w:val="en-US" w:eastAsia="zh-CN" w:bidi="ar"/>
              </w:rPr>
              <w:t>综合执法科</w:t>
            </w:r>
          </w:p>
        </w:tc>
      </w:tr>
      <w:tr w14:paraId="3EDB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06" w:type="dxa"/>
            <w:noWrap w:val="0"/>
            <w:tcMar>
              <w:top w:w="180" w:type="dxa"/>
              <w:left w:w="270" w:type="dxa"/>
              <w:bottom w:w="180" w:type="dxa"/>
              <w:right w:w="270" w:type="dxa"/>
            </w:tcMar>
            <w:vAlign w:val="center"/>
          </w:tcPr>
          <w:p w14:paraId="638C8140">
            <w:pPr>
              <w:keepNext w:val="0"/>
              <w:keepLines w:val="0"/>
              <w:widowControl/>
              <w:suppressLineNumbers w:val="0"/>
              <w:jc w:val="left"/>
            </w:pPr>
            <w:r>
              <w:rPr>
                <w:rFonts w:ascii="宋体" w:hAnsi="宋体" w:eastAsia="宋体" w:cs="宋体"/>
                <w:kern w:val="0"/>
                <w:sz w:val="24"/>
                <w:szCs w:val="24"/>
                <w:lang w:val="en-US" w:eastAsia="zh-CN" w:bidi="ar"/>
              </w:rPr>
              <w:t>4</w:t>
            </w:r>
          </w:p>
        </w:tc>
        <w:tc>
          <w:tcPr>
            <w:tcW w:w="1091" w:type="dxa"/>
            <w:noWrap w:val="0"/>
            <w:tcMar>
              <w:top w:w="180" w:type="dxa"/>
              <w:left w:w="270" w:type="dxa"/>
              <w:bottom w:w="180" w:type="dxa"/>
              <w:right w:w="270" w:type="dxa"/>
            </w:tcMar>
            <w:vAlign w:val="center"/>
          </w:tcPr>
          <w:p w14:paraId="1832791F">
            <w:pPr>
              <w:keepNext w:val="0"/>
              <w:keepLines w:val="0"/>
              <w:widowControl/>
              <w:suppressLineNumbers w:val="0"/>
              <w:jc w:val="left"/>
            </w:pPr>
            <w:r>
              <w:rPr>
                <w:rFonts w:hint="eastAsia" w:ascii="宋体" w:hAnsi="宋体" w:eastAsia="宋体" w:cs="宋体"/>
                <w:kern w:val="0"/>
                <w:sz w:val="24"/>
                <w:szCs w:val="24"/>
                <w:lang w:val="en-US" w:eastAsia="zh-CN" w:bidi="ar"/>
              </w:rPr>
              <w:t>保护措施</w:t>
            </w:r>
            <w:r>
              <w:rPr>
                <w:rFonts w:ascii="宋体" w:hAnsi="宋体" w:eastAsia="宋体" w:cs="宋体"/>
                <w:kern w:val="0"/>
                <w:sz w:val="24"/>
                <w:szCs w:val="24"/>
                <w:lang w:val="en-US" w:eastAsia="zh-CN" w:bidi="ar"/>
              </w:rPr>
              <w:t>检查</w:t>
            </w:r>
          </w:p>
        </w:tc>
        <w:tc>
          <w:tcPr>
            <w:tcW w:w="3070" w:type="dxa"/>
            <w:noWrap w:val="0"/>
            <w:tcMar>
              <w:top w:w="180" w:type="dxa"/>
              <w:left w:w="270" w:type="dxa"/>
              <w:bottom w:w="180" w:type="dxa"/>
              <w:right w:w="270" w:type="dxa"/>
            </w:tcMar>
            <w:vAlign w:val="center"/>
          </w:tcPr>
          <w:p w14:paraId="3BACEB4D">
            <w:pPr>
              <w:keepNext w:val="0"/>
              <w:keepLines w:val="0"/>
              <w:widowControl/>
              <w:suppressLineNumbers w:val="0"/>
              <w:jc w:val="left"/>
            </w:pPr>
            <w:r>
              <w:rPr>
                <w:rFonts w:ascii="宋体" w:hAnsi="宋体" w:eastAsia="宋体" w:cs="宋体"/>
                <w:kern w:val="0"/>
                <w:sz w:val="24"/>
                <w:szCs w:val="24"/>
                <w:lang w:val="en-US" w:eastAsia="zh-CN" w:bidi="ar"/>
              </w:rPr>
              <w:t>对风景名胜区内自然景观（如山体、水体、植被等）、文物古迹、古树名木等资源的保护措施是否落实到位。</w:t>
            </w:r>
          </w:p>
        </w:tc>
        <w:tc>
          <w:tcPr>
            <w:tcW w:w="5926" w:type="dxa"/>
            <w:noWrap w:val="0"/>
            <w:tcMar>
              <w:top w:w="180" w:type="dxa"/>
              <w:left w:w="270" w:type="dxa"/>
              <w:bottom w:w="180" w:type="dxa"/>
              <w:right w:w="270" w:type="dxa"/>
            </w:tcMar>
            <w:vAlign w:val="center"/>
          </w:tcPr>
          <w:p w14:paraId="1A58C715">
            <w:pPr>
              <w:pStyle w:val="3"/>
              <w:keepNext w:val="0"/>
              <w:keepLines w:val="0"/>
              <w:widowControl/>
              <w:suppressLineNumbers w:val="0"/>
              <w:spacing w:after="120" w:afterAutospacing="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河北省</w:t>
            </w:r>
            <w:r>
              <w:rPr>
                <w:rFonts w:ascii="宋体" w:hAnsi="宋体" w:eastAsia="宋体" w:cs="宋体"/>
                <w:kern w:val="0"/>
                <w:sz w:val="24"/>
                <w:szCs w:val="24"/>
                <w:lang w:val="en-US" w:eastAsia="zh-CN" w:bidi="ar"/>
              </w:rPr>
              <w:t>风景名胜区条例》第十九条</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风景名胜区管理机构应当建立风景名胜区保护、建设和管理等各项制度。</w:t>
            </w:r>
          </w:p>
          <w:p w14:paraId="3FD07058">
            <w:pPr>
              <w:pStyle w:val="3"/>
              <w:keepNext w:val="0"/>
              <w:keepLines w:val="0"/>
              <w:widowControl/>
              <w:suppressLineNumbers w:val="0"/>
              <w:spacing w:after="120" w:afterAutospacing="0"/>
              <w:jc w:val="left"/>
            </w:pPr>
            <w:r>
              <w:rPr>
                <w:rFonts w:ascii="宋体" w:hAnsi="宋体" w:eastAsia="宋体" w:cs="宋体"/>
                <w:kern w:val="0"/>
                <w:sz w:val="24"/>
                <w:szCs w:val="24"/>
                <w:lang w:val="en-US" w:eastAsia="zh-CN" w:bidi="ar"/>
              </w:rPr>
              <w:t>风景名胜区管理机构应当对风景名胜区内的文物古迹、历史文化街区、历史建筑、传统民居、古树名木、野生动植物资源、特殊地质地貌等重要景观进行调查、组织鉴定并登记建档，制定相应的保护措施。</w:t>
            </w:r>
          </w:p>
        </w:tc>
        <w:tc>
          <w:tcPr>
            <w:tcW w:w="1800" w:type="dxa"/>
            <w:noWrap w:val="0"/>
            <w:tcMar>
              <w:top w:w="180" w:type="dxa"/>
              <w:left w:w="270" w:type="dxa"/>
              <w:bottom w:w="180" w:type="dxa"/>
              <w:right w:w="270" w:type="dxa"/>
            </w:tcMar>
            <w:vAlign w:val="center"/>
          </w:tcPr>
          <w:p w14:paraId="7A6CCDDE">
            <w:pPr>
              <w:keepNext w:val="0"/>
              <w:keepLines w:val="0"/>
              <w:widowControl/>
              <w:suppressLineNumbers w:val="0"/>
              <w:jc w:val="left"/>
            </w:pPr>
            <w:r>
              <w:rPr>
                <w:rFonts w:ascii="宋体" w:hAnsi="宋体" w:eastAsia="宋体" w:cs="宋体"/>
                <w:kern w:val="0"/>
                <w:sz w:val="24"/>
                <w:szCs w:val="24"/>
                <w:lang w:val="en-US" w:eastAsia="zh-CN" w:bidi="ar"/>
              </w:rPr>
              <w:t>实地巡查、查阅资源保护记录和报告、走访周边群众了解情况</w:t>
            </w:r>
          </w:p>
        </w:tc>
        <w:tc>
          <w:tcPr>
            <w:tcW w:w="1830" w:type="dxa"/>
            <w:noWrap w:val="0"/>
            <w:tcMar>
              <w:top w:w="180" w:type="dxa"/>
              <w:left w:w="270" w:type="dxa"/>
              <w:bottom w:w="180" w:type="dxa"/>
              <w:right w:w="270" w:type="dxa"/>
            </w:tcMar>
            <w:vAlign w:val="center"/>
          </w:tcPr>
          <w:p w14:paraId="1EE4F76C">
            <w:pPr>
              <w:keepNext w:val="0"/>
              <w:keepLines w:val="0"/>
              <w:widowControl/>
              <w:suppressLineNumbers w:val="0"/>
              <w:jc w:val="left"/>
            </w:pPr>
            <w:r>
              <w:rPr>
                <w:rFonts w:hint="eastAsia" w:ascii="宋体" w:hAnsi="宋体" w:eastAsia="宋体" w:cs="宋体"/>
                <w:kern w:val="0"/>
                <w:sz w:val="24"/>
                <w:szCs w:val="24"/>
                <w:lang w:val="en-US" w:eastAsia="zh-CN" w:bidi="ar"/>
              </w:rPr>
              <w:t>综合执法科</w:t>
            </w:r>
          </w:p>
        </w:tc>
      </w:tr>
      <w:tr w14:paraId="577B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29" w:hRule="atLeast"/>
        </w:trPr>
        <w:tc>
          <w:tcPr>
            <w:tcW w:w="706" w:type="dxa"/>
            <w:noWrap w:val="0"/>
            <w:tcMar>
              <w:top w:w="180" w:type="dxa"/>
              <w:left w:w="270" w:type="dxa"/>
              <w:bottom w:w="180" w:type="dxa"/>
              <w:right w:w="270" w:type="dxa"/>
            </w:tcMar>
            <w:vAlign w:val="center"/>
          </w:tcPr>
          <w:p w14:paraId="60A59A44">
            <w:pPr>
              <w:keepNext w:val="0"/>
              <w:keepLines w:val="0"/>
              <w:widowControl/>
              <w:suppressLineNumbers w:val="0"/>
              <w:jc w:val="left"/>
            </w:pPr>
            <w:r>
              <w:rPr>
                <w:rFonts w:ascii="宋体" w:hAnsi="宋体" w:eastAsia="宋体" w:cs="宋体"/>
                <w:kern w:val="0"/>
                <w:sz w:val="24"/>
                <w:szCs w:val="24"/>
                <w:lang w:val="en-US" w:eastAsia="zh-CN" w:bidi="ar"/>
              </w:rPr>
              <w:t>5</w:t>
            </w:r>
          </w:p>
        </w:tc>
        <w:tc>
          <w:tcPr>
            <w:tcW w:w="1091" w:type="dxa"/>
            <w:noWrap w:val="0"/>
            <w:tcMar>
              <w:top w:w="180" w:type="dxa"/>
              <w:left w:w="270" w:type="dxa"/>
              <w:bottom w:w="180" w:type="dxa"/>
              <w:right w:w="270" w:type="dxa"/>
            </w:tcMar>
            <w:vAlign w:val="center"/>
          </w:tcPr>
          <w:p w14:paraId="565A16CA">
            <w:pPr>
              <w:keepNext w:val="0"/>
              <w:keepLines w:val="0"/>
              <w:widowControl/>
              <w:suppressLineNumbers w:val="0"/>
              <w:jc w:val="left"/>
            </w:pPr>
            <w:r>
              <w:rPr>
                <w:rFonts w:ascii="宋体" w:hAnsi="宋体" w:eastAsia="宋体" w:cs="宋体"/>
                <w:kern w:val="0"/>
                <w:sz w:val="24"/>
                <w:szCs w:val="24"/>
                <w:lang w:val="en-US" w:eastAsia="zh-CN" w:bidi="ar"/>
              </w:rPr>
              <w:t>设施安全检查</w:t>
            </w:r>
          </w:p>
        </w:tc>
        <w:tc>
          <w:tcPr>
            <w:tcW w:w="3070" w:type="dxa"/>
            <w:noWrap w:val="0"/>
            <w:tcMar>
              <w:top w:w="180" w:type="dxa"/>
              <w:left w:w="270" w:type="dxa"/>
              <w:bottom w:w="180" w:type="dxa"/>
              <w:right w:w="270" w:type="dxa"/>
            </w:tcMar>
            <w:vAlign w:val="center"/>
          </w:tcPr>
          <w:p w14:paraId="7136B6B7">
            <w:pPr>
              <w:keepNext w:val="0"/>
              <w:keepLines w:val="0"/>
              <w:widowControl/>
              <w:suppressLineNumbers w:val="0"/>
              <w:jc w:val="left"/>
            </w:pPr>
            <w:r>
              <w:rPr>
                <w:rFonts w:ascii="宋体" w:hAnsi="宋体" w:eastAsia="宋体" w:cs="宋体"/>
                <w:kern w:val="0"/>
                <w:sz w:val="24"/>
                <w:szCs w:val="24"/>
                <w:lang w:val="en-US" w:eastAsia="zh-CN" w:bidi="ar"/>
              </w:rPr>
              <w:t>1. 游乐设施、交通工具（如缆车、观光车等）是否定期维护保养，安全检测是否合格，操作人员是否持证上岗。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 消防设施是否配备齐全且完好有效，消防通道是否畅通，消防安全制度是否落实。</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3. 旅游步道、栈道、栏杆等基础设施是否稳固，有无安全隐患。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4. 应急救援设备和物资是否充足、有效，应急预案是否制定并定期演练。</w:t>
            </w:r>
          </w:p>
        </w:tc>
        <w:tc>
          <w:tcPr>
            <w:tcW w:w="5926" w:type="dxa"/>
            <w:noWrap w:val="0"/>
            <w:tcMar>
              <w:top w:w="180" w:type="dxa"/>
              <w:left w:w="270" w:type="dxa"/>
              <w:bottom w:w="180" w:type="dxa"/>
              <w:right w:w="270" w:type="dxa"/>
            </w:tcMar>
            <w:vAlign w:val="center"/>
          </w:tcPr>
          <w:p w14:paraId="7B2E7A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60" w:afterAutospacing="0"/>
              <w:ind w:left="0" w:right="0" w:firstLine="0"/>
              <w:jc w:val="both"/>
              <w:textAlignment w:val="baseline"/>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《风景名胜区条例》</w:t>
            </w:r>
            <w:r>
              <w:rPr>
                <w:rFonts w:hint="default" w:ascii="宋体" w:hAnsi="宋体" w:eastAsia="宋体" w:cs="宋体"/>
                <w:kern w:val="0"/>
                <w:sz w:val="24"/>
                <w:szCs w:val="24"/>
                <w:lang w:val="en-US" w:eastAsia="zh-CN" w:bidi="ar"/>
              </w:rPr>
              <w:t>第三十六条</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风景名胜区管理机构应当建立健全安全保障制度，加强安全管理，保障游览安全，并督促风景名胜区内的经营单位接受有关部门依据法律、法规进行的监督检查。</w:t>
            </w:r>
          </w:p>
          <w:p w14:paraId="4BB89A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60" w:afterAutospacing="0"/>
              <w:ind w:left="0" w:right="0" w:firstLine="0"/>
              <w:jc w:val="both"/>
              <w:textAlignment w:val="baseline"/>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河北省</w:t>
            </w:r>
            <w:r>
              <w:rPr>
                <w:rFonts w:ascii="宋体" w:hAnsi="宋体" w:eastAsia="宋体" w:cs="宋体"/>
                <w:kern w:val="0"/>
                <w:sz w:val="24"/>
                <w:szCs w:val="24"/>
                <w:lang w:val="en-US" w:eastAsia="zh-CN" w:bidi="ar"/>
              </w:rPr>
              <w:t>风景名胜区条例》第二十九条</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风景名胜区管理机构应当建立安全游览保障制度，制定应急救援预案，配备相应的安保人员</w:t>
            </w:r>
            <w:r>
              <w:rPr>
                <w:rFonts w:hint="default" w:ascii="宋体" w:hAnsi="宋体" w:eastAsia="宋体" w:cs="宋体"/>
                <w:kern w:val="0"/>
                <w:sz w:val="24"/>
                <w:szCs w:val="24"/>
                <w:lang w:val="en-US" w:eastAsia="zh-CN" w:bidi="ar"/>
              </w:rPr>
              <w:t>，公布接待游客的允许容量，及时发布客流信息，有计划控制客流量。</w:t>
            </w:r>
          </w:p>
          <w:p w14:paraId="481164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60" w:afterAutospacing="0"/>
              <w:ind w:left="0" w:right="0" w:firstLine="0"/>
              <w:jc w:val="both"/>
              <w:textAlignment w:val="baseline"/>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禁止超过允许容量接纳游客和在没有安全保障的区域开展游览活动。客流量可能达到或者超过允许容量时，风景名胜区管理机构应当提前公告，及时采取疏导、分流等措施并报告当地人民政府。</w:t>
            </w:r>
          </w:p>
          <w:p w14:paraId="5A3806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60" w:afterAutospacing="0"/>
              <w:ind w:left="0" w:right="0" w:firstLine="0"/>
              <w:jc w:val="both"/>
              <w:textAlignment w:val="baseline"/>
            </w:pPr>
            <w:r>
              <w:rPr>
                <w:rFonts w:hint="default" w:ascii="宋体" w:hAnsi="宋体" w:eastAsia="宋体" w:cs="宋体"/>
                <w:kern w:val="0"/>
                <w:sz w:val="24"/>
                <w:szCs w:val="24"/>
                <w:lang w:val="en-US" w:eastAsia="zh-CN" w:bidi="ar"/>
              </w:rPr>
              <w:t>第三十条</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风景名胜区管理机构应当在风景名胜区内设置规范的标志、标牌，在容易发生危险地段或者存在危险的区域设置安全防护设施和警示标志，并定期进行检测、维护，及时排除安全隐患。</w:t>
            </w:r>
          </w:p>
        </w:tc>
        <w:tc>
          <w:tcPr>
            <w:tcW w:w="1800" w:type="dxa"/>
            <w:noWrap w:val="0"/>
            <w:tcMar>
              <w:top w:w="180" w:type="dxa"/>
              <w:left w:w="270" w:type="dxa"/>
              <w:bottom w:w="180" w:type="dxa"/>
              <w:right w:w="270" w:type="dxa"/>
            </w:tcMar>
            <w:vAlign w:val="center"/>
          </w:tcPr>
          <w:p w14:paraId="5C93F6E7">
            <w:pPr>
              <w:keepNext w:val="0"/>
              <w:keepLines w:val="0"/>
              <w:widowControl/>
              <w:suppressLineNumbers w:val="0"/>
              <w:jc w:val="left"/>
            </w:pPr>
            <w:r>
              <w:rPr>
                <w:rFonts w:ascii="宋体" w:hAnsi="宋体" w:eastAsia="宋体" w:cs="宋体"/>
                <w:kern w:val="0"/>
                <w:sz w:val="24"/>
                <w:szCs w:val="24"/>
                <w:lang w:val="en-US" w:eastAsia="zh-CN" w:bidi="ar"/>
              </w:rPr>
              <w:t>实地检查设施设备运行状况、查阅维护保养和检测记录、检查人员资质证书、观摩应急演练</w:t>
            </w:r>
          </w:p>
        </w:tc>
        <w:tc>
          <w:tcPr>
            <w:tcW w:w="1830" w:type="dxa"/>
            <w:noWrap w:val="0"/>
            <w:tcMar>
              <w:top w:w="180" w:type="dxa"/>
              <w:left w:w="270" w:type="dxa"/>
              <w:bottom w:w="180" w:type="dxa"/>
              <w:right w:w="270" w:type="dxa"/>
            </w:tcMar>
            <w:vAlign w:val="center"/>
          </w:tcPr>
          <w:p w14:paraId="19B9A4E0">
            <w:pPr>
              <w:keepNext w:val="0"/>
              <w:keepLines w:val="0"/>
              <w:widowControl/>
              <w:suppressLineNumbers w:val="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综合执法科</w:t>
            </w:r>
          </w:p>
          <w:p w14:paraId="38AFA554">
            <w:pPr>
              <w:keepNext w:val="0"/>
              <w:keepLines w:val="0"/>
              <w:widowControl/>
              <w:suppressLineNumbers w:val="0"/>
              <w:jc w:val="left"/>
              <w:rPr>
                <w:rFonts w:hint="eastAsia" w:ascii="宋体" w:hAnsi="宋体" w:eastAsia="宋体" w:cs="宋体"/>
                <w:kern w:val="0"/>
                <w:sz w:val="24"/>
                <w:szCs w:val="24"/>
                <w:lang w:val="en-US" w:eastAsia="zh-CN" w:bidi="ar"/>
              </w:rPr>
            </w:pPr>
          </w:p>
          <w:p w14:paraId="1DAB7D27">
            <w:pPr>
              <w:keepNext w:val="0"/>
              <w:keepLines w:val="0"/>
              <w:widowControl/>
              <w:suppressLineNumbers w:val="0"/>
              <w:ind w:firstLine="240" w:firstLineChars="1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安 全 办</w:t>
            </w:r>
          </w:p>
        </w:tc>
      </w:tr>
      <w:tr w14:paraId="5000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706" w:type="dxa"/>
            <w:noWrap w:val="0"/>
            <w:tcMar>
              <w:top w:w="180" w:type="dxa"/>
              <w:left w:w="270" w:type="dxa"/>
              <w:bottom w:w="180" w:type="dxa"/>
              <w:right w:w="270" w:type="dxa"/>
            </w:tcMar>
            <w:vAlign w:val="center"/>
          </w:tcPr>
          <w:p w14:paraId="429EFD1C">
            <w:pPr>
              <w:keepNext w:val="0"/>
              <w:keepLines w:val="0"/>
              <w:widowControl/>
              <w:suppressLineNumbers w:val="0"/>
              <w:jc w:val="left"/>
            </w:pPr>
            <w:r>
              <w:rPr>
                <w:rFonts w:ascii="宋体" w:hAnsi="宋体" w:eastAsia="宋体" w:cs="宋体"/>
                <w:kern w:val="0"/>
                <w:sz w:val="24"/>
                <w:szCs w:val="24"/>
                <w:lang w:val="en-US" w:eastAsia="zh-CN" w:bidi="ar"/>
              </w:rPr>
              <w:t>6</w:t>
            </w:r>
          </w:p>
        </w:tc>
        <w:tc>
          <w:tcPr>
            <w:tcW w:w="1091" w:type="dxa"/>
            <w:noWrap w:val="0"/>
            <w:tcMar>
              <w:top w:w="180" w:type="dxa"/>
              <w:left w:w="270" w:type="dxa"/>
              <w:bottom w:w="180" w:type="dxa"/>
              <w:right w:w="270" w:type="dxa"/>
            </w:tcMar>
            <w:vAlign w:val="center"/>
          </w:tcPr>
          <w:p w14:paraId="76F74DDF">
            <w:pPr>
              <w:keepNext w:val="0"/>
              <w:keepLines w:val="0"/>
              <w:widowControl/>
              <w:suppressLineNumbers w:val="0"/>
              <w:jc w:val="left"/>
            </w:pPr>
            <w:r>
              <w:rPr>
                <w:rFonts w:hint="eastAsia" w:ascii="宋体" w:hAnsi="宋体" w:eastAsia="宋体" w:cs="宋体"/>
                <w:kern w:val="0"/>
                <w:sz w:val="24"/>
                <w:szCs w:val="24"/>
                <w:lang w:val="en-US" w:eastAsia="zh-CN" w:bidi="ar"/>
              </w:rPr>
              <w:t>经营检查</w:t>
            </w:r>
          </w:p>
        </w:tc>
        <w:tc>
          <w:tcPr>
            <w:tcW w:w="3070" w:type="dxa"/>
            <w:noWrap w:val="0"/>
            <w:tcMar>
              <w:top w:w="180" w:type="dxa"/>
              <w:left w:w="270" w:type="dxa"/>
              <w:bottom w:w="180" w:type="dxa"/>
              <w:right w:w="270" w:type="dxa"/>
            </w:tcMar>
            <w:vAlign w:val="center"/>
          </w:tcPr>
          <w:p w14:paraId="6941283D">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企业经营情况</w:t>
            </w:r>
          </w:p>
        </w:tc>
        <w:tc>
          <w:tcPr>
            <w:tcW w:w="5926" w:type="dxa"/>
            <w:noWrap w:val="0"/>
            <w:tcMar>
              <w:top w:w="180" w:type="dxa"/>
              <w:left w:w="270" w:type="dxa"/>
              <w:bottom w:w="180" w:type="dxa"/>
              <w:right w:w="270" w:type="dxa"/>
            </w:tcMar>
            <w:vAlign w:val="center"/>
          </w:tcPr>
          <w:p w14:paraId="1646AAB9">
            <w:pPr>
              <w:pStyle w:val="3"/>
              <w:keepNext w:val="0"/>
              <w:keepLines w:val="0"/>
              <w:widowControl/>
              <w:suppressLineNumbers w:val="0"/>
              <w:spacing w:after="120" w:afterAutospacing="0"/>
              <w:ind w:left="0" w:firstLine="42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河北省</w:t>
            </w:r>
            <w:r>
              <w:rPr>
                <w:rFonts w:ascii="宋体" w:hAnsi="宋体" w:eastAsia="宋体" w:cs="宋体"/>
                <w:kern w:val="0"/>
                <w:sz w:val="24"/>
                <w:szCs w:val="24"/>
                <w:lang w:val="en-US" w:eastAsia="zh-CN" w:bidi="ar"/>
              </w:rPr>
              <w:t>风景名胜区条例》第三十三条</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风景名胜区内从事经营活动的单位和个人，不得在风景名胜区管理机构指定的地点、区域外揽客、兜售商品。</w:t>
            </w:r>
          </w:p>
          <w:p w14:paraId="340E7086">
            <w:pPr>
              <w:pStyle w:val="3"/>
              <w:keepNext w:val="0"/>
              <w:keepLines w:val="0"/>
              <w:widowControl/>
              <w:suppressLineNumbers w:val="0"/>
              <w:spacing w:after="120" w:afterAutospacing="0"/>
              <w:ind w:left="0" w:firstLine="42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第三十四条</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风景名胜区内的景物除法律、法规规定禁止摄影、摄像的以外，应当允许游客摄影、摄像；任何单位和个人不得圈占摄影、摄像位置，不得向自行摄影、摄像的游客收取费用。</w:t>
            </w:r>
          </w:p>
        </w:tc>
        <w:tc>
          <w:tcPr>
            <w:tcW w:w="1800" w:type="dxa"/>
            <w:noWrap w:val="0"/>
            <w:tcMar>
              <w:top w:w="180" w:type="dxa"/>
              <w:left w:w="270" w:type="dxa"/>
              <w:bottom w:w="180" w:type="dxa"/>
              <w:right w:w="270" w:type="dxa"/>
            </w:tcMar>
            <w:vAlign w:val="center"/>
          </w:tcPr>
          <w:p w14:paraId="54F7AE28">
            <w:pPr>
              <w:jc w:val="left"/>
            </w:pPr>
            <w:r>
              <w:rPr>
                <w:rFonts w:ascii="宋体" w:hAnsi="宋体" w:eastAsia="宋体" w:cs="宋体"/>
                <w:kern w:val="0"/>
                <w:sz w:val="24"/>
                <w:szCs w:val="24"/>
                <w:lang w:val="en-US" w:eastAsia="zh-CN" w:bidi="ar"/>
              </w:rPr>
              <w:t>实地巡查</w:t>
            </w:r>
          </w:p>
        </w:tc>
        <w:tc>
          <w:tcPr>
            <w:tcW w:w="1830" w:type="dxa"/>
            <w:noWrap w:val="0"/>
            <w:tcMar>
              <w:top w:w="180" w:type="dxa"/>
              <w:left w:w="270" w:type="dxa"/>
              <w:bottom w:w="180" w:type="dxa"/>
              <w:right w:w="270" w:type="dxa"/>
            </w:tcMar>
            <w:vAlign w:val="center"/>
          </w:tcPr>
          <w:p w14:paraId="7858AA16">
            <w:pPr>
              <w:jc w:val="left"/>
            </w:pPr>
            <w:r>
              <w:rPr>
                <w:rFonts w:hint="eastAsia" w:ascii="宋体" w:hAnsi="宋体" w:eastAsia="宋体" w:cs="宋体"/>
                <w:kern w:val="0"/>
                <w:sz w:val="24"/>
                <w:szCs w:val="24"/>
                <w:lang w:val="en-US" w:eastAsia="zh-CN" w:bidi="ar"/>
              </w:rPr>
              <w:t>综合执法科</w:t>
            </w:r>
          </w:p>
        </w:tc>
      </w:tr>
      <w:tr w14:paraId="67EE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96" w:hRule="atLeast"/>
        </w:trPr>
        <w:tc>
          <w:tcPr>
            <w:tcW w:w="706" w:type="dxa"/>
            <w:noWrap w:val="0"/>
            <w:tcMar>
              <w:top w:w="180" w:type="dxa"/>
              <w:left w:w="270" w:type="dxa"/>
              <w:bottom w:w="180" w:type="dxa"/>
              <w:right w:w="270" w:type="dxa"/>
            </w:tcMar>
            <w:vAlign w:val="center"/>
          </w:tcPr>
          <w:p w14:paraId="05976F06">
            <w:pPr>
              <w:keepNext w:val="0"/>
              <w:keepLines w:val="0"/>
              <w:widowControl/>
              <w:suppressLineNumbers w:val="0"/>
              <w:jc w:val="left"/>
            </w:pPr>
            <w:r>
              <w:rPr>
                <w:rFonts w:ascii="宋体" w:hAnsi="宋体" w:eastAsia="宋体" w:cs="宋体"/>
                <w:kern w:val="0"/>
                <w:sz w:val="24"/>
                <w:szCs w:val="24"/>
                <w:lang w:val="en-US" w:eastAsia="zh-CN" w:bidi="ar"/>
              </w:rPr>
              <w:t>7</w:t>
            </w:r>
          </w:p>
        </w:tc>
        <w:tc>
          <w:tcPr>
            <w:tcW w:w="1091" w:type="dxa"/>
            <w:noWrap w:val="0"/>
            <w:tcMar>
              <w:top w:w="180" w:type="dxa"/>
              <w:left w:w="270" w:type="dxa"/>
              <w:bottom w:w="180" w:type="dxa"/>
              <w:right w:w="270" w:type="dxa"/>
            </w:tcMar>
            <w:vAlign w:val="center"/>
          </w:tcPr>
          <w:p w14:paraId="6EE4E522">
            <w:pPr>
              <w:keepNext w:val="0"/>
              <w:keepLines w:val="0"/>
              <w:widowControl/>
              <w:suppressLineNumbers w:val="0"/>
              <w:jc w:val="left"/>
            </w:pPr>
            <w:r>
              <w:rPr>
                <w:rFonts w:hint="eastAsia" w:ascii="宋体" w:hAnsi="宋体" w:eastAsia="宋体" w:cs="宋体"/>
                <w:kern w:val="0"/>
                <w:sz w:val="24"/>
                <w:szCs w:val="24"/>
                <w:lang w:val="en-US" w:eastAsia="zh-CN" w:bidi="ar"/>
              </w:rPr>
              <w:t>违规设立</w:t>
            </w:r>
            <w:r>
              <w:rPr>
                <w:rFonts w:ascii="宋体" w:hAnsi="宋体" w:eastAsia="宋体" w:cs="宋体"/>
                <w:kern w:val="0"/>
                <w:sz w:val="24"/>
                <w:szCs w:val="24"/>
                <w:lang w:val="en-US" w:eastAsia="zh-CN" w:bidi="ar"/>
              </w:rPr>
              <w:t>检查</w:t>
            </w:r>
          </w:p>
        </w:tc>
        <w:tc>
          <w:tcPr>
            <w:tcW w:w="3070" w:type="dxa"/>
            <w:noWrap w:val="0"/>
            <w:tcMar>
              <w:top w:w="180" w:type="dxa"/>
              <w:left w:w="270" w:type="dxa"/>
              <w:bottom w:w="180" w:type="dxa"/>
              <w:right w:w="270" w:type="dxa"/>
            </w:tcMar>
            <w:vAlign w:val="center"/>
          </w:tcPr>
          <w:p w14:paraId="683EDBD9">
            <w:pPr>
              <w:bidi w:val="0"/>
            </w:pPr>
            <w:r>
              <w:rPr>
                <w:rFonts w:ascii="宋体" w:hAnsi="宋体" w:eastAsia="宋体" w:cs="宋体"/>
                <w:kern w:val="0"/>
                <w:sz w:val="24"/>
                <w:szCs w:val="24"/>
                <w:lang w:val="en-US" w:eastAsia="zh-CN" w:bidi="ar"/>
              </w:rPr>
              <w:t>1. 景区</w:t>
            </w:r>
            <w:r>
              <w:rPr>
                <w:rFonts w:hint="eastAsia" w:ascii="宋体" w:hAnsi="宋体" w:eastAsia="宋体" w:cs="宋体"/>
                <w:kern w:val="0"/>
                <w:sz w:val="24"/>
                <w:szCs w:val="24"/>
                <w:lang w:val="en-US" w:eastAsia="zh-CN" w:bidi="ar"/>
              </w:rPr>
              <w:t>是否</w:t>
            </w:r>
            <w:r>
              <w:rPr>
                <w:rFonts w:hint="default" w:ascii="宋体" w:hAnsi="宋体" w:eastAsia="宋体" w:cs="宋体"/>
                <w:kern w:val="0"/>
                <w:sz w:val="24"/>
                <w:szCs w:val="24"/>
                <w:lang w:val="en-US" w:eastAsia="zh-CN" w:bidi="ar"/>
              </w:rPr>
              <w:t>设置、张贴商业广告；</w:t>
            </w:r>
            <w:r>
              <w:rPr>
                <w:rFonts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是否</w:t>
            </w:r>
            <w:r>
              <w:rPr>
                <w:rFonts w:hint="default" w:ascii="宋体" w:hAnsi="宋体" w:eastAsia="宋体" w:cs="宋体"/>
                <w:kern w:val="0"/>
                <w:sz w:val="24"/>
                <w:szCs w:val="24"/>
                <w:lang w:val="en-US" w:eastAsia="zh-CN" w:bidi="ar"/>
              </w:rPr>
              <w:t>举办大型游乐等活动；</w:t>
            </w:r>
            <w:r>
              <w:rPr>
                <w:rFonts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xml:space="preserve">3. </w:t>
            </w:r>
            <w:r>
              <w:rPr>
                <w:rFonts w:hint="eastAsia" w:ascii="宋体" w:hAnsi="宋体" w:eastAsia="宋体" w:cs="宋体"/>
                <w:kern w:val="0"/>
                <w:sz w:val="24"/>
                <w:szCs w:val="24"/>
                <w:lang w:val="en-US" w:eastAsia="zh-CN" w:bidi="ar"/>
              </w:rPr>
              <w:t>是否有</w:t>
            </w:r>
            <w:r>
              <w:rPr>
                <w:rFonts w:hint="default" w:ascii="宋体" w:hAnsi="宋体" w:eastAsia="宋体" w:cs="宋体"/>
                <w:kern w:val="0"/>
                <w:sz w:val="24"/>
                <w:szCs w:val="24"/>
                <w:lang w:val="en-US" w:eastAsia="zh-CN" w:bidi="ar"/>
              </w:rPr>
              <w:t>改变水资源、水环境自然状态的活动</w:t>
            </w:r>
            <w:r>
              <w:rPr>
                <w:rFonts w:ascii="宋体" w:hAnsi="宋体" w:eastAsia="宋体" w:cs="宋体"/>
                <w:kern w:val="0"/>
                <w:sz w:val="24"/>
                <w:szCs w:val="24"/>
                <w:lang w:val="en-US" w:eastAsia="zh-CN" w:bidi="ar"/>
              </w:rPr>
              <w:t>。</w:t>
            </w:r>
          </w:p>
        </w:tc>
        <w:tc>
          <w:tcPr>
            <w:tcW w:w="5926" w:type="dxa"/>
            <w:noWrap w:val="0"/>
            <w:tcMar>
              <w:top w:w="180" w:type="dxa"/>
              <w:left w:w="270" w:type="dxa"/>
              <w:bottom w:w="180" w:type="dxa"/>
              <w:right w:w="270" w:type="dxa"/>
            </w:tcMar>
            <w:vAlign w:val="center"/>
          </w:tcPr>
          <w:p w14:paraId="62518D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60" w:afterAutospacing="0"/>
              <w:ind w:left="0" w:right="0" w:firstLine="0"/>
              <w:jc w:val="both"/>
              <w:textAlignment w:val="baseline"/>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《风景名胜区条例》</w:t>
            </w:r>
            <w:r>
              <w:rPr>
                <w:rFonts w:hint="default" w:ascii="宋体" w:hAnsi="宋体" w:eastAsia="宋体" w:cs="宋体"/>
                <w:kern w:val="0"/>
                <w:sz w:val="24"/>
                <w:szCs w:val="24"/>
                <w:lang w:val="en-US" w:eastAsia="zh-CN" w:bidi="ar"/>
              </w:rPr>
              <w:t>第二十九条</w:t>
            </w:r>
            <w:r>
              <w:rPr>
                <w:rFonts w:hint="eastAsia"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在风景名胜区内进行下列活动，应当经风景名胜区管理机构审核后，依照有关法律、法规的规定报有关主管部门批准：</w:t>
            </w:r>
          </w:p>
          <w:p w14:paraId="4CACCD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360" w:afterAutospacing="0"/>
              <w:ind w:left="0" w:right="0" w:firstLine="0"/>
              <w:jc w:val="both"/>
              <w:textAlignment w:val="baseline"/>
            </w:pPr>
            <w:r>
              <w:rPr>
                <w:rFonts w:hint="default" w:ascii="宋体" w:hAnsi="宋体" w:eastAsia="宋体" w:cs="宋体"/>
                <w:kern w:val="0"/>
                <w:sz w:val="24"/>
                <w:szCs w:val="24"/>
                <w:lang w:val="en-US" w:eastAsia="zh-CN" w:bidi="ar"/>
              </w:rPr>
              <w:t>（一）设置、张贴商业广告；（二）举办大型游乐等活动；（三）改变水资源、水环境自然状态的活动；（四）其他影响生态和景观的活动。</w:t>
            </w:r>
          </w:p>
        </w:tc>
        <w:tc>
          <w:tcPr>
            <w:tcW w:w="1800" w:type="dxa"/>
            <w:noWrap w:val="0"/>
            <w:vAlign w:val="center"/>
          </w:tcPr>
          <w:p w14:paraId="33D6587C">
            <w:pPr>
              <w:jc w:val="left"/>
              <w:rPr>
                <w:rFonts w:hint="eastAsia" w:ascii="宋体"/>
                <w:sz w:val="24"/>
                <w:szCs w:val="24"/>
              </w:rPr>
            </w:pPr>
            <w:r>
              <w:rPr>
                <w:rFonts w:ascii="宋体" w:hAnsi="宋体" w:eastAsia="宋体" w:cs="宋体"/>
                <w:kern w:val="0"/>
                <w:sz w:val="24"/>
                <w:szCs w:val="24"/>
                <w:lang w:val="en-US" w:eastAsia="zh-CN" w:bidi="ar"/>
              </w:rPr>
              <w:t>实地巡查、走访周边群众了解情</w:t>
            </w:r>
            <w:r>
              <w:rPr>
                <w:rFonts w:hint="eastAsia" w:ascii="宋体" w:hAnsi="宋体" w:eastAsia="宋体" w:cs="宋体"/>
                <w:kern w:val="0"/>
                <w:sz w:val="24"/>
                <w:szCs w:val="24"/>
                <w:lang w:val="en-US" w:eastAsia="zh-CN" w:bidi="ar"/>
              </w:rPr>
              <w:t>。</w:t>
            </w:r>
          </w:p>
        </w:tc>
        <w:tc>
          <w:tcPr>
            <w:tcW w:w="1830" w:type="dxa"/>
            <w:noWrap w:val="0"/>
            <w:vAlign w:val="center"/>
          </w:tcPr>
          <w:p w14:paraId="202C7DD4">
            <w:pPr>
              <w:jc w:val="left"/>
              <w:rPr>
                <w:rFonts w:hint="eastAsia" w:ascii="宋体"/>
                <w:sz w:val="24"/>
                <w:szCs w:val="24"/>
              </w:rPr>
            </w:pPr>
            <w:r>
              <w:rPr>
                <w:rFonts w:hint="eastAsia" w:ascii="宋体" w:hAnsi="宋体" w:eastAsia="宋体" w:cs="宋体"/>
                <w:kern w:val="0"/>
                <w:sz w:val="24"/>
                <w:szCs w:val="24"/>
                <w:lang w:val="en-US" w:eastAsia="zh-CN" w:bidi="ar"/>
              </w:rPr>
              <w:t>综合执法科</w:t>
            </w:r>
          </w:p>
        </w:tc>
      </w:tr>
    </w:tbl>
    <w:p w14:paraId="29CF139B"/>
    <w:p w14:paraId="0D505693">
      <w:bookmarkStart w:id="0" w:name="_GoBack"/>
      <w:bookmarkEnd w:id="0"/>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5630DF"/>
    <w:multiLevelType w:val="singleLevel"/>
    <w:tmpl w:val="DB5630D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8B3E46"/>
    <w:rsid w:val="778B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2025-11-05T03:46:00Z</dcterms:created>
  <dc:creator>百里无踪</dc:creator>
  <cp:lastModifiedBy>百里无踪</cp:lastModifiedBy>
  <dcterms:modified xsi:type="dcterms:W3CDTF">2025-11-05T03:46:19Z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753976A1B4924CE69F88FA5F4DBC4039_11</vt:lpwstr>
  </property>
  <property fmtid="{D5CDD505-2E9C-101B-9397-08002B2CF9AE}" pid="4" name="KSOTemplateDocerSaveRecord">
    <vt:lpwstr>eyJoZGlkIjoiOTU0NDk0NWIyYTAyZDkxYjZjODUyNDBiZTFmMDg3ODciLCJ1c2VySWQiOiIyNDg4OTMwNDQifQ==</vt:lpwstr>
  </property>
</Properties>
</file>