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1C4F6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lang w:eastAsia="zh-CN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lang w:eastAsia="zh-CN"/>
        </w:rPr>
        <w:t>明义镇涉企检查事项及依据</w:t>
      </w:r>
    </w:p>
    <w:bookmarkEnd w:id="0"/>
    <w:p w14:paraId="13B6934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</w:pPr>
    </w:p>
    <w:p w14:paraId="34F3A22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  <w:t>检查事项：1、对从事车辆清洗、维修经营活动，未在室内进行，占用道路、绿地、公共场所等的行政处罚。</w:t>
      </w:r>
    </w:p>
    <w:p w14:paraId="679B821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  <w:t>                 2、对农业经营主体因未妥善采取综合利用措施，对农产品采收后的秸秆及树叶、荒草予以处理，致使露天焚烧的行政处罚。</w:t>
      </w:r>
    </w:p>
    <w:p w14:paraId="506611B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  <w:t>检查依据：1、《河北省城市市容和环境卫生条例》第三十八条</w:t>
      </w:r>
    </w:p>
    <w:p w14:paraId="4BB9610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  <w:t>                 2、《河北省大气污染防治条例》第八十七条</w:t>
      </w:r>
    </w:p>
    <w:p w14:paraId="5882E0E0"/>
    <w:p w14:paraId="024EF75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E61A29"/>
    <w:rsid w:val="68E61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2026-03-26T01:15:00Z</dcterms:created>
  <dc:creator>芋泥啵啵</dc:creator>
  <cp:lastModifiedBy>芋泥啵啵</cp:lastModifiedBy>
  <dcterms:modified xsi:type="dcterms:W3CDTF">2026-03-26T01:15:29Z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22C1D48FC82C47FE8C6C9462024FBFE1_11</vt:lpwstr>
  </property>
  <property fmtid="{D5CDD505-2E9C-101B-9397-08002B2CF9AE}" pid="4" name="KSOTemplateDocerSaveRecord">
    <vt:lpwstr>eyJoZGlkIjoiMTkyY2Q1MDNhMjE0Nzk0NTg1ZDY3NWZhYjMwMGFkNjUiLCJ1c2VySWQiOiIxNzQ3NzYyMzQ2In0=</vt:lpwstr>
  </property>
</Properties>
</file>