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E7377">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jc w:val="center"/>
        <w:textAlignment w:val="auto"/>
        <w:rPr>
          <w:rFonts w:hint="default" w:ascii="方正小标宋简体" w:hAnsi="方正小标宋简体" w:eastAsia="方正小标宋简体" w:cs="方正小标宋简体"/>
          <w:b w:val="0"/>
          <w:bCs/>
          <w:color w:val="333333"/>
          <w:sz w:val="44"/>
          <w:szCs w:val="44"/>
          <w:shd w:val="clear" w:color="auto" w:fill="FFFFFF"/>
          <w:lang w:val="en-US" w:eastAsia="zh-CN"/>
        </w:rPr>
      </w:pPr>
      <w:r>
        <w:rPr>
          <w:rFonts w:hint="eastAsia" w:ascii="方正小标宋简体" w:hAnsi="方正小标宋简体" w:eastAsia="方正小标宋简体" w:cs="方正小标宋简体"/>
          <w:b w:val="0"/>
          <w:bCs/>
          <w:color w:val="333333"/>
          <w:sz w:val="44"/>
          <w:szCs w:val="44"/>
          <w:shd w:val="clear" w:color="auto" w:fill="FFFFFF"/>
          <w:lang w:val="en-US" w:eastAsia="zh-CN"/>
        </w:rPr>
        <w:t>王村镇人民政府</w:t>
      </w:r>
    </w:p>
    <w:p w14:paraId="6EFB70CB">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方正小标宋简体" w:hAnsi="方正小标宋简体" w:eastAsia="方正小标宋简体" w:cs="方正小标宋简体"/>
          <w:b w:val="0"/>
          <w:bCs/>
          <w:color w:val="333333"/>
          <w:sz w:val="44"/>
          <w:szCs w:val="44"/>
        </w:rPr>
      </w:pPr>
      <w:r>
        <w:rPr>
          <w:rFonts w:hint="eastAsia" w:ascii="方正小标宋简体" w:hAnsi="方正小标宋简体" w:eastAsia="方正小标宋简体" w:cs="方正小标宋简体"/>
          <w:b w:val="0"/>
          <w:bCs/>
          <w:color w:val="333333"/>
          <w:sz w:val="44"/>
          <w:szCs w:val="44"/>
          <w:shd w:val="clear" w:color="auto" w:fill="FFFFFF"/>
          <w:lang w:val="en-US" w:eastAsia="zh-CN"/>
        </w:rPr>
        <w:t>2025年</w:t>
      </w:r>
      <w:r>
        <w:rPr>
          <w:rFonts w:hint="eastAsia" w:ascii="方正小标宋简体" w:hAnsi="方正小标宋简体" w:eastAsia="方正小标宋简体" w:cs="方正小标宋简体"/>
          <w:b w:val="0"/>
          <w:bCs/>
          <w:color w:val="333333"/>
          <w:sz w:val="44"/>
          <w:szCs w:val="44"/>
          <w:shd w:val="clear" w:color="auto" w:fill="FFFFFF"/>
        </w:rPr>
        <w:t>政府信息公开工作年度报告</w:t>
      </w:r>
    </w:p>
    <w:p w14:paraId="48574B3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rPr>
      </w:pPr>
    </w:p>
    <w:p w14:paraId="19417A8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黑体" w:cs="仿宋_GB2312"/>
          <w:sz w:val="32"/>
          <w:szCs w:val="32"/>
          <w:lang w:eastAsia="zh-CN"/>
        </w:rPr>
      </w:pPr>
      <w:r>
        <w:rPr>
          <w:rFonts w:hint="eastAsia" w:ascii="黑体" w:hAnsi="黑体" w:eastAsia="黑体" w:cs="黑体"/>
          <w:sz w:val="32"/>
          <w:szCs w:val="32"/>
        </w:rPr>
        <w:t>一、</w:t>
      </w:r>
      <w:r>
        <w:rPr>
          <w:rFonts w:hint="eastAsia" w:ascii="黑体" w:hAnsi="黑体" w:eastAsia="黑体" w:cs="黑体"/>
          <w:sz w:val="32"/>
          <w:szCs w:val="32"/>
          <w:lang w:val="en-US" w:eastAsia="zh-CN"/>
        </w:rPr>
        <w:t>总体情况</w:t>
      </w:r>
    </w:p>
    <w:p w14:paraId="4B3D7DB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王村镇</w:t>
      </w:r>
      <w:r>
        <w:rPr>
          <w:rFonts w:hint="eastAsia" w:ascii="仿宋_GB2312" w:hAnsi="仿宋_GB2312" w:eastAsia="仿宋_GB2312" w:cs="仿宋_GB2312"/>
          <w:sz w:val="32"/>
          <w:szCs w:val="32"/>
        </w:rPr>
        <w:t>政府坚持以习近平新时代中国特色社会主义思想为指导，</w:t>
      </w:r>
      <w:r>
        <w:rPr>
          <w:rFonts w:hint="eastAsia" w:ascii="仿宋_GB2312" w:hAnsi="仿宋_GB2312" w:eastAsia="仿宋_GB2312" w:cs="仿宋_GB2312"/>
          <w:sz w:val="32"/>
          <w:szCs w:val="32"/>
          <w:lang w:val="en-US" w:eastAsia="zh-CN"/>
        </w:rPr>
        <w:t>认真贯彻落实《中华人民共和国政府信息公开条例》等有关法规文件，健全工作机制</w:t>
      </w:r>
      <w:r>
        <w:rPr>
          <w:rFonts w:hint="eastAsia" w:ascii="仿宋_GB2312" w:hAnsi="仿宋_GB2312" w:eastAsia="仿宋_GB2312" w:cs="仿宋_GB2312"/>
          <w:sz w:val="32"/>
          <w:szCs w:val="32"/>
        </w:rPr>
        <w:t>，坚持把推进政府信息公开工作作为建设忠诚型政府、法治型政府、服务型政府、担当型政府、创新型政府和廉洁型政府的重要抓手，强化政务信息公开工作保障，全力推进政府信息公开工作。</w:t>
      </w:r>
    </w:p>
    <w:p w14:paraId="74112264">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主动公开情况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严格贯彻落实《中华人民共和国政府信息公开条例》，落实政务公开的各项内容，坚持以“公开为常态，不公开为例外”准确、公开、透明发布政府信息，及时回应</w:t>
      </w:r>
      <w:r>
        <w:rPr>
          <w:rFonts w:hint="eastAsia" w:ascii="仿宋_GB2312" w:hAnsi="仿宋_GB2312" w:eastAsia="仿宋_GB2312" w:cs="仿宋_GB2312"/>
          <w:sz w:val="32"/>
          <w:szCs w:val="32"/>
          <w:lang w:eastAsia="zh-CN"/>
        </w:rPr>
        <w:t>群众</w:t>
      </w:r>
      <w:r>
        <w:rPr>
          <w:rFonts w:hint="eastAsia" w:ascii="仿宋_GB2312" w:hAnsi="仿宋_GB2312" w:eastAsia="仿宋_GB2312" w:cs="仿宋_GB2312"/>
          <w:sz w:val="32"/>
          <w:szCs w:val="32"/>
        </w:rPr>
        <w:t>关切、</w:t>
      </w:r>
      <w:r>
        <w:rPr>
          <w:rFonts w:hint="eastAsia" w:ascii="仿宋_GB2312" w:hAnsi="仿宋_GB2312" w:eastAsia="仿宋_GB2312" w:cs="仿宋_GB2312"/>
          <w:sz w:val="32"/>
          <w:szCs w:val="32"/>
          <w:lang w:eastAsia="zh-CN"/>
        </w:rPr>
        <w:t>答</w:t>
      </w:r>
      <w:r>
        <w:rPr>
          <w:rFonts w:hint="eastAsia" w:ascii="仿宋_GB2312" w:hAnsi="仿宋_GB2312" w:eastAsia="仿宋_GB2312" w:cs="仿宋_GB2312"/>
          <w:sz w:val="32"/>
          <w:szCs w:val="32"/>
        </w:rPr>
        <w:t>疑</w:t>
      </w:r>
      <w:r>
        <w:rPr>
          <w:rFonts w:hint="eastAsia" w:ascii="仿宋_GB2312" w:hAnsi="仿宋_GB2312" w:eastAsia="仿宋_GB2312" w:cs="仿宋_GB2312"/>
          <w:sz w:val="32"/>
          <w:szCs w:val="32"/>
          <w:lang w:eastAsia="zh-CN"/>
        </w:rPr>
        <w:t>解</w:t>
      </w:r>
      <w:r>
        <w:rPr>
          <w:rFonts w:hint="eastAsia" w:ascii="仿宋_GB2312" w:hAnsi="仿宋_GB2312" w:eastAsia="仿宋_GB2312" w:cs="仿宋_GB2312"/>
          <w:sz w:val="32"/>
          <w:szCs w:val="32"/>
        </w:rPr>
        <w:t>惑</w:t>
      </w:r>
      <w:r>
        <w:rPr>
          <w:rFonts w:hint="eastAsia" w:ascii="仿宋_GB2312" w:hAnsi="仿宋_GB2312" w:eastAsia="仿宋_GB2312" w:cs="仿宋_GB2312"/>
          <w:sz w:val="32"/>
          <w:szCs w:val="32"/>
          <w:lang w:eastAsia="zh-CN"/>
        </w:rPr>
        <w:t>。</w:t>
      </w:r>
    </w:p>
    <w:p w14:paraId="1F4C431B">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依申请公开情况</w:t>
      </w:r>
      <w:r>
        <w:rPr>
          <w:rFonts w:hint="eastAsia" w:ascii="仿宋_GB2312" w:hAnsi="仿宋_GB2312" w:eastAsia="仿宋_GB2312" w:cs="仿宋_GB2312"/>
          <w:sz w:val="32"/>
          <w:szCs w:val="32"/>
          <w:lang w:eastAsia="zh-CN"/>
        </w:rPr>
        <w:t>。严格执行国家和省、市、县信息申请公开有关规定。</w:t>
      </w:r>
      <w:r>
        <w:rPr>
          <w:rFonts w:hint="eastAsia" w:ascii="仿宋_GB2312" w:hAnsi="仿宋_GB2312" w:eastAsia="仿宋_GB2312" w:cs="仿宋_GB2312"/>
          <w:sz w:val="32"/>
          <w:szCs w:val="32"/>
          <w:lang w:val="en-US" w:eastAsia="zh-CN"/>
        </w:rPr>
        <w:t>2025年未收到政府信息公开申请，未发生由于政府信息公开申请引发的行政诉讼等情况。</w:t>
      </w:r>
    </w:p>
    <w:p w14:paraId="09D94D2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政府信息管理情况</w:t>
      </w: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加强组织领导，健全工作机制。明确了政务公开工作责任分工，安排了专职人员负责信息公开工作的收集、审核和发布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建立健全政府信息公开的制度体系</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拓宽公开渠道，提升信息质量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通过政务公开网站，向社会公开镇政府</w:t>
      </w:r>
      <w:r>
        <w:rPr>
          <w:rFonts w:hint="eastAsia" w:ascii="仿宋_GB2312" w:hAnsi="仿宋_GB2312" w:eastAsia="仿宋_GB2312" w:cs="仿宋_GB2312"/>
          <w:sz w:val="32"/>
          <w:szCs w:val="32"/>
          <w:lang w:eastAsia="zh-CN"/>
        </w:rPr>
        <w:t>职能</w:t>
      </w:r>
      <w:r>
        <w:rPr>
          <w:rFonts w:hint="eastAsia" w:ascii="仿宋_GB2312" w:hAnsi="仿宋_GB2312" w:eastAsia="仿宋_GB2312" w:cs="仿宋_GB2312"/>
          <w:sz w:val="32"/>
          <w:szCs w:val="32"/>
        </w:rPr>
        <w:t>信息，及时公开重点工作目标完成情况，以及各项惠民政策的通知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民生工程的开展情况等其他政务信息。围绕热点舆情积极主动回应，扩大群众知晓面，深入解读政策的决策背导依据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制定意义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创新举措等要素，更新完善政务公开内容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按时上传政府工作动态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切实保障公众的知情权</w:t>
      </w: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sz w:val="32"/>
          <w:szCs w:val="32"/>
        </w:rPr>
        <w:t>抓好日常运行，加大依申请公开力度。明确受理渠道，为申请人提供便捷的依申请公开服务。完善申请的受理、审查、处理、答复程序，有关记录保存备查。对于申请事项不属于政府信息公开工作范畴或无法按申请提供政府信息的，主动与申请人沟通</w:t>
      </w:r>
      <w:r>
        <w:rPr>
          <w:rFonts w:hint="eastAsia" w:ascii="仿宋_GB2312" w:hAnsi="仿宋_GB2312" w:eastAsia="仿宋_GB2312" w:cs="仿宋_GB2312"/>
          <w:sz w:val="32"/>
          <w:szCs w:val="32"/>
          <w:lang w:eastAsia="zh-CN"/>
        </w:rPr>
        <w:t>解释</w:t>
      </w:r>
      <w:r>
        <w:rPr>
          <w:rFonts w:hint="eastAsia" w:ascii="仿宋_GB2312" w:hAnsi="仿宋_GB2312" w:eastAsia="仿宋_GB2312" w:cs="仿宋_GB2312"/>
          <w:sz w:val="32"/>
          <w:szCs w:val="32"/>
        </w:rPr>
        <w:t>。</w:t>
      </w:r>
    </w:p>
    <w:p w14:paraId="76D7403B">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平台保障情况</w:t>
      </w:r>
      <w:r>
        <w:rPr>
          <w:rFonts w:hint="eastAsia" w:ascii="黑体" w:hAnsi="黑体" w:eastAsia="黑体" w:cs="黑体"/>
          <w:sz w:val="32"/>
          <w:szCs w:val="32"/>
          <w:lang w:eastAsia="zh-CN"/>
        </w:rPr>
        <w:t>。</w:t>
      </w:r>
      <w:r>
        <w:rPr>
          <w:rFonts w:hint="eastAsia" w:ascii="仿宋_GB2312" w:hAnsi="仿宋_GB2312" w:eastAsia="仿宋_GB2312" w:cs="仿宋_GB2312"/>
          <w:sz w:val="32"/>
          <w:szCs w:val="32"/>
        </w:rPr>
        <w:t>完善公开平台，提升服务水平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进一步强化栏目信息发布管理，进一步优化页面展示效果和</w:t>
      </w:r>
      <w:r>
        <w:rPr>
          <w:rFonts w:hint="eastAsia" w:ascii="仿宋_GB2312" w:hAnsi="仿宋_GB2312" w:eastAsia="仿宋_GB2312" w:cs="仿宋_GB2312"/>
          <w:sz w:val="32"/>
          <w:szCs w:val="32"/>
          <w:lang w:eastAsia="zh-CN"/>
        </w:rPr>
        <w:t>公开内容。</w:t>
      </w:r>
    </w:p>
    <w:p w14:paraId="69B8FF05">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监督保障情况</w:t>
      </w:r>
      <w:r>
        <w:rPr>
          <w:rFonts w:hint="eastAsia" w:ascii="黑体" w:hAnsi="黑体" w:eastAsia="黑体" w:cs="黑体"/>
          <w:sz w:val="32"/>
          <w:szCs w:val="32"/>
          <w:lang w:eastAsia="zh-CN"/>
        </w:rPr>
        <w:t>。</w:t>
      </w:r>
      <w:r>
        <w:rPr>
          <w:rFonts w:hint="eastAsia" w:ascii="仿宋_GB2312" w:hAnsi="仿宋_GB2312" w:eastAsia="仿宋_GB2312" w:cs="仿宋_GB2312"/>
          <w:sz w:val="32"/>
          <w:szCs w:val="32"/>
        </w:rPr>
        <w:t>强化监督保障，</w:t>
      </w:r>
      <w:r>
        <w:rPr>
          <w:rFonts w:hint="eastAsia" w:ascii="仿宋_GB2312" w:hAnsi="仿宋_GB2312" w:eastAsia="仿宋_GB2312" w:cs="仿宋_GB2312"/>
          <w:sz w:val="32"/>
          <w:szCs w:val="32"/>
          <w:lang w:eastAsia="zh-CN"/>
        </w:rPr>
        <w:t>建立长效机制，</w:t>
      </w:r>
      <w:r>
        <w:rPr>
          <w:rFonts w:hint="eastAsia" w:ascii="仿宋_GB2312" w:hAnsi="仿宋_GB2312" w:eastAsia="仿宋_GB2312" w:cs="仿宋_GB2312"/>
          <w:sz w:val="32"/>
          <w:szCs w:val="32"/>
        </w:rPr>
        <w:t>夯实政务公开工作基础，保证政务信息发布规范性、及时性和科学性。</w:t>
      </w:r>
    </w:p>
    <w:p w14:paraId="2D10A6E1">
      <w:pPr>
        <w:pStyle w:val="2"/>
        <w:keepNext w:val="0"/>
        <w:keepLines w:val="0"/>
        <w:pageBreakBefore w:val="0"/>
        <w:shd w:val="clear" w:color="auto" w:fill="FFFFFF"/>
        <w:kinsoku/>
        <w:wordWrap/>
        <w:overflowPunct/>
        <w:topLinePunct w:val="0"/>
        <w:autoSpaceDE/>
        <w:autoSpaceDN/>
        <w:bidi w:val="0"/>
        <w:adjustRightInd/>
        <w:snapToGrid/>
        <w:spacing w:before="0" w:beforeAutospacing="0" w:after="240" w:afterAutospacing="0" w:line="520" w:lineRule="exact"/>
        <w:ind w:firstLine="420"/>
        <w:jc w:val="lef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color w:val="333333"/>
          <w:sz w:val="32"/>
          <w:szCs w:val="32"/>
          <w:shd w:val="clear" w:color="auto" w:fill="FFFFFF"/>
        </w:rPr>
        <w:t>二、主动公开政府信息情况</w:t>
      </w:r>
    </w:p>
    <w:tbl>
      <w:tblPr>
        <w:tblStyle w:val="3"/>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435"/>
        <w:gridCol w:w="2435"/>
        <w:gridCol w:w="2435"/>
        <w:gridCol w:w="2435"/>
      </w:tblGrid>
      <w:tr w14:paraId="41E8A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14:paraId="2009D449">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第二十条第（一）项</w:t>
            </w:r>
          </w:p>
        </w:tc>
      </w:tr>
      <w:tr w14:paraId="12B59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1EE3A37A">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56CD5B56">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本年制发件数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07C5C0E3">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4BB58304">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现行有效件数</w:t>
            </w:r>
          </w:p>
        </w:tc>
      </w:tr>
      <w:tr w14:paraId="10230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3A0CBD6F">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07ADAE3B">
            <w:pPr>
              <w:spacing w:before="0" w:after="0" w:line="240" w:lineRule="auto"/>
              <w:ind w:left="0" w:right="0" w:firstLine="0"/>
              <w:jc w:val="center"/>
              <w:rPr>
                <w:rFonts w:hint="default" w:ascii="宋体" w:hAnsi="宋体" w:eastAsia="宋体" w:cs="宋体"/>
                <w:color w:val="000000"/>
                <w:spacing w:val="0"/>
                <w:kern w:val="0"/>
                <w:position w:val="0"/>
                <w:sz w:val="20"/>
                <w:szCs w:val="22"/>
                <w:shd w:val="clear" w:fill="auto"/>
                <w:lang w:val="en-US"/>
              </w:rPr>
            </w:pPr>
            <w:r>
              <w:rPr>
                <w:rFonts w:hint="eastAsia" w:ascii="宋体" w:hAnsi="宋体" w:eastAsia="宋体" w:cs="宋体"/>
                <w:color w:val="000000"/>
                <w:spacing w:val="0"/>
                <w:kern w:val="0"/>
                <w:position w:val="0"/>
                <w:sz w:val="20"/>
                <w:szCs w:val="22"/>
                <w:shd w:val="clear" w:fill="auto"/>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08C0F4D1">
            <w:pPr>
              <w:spacing w:before="0" w:after="0" w:line="240" w:lineRule="auto"/>
              <w:ind w:left="0" w:right="0" w:firstLine="0"/>
              <w:jc w:val="center"/>
              <w:rPr>
                <w:rFonts w:hint="default" w:ascii="宋体" w:hAnsi="宋体" w:eastAsia="宋体" w:cs="宋体"/>
                <w:color w:val="000000"/>
                <w:spacing w:val="0"/>
                <w:kern w:val="0"/>
                <w:position w:val="0"/>
                <w:sz w:val="20"/>
                <w:szCs w:val="22"/>
                <w:shd w:val="clear" w:fill="auto"/>
                <w:lang w:val="en-US"/>
              </w:rPr>
            </w:pPr>
            <w:r>
              <w:rPr>
                <w:rFonts w:hint="eastAsia" w:ascii="宋体" w:hAnsi="宋体" w:eastAsia="宋体" w:cs="宋体"/>
                <w:color w:val="000000"/>
                <w:spacing w:val="0"/>
                <w:kern w:val="0"/>
                <w:position w:val="0"/>
                <w:sz w:val="20"/>
                <w:szCs w:val="22"/>
                <w:shd w:val="clear" w:fill="auto"/>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1D3F163F">
            <w:pPr>
              <w:spacing w:before="0" w:after="0" w:line="240" w:lineRule="auto"/>
              <w:ind w:left="0" w:right="0" w:firstLine="0"/>
              <w:jc w:val="center"/>
              <w:rPr>
                <w:rFonts w:hint="default" w:ascii="宋体" w:hAnsi="宋体" w:eastAsia="宋体" w:cs="宋体"/>
                <w:color w:val="000000"/>
                <w:spacing w:val="0"/>
                <w:kern w:val="0"/>
                <w:position w:val="0"/>
                <w:sz w:val="20"/>
                <w:szCs w:val="22"/>
                <w:shd w:val="clear" w:fill="auto"/>
                <w:lang w:val="en-US"/>
              </w:rPr>
            </w:pPr>
            <w:r>
              <w:rPr>
                <w:rFonts w:hint="eastAsia" w:ascii="宋体" w:hAnsi="宋体" w:eastAsia="宋体" w:cs="宋体"/>
                <w:color w:val="000000"/>
                <w:spacing w:val="0"/>
                <w:kern w:val="0"/>
                <w:position w:val="0"/>
                <w:sz w:val="20"/>
                <w:szCs w:val="22"/>
                <w:shd w:val="clear" w:fill="auto"/>
                <w:lang w:val="en-US" w:eastAsia="zh-CN"/>
              </w:rPr>
              <w:t>0</w:t>
            </w:r>
          </w:p>
        </w:tc>
      </w:tr>
      <w:tr w14:paraId="370C9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18B57A65">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08810092">
            <w:pPr>
              <w:spacing w:before="0" w:after="0" w:line="240" w:lineRule="auto"/>
              <w:ind w:left="0" w:right="0" w:firstLine="0"/>
              <w:jc w:val="center"/>
              <w:rPr>
                <w:rFonts w:hint="default" w:ascii="宋体" w:hAnsi="宋体" w:eastAsia="宋体" w:cs="宋体"/>
                <w:color w:val="000000"/>
                <w:spacing w:val="0"/>
                <w:kern w:val="0"/>
                <w:position w:val="0"/>
                <w:sz w:val="20"/>
                <w:szCs w:val="22"/>
                <w:shd w:val="clear" w:fill="auto"/>
                <w:lang w:val="en-US"/>
              </w:rPr>
            </w:pPr>
            <w:r>
              <w:rPr>
                <w:rFonts w:hint="eastAsia" w:ascii="宋体" w:hAnsi="宋体" w:eastAsia="宋体" w:cs="宋体"/>
                <w:color w:val="000000"/>
                <w:spacing w:val="0"/>
                <w:kern w:val="0"/>
                <w:position w:val="0"/>
                <w:sz w:val="20"/>
                <w:szCs w:val="22"/>
                <w:shd w:val="clear" w:fill="auto"/>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6EEE3E62">
            <w:pPr>
              <w:spacing w:before="0" w:after="0" w:line="240" w:lineRule="auto"/>
              <w:ind w:left="0" w:right="0" w:firstLine="0"/>
              <w:jc w:val="center"/>
              <w:rPr>
                <w:rFonts w:hint="default" w:ascii="宋体" w:hAnsi="宋体" w:eastAsia="宋体" w:cs="宋体"/>
                <w:color w:val="000000"/>
                <w:spacing w:val="0"/>
                <w:kern w:val="0"/>
                <w:position w:val="0"/>
                <w:sz w:val="20"/>
                <w:szCs w:val="22"/>
                <w:shd w:val="clear" w:fill="auto"/>
                <w:lang w:val="en-US"/>
              </w:rPr>
            </w:pPr>
            <w:r>
              <w:rPr>
                <w:rFonts w:hint="eastAsia" w:ascii="宋体" w:hAnsi="宋体" w:eastAsia="宋体" w:cs="宋体"/>
                <w:color w:val="000000"/>
                <w:spacing w:val="0"/>
                <w:kern w:val="0"/>
                <w:position w:val="0"/>
                <w:sz w:val="20"/>
                <w:szCs w:val="22"/>
                <w:shd w:val="clear" w:fill="auto"/>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683E0A49">
            <w:pPr>
              <w:spacing w:before="0" w:after="0" w:line="240" w:lineRule="auto"/>
              <w:ind w:left="0" w:right="0" w:firstLine="0"/>
              <w:jc w:val="center"/>
              <w:rPr>
                <w:rFonts w:hint="default" w:ascii="宋体" w:hAnsi="宋体" w:eastAsia="宋体" w:cs="宋体"/>
                <w:color w:val="000000"/>
                <w:spacing w:val="0"/>
                <w:kern w:val="0"/>
                <w:position w:val="0"/>
                <w:sz w:val="20"/>
                <w:szCs w:val="22"/>
                <w:shd w:val="clear" w:fill="auto"/>
                <w:lang w:val="en-US"/>
              </w:rPr>
            </w:pPr>
            <w:r>
              <w:rPr>
                <w:rFonts w:hint="eastAsia" w:ascii="宋体" w:hAnsi="宋体" w:eastAsia="宋体" w:cs="宋体"/>
                <w:color w:val="000000"/>
                <w:spacing w:val="0"/>
                <w:kern w:val="0"/>
                <w:position w:val="0"/>
                <w:sz w:val="20"/>
                <w:szCs w:val="22"/>
                <w:shd w:val="clear" w:fill="auto"/>
                <w:lang w:val="en-US" w:eastAsia="zh-CN"/>
              </w:rPr>
              <w:t>0</w:t>
            </w:r>
          </w:p>
        </w:tc>
      </w:tr>
      <w:tr w14:paraId="47AF7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5CFE8FD5">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第二十条第（五）项</w:t>
            </w:r>
          </w:p>
        </w:tc>
      </w:tr>
      <w:tr w14:paraId="0F202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33B24052">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36218571">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本年处理决定数量</w:t>
            </w:r>
          </w:p>
        </w:tc>
      </w:tr>
      <w:tr w14:paraId="32A0A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1F7344AD">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11F965C6">
            <w:pPr>
              <w:spacing w:before="0" w:after="0" w:line="240" w:lineRule="auto"/>
              <w:ind w:left="0" w:right="0" w:firstLine="0"/>
              <w:jc w:val="center"/>
              <w:rPr>
                <w:rFonts w:hint="default" w:ascii="宋体" w:hAnsi="宋体" w:eastAsia="宋体" w:cs="宋体"/>
                <w:color w:val="000000"/>
                <w:spacing w:val="0"/>
                <w:kern w:val="0"/>
                <w:position w:val="0"/>
                <w:sz w:val="20"/>
                <w:szCs w:val="22"/>
                <w:shd w:val="clear" w:fill="auto"/>
                <w:lang w:val="en-US" w:eastAsia="zh-CN"/>
              </w:rPr>
            </w:pPr>
            <w:r>
              <w:rPr>
                <w:rFonts w:hint="eastAsia" w:ascii="宋体" w:hAnsi="宋体" w:eastAsia="宋体" w:cs="宋体"/>
                <w:color w:val="000000"/>
                <w:spacing w:val="0"/>
                <w:kern w:val="0"/>
                <w:position w:val="0"/>
                <w:sz w:val="20"/>
                <w:szCs w:val="22"/>
                <w:shd w:val="clear" w:fill="auto"/>
                <w:lang w:val="en-US" w:eastAsia="zh-CN"/>
              </w:rPr>
              <w:t>387</w:t>
            </w:r>
          </w:p>
        </w:tc>
      </w:tr>
      <w:tr w14:paraId="7CD1E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17504C62">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第二十条第（六）项</w:t>
            </w:r>
          </w:p>
        </w:tc>
      </w:tr>
      <w:tr w14:paraId="39C2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76D8783">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555B0AC4">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本年处理决定数量</w:t>
            </w:r>
          </w:p>
        </w:tc>
      </w:tr>
      <w:tr w14:paraId="715D1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DDE704D">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509A0264">
            <w:pPr>
              <w:spacing w:before="0" w:after="0" w:line="240" w:lineRule="auto"/>
              <w:ind w:left="0" w:right="0" w:firstLine="0"/>
              <w:jc w:val="center"/>
              <w:rPr>
                <w:rFonts w:hint="eastAsia" w:ascii="宋体" w:hAnsi="宋体" w:eastAsia="宋体" w:cs="宋体"/>
                <w:color w:val="000000"/>
                <w:spacing w:val="0"/>
                <w:kern w:val="0"/>
                <w:position w:val="0"/>
                <w:sz w:val="20"/>
                <w:szCs w:val="22"/>
                <w:shd w:val="clear" w:fill="auto"/>
                <w:lang w:val="en-US" w:eastAsia="zh-CN"/>
              </w:rPr>
            </w:pPr>
            <w:r>
              <w:rPr>
                <w:rFonts w:hint="eastAsia" w:ascii="宋体" w:hAnsi="宋体" w:eastAsia="宋体" w:cs="宋体"/>
                <w:color w:val="000000"/>
                <w:spacing w:val="0"/>
                <w:kern w:val="0"/>
                <w:position w:val="0"/>
                <w:sz w:val="20"/>
                <w:szCs w:val="22"/>
                <w:shd w:val="clear" w:fill="auto"/>
                <w:lang w:val="en-US" w:eastAsia="zh-CN"/>
              </w:rPr>
              <w:t>2</w:t>
            </w:r>
          </w:p>
        </w:tc>
      </w:tr>
      <w:tr w14:paraId="5FFC0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B0073A3">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5C4131AF">
            <w:pPr>
              <w:spacing w:before="0" w:after="0" w:line="240" w:lineRule="auto"/>
              <w:ind w:left="0" w:right="0" w:firstLine="0"/>
              <w:jc w:val="center"/>
              <w:rPr>
                <w:rFonts w:hint="default" w:ascii="宋体" w:hAnsi="宋体" w:eastAsia="宋体" w:cs="宋体"/>
                <w:color w:val="000000"/>
                <w:spacing w:val="0"/>
                <w:kern w:val="0"/>
                <w:position w:val="0"/>
                <w:sz w:val="20"/>
                <w:szCs w:val="22"/>
                <w:shd w:val="clear" w:fill="auto"/>
                <w:lang w:val="en-US"/>
              </w:rPr>
            </w:pPr>
            <w:r>
              <w:rPr>
                <w:rFonts w:hint="eastAsia" w:ascii="宋体" w:hAnsi="宋体" w:eastAsia="宋体" w:cs="宋体"/>
                <w:color w:val="000000"/>
                <w:spacing w:val="0"/>
                <w:kern w:val="0"/>
                <w:position w:val="0"/>
                <w:sz w:val="20"/>
                <w:szCs w:val="22"/>
                <w:shd w:val="clear" w:fill="auto"/>
                <w:lang w:val="en-US" w:eastAsia="zh-CN"/>
              </w:rPr>
              <w:t>0</w:t>
            </w:r>
          </w:p>
        </w:tc>
      </w:tr>
      <w:tr w14:paraId="4FD15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4" w:space="0"/>
              <w:right w:val="single" w:color="auto" w:sz="8" w:space="0"/>
            </w:tcBorders>
            <w:shd w:val="clear" w:color="auto" w:fill="C6D9F1"/>
            <w:tcMar>
              <w:left w:w="57" w:type="dxa"/>
              <w:right w:w="57" w:type="dxa"/>
            </w:tcMar>
            <w:vAlign w:val="center"/>
          </w:tcPr>
          <w:p w14:paraId="6A218DFC">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第二十条第（八）项</w:t>
            </w:r>
          </w:p>
        </w:tc>
      </w:tr>
      <w:tr w14:paraId="347DD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8" w:space="0"/>
            </w:tcBorders>
            <w:shd w:val="clear" w:color="auto" w:fill="auto"/>
            <w:tcMar>
              <w:left w:w="57" w:type="dxa"/>
              <w:right w:w="57" w:type="dxa"/>
            </w:tcMar>
            <w:vAlign w:val="center"/>
          </w:tcPr>
          <w:p w14:paraId="5DB74202">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信息内容</w:t>
            </w:r>
          </w:p>
        </w:tc>
        <w:tc>
          <w:tcPr>
            <w:tcW w:w="7305" w:type="dxa"/>
            <w:gridSpan w:val="3"/>
            <w:tcBorders>
              <w:top w:val="single" w:color="auto" w:sz="4" w:space="0"/>
              <w:left w:val="nil"/>
              <w:bottom w:val="single" w:color="auto" w:sz="4" w:space="0"/>
              <w:right w:val="single" w:color="auto" w:sz="4" w:space="0"/>
            </w:tcBorders>
            <w:shd w:val="clear" w:color="auto" w:fill="auto"/>
            <w:tcMar>
              <w:left w:w="57" w:type="dxa"/>
              <w:right w:w="57" w:type="dxa"/>
            </w:tcMar>
            <w:vAlign w:val="center"/>
          </w:tcPr>
          <w:p w14:paraId="200490F8">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本年收费金额（单位：万元）</w:t>
            </w:r>
          </w:p>
        </w:tc>
      </w:tr>
      <w:tr w14:paraId="59349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8" w:space="0"/>
              <w:bottom w:val="single" w:color="auto" w:sz="8" w:space="0"/>
              <w:right w:val="single" w:color="auto" w:sz="8" w:space="0"/>
            </w:tcBorders>
            <w:shd w:val="clear" w:color="auto" w:fill="auto"/>
            <w:tcMar>
              <w:left w:w="57" w:type="dxa"/>
              <w:right w:w="57" w:type="dxa"/>
            </w:tcMar>
            <w:vAlign w:val="center"/>
          </w:tcPr>
          <w:p w14:paraId="30656E09">
            <w:pPr>
              <w:spacing w:before="0" w:after="0" w:line="240" w:lineRule="auto"/>
              <w:ind w:left="0" w:right="0" w:firstLine="0"/>
              <w:jc w:val="center"/>
              <w:rPr>
                <w:rFonts w:ascii="宋体" w:hAnsi="宋体" w:eastAsia="宋体" w:cs="宋体"/>
                <w:color w:val="000000"/>
                <w:spacing w:val="0"/>
                <w:kern w:val="0"/>
                <w:position w:val="0"/>
                <w:sz w:val="20"/>
                <w:szCs w:val="22"/>
                <w:shd w:val="clear" w:fill="auto"/>
              </w:rPr>
            </w:pPr>
            <w:r>
              <w:rPr>
                <w:rFonts w:hint="eastAsia" w:ascii="宋体" w:hAnsi="宋体" w:eastAsia="宋体" w:cs="宋体"/>
                <w:color w:val="000000"/>
                <w:spacing w:val="0"/>
                <w:kern w:val="0"/>
                <w:position w:val="0"/>
                <w:sz w:val="20"/>
                <w:szCs w:val="22"/>
                <w:shd w:val="clear" w:fill="auto"/>
                <w:lang w:val="en-US" w:eastAsia="zh-CN"/>
              </w:rPr>
              <w:t>行政事业性收费</w:t>
            </w:r>
          </w:p>
        </w:tc>
        <w:tc>
          <w:tcPr>
            <w:tcW w:w="7305" w:type="dxa"/>
            <w:gridSpan w:val="3"/>
            <w:tcBorders>
              <w:top w:val="single" w:color="auto" w:sz="4" w:space="0"/>
              <w:left w:val="nil"/>
              <w:bottom w:val="single" w:color="auto" w:sz="8" w:space="0"/>
              <w:right w:val="single" w:color="000000" w:sz="8" w:space="0"/>
            </w:tcBorders>
            <w:shd w:val="clear" w:color="auto" w:fill="auto"/>
            <w:tcMar>
              <w:left w:w="57" w:type="dxa"/>
              <w:right w:w="57" w:type="dxa"/>
            </w:tcMar>
            <w:vAlign w:val="center"/>
          </w:tcPr>
          <w:p w14:paraId="757DD013">
            <w:pPr>
              <w:spacing w:before="0" w:after="0" w:line="240" w:lineRule="auto"/>
              <w:ind w:left="0" w:right="0" w:firstLine="0"/>
              <w:jc w:val="center"/>
              <w:rPr>
                <w:rFonts w:hint="eastAsia" w:ascii="宋体" w:hAnsi="宋体" w:eastAsia="宋体" w:cs="宋体"/>
                <w:color w:val="000000"/>
                <w:spacing w:val="0"/>
                <w:kern w:val="0"/>
                <w:position w:val="0"/>
                <w:sz w:val="20"/>
                <w:szCs w:val="22"/>
                <w:shd w:val="clear" w:fill="auto"/>
                <w:lang w:val="en-US" w:eastAsia="zh-CN"/>
              </w:rPr>
            </w:pPr>
            <w:r>
              <w:rPr>
                <w:rFonts w:hint="eastAsia" w:ascii="宋体" w:hAnsi="宋体" w:eastAsia="宋体" w:cs="宋体"/>
                <w:color w:val="000000"/>
                <w:spacing w:val="0"/>
                <w:kern w:val="0"/>
                <w:position w:val="0"/>
                <w:sz w:val="20"/>
                <w:szCs w:val="22"/>
                <w:shd w:val="clear" w:fill="auto"/>
                <w:lang w:val="en-US" w:eastAsia="zh-CN"/>
              </w:rPr>
              <w:t>0</w:t>
            </w:r>
          </w:p>
        </w:tc>
      </w:tr>
    </w:tbl>
    <w:p w14:paraId="5B9A7DBE">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firstLine="320" w:firstLineChars="100"/>
        <w:jc w:val="left"/>
        <w:textAlignment w:val="auto"/>
        <w:outlineLvl w:val="0"/>
        <w:rPr>
          <w:rFonts w:hint="eastAsia" w:ascii="黑体" w:hAnsi="黑体" w:eastAsia="黑体" w:cs="黑体"/>
          <w:b w:val="0"/>
          <w:bCs/>
          <w:color w:val="333333"/>
          <w:sz w:val="32"/>
          <w:szCs w:val="32"/>
          <w:shd w:val="clear" w:color="auto" w:fill="FFFFFF"/>
        </w:rPr>
      </w:pPr>
      <w:r>
        <w:rPr>
          <w:rFonts w:hint="eastAsia" w:ascii="黑体" w:hAnsi="黑体" w:eastAsia="黑体" w:cs="黑体"/>
          <w:b w:val="0"/>
          <w:bCs/>
          <w:color w:val="333333"/>
          <w:sz w:val="32"/>
          <w:szCs w:val="32"/>
          <w:shd w:val="clear" w:color="auto" w:fill="FFFFFF"/>
        </w:rPr>
        <w:t>三、收到和处理政府信息公开申请情况</w:t>
      </w:r>
    </w:p>
    <w:tbl>
      <w:tblPr>
        <w:tblStyle w:val="3"/>
        <w:tblpPr w:leftFromText="180" w:rightFromText="180" w:vertAnchor="text" w:horzAnchor="page" w:tblpX="1225" w:tblpY="319"/>
        <w:tblOverlap w:val="never"/>
        <w:tblW w:w="973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5"/>
        <w:gridCol w:w="941"/>
        <w:gridCol w:w="3220"/>
        <w:gridCol w:w="686"/>
        <w:gridCol w:w="686"/>
        <w:gridCol w:w="686"/>
        <w:gridCol w:w="686"/>
        <w:gridCol w:w="686"/>
        <w:gridCol w:w="693"/>
        <w:gridCol w:w="690"/>
      </w:tblGrid>
      <w:tr w14:paraId="5DDB21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4" w:hRule="atLeast"/>
        </w:trPr>
        <w:tc>
          <w:tcPr>
            <w:tcW w:w="4926"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5717C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ascii="楷体" w:hAnsi="楷体" w:eastAsia="楷体" w:cs="楷体"/>
                <w:kern w:val="0"/>
                <w:sz w:val="20"/>
                <w:szCs w:val="20"/>
                <w:lang w:val="en-US" w:eastAsia="zh-CN" w:bidi="ar"/>
              </w:rPr>
              <w:t>（本列数据的勾稽关系为：第一项加第二项之和，等于第三项加第四项之和）</w:t>
            </w:r>
          </w:p>
        </w:tc>
        <w:tc>
          <w:tcPr>
            <w:tcW w:w="4813"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5C64E4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申请人情况</w:t>
            </w:r>
          </w:p>
        </w:tc>
      </w:tr>
      <w:tr w14:paraId="545969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4926"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267FF4BC">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686"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14:paraId="043B16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自然人</w:t>
            </w:r>
          </w:p>
        </w:tc>
        <w:tc>
          <w:tcPr>
            <w:tcW w:w="3437"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7AA8E7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法人或其他组织</w:t>
            </w:r>
          </w:p>
        </w:tc>
        <w:tc>
          <w:tcPr>
            <w:tcW w:w="690"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14:paraId="3F2611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总计</w:t>
            </w:r>
          </w:p>
        </w:tc>
      </w:tr>
      <w:tr w14:paraId="386FC6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91" w:hRule="atLeast"/>
        </w:trPr>
        <w:tc>
          <w:tcPr>
            <w:tcW w:w="4926"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555DFEC7">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686"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14:paraId="5E2C765B">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064509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商业</w:t>
            </w:r>
          </w:p>
          <w:p w14:paraId="6A6B9B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企业</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68858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科研</w:t>
            </w:r>
          </w:p>
          <w:p w14:paraId="58E4AF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机构</w:t>
            </w:r>
          </w:p>
        </w:tc>
        <w:tc>
          <w:tcPr>
            <w:tcW w:w="686"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2604C7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社会公益组织</w:t>
            </w:r>
          </w:p>
        </w:tc>
        <w:tc>
          <w:tcPr>
            <w:tcW w:w="686"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1751F7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法律服务机构</w:t>
            </w:r>
          </w:p>
        </w:tc>
        <w:tc>
          <w:tcPr>
            <w:tcW w:w="693"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68438B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其他</w:t>
            </w:r>
          </w:p>
        </w:tc>
        <w:tc>
          <w:tcPr>
            <w:tcW w:w="690"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14:paraId="7498A9A5">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r>
      <w:tr w14:paraId="2F2ACF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4926"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2C3EB6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一、本年新收政府信息公开申请数量</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F4EF1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75932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741C8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E1431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E1E5C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51A3EC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25563E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pPr>
            <w:r>
              <w:rPr>
                <w:rFonts w:hint="eastAsia" w:ascii="Calibri" w:hAnsi="Calibri" w:cs="Calibri"/>
                <w:kern w:val="0"/>
                <w:sz w:val="20"/>
                <w:szCs w:val="20"/>
                <w:lang w:val="en-US" w:eastAsia="zh-CN" w:bidi="ar"/>
              </w:rPr>
              <w:t>0</w:t>
            </w:r>
          </w:p>
        </w:tc>
      </w:tr>
      <w:tr w14:paraId="56101C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4926"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75C2D6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二、上年结转政府信息公开申请数量</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F6EA4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987A3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EADE9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CC99B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0F2F1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49ADB3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6C8F87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276B57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695122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三、本年度办理结果</w:t>
            </w:r>
          </w:p>
        </w:tc>
        <w:tc>
          <w:tcPr>
            <w:tcW w:w="4161"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25857D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（一）予以公开</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6C767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91591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8C7D2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F873D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D3D96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3B7BAD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14:paraId="32AF4E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590786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7"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527F525">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4161"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6A9055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0125A1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3FFC5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89A23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BFBCE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772DE0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4BAEA4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22392F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03C357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736A3719">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15A253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1D8053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1.属于国家秘密</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73DE40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D7C35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4C33F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69D0E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808F8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4ADAE1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14:paraId="28B3D3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0A98DB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E2030F2">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683BAA69">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29E4E5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2.其他法律行政法规禁止公开</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AAC57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0BD222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E9482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0A807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00FE0D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5C1087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0F2C5F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13EA0B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7CE40DB3">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AFA68BF">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1B2329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3.危及“三安全一稳定”</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E4F98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E2C8B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BE6B2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AED3D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CF051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5C2895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211C1A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4C6A2A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89C829F">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5159D48">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6AC53B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4.保护第三方合法权益</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762CB7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07A562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71197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016CF7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B44AC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26080C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36BC42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4DF510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6E605C6E">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3BA58606">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470879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5.属于三类内部事务信息</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6722A6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6E9E03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300C2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04FB48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783109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6CB0E2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730C73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39C029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E2921D2">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64CCE3A8">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666E19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6.属于四类过程性信息</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01F61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25B16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727539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12A69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589BE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752B1D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4CC388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2BC6A1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424162F6">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4EBC2B9">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5DD5EC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7.属于行政执法案卷</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48B09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655742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0B96D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37EA6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76B39D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439C03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73CB31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58FD47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E5F5213">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EAB11C3">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5B9799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8.属于行政查询事项</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6E751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AEDD8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9A328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060962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E1165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29F22B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1F933D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001800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64B4086F">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44A7C1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142DD2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1.本机关不掌握相关政府信息</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6CE06E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57FB1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72B61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D184E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6B7B96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3F425A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41EB70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18DFAD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7417D289">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0799843">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4" w:space="0"/>
              <w:right w:val="single" w:color="auto" w:sz="8" w:space="0"/>
            </w:tcBorders>
            <w:shd w:val="clear" w:color="auto" w:fill="auto"/>
            <w:tcMar>
              <w:left w:w="57" w:type="dxa"/>
              <w:right w:w="57" w:type="dxa"/>
            </w:tcMar>
            <w:vAlign w:val="top"/>
          </w:tcPr>
          <w:p w14:paraId="2138A4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2.没有现成信息需要另行制作</w:t>
            </w:r>
          </w:p>
        </w:tc>
        <w:tc>
          <w:tcPr>
            <w:tcW w:w="686" w:type="dxa"/>
            <w:tcBorders>
              <w:top w:val="nil"/>
              <w:left w:val="nil"/>
              <w:bottom w:val="single" w:color="auto" w:sz="4" w:space="0"/>
              <w:right w:val="single" w:color="auto" w:sz="8" w:space="0"/>
            </w:tcBorders>
            <w:shd w:val="clear" w:color="auto" w:fill="auto"/>
            <w:tcMar>
              <w:left w:w="57" w:type="dxa"/>
              <w:right w:w="57" w:type="dxa"/>
            </w:tcMar>
            <w:vAlign w:val="center"/>
          </w:tcPr>
          <w:p w14:paraId="27E28E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4" w:space="0"/>
              <w:right w:val="single" w:color="auto" w:sz="8" w:space="0"/>
            </w:tcBorders>
            <w:shd w:val="clear" w:color="auto" w:fill="auto"/>
            <w:tcMar>
              <w:left w:w="57" w:type="dxa"/>
              <w:right w:w="57" w:type="dxa"/>
            </w:tcMar>
            <w:vAlign w:val="center"/>
          </w:tcPr>
          <w:p w14:paraId="45A18E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4" w:space="0"/>
              <w:right w:val="single" w:color="auto" w:sz="8" w:space="0"/>
            </w:tcBorders>
            <w:shd w:val="clear" w:color="auto" w:fill="auto"/>
            <w:tcMar>
              <w:left w:w="57" w:type="dxa"/>
              <w:right w:w="57" w:type="dxa"/>
            </w:tcMar>
            <w:vAlign w:val="center"/>
          </w:tcPr>
          <w:p w14:paraId="7A3A91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4" w:space="0"/>
              <w:right w:val="single" w:color="auto" w:sz="8" w:space="0"/>
            </w:tcBorders>
            <w:shd w:val="clear" w:color="auto" w:fill="auto"/>
            <w:tcMar>
              <w:left w:w="57" w:type="dxa"/>
              <w:right w:w="57" w:type="dxa"/>
            </w:tcMar>
            <w:vAlign w:val="center"/>
          </w:tcPr>
          <w:p w14:paraId="4B7E20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4" w:space="0"/>
              <w:right w:val="single" w:color="auto" w:sz="8" w:space="0"/>
            </w:tcBorders>
            <w:shd w:val="clear" w:color="auto" w:fill="auto"/>
            <w:tcMar>
              <w:left w:w="57" w:type="dxa"/>
              <w:right w:w="57" w:type="dxa"/>
            </w:tcMar>
            <w:vAlign w:val="center"/>
          </w:tcPr>
          <w:p w14:paraId="33891C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4" w:space="0"/>
              <w:right w:val="single" w:color="auto" w:sz="8" w:space="0"/>
            </w:tcBorders>
            <w:shd w:val="clear" w:color="auto" w:fill="auto"/>
            <w:tcMar>
              <w:left w:w="57" w:type="dxa"/>
              <w:right w:w="57" w:type="dxa"/>
            </w:tcMar>
            <w:vAlign w:val="center"/>
          </w:tcPr>
          <w:p w14:paraId="57B758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4" w:space="0"/>
              <w:right w:val="single" w:color="auto" w:sz="8" w:space="0"/>
            </w:tcBorders>
            <w:shd w:val="clear" w:color="auto" w:fill="auto"/>
            <w:tcMar>
              <w:left w:w="57" w:type="dxa"/>
              <w:right w:w="57" w:type="dxa"/>
            </w:tcMar>
            <w:vAlign w:val="top"/>
          </w:tcPr>
          <w:p w14:paraId="38FB23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3C85C7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2C4EF3B">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4" w:space="0"/>
            </w:tcBorders>
            <w:shd w:val="clear" w:color="auto" w:fill="auto"/>
            <w:tcMar>
              <w:left w:w="57" w:type="dxa"/>
              <w:right w:w="57" w:type="dxa"/>
            </w:tcMar>
            <w:vAlign w:val="center"/>
          </w:tcPr>
          <w:p w14:paraId="77F69D0F">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single" w:color="auto" w:sz="4" w:space="0"/>
              <w:left w:val="single" w:color="auto" w:sz="4" w:space="0"/>
              <w:bottom w:val="single" w:color="auto" w:sz="4" w:space="0"/>
              <w:right w:val="single" w:color="auto" w:sz="8" w:space="0"/>
            </w:tcBorders>
            <w:shd w:val="clear" w:color="auto" w:fill="auto"/>
            <w:tcMar>
              <w:left w:w="57" w:type="dxa"/>
              <w:right w:w="57" w:type="dxa"/>
            </w:tcMar>
            <w:vAlign w:val="top"/>
          </w:tcPr>
          <w:p w14:paraId="5D55B9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3.补正后申请内容仍不明确</w:t>
            </w:r>
          </w:p>
        </w:tc>
        <w:tc>
          <w:tcPr>
            <w:tcW w:w="686" w:type="dxa"/>
            <w:tcBorders>
              <w:top w:val="single" w:color="auto" w:sz="4" w:space="0"/>
              <w:left w:val="nil"/>
              <w:bottom w:val="single" w:color="auto" w:sz="4" w:space="0"/>
              <w:right w:val="single" w:color="auto" w:sz="8" w:space="0"/>
            </w:tcBorders>
            <w:shd w:val="clear" w:color="auto" w:fill="auto"/>
            <w:tcMar>
              <w:left w:w="57" w:type="dxa"/>
              <w:right w:w="57" w:type="dxa"/>
            </w:tcMar>
            <w:vAlign w:val="center"/>
          </w:tcPr>
          <w:p w14:paraId="51CB1C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single" w:color="auto" w:sz="4" w:space="0"/>
              <w:left w:val="nil"/>
              <w:bottom w:val="single" w:color="auto" w:sz="4" w:space="0"/>
              <w:right w:val="single" w:color="auto" w:sz="8" w:space="0"/>
            </w:tcBorders>
            <w:shd w:val="clear" w:color="auto" w:fill="auto"/>
            <w:tcMar>
              <w:left w:w="57" w:type="dxa"/>
              <w:right w:w="57" w:type="dxa"/>
            </w:tcMar>
            <w:vAlign w:val="center"/>
          </w:tcPr>
          <w:p w14:paraId="65A406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single" w:color="auto" w:sz="4" w:space="0"/>
              <w:left w:val="nil"/>
              <w:bottom w:val="single" w:color="auto" w:sz="4" w:space="0"/>
              <w:right w:val="single" w:color="auto" w:sz="8" w:space="0"/>
            </w:tcBorders>
            <w:shd w:val="clear" w:color="auto" w:fill="auto"/>
            <w:tcMar>
              <w:left w:w="57" w:type="dxa"/>
              <w:right w:w="57" w:type="dxa"/>
            </w:tcMar>
            <w:vAlign w:val="center"/>
          </w:tcPr>
          <w:p w14:paraId="5E2EAE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single" w:color="auto" w:sz="4" w:space="0"/>
              <w:left w:val="nil"/>
              <w:bottom w:val="single" w:color="auto" w:sz="4" w:space="0"/>
              <w:right w:val="single" w:color="auto" w:sz="8" w:space="0"/>
            </w:tcBorders>
            <w:shd w:val="clear" w:color="auto" w:fill="auto"/>
            <w:tcMar>
              <w:left w:w="57" w:type="dxa"/>
              <w:right w:w="57" w:type="dxa"/>
            </w:tcMar>
            <w:vAlign w:val="center"/>
          </w:tcPr>
          <w:p w14:paraId="2C4C80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single" w:color="auto" w:sz="4" w:space="0"/>
              <w:left w:val="nil"/>
              <w:bottom w:val="single" w:color="auto" w:sz="4" w:space="0"/>
              <w:right w:val="single" w:color="auto" w:sz="8" w:space="0"/>
            </w:tcBorders>
            <w:shd w:val="clear" w:color="auto" w:fill="auto"/>
            <w:tcMar>
              <w:left w:w="57" w:type="dxa"/>
              <w:right w:w="57" w:type="dxa"/>
            </w:tcMar>
            <w:vAlign w:val="center"/>
          </w:tcPr>
          <w:p w14:paraId="03A308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single" w:color="auto" w:sz="4" w:space="0"/>
              <w:left w:val="nil"/>
              <w:bottom w:val="single" w:color="auto" w:sz="4" w:space="0"/>
              <w:right w:val="single" w:color="auto" w:sz="8" w:space="0"/>
            </w:tcBorders>
            <w:shd w:val="clear" w:color="auto" w:fill="auto"/>
            <w:tcMar>
              <w:left w:w="57" w:type="dxa"/>
              <w:right w:w="57" w:type="dxa"/>
            </w:tcMar>
            <w:vAlign w:val="center"/>
          </w:tcPr>
          <w:p w14:paraId="31F31D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single" w:color="auto" w:sz="4" w:space="0"/>
              <w:left w:val="nil"/>
              <w:bottom w:val="single" w:color="auto" w:sz="4" w:space="0"/>
              <w:right w:val="single" w:color="auto" w:sz="4" w:space="0"/>
            </w:tcBorders>
            <w:shd w:val="clear" w:color="auto" w:fill="auto"/>
            <w:tcMar>
              <w:left w:w="57" w:type="dxa"/>
              <w:right w:w="57" w:type="dxa"/>
            </w:tcMar>
            <w:vAlign w:val="top"/>
          </w:tcPr>
          <w:p w14:paraId="678548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2489B7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03FC30CC">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1A0E42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（五）不予处理</w:t>
            </w:r>
          </w:p>
        </w:tc>
        <w:tc>
          <w:tcPr>
            <w:tcW w:w="3220" w:type="dxa"/>
            <w:tcBorders>
              <w:top w:val="single" w:color="auto" w:sz="4" w:space="0"/>
              <w:left w:val="nil"/>
              <w:bottom w:val="single" w:color="auto" w:sz="8" w:space="0"/>
              <w:right w:val="single" w:color="auto" w:sz="8" w:space="0"/>
            </w:tcBorders>
            <w:shd w:val="clear" w:color="auto" w:fill="auto"/>
            <w:tcMar>
              <w:left w:w="57" w:type="dxa"/>
              <w:right w:w="57" w:type="dxa"/>
            </w:tcMar>
            <w:vAlign w:val="top"/>
          </w:tcPr>
          <w:p w14:paraId="3FABE2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1.信访举报投诉类申请</w:t>
            </w:r>
          </w:p>
        </w:tc>
        <w:tc>
          <w:tcPr>
            <w:tcW w:w="686" w:type="dxa"/>
            <w:tcBorders>
              <w:top w:val="single" w:color="auto" w:sz="4" w:space="0"/>
              <w:left w:val="nil"/>
              <w:bottom w:val="single" w:color="auto" w:sz="8" w:space="0"/>
              <w:right w:val="single" w:color="auto" w:sz="8" w:space="0"/>
            </w:tcBorders>
            <w:shd w:val="clear" w:color="auto" w:fill="auto"/>
            <w:tcMar>
              <w:left w:w="57" w:type="dxa"/>
              <w:right w:w="57" w:type="dxa"/>
            </w:tcMar>
            <w:vAlign w:val="center"/>
          </w:tcPr>
          <w:p w14:paraId="6688CC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single" w:color="auto" w:sz="4" w:space="0"/>
              <w:left w:val="nil"/>
              <w:bottom w:val="single" w:color="auto" w:sz="8" w:space="0"/>
              <w:right w:val="single" w:color="auto" w:sz="8" w:space="0"/>
            </w:tcBorders>
            <w:shd w:val="clear" w:color="auto" w:fill="auto"/>
            <w:tcMar>
              <w:left w:w="57" w:type="dxa"/>
              <w:right w:w="57" w:type="dxa"/>
            </w:tcMar>
            <w:vAlign w:val="center"/>
          </w:tcPr>
          <w:p w14:paraId="01B7D2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single" w:color="auto" w:sz="4" w:space="0"/>
              <w:left w:val="nil"/>
              <w:bottom w:val="single" w:color="auto" w:sz="8" w:space="0"/>
              <w:right w:val="single" w:color="auto" w:sz="8" w:space="0"/>
            </w:tcBorders>
            <w:shd w:val="clear" w:color="auto" w:fill="auto"/>
            <w:tcMar>
              <w:left w:w="57" w:type="dxa"/>
              <w:right w:w="57" w:type="dxa"/>
            </w:tcMar>
            <w:vAlign w:val="center"/>
          </w:tcPr>
          <w:p w14:paraId="5F7C41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single" w:color="auto" w:sz="4" w:space="0"/>
              <w:left w:val="nil"/>
              <w:bottom w:val="single" w:color="auto" w:sz="8" w:space="0"/>
              <w:right w:val="single" w:color="auto" w:sz="8" w:space="0"/>
            </w:tcBorders>
            <w:shd w:val="clear" w:color="auto" w:fill="auto"/>
            <w:tcMar>
              <w:left w:w="57" w:type="dxa"/>
              <w:right w:w="57" w:type="dxa"/>
            </w:tcMar>
            <w:vAlign w:val="center"/>
          </w:tcPr>
          <w:p w14:paraId="239E5C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single" w:color="auto" w:sz="4" w:space="0"/>
              <w:left w:val="nil"/>
              <w:bottom w:val="single" w:color="auto" w:sz="8" w:space="0"/>
              <w:right w:val="single" w:color="auto" w:sz="8" w:space="0"/>
            </w:tcBorders>
            <w:shd w:val="clear" w:color="auto" w:fill="auto"/>
            <w:tcMar>
              <w:left w:w="57" w:type="dxa"/>
              <w:right w:w="57" w:type="dxa"/>
            </w:tcMar>
            <w:vAlign w:val="center"/>
          </w:tcPr>
          <w:p w14:paraId="725F53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single" w:color="auto" w:sz="4" w:space="0"/>
              <w:left w:val="nil"/>
              <w:bottom w:val="single" w:color="auto" w:sz="8" w:space="0"/>
              <w:right w:val="single" w:color="auto" w:sz="8" w:space="0"/>
            </w:tcBorders>
            <w:shd w:val="clear" w:color="auto" w:fill="auto"/>
            <w:tcMar>
              <w:left w:w="57" w:type="dxa"/>
              <w:right w:w="57" w:type="dxa"/>
            </w:tcMar>
            <w:vAlign w:val="center"/>
          </w:tcPr>
          <w:p w14:paraId="7ED131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single" w:color="auto" w:sz="4" w:space="0"/>
              <w:left w:val="nil"/>
              <w:bottom w:val="single" w:color="auto" w:sz="8" w:space="0"/>
              <w:right w:val="single" w:color="auto" w:sz="8" w:space="0"/>
            </w:tcBorders>
            <w:shd w:val="clear" w:color="auto" w:fill="auto"/>
            <w:tcMar>
              <w:left w:w="57" w:type="dxa"/>
              <w:right w:w="57" w:type="dxa"/>
            </w:tcMar>
            <w:vAlign w:val="top"/>
          </w:tcPr>
          <w:p w14:paraId="7EC95F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398199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C59FEE4">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6C3A161">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6C50E9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2.重复申请</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18D00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0A28D8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2036A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EF01F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30F95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053272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71798A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557ED2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8828D99">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FCB0D3F">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699709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3.要求提供公开出版物</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EFF52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8280D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76F54B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D7FE7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83690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6B18FB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570EC3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r>
      <w:tr w14:paraId="17DFFA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0AC3AA8">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1EB6BE8D">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14:paraId="510A8D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4.无正当理由大量反复申请</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ECB82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271E1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7C5D34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DD80A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6F7FEB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3C4BDC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6DE2BA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r>
      <w:tr w14:paraId="2BB7B4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7"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A531C62">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304B00F8">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left w:w="57" w:type="dxa"/>
              <w:right w:w="57" w:type="dxa"/>
            </w:tcMar>
            <w:vAlign w:val="center"/>
          </w:tcPr>
          <w:p w14:paraId="17DC9D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5.要求行政机关确认或重新出具已获取信息</w:t>
            </w:r>
          </w:p>
        </w:tc>
        <w:tc>
          <w:tcPr>
            <w:tcW w:w="686" w:type="dxa"/>
            <w:tcBorders>
              <w:top w:val="nil"/>
              <w:left w:val="nil"/>
              <w:bottom w:val="outset" w:color="auto" w:sz="8" w:space="0"/>
              <w:right w:val="single" w:color="auto" w:sz="8" w:space="0"/>
            </w:tcBorders>
            <w:shd w:val="clear" w:color="auto" w:fill="auto"/>
            <w:tcMar>
              <w:left w:w="57" w:type="dxa"/>
              <w:right w:w="57" w:type="dxa"/>
            </w:tcMar>
            <w:vAlign w:val="center"/>
          </w:tcPr>
          <w:p w14:paraId="423399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outset" w:color="auto" w:sz="8" w:space="0"/>
              <w:right w:val="single" w:color="auto" w:sz="8" w:space="0"/>
            </w:tcBorders>
            <w:shd w:val="clear" w:color="auto" w:fill="auto"/>
            <w:tcMar>
              <w:left w:w="57" w:type="dxa"/>
              <w:right w:w="57" w:type="dxa"/>
            </w:tcMar>
            <w:vAlign w:val="center"/>
          </w:tcPr>
          <w:p w14:paraId="57E029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outset" w:color="auto" w:sz="8" w:space="0"/>
              <w:right w:val="single" w:color="auto" w:sz="8" w:space="0"/>
            </w:tcBorders>
            <w:shd w:val="clear" w:color="auto" w:fill="auto"/>
            <w:tcMar>
              <w:left w:w="57" w:type="dxa"/>
              <w:right w:w="57" w:type="dxa"/>
            </w:tcMar>
            <w:vAlign w:val="center"/>
          </w:tcPr>
          <w:p w14:paraId="180A4F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outset" w:color="auto" w:sz="8" w:space="0"/>
              <w:right w:val="single" w:color="auto" w:sz="8" w:space="0"/>
            </w:tcBorders>
            <w:shd w:val="clear" w:color="auto" w:fill="auto"/>
            <w:tcMar>
              <w:left w:w="57" w:type="dxa"/>
              <w:right w:w="57" w:type="dxa"/>
            </w:tcMar>
            <w:vAlign w:val="center"/>
          </w:tcPr>
          <w:p w14:paraId="5468F0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outset" w:color="auto" w:sz="8" w:space="0"/>
              <w:right w:val="single" w:color="auto" w:sz="8" w:space="0"/>
            </w:tcBorders>
            <w:shd w:val="clear" w:color="auto" w:fill="auto"/>
            <w:tcMar>
              <w:left w:w="57" w:type="dxa"/>
              <w:right w:w="57" w:type="dxa"/>
            </w:tcMar>
            <w:vAlign w:val="center"/>
          </w:tcPr>
          <w:p w14:paraId="598337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outset" w:color="auto" w:sz="8" w:space="0"/>
              <w:right w:val="single" w:color="auto" w:sz="8" w:space="0"/>
            </w:tcBorders>
            <w:shd w:val="clear" w:color="auto" w:fill="auto"/>
            <w:tcMar>
              <w:left w:w="57" w:type="dxa"/>
              <w:right w:w="57" w:type="dxa"/>
            </w:tcMar>
            <w:vAlign w:val="center"/>
          </w:tcPr>
          <w:p w14:paraId="203703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outset" w:color="auto" w:sz="8" w:space="0"/>
              <w:right w:val="single" w:color="auto" w:sz="8" w:space="0"/>
            </w:tcBorders>
            <w:shd w:val="clear" w:color="auto" w:fill="auto"/>
            <w:tcMar>
              <w:left w:w="57" w:type="dxa"/>
              <w:right w:w="57" w:type="dxa"/>
            </w:tcMar>
            <w:vAlign w:val="center"/>
          </w:tcPr>
          <w:p w14:paraId="6EB6DD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14:paraId="6A59F5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91"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4D8C85AE">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14:paraId="06B232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6C5FE8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5255B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AB4C0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6943AD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689951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F2627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7744CE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center"/>
          </w:tcPr>
          <w:p w14:paraId="600A18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14:paraId="72B256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91"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675805F">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14:paraId="43E14106">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4377A3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57063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38CF2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73069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0EF909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544CA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779AB9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center"/>
          </w:tcPr>
          <w:p w14:paraId="608AF9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14:paraId="1E8A39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D92AD73">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941"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14:paraId="76823850">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087F54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3.其他</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4F37C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65F58B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35A9A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C137F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B1E34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571F99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206296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eastAsia" w:ascii="Calibri" w:hAnsi="Calibri" w:cs="Calibri"/>
                <w:kern w:val="0"/>
                <w:sz w:val="20"/>
                <w:szCs w:val="20"/>
                <w:lang w:val="en-US" w:eastAsia="zh-CN" w:bidi="ar"/>
              </w:rPr>
            </w:pPr>
            <w:r>
              <w:rPr>
                <w:rFonts w:hint="eastAsia" w:ascii="Calibri" w:hAnsi="Calibri" w:cs="Calibri"/>
                <w:kern w:val="0"/>
                <w:sz w:val="20"/>
                <w:szCs w:val="20"/>
                <w:lang w:val="en-US" w:eastAsia="zh-CN" w:bidi="ar"/>
              </w:rPr>
              <w:t>0</w:t>
            </w:r>
          </w:p>
        </w:tc>
      </w:tr>
      <w:tr w14:paraId="10FA24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4" w:hRule="atLeast"/>
        </w:trPr>
        <w:tc>
          <w:tcPr>
            <w:tcW w:w="765"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3A36B6B">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4161"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7304F8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（七）总计</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BD517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B52C4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0B59D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4E58D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6A9653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287CDC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5C748B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r>
      <w:tr w14:paraId="7BE663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64" w:hRule="atLeast"/>
        </w:trPr>
        <w:tc>
          <w:tcPr>
            <w:tcW w:w="4926"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6E0A3E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left"/>
              <w:textAlignment w:val="auto"/>
            </w:pPr>
            <w:r>
              <w:rPr>
                <w:rFonts w:hint="eastAsia" w:ascii="宋体" w:hAnsi="宋体" w:eastAsia="宋体" w:cs="宋体"/>
                <w:kern w:val="0"/>
                <w:sz w:val="20"/>
                <w:szCs w:val="20"/>
                <w:lang w:val="en-US" w:eastAsia="zh-CN" w:bidi="ar"/>
              </w:rPr>
              <w:t>四、结转下年度继续办理</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4E3877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37B156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2B55C0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55BE3B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86" w:type="dxa"/>
            <w:tcBorders>
              <w:top w:val="nil"/>
              <w:left w:val="nil"/>
              <w:bottom w:val="single" w:color="auto" w:sz="8" w:space="0"/>
              <w:right w:val="single" w:color="auto" w:sz="8" w:space="0"/>
            </w:tcBorders>
            <w:shd w:val="clear" w:color="auto" w:fill="auto"/>
            <w:tcMar>
              <w:left w:w="57" w:type="dxa"/>
              <w:right w:w="57" w:type="dxa"/>
            </w:tcMar>
            <w:vAlign w:val="center"/>
          </w:tcPr>
          <w:p w14:paraId="15A5A2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3" w:type="dxa"/>
            <w:tcBorders>
              <w:top w:val="nil"/>
              <w:left w:val="nil"/>
              <w:bottom w:val="single" w:color="auto" w:sz="8" w:space="0"/>
              <w:right w:val="single" w:color="auto" w:sz="8" w:space="0"/>
            </w:tcBorders>
            <w:shd w:val="clear" w:color="auto" w:fill="auto"/>
            <w:tcMar>
              <w:left w:w="57" w:type="dxa"/>
              <w:right w:w="57" w:type="dxa"/>
            </w:tcMar>
            <w:vAlign w:val="center"/>
          </w:tcPr>
          <w:p w14:paraId="45EE71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pPr>
            <w:r>
              <w:rPr>
                <w:rFonts w:hint="eastAsia" w:ascii="Calibri" w:hAnsi="Calibri" w:cs="Calibri"/>
                <w:kern w:val="0"/>
                <w:sz w:val="20"/>
                <w:szCs w:val="20"/>
                <w:lang w:val="en-US" w:eastAsia="zh-CN" w:bidi="ar"/>
              </w:rPr>
              <w:t>0</w:t>
            </w:r>
          </w:p>
        </w:tc>
        <w:tc>
          <w:tcPr>
            <w:tcW w:w="690" w:type="dxa"/>
            <w:tcBorders>
              <w:top w:val="nil"/>
              <w:left w:val="nil"/>
              <w:bottom w:val="single" w:color="auto" w:sz="8" w:space="0"/>
              <w:right w:val="single" w:color="auto" w:sz="8" w:space="0"/>
            </w:tcBorders>
            <w:shd w:val="clear" w:color="auto" w:fill="auto"/>
            <w:tcMar>
              <w:left w:w="57" w:type="dxa"/>
              <w:right w:w="57" w:type="dxa"/>
            </w:tcMar>
            <w:vAlign w:val="top"/>
          </w:tcPr>
          <w:p w14:paraId="1B36B0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eastAsia" w:ascii="宋体"/>
                <w:sz w:val="24"/>
                <w:szCs w:val="24"/>
              </w:rPr>
            </w:pPr>
            <w:r>
              <w:rPr>
                <w:rFonts w:hint="eastAsia" w:ascii="Calibri" w:hAnsi="Calibri" w:cs="Calibri"/>
                <w:kern w:val="0"/>
                <w:sz w:val="20"/>
                <w:szCs w:val="20"/>
                <w:lang w:val="en-US" w:eastAsia="zh-CN" w:bidi="ar"/>
              </w:rPr>
              <w:t>0</w:t>
            </w:r>
          </w:p>
        </w:tc>
      </w:tr>
    </w:tbl>
    <w:p w14:paraId="3071AD74">
      <w:pPr>
        <w:pStyle w:val="2"/>
        <w:keepNext w:val="0"/>
        <w:keepLines w:val="0"/>
        <w:pageBreakBefore w:val="0"/>
        <w:numPr>
          <w:ilvl w:val="0"/>
          <w:numId w:val="2"/>
        </w:numPr>
        <w:shd w:val="clear" w:color="auto" w:fill="FFFFFF"/>
        <w:kinsoku/>
        <w:wordWrap/>
        <w:overflowPunct/>
        <w:topLinePunct w:val="0"/>
        <w:autoSpaceDE/>
        <w:autoSpaceDN/>
        <w:bidi w:val="0"/>
        <w:adjustRightInd/>
        <w:snapToGrid/>
        <w:spacing w:before="0" w:beforeAutospacing="0" w:after="0" w:afterAutospacing="0" w:line="520" w:lineRule="exact"/>
        <w:ind w:firstLine="320" w:firstLineChars="100"/>
        <w:jc w:val="left"/>
        <w:textAlignment w:val="auto"/>
        <w:outlineLvl w:val="0"/>
        <w:rPr>
          <w:rFonts w:hint="eastAsia" w:ascii="黑体" w:hAnsi="黑体" w:eastAsia="黑体" w:cs="黑体"/>
          <w:b w:val="0"/>
          <w:bCs/>
          <w:color w:val="333333"/>
          <w:sz w:val="32"/>
          <w:szCs w:val="32"/>
          <w:shd w:val="clear" w:color="auto" w:fill="FFFFFF"/>
          <w:lang w:val="en-US" w:eastAsia="zh-CN"/>
        </w:rPr>
      </w:pPr>
      <w:r>
        <w:rPr>
          <w:rFonts w:hint="eastAsia" w:ascii="黑体" w:hAnsi="黑体" w:eastAsia="黑体" w:cs="黑体"/>
          <w:b w:val="0"/>
          <w:bCs/>
          <w:color w:val="333333"/>
          <w:sz w:val="32"/>
          <w:szCs w:val="32"/>
          <w:shd w:val="clear" w:color="auto" w:fill="FFFFFF"/>
        </w:rPr>
        <w:t>政府信息公开行政复议、行政诉讼情况</w:t>
      </w:r>
      <w:r>
        <w:rPr>
          <w:rFonts w:hint="eastAsia" w:ascii="黑体" w:hAnsi="黑体" w:eastAsia="黑体" w:cs="黑体"/>
          <w:b w:val="0"/>
          <w:bCs/>
          <w:color w:val="333333"/>
          <w:sz w:val="32"/>
          <w:szCs w:val="32"/>
          <w:shd w:val="clear" w:color="auto" w:fill="FFFFFF"/>
          <w:lang w:val="en-US" w:eastAsia="zh-CN"/>
        </w:rPr>
        <w:t xml:space="preserve">                   </w:t>
      </w:r>
    </w:p>
    <w:tbl>
      <w:tblPr>
        <w:tblStyle w:val="3"/>
        <w:tblpPr w:leftFromText="180" w:rightFromText="180" w:vertAnchor="text" w:horzAnchor="page" w:tblpX="1256" w:tblpY="242"/>
        <w:tblOverlap w:val="never"/>
        <w:tblW w:w="973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8"/>
        <w:gridCol w:w="648"/>
        <w:gridCol w:w="648"/>
        <w:gridCol w:w="648"/>
        <w:gridCol w:w="650"/>
        <w:gridCol w:w="648"/>
        <w:gridCol w:w="648"/>
        <w:gridCol w:w="649"/>
        <w:gridCol w:w="649"/>
        <w:gridCol w:w="651"/>
        <w:gridCol w:w="650"/>
        <w:gridCol w:w="650"/>
        <w:gridCol w:w="650"/>
        <w:gridCol w:w="650"/>
        <w:gridCol w:w="652"/>
      </w:tblGrid>
      <w:tr w14:paraId="3CB340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66" w:hRule="atLeast"/>
        </w:trPr>
        <w:tc>
          <w:tcPr>
            <w:tcW w:w="3242"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4F8BA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行政复议</w:t>
            </w:r>
          </w:p>
        </w:tc>
        <w:tc>
          <w:tcPr>
            <w:tcW w:w="6497"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24270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行政诉讼</w:t>
            </w:r>
          </w:p>
        </w:tc>
      </w:tr>
      <w:tr w14:paraId="793DDC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6" w:hRule="atLeast"/>
        </w:trPr>
        <w:tc>
          <w:tcPr>
            <w:tcW w:w="648"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5CB2D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结果维持</w:t>
            </w:r>
          </w:p>
        </w:tc>
        <w:tc>
          <w:tcPr>
            <w:tcW w:w="648"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73FBD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8"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84F05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8"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668C7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A5058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总计</w:t>
            </w:r>
          </w:p>
        </w:tc>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32E95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未经复议直接起诉</w:t>
            </w:r>
          </w:p>
        </w:tc>
        <w:tc>
          <w:tcPr>
            <w:tcW w:w="3252"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8D297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复议后起诉</w:t>
            </w:r>
          </w:p>
        </w:tc>
      </w:tr>
      <w:tr w14:paraId="716C25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81" w:hRule="atLeast"/>
        </w:trPr>
        <w:tc>
          <w:tcPr>
            <w:tcW w:w="64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DBFE02B">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64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284768E">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6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5146D19">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64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0BC7754">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B57A4C3">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sz w:val="24"/>
                <w:szCs w:val="24"/>
              </w:rPr>
            </w:pPr>
          </w:p>
        </w:tc>
        <w:tc>
          <w:tcPr>
            <w:tcW w:w="64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72F8B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99D62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9"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ABBC6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9"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7C2E2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A39DD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color w:val="000000"/>
                <w:kern w:val="0"/>
                <w:sz w:val="20"/>
                <w:szCs w:val="20"/>
                <w:lang w:val="en-US" w:eastAsia="zh-CN" w:bidi="ar"/>
              </w:rPr>
              <w:t>总计</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A9D23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C636D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06823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00B93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75450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pPr>
            <w:r>
              <w:rPr>
                <w:rFonts w:hint="eastAsia" w:ascii="宋体" w:hAnsi="宋体" w:eastAsia="宋体" w:cs="宋体"/>
                <w:color w:val="000000"/>
                <w:kern w:val="0"/>
                <w:sz w:val="20"/>
                <w:szCs w:val="20"/>
                <w:lang w:val="en-US" w:eastAsia="zh-CN" w:bidi="ar"/>
              </w:rPr>
              <w:t>总计</w:t>
            </w:r>
          </w:p>
        </w:tc>
      </w:tr>
      <w:tr w14:paraId="4A5F09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5" w:hRule="atLeast"/>
        </w:trPr>
        <w:tc>
          <w:tcPr>
            <w:tcW w:w="64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54A9D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0</w:t>
            </w:r>
          </w:p>
        </w:tc>
        <w:tc>
          <w:tcPr>
            <w:tcW w:w="64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99B43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0</w:t>
            </w:r>
          </w:p>
        </w:tc>
        <w:tc>
          <w:tcPr>
            <w:tcW w:w="64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1D96B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0</w:t>
            </w:r>
          </w:p>
        </w:tc>
        <w:tc>
          <w:tcPr>
            <w:tcW w:w="64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813BB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F9627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D39E1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pPr>
            <w:r>
              <w:rPr>
                <w:rFonts w:hint="eastAsia" w:ascii="黑体" w:hAnsi="宋体" w:eastAsia="黑体" w:cs="黑体"/>
                <w:kern w:val="0"/>
                <w:sz w:val="20"/>
                <w:szCs w:val="20"/>
                <w:lang w:val="en-US" w:eastAsia="zh-CN" w:bidi="ar"/>
              </w:rPr>
              <w:t>0</w:t>
            </w:r>
          </w:p>
        </w:tc>
        <w:tc>
          <w:tcPr>
            <w:tcW w:w="64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25099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70678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FFF00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37536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670F0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C1E15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8E845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F73A4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pPr>
            <w:r>
              <w:rPr>
                <w:rFonts w:hint="eastAsia" w:ascii="黑体" w:hAnsi="宋体" w:eastAsia="黑体" w:cs="黑体"/>
                <w:kern w:val="0"/>
                <w:sz w:val="20"/>
                <w:szCs w:val="20"/>
                <w:lang w:val="en-US" w:eastAsia="zh-CN" w:bidi="ar"/>
              </w:rPr>
              <w:t>0</w:t>
            </w:r>
          </w:p>
        </w:tc>
        <w:tc>
          <w:tcPr>
            <w:tcW w:w="65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C14C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rPr>
                <w:rFonts w:hint="eastAsia" w:ascii="宋体"/>
                <w:sz w:val="24"/>
                <w:szCs w:val="24"/>
              </w:rPr>
            </w:pPr>
            <w:r>
              <w:rPr>
                <w:rFonts w:hint="eastAsia" w:ascii="黑体" w:hAnsi="宋体" w:eastAsia="黑体" w:cs="黑体"/>
                <w:kern w:val="0"/>
                <w:sz w:val="20"/>
                <w:szCs w:val="20"/>
                <w:lang w:val="en-US" w:eastAsia="zh-CN" w:bidi="ar"/>
              </w:rPr>
              <w:t>0</w:t>
            </w:r>
          </w:p>
        </w:tc>
      </w:tr>
    </w:tbl>
    <w:p w14:paraId="01A55FE4">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jc w:val="left"/>
        <w:textAlignment w:val="auto"/>
        <w:rPr>
          <w:rFonts w:hint="eastAsia"/>
          <w:color w:val="333333"/>
        </w:rPr>
      </w:pPr>
    </w:p>
    <w:p w14:paraId="1A3A0BE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w:t>
      </w:r>
      <w:r>
        <w:rPr>
          <w:rFonts w:hint="eastAsia" w:ascii="黑体" w:hAnsi="黑体" w:eastAsia="黑体" w:cs="黑体"/>
          <w:sz w:val="32"/>
          <w:szCs w:val="32"/>
        </w:rPr>
        <w:t>存在的</w:t>
      </w:r>
      <w:r>
        <w:rPr>
          <w:rFonts w:hint="eastAsia" w:ascii="黑体" w:hAnsi="黑体" w:eastAsia="黑体" w:cs="黑体"/>
          <w:sz w:val="32"/>
          <w:szCs w:val="32"/>
          <w:lang w:val="en-US" w:eastAsia="zh-CN"/>
        </w:rPr>
        <w:t>主要</w:t>
      </w:r>
      <w:r>
        <w:rPr>
          <w:rFonts w:hint="eastAsia" w:ascii="黑体" w:hAnsi="黑体" w:eastAsia="黑体" w:cs="黑体"/>
          <w:sz w:val="32"/>
          <w:szCs w:val="32"/>
        </w:rPr>
        <w:t>问题</w:t>
      </w:r>
      <w:r>
        <w:rPr>
          <w:rFonts w:hint="eastAsia" w:ascii="黑体" w:hAnsi="黑体" w:eastAsia="黑体" w:cs="黑体"/>
          <w:sz w:val="32"/>
          <w:szCs w:val="32"/>
          <w:lang w:val="en-US" w:eastAsia="zh-CN"/>
        </w:rPr>
        <w:t>及改进情况</w:t>
      </w:r>
    </w:p>
    <w:p w14:paraId="592FE2D9">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主要问题</w:t>
      </w:r>
    </w:p>
    <w:p w14:paraId="149D1D83">
      <w:pPr>
        <w:keepNext w:val="0"/>
        <w:keepLines w:val="0"/>
        <w:pageBreakBefore w:val="0"/>
        <w:widowControl w:val="0"/>
        <w:kinsoku/>
        <w:wordWrap/>
        <w:overflowPunct/>
        <w:topLinePunct w:val="0"/>
        <w:autoSpaceDE/>
        <w:autoSpaceDN/>
        <w:bidi w:val="0"/>
        <w:adjustRightInd/>
        <w:snapToGrid/>
        <w:spacing w:line="520" w:lineRule="exact"/>
        <w:ind w:left="638" w:leftChars="304"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政务公开专职人员不稳定，工作能力有待进一步加强。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对主动公开的信息内容的理解和把握不够，对各项政</w:t>
      </w:r>
    </w:p>
    <w:p w14:paraId="27B10E9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策的理解不能灵活运用，发布的政务信息质量还不高。</w:t>
      </w:r>
    </w:p>
    <w:p w14:paraId="4A531154">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（二）改进情况</w:t>
      </w:r>
    </w:p>
    <w:p w14:paraId="405DCC6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加强政务公共工作人员的培训力度，提高其对政务信息公开工作重要性的认识，提高工作人员素质和业务水平。</w:t>
      </w:r>
    </w:p>
    <w:p w14:paraId="413CD5A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创新政务公开工作途径，加大政务信息公开范围、提升政务信息公开质量，持续做好政务公开数据统计等基础工作，确保政务公开工作常态化;提升镇政府各项信息、通知，报告的可读性，文件内容的务实性。</w:t>
      </w:r>
    </w:p>
    <w:p w14:paraId="5B52672E">
      <w:pPr>
        <w:pStyle w:val="2"/>
        <w:keepNext w:val="0"/>
        <w:keepLines w:val="0"/>
        <w:pageBreakBefore w:val="0"/>
        <w:shd w:val="clear" w:color="auto" w:fill="FFFFFF"/>
        <w:kinsoku/>
        <w:wordWrap/>
        <w:overflowPunct/>
        <w:topLinePunct w:val="0"/>
        <w:autoSpaceDE/>
        <w:autoSpaceDN/>
        <w:bidi w:val="0"/>
        <w:adjustRightInd/>
        <w:snapToGrid/>
        <w:spacing w:before="0" w:beforeAutospacing="0" w:after="240" w:afterAutospacing="0"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强化监督管理，有序推进政务公开工作，不断完善主动公开机制，建立行之有效的监督管理制度，确保政务信息的及时公开，加强对栏目不更新，信息发布不规范、不及时，不到位等问题的整改，明确工作短板，及时补缺补差。</w:t>
      </w:r>
    </w:p>
    <w:p w14:paraId="5028045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六、其他需要报告的事项</w:t>
      </w:r>
    </w:p>
    <w:p w14:paraId="7CB53B9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认真贯彻执行国务院办公厅《政府信息公开信息处理费管理办法》和《关于政府信息公开处理费管理有关事项的通知》。2025年我单位未收取信息处理费。</w:t>
      </w:r>
    </w:p>
    <w:p w14:paraId="722FD1F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00D14D5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lang w:val="en-US" w:eastAsia="zh-CN"/>
        </w:rPr>
      </w:pPr>
    </w:p>
    <w:p w14:paraId="41916438">
      <w:r>
        <w:rPr>
          <w:rFonts w:hint="default" w:ascii="仿宋_GB2312" w:hAnsi="仿宋_GB2312" w:eastAsia="仿宋_GB2312" w:cs="仿宋_GB2312"/>
          <w:sz w:val="32"/>
          <w:szCs w:val="32"/>
          <w:lang w:val="en" w:eastAsia="zh-CN"/>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BB0761"/>
    <w:multiLevelType w:val="singleLevel"/>
    <w:tmpl w:val="FABB0761"/>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1">
    <w:nsid w:val="1DFF7E59"/>
    <w:multiLevelType w:val="singleLevel"/>
    <w:tmpl w:val="1DFF7E59"/>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343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Lines="0" w:beforeAutospacing="1" w:after="100" w:afterLines="0" w:afterAutospacing="1"/>
      <w:jc w:val="left"/>
    </w:pPr>
    <w:rPr>
      <w:rFonts w:ascii="宋体" w:hAnsi="宋体" w:eastAsia="宋体" w:cs="宋体"/>
      <w:color w:val="000000"/>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2026-01-30T02:50:01Z</dcterms:created>
  <dc:creator>Administrator</dc:creator>
  <cp:lastModifiedBy>八爪小鱼</cp:lastModifiedBy>
  <dcterms:modified xsi:type="dcterms:W3CDTF">2026-01-30T02:50:06Z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31881E02498C42BABA3EE78357B29E60_12</vt:lpwstr>
  </property>
</Properties>
</file>