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2B7AB">
      <w:pPr>
        <w:keepNext w:val="0"/>
        <w:keepLines w:val="0"/>
        <w:pageBreakBefore w:val="0"/>
        <w:widowControl w:val="0"/>
        <w:tabs>
          <w:tab w:val="left" w:pos="448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left="0" w:right="0" w:firstLine="1320" w:firstLineChars="300"/>
        <w:jc w:val="left"/>
        <w:textAlignment w:val="auto"/>
        <w:rPr>
          <w:rFonts w:ascii="方正小标宋简体" w:hAnsi="方正小标宋简体" w:eastAsia="方正小标宋简体" w:cs="方正小标宋简体"/>
          <w:color w:val="333333"/>
          <w:spacing w:val="0"/>
          <w:position w:val="0"/>
          <w:sz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0"/>
          <w:position w:val="0"/>
          <w:sz w:val="44"/>
          <w:shd w:val="clear" w:fill="FFFFFF"/>
          <w:lang w:eastAsia="zh-CN"/>
        </w:rPr>
        <w:tab/>
      </w:r>
      <w:r>
        <w:rPr>
          <w:rFonts w:ascii="方正小标宋简体" w:hAnsi="方正小标宋简体" w:eastAsia="方正小标宋简体" w:cs="方正小标宋简体"/>
          <w:color w:val="333333"/>
          <w:spacing w:val="0"/>
          <w:position w:val="0"/>
          <w:sz w:val="44"/>
          <w:shd w:val="clear" w:fill="FFFFFF"/>
        </w:rPr>
        <w:t>涞水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333333"/>
          <w:spacing w:val="0"/>
          <w:position w:val="0"/>
          <w:sz w:val="44"/>
          <w:shd w:val="clear" w:fill="FFFFFF"/>
        </w:rPr>
        <w:t>县交通运输局</w:t>
      </w:r>
    </w:p>
    <w:p w14:paraId="48FE6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pacing w:val="0"/>
          <w:position w:val="0"/>
          <w:sz w:val="44"/>
          <w:shd w:val="clear" w:fill="FFFFFF"/>
          <w:lang w:eastAsia="zh-CN"/>
        </w:rPr>
      </w:pPr>
      <w:r>
        <w:rPr>
          <w:rFonts w:ascii="方正小标宋简体" w:hAnsi="方正小标宋简体" w:eastAsia="方正小标宋简体" w:cs="方正小标宋简体"/>
          <w:color w:val="333333"/>
          <w:spacing w:val="0"/>
          <w:position w:val="0"/>
          <w:sz w:val="44"/>
          <w:shd w:val="clear" w:fill="FFFFFF"/>
        </w:rPr>
        <w:t>2025年政府信息公开工作年度报告</w:t>
      </w:r>
    </w:p>
    <w:p w14:paraId="7F86DF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  <w:t>总体情况</w:t>
      </w:r>
    </w:p>
    <w:p w14:paraId="21DE4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left"/>
        <w:textAlignment w:val="auto"/>
        <w:rPr>
          <w:rFonts w:hint="eastAsia" w:ascii="CESI仿宋-GB2312" w:hAnsi="CESI仿宋-GB2312" w:eastAsia="CESI仿宋-GB2312" w:cs="CESI仿宋-GB2312"/>
          <w:color w:val="333333"/>
          <w:spacing w:val="0"/>
          <w:position w:val="0"/>
          <w:sz w:val="32"/>
          <w:u w:val="none"/>
          <w:shd w:val="clear" w:fill="FFFFFF"/>
        </w:rPr>
      </w:pPr>
      <w:r>
        <w:rPr>
          <w:rFonts w:hint="eastAsia" w:ascii="CESI仿宋-GB2312" w:hAnsi="CESI仿宋-GB2312" w:eastAsia="CESI仿宋-GB2312" w:cs="CESI仿宋-GB2312"/>
          <w:b/>
          <w:bCs w:val="0"/>
          <w:color w:val="333333"/>
          <w:spacing w:val="0"/>
          <w:position w:val="0"/>
          <w:sz w:val="32"/>
          <w:u w:val="none"/>
          <w:shd w:val="clear" w:fill="FFFFFF"/>
        </w:rPr>
        <w:t>（一）主动公开方面。</w:t>
      </w:r>
      <w:r>
        <w:rPr>
          <w:rFonts w:hint="eastAsia" w:ascii="CESI仿宋-GB2312" w:hAnsi="CESI仿宋-GB2312" w:eastAsia="CESI仿宋-GB2312" w:cs="CESI仿宋-GB2312"/>
          <w:color w:val="333333"/>
          <w:spacing w:val="0"/>
          <w:position w:val="0"/>
          <w:sz w:val="32"/>
          <w:u w:val="none"/>
          <w:shd w:val="clear" w:fill="FFFFFF"/>
        </w:rPr>
        <w:t>2025年涞水县交通运输局包括机构职责、交通运输局领导职责分工；2025年涞水县交通运输部门预算、2025年涞水县交通运输人事信息、工作动态等。</w:t>
      </w:r>
    </w:p>
    <w:p w14:paraId="2F371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333333"/>
          <w:spacing w:val="0"/>
          <w:position w:val="0"/>
          <w:sz w:val="32"/>
          <w:u w:val="none"/>
          <w:shd w:val="clear" w:fill="FFFFFF"/>
        </w:rPr>
      </w:pPr>
      <w:r>
        <w:rPr>
          <w:rFonts w:hint="eastAsia" w:ascii="CESI仿宋-GB2312" w:hAnsi="CESI仿宋-GB2312" w:eastAsia="CESI仿宋-GB2312" w:cs="CESI仿宋-GB2312"/>
          <w:b/>
          <w:bCs w:val="0"/>
          <w:color w:val="333333"/>
          <w:spacing w:val="0"/>
          <w:position w:val="0"/>
          <w:sz w:val="32"/>
          <w:u w:val="none"/>
          <w:shd w:val="clear" w:fill="FFFFFF"/>
        </w:rPr>
        <w:t>（二）依申请公开方面。</w:t>
      </w:r>
      <w:r>
        <w:rPr>
          <w:rFonts w:hint="eastAsia" w:ascii="CESI仿宋-GB2312" w:hAnsi="CESI仿宋-GB2312" w:eastAsia="CESI仿宋-GB2312" w:cs="CESI仿宋-GB2312"/>
          <w:b w:val="0"/>
          <w:bCs/>
          <w:color w:val="333333"/>
          <w:spacing w:val="0"/>
          <w:position w:val="0"/>
          <w:sz w:val="32"/>
          <w:u w:val="none"/>
          <w:shd w:val="clear" w:fill="FFFFFF"/>
        </w:rPr>
        <w:t>公开交通运输局执法人员信息、执法事项清单、执法事项清单流程图等，行政检查、行政处罚、行政强制。</w:t>
      </w:r>
    </w:p>
    <w:p w14:paraId="2D876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333333"/>
          <w:spacing w:val="0"/>
          <w:position w:val="0"/>
          <w:sz w:val="32"/>
          <w:u w:val="none"/>
          <w:shd w:val="clear" w:fill="FFFFFF"/>
        </w:rPr>
      </w:pPr>
      <w:r>
        <w:rPr>
          <w:rFonts w:hint="eastAsia" w:ascii="CESI仿宋-GB2312" w:hAnsi="CESI仿宋-GB2312" w:eastAsia="CESI仿宋-GB2312" w:cs="CESI仿宋-GB2312"/>
          <w:b/>
          <w:bCs w:val="0"/>
          <w:color w:val="333333"/>
          <w:spacing w:val="0"/>
          <w:position w:val="0"/>
          <w:sz w:val="32"/>
          <w:u w:val="none"/>
          <w:shd w:val="clear" w:fill="FFFFFF"/>
        </w:rPr>
        <w:t>（三）政府信息管理方面。</w:t>
      </w:r>
      <w:r>
        <w:rPr>
          <w:rFonts w:hint="eastAsia" w:ascii="CESI仿宋-GB2312" w:hAnsi="CESI仿宋-GB2312" w:eastAsia="CESI仿宋-GB2312" w:cs="CESI仿宋-GB2312"/>
          <w:b w:val="0"/>
          <w:bCs/>
          <w:color w:val="333333"/>
          <w:spacing w:val="0"/>
          <w:position w:val="0"/>
          <w:sz w:val="32"/>
          <w:u w:val="none"/>
          <w:shd w:val="clear" w:fill="FFFFFF"/>
        </w:rPr>
        <w:t>我局高度重视政府信息公开工作，加强对政府信息公开工作的领导，明确由分管副局长分管政府信息公开工作，明确工作职责，由局办公室牵头组织实施、各股室具体负责本单位应公开的政府信息的采集，指定专人负责政府信息公开工作。</w:t>
      </w:r>
    </w:p>
    <w:p w14:paraId="20B03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left"/>
        <w:textAlignment w:val="auto"/>
        <w:rPr>
          <w:rFonts w:hint="eastAsia" w:ascii="CESI仿宋-GB2312" w:hAnsi="CESI仿宋-GB2312" w:eastAsia="CESI仿宋-GB2312" w:cs="CESI仿宋-GB2312"/>
          <w:b w:val="0"/>
          <w:bCs/>
          <w:color w:val="333333"/>
          <w:spacing w:val="0"/>
          <w:position w:val="0"/>
          <w:sz w:val="32"/>
          <w:u w:val="none"/>
          <w:shd w:val="clear" w:fill="FFFFFF"/>
        </w:rPr>
      </w:pPr>
      <w:r>
        <w:rPr>
          <w:rFonts w:hint="eastAsia" w:ascii="CESI仿宋-GB2312" w:hAnsi="CESI仿宋-GB2312" w:eastAsia="CESI仿宋-GB2312" w:cs="CESI仿宋-GB2312"/>
          <w:b/>
          <w:bCs w:val="0"/>
          <w:color w:val="333333"/>
          <w:spacing w:val="0"/>
          <w:position w:val="0"/>
          <w:sz w:val="32"/>
          <w:u w:val="none"/>
          <w:shd w:val="clear" w:fill="FFFFFF"/>
        </w:rPr>
        <w:t>（四）政府信息公开平台建设方面。</w:t>
      </w:r>
      <w:r>
        <w:rPr>
          <w:rFonts w:hint="eastAsia" w:ascii="CESI仿宋-GB2312" w:hAnsi="CESI仿宋-GB2312" w:eastAsia="CESI仿宋-GB2312" w:cs="CESI仿宋-GB2312"/>
          <w:b w:val="0"/>
          <w:bCs/>
          <w:color w:val="333333"/>
          <w:spacing w:val="0"/>
          <w:position w:val="0"/>
          <w:sz w:val="32"/>
          <w:u w:val="none"/>
          <w:shd w:val="clear" w:fill="FFFFFF"/>
        </w:rPr>
        <w:t>推进涞水县交通运输局建设工作，按照县委、县政府统一部署要求，完善网站管理，主动配合政府做好政府信息公开网后台信息发布、网上办事系统维护等工作，做好各项政务信息公开，保障信息公开的时效性和透明度。</w:t>
      </w:r>
    </w:p>
    <w:p w14:paraId="4DE40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3" w:firstLineChars="200"/>
        <w:jc w:val="left"/>
        <w:textAlignment w:val="auto"/>
        <w:rPr>
          <w:rFonts w:ascii="仿宋_GB2312" w:hAnsi="仿宋_GB2312" w:eastAsia="仿宋_GB2312" w:cs="仿宋_GB2312"/>
          <w:color w:val="333333"/>
          <w:spacing w:val="0"/>
          <w:position w:val="0"/>
          <w:sz w:val="32"/>
          <w:u w:val="none"/>
          <w:shd w:val="clear" w:fill="FFFFFF"/>
        </w:rPr>
      </w:pPr>
      <w:r>
        <w:rPr>
          <w:rFonts w:hint="eastAsia" w:ascii="CESI仿宋-GB2312" w:hAnsi="CESI仿宋-GB2312" w:eastAsia="CESI仿宋-GB2312" w:cs="CESI仿宋-GB2312"/>
          <w:b/>
          <w:bCs w:val="0"/>
          <w:color w:val="333333"/>
          <w:spacing w:val="0"/>
          <w:position w:val="0"/>
          <w:sz w:val="32"/>
          <w:u w:val="none"/>
          <w:shd w:val="clear" w:fill="FFFFFF"/>
        </w:rPr>
        <w:t>（五）监督保障方面。</w:t>
      </w:r>
      <w:r>
        <w:rPr>
          <w:rFonts w:hint="eastAsia" w:ascii="CESI仿宋-GB2312" w:hAnsi="CESI仿宋-GB2312" w:eastAsia="CESI仿宋-GB2312" w:cs="CESI仿宋-GB2312"/>
          <w:b w:val="0"/>
          <w:bCs/>
          <w:color w:val="333333"/>
          <w:spacing w:val="0"/>
          <w:position w:val="0"/>
          <w:sz w:val="32"/>
          <w:u w:val="none"/>
          <w:shd w:val="clear" w:fill="FFFFFF"/>
        </w:rPr>
        <w:t>加强对政府信息公开工作日常指导和监督检查，确保政府信息公开工作取得实效。加强政府信息公开绩效考核工作，</w:t>
      </w:r>
      <w:r>
        <w:rPr>
          <w:rFonts w:hint="eastAsia" w:ascii="CESI仿宋-GB2312" w:hAnsi="CESI仿宋-GB2312" w:eastAsia="CESI仿宋-GB2312" w:cs="CESI仿宋-GB2312"/>
          <w:color w:val="333333"/>
          <w:spacing w:val="0"/>
          <w:position w:val="0"/>
          <w:sz w:val="32"/>
          <w:u w:val="none"/>
          <w:shd w:val="clear" w:fill="FFFFFF"/>
        </w:rPr>
        <w:t>将政府信息公开制度建设、</w:t>
      </w:r>
      <w:r>
        <w:rPr>
          <w:rFonts w:ascii="仿宋_GB2312" w:hAnsi="仿宋_GB2312" w:eastAsia="仿宋_GB2312" w:cs="仿宋_GB2312"/>
          <w:color w:val="333333"/>
          <w:spacing w:val="0"/>
          <w:position w:val="0"/>
          <w:sz w:val="32"/>
          <w:u w:val="none"/>
          <w:shd w:val="clear" w:fill="FFFFFF"/>
        </w:rPr>
        <w:t>落实政府信息公开年度工作要点、政府信息主动公开、政府信息依申请公开、重点领域信息公开专栏、政策文件解读、政府网站等内容纳入年度考核范畴，发挥好年度考核激励导向作用。</w:t>
      </w:r>
    </w:p>
    <w:p w14:paraId="7E94A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  <w:t>主动公开政府信息情况</w:t>
      </w:r>
    </w:p>
    <w:p w14:paraId="7E0E086F">
      <w:pPr>
        <w:spacing w:before="0" w:after="0" w:line="240" w:lineRule="auto"/>
        <w:ind w:left="0" w:right="0" w:firstLine="420"/>
        <w:jc w:val="both"/>
        <w:rPr>
          <w:rFonts w:ascii="宋体" w:hAnsi="宋体" w:eastAsia="宋体" w:cs="宋体"/>
          <w:color w:val="333333"/>
          <w:spacing w:val="0"/>
          <w:position w:val="0"/>
          <w:sz w:val="24"/>
          <w:shd w:val="clear" w:fill="FFFFFF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04"/>
        <w:gridCol w:w="2104"/>
        <w:gridCol w:w="2105"/>
        <w:gridCol w:w="2105"/>
      </w:tblGrid>
      <w:tr w14:paraId="303004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7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left w:w="56" w:type="dxa"/>
              <w:right w:w="56" w:type="dxa"/>
            </w:tcMar>
            <w:vAlign w:val="center"/>
          </w:tcPr>
          <w:p w14:paraId="3F08D47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第二十条第（一）项</w:t>
            </w:r>
          </w:p>
        </w:tc>
      </w:tr>
      <w:tr w14:paraId="1DD424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2B7DBA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信息内容</w:t>
            </w:r>
          </w:p>
        </w:tc>
        <w:tc>
          <w:tcPr>
            <w:tcW w:w="2435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30EEB8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本年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制发件数</w:t>
            </w:r>
          </w:p>
        </w:tc>
        <w:tc>
          <w:tcPr>
            <w:tcW w:w="2435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C35CF6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本年废止件数</w:t>
            </w:r>
          </w:p>
        </w:tc>
        <w:tc>
          <w:tcPr>
            <w:tcW w:w="2435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33B63C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现行有效件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数</w:t>
            </w:r>
          </w:p>
        </w:tc>
      </w:tr>
      <w:tr w14:paraId="2942E6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585056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规章</w:t>
            </w:r>
          </w:p>
        </w:tc>
        <w:tc>
          <w:tcPr>
            <w:tcW w:w="243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89CB18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243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7E540F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243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CEB2C0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0</w:t>
            </w:r>
          </w:p>
        </w:tc>
      </w:tr>
      <w:tr w14:paraId="7DBD16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D4D2D5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行政规范性文件</w:t>
            </w:r>
          </w:p>
        </w:tc>
        <w:tc>
          <w:tcPr>
            <w:tcW w:w="243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28E631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243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1B1BA3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2435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E08CE9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0</w:t>
            </w:r>
          </w:p>
        </w:tc>
      </w:tr>
      <w:tr w14:paraId="312B76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74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left w:w="56" w:type="dxa"/>
              <w:right w:w="56" w:type="dxa"/>
            </w:tcMar>
            <w:vAlign w:val="center"/>
          </w:tcPr>
          <w:p w14:paraId="5B9AFC1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第二十条第（五）项</w:t>
            </w:r>
          </w:p>
        </w:tc>
      </w:tr>
      <w:tr w14:paraId="0CF2AF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6C55D2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F3DC3F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本年处理决定数量</w:t>
            </w:r>
          </w:p>
        </w:tc>
      </w:tr>
      <w:tr w14:paraId="6FCC6B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19DF41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C13E05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0</w:t>
            </w:r>
          </w:p>
        </w:tc>
      </w:tr>
      <w:tr w14:paraId="2EEC4D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74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left w:w="56" w:type="dxa"/>
              <w:right w:w="56" w:type="dxa"/>
            </w:tcMar>
            <w:vAlign w:val="center"/>
          </w:tcPr>
          <w:p w14:paraId="0F0C8FD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第二十条第（六）项</w:t>
            </w:r>
          </w:p>
        </w:tc>
      </w:tr>
      <w:tr w14:paraId="721E2A3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8DF168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14DF83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本年处理决定数量</w:t>
            </w:r>
          </w:p>
        </w:tc>
      </w:tr>
      <w:tr w14:paraId="511885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B39CD1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A1B138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10</w:t>
            </w:r>
          </w:p>
        </w:tc>
      </w:tr>
      <w:tr w14:paraId="4D9DEA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F8AA41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5155F9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3A4577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74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tcMar>
              <w:left w:w="56" w:type="dxa"/>
              <w:right w:w="56" w:type="dxa"/>
            </w:tcMar>
            <w:vAlign w:val="center"/>
          </w:tcPr>
          <w:p w14:paraId="1C54C1B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第二十条第（八）项</w:t>
            </w:r>
          </w:p>
        </w:tc>
      </w:tr>
      <w:tr w14:paraId="1B700B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A2508B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42AC23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本年收费金额（单位：万元）</w:t>
            </w:r>
          </w:p>
        </w:tc>
      </w:tr>
      <w:tr w14:paraId="05736E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24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B33879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3668DB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  <w:t>0</w:t>
            </w:r>
          </w:p>
        </w:tc>
      </w:tr>
    </w:tbl>
    <w:p w14:paraId="00071958"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0A3566A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</w:pPr>
      <w:r>
        <w:rPr>
          <w:rFonts w:hint="default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  <w:lang w:val="en"/>
        </w:rPr>
        <w:t>三、</w:t>
      </w: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  <w:t>收到和处理政府信息公开申请情况</w:t>
      </w:r>
    </w:p>
    <w:p w14:paraId="5FFB6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0"/>
        <w:gridCol w:w="890"/>
        <w:gridCol w:w="2602"/>
        <w:gridCol w:w="602"/>
        <w:gridCol w:w="602"/>
        <w:gridCol w:w="602"/>
        <w:gridCol w:w="602"/>
        <w:gridCol w:w="602"/>
        <w:gridCol w:w="602"/>
        <w:gridCol w:w="604"/>
      </w:tblGrid>
      <w:tr w14:paraId="4CF9B6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931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6E63703"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楷体" w:hAnsi="楷体" w:eastAsia="楷体" w:cs="楷体"/>
                <w:color w:val="auto"/>
                <w:spacing w:val="0"/>
                <w:position w:val="0"/>
                <w:sz w:val="20"/>
                <w:shd w:val="clear" w:fill="auto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5F873A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申请人情况</w:t>
            </w:r>
          </w:p>
        </w:tc>
      </w:tr>
      <w:tr w14:paraId="7677C9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4B109E0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8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8743BE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D47FFE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7261DA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总计</w:t>
            </w:r>
          </w:p>
        </w:tc>
      </w:tr>
      <w:tr w14:paraId="7F22B0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7EAF8F0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49AE26E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87AEAD6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商业</w:t>
            </w:r>
          </w:p>
          <w:p w14:paraId="3DED42D1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企业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494F569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科研</w:t>
            </w:r>
          </w:p>
          <w:p w14:paraId="7BD1DE32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机构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FFDFBF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社会公益组织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99C277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法律服务机构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D6096A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02B4DAB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w14:paraId="517092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931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21DEE13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0883EB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EB1980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74AC3B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4192DD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5B9196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E4AFF8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D33C74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2013E0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931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13512F8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84E70A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3EB4ED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77B25D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7BCB7A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23C8A6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8659D3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2EBE9D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597F28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130B8D3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B832F92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（一）予以公开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873DBF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6E9B97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8445FB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34905B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B45FCA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A54F8C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EC8C04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5D215E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3EE159D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41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B4125D0"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（二）部分公开</w:t>
            </w:r>
            <w:r>
              <w:rPr>
                <w:rFonts w:ascii="楷体" w:hAnsi="楷体" w:eastAsia="楷体" w:cs="楷体"/>
                <w:color w:val="auto"/>
                <w:spacing w:val="0"/>
                <w:position w:val="0"/>
                <w:sz w:val="20"/>
                <w:shd w:val="clear" w:fill="auto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2EAEB9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129BB8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221F9E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CF4602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0B7EF2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C4638D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D3C0FD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31CD3C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343A628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F88C442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（三）不予公开</w:t>
            </w: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C8969C6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1.属于国家秘密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00F418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83EE50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121C33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E326BE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E1B68E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870EF1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921E17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23C14A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A506B88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4CC8F8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DAF3A80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2.其他法律行政法规禁止公开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1B9247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05C4E6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BB752D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B461F2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00F662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2B2C13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E73757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68EEB7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B47DF98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0841DE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357546F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3.危及“三安全一稳定”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B34A67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575132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DABF59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0F923B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A75BF6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32E9EA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76B1F5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0CE0A7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112FE26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4868EB0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9B5E691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4.保护第三方合法权益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88DEAC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3E816B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7E8709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B49CFC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C73D26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7BC330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D90F0B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4BC9D0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3B8B36D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B3F9BC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B5C85E1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B17F7F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CC08CC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44A0E8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245C56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41124C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7B84AA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8B1BB8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78EA17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71ADA52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E759831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62FD5B1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6.属于四类过程性信息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DA056F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FE2C7F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ACF8EC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AB25BC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D43856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4E570D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23E226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19263B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D8A4CDE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CFB5C65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A780B3C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E8225B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D4B50E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5DBB91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8B3932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BA0B2B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F52949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2296E8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34B17C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61CDDB6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7BB5CB1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88882C5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4B3265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C8943B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853EB6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685247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0D5602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EC20A8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C86737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64AD13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75E2FA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551C378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（四）无法提供</w:t>
            </w: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ED3646D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A3AB35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5A216A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354160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390F53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342B87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91806E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768ED7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6C1FFB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1CE8B2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8F065EB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FDB130C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39CAF0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E1FB04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75D488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2600A3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7C7F24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BA1F6A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22E1CF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3729A6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DE716D1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FE4EA6A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A9F1F0E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BE1B6B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635C5B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76554E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7C63D4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A8F1E3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C8A4B9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F6D2EA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5930D8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63E22F9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035DA9CE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（五）不予处理</w:t>
            </w: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3061B9E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1.信访举报投诉类申请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115B3D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130634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EF291A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B5787E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CD00B5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7EF3E8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28D98C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683FAE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CBCB3DE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CB06D41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806EDBD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2.重复申请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591817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927A3F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A73CF5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7F6A58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236955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A12F16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461543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57235E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CBB0E5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FDCA20D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08BEF10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3.要求提供公开出版物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7E95BD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BF147B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E6EF64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542A85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838FDA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95A8FC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FA7332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1FC36F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8149E3F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12721D8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ACDED4C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4.无正当理由大量反复申请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CAC0F1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B96B97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242AD6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6475C2B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9AB9C6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2B7D29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F02C4F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196401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2FCB890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DF0DB8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EF11F80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F8E5EB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2E3FA99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892573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9B4832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7B6519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75F9357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8D8CFB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3F7AC6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B389124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1D897B1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（六）其他处理</w:t>
            </w: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3088ED8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83BC87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EEF9457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6A19550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7C4E3C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84FE4BA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AFC0E1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3B3E848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502A68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6254212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09FCF6C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A29D987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D952F5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511A74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D4979C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33C117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9444FE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394534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00933B0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747EFF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88680E4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EAF4685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EEDFCDC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3.其他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7CE9B2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B5A4CC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A2C597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717E9A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1824E8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6223432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54027A5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672D8A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768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F813FEA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41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5792D91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（七）总计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B0F7E4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6C9C82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E7D6DA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5762B5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6D75BF0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1D35AB6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1709F9F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</w:tr>
      <w:tr w14:paraId="4FE797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931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6EEC943">
            <w:pPr>
              <w:spacing w:before="0" w:after="0" w:line="240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四、结转下年度继续办理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3E001055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5CEE2C69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380574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7EC36CD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2E32301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14:paraId="462132D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0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56" w:type="dxa"/>
              <w:right w:w="56" w:type="dxa"/>
            </w:tcMar>
            <w:vAlign w:val="top"/>
          </w:tcPr>
          <w:p w14:paraId="449CE76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  <w:t>0</w:t>
            </w:r>
          </w:p>
        </w:tc>
      </w:tr>
    </w:tbl>
    <w:p w14:paraId="3B54DC9C"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color w:val="333333"/>
          <w:spacing w:val="0"/>
          <w:position w:val="0"/>
          <w:sz w:val="24"/>
          <w:shd w:val="clear" w:fill="FFFFFF"/>
        </w:rPr>
      </w:pPr>
    </w:p>
    <w:p w14:paraId="5594F412">
      <w:pPr>
        <w:keepNext w:val="0"/>
        <w:keepLines w:val="0"/>
        <w:pageBreakBefore w:val="0"/>
        <w:widowControl w:val="0"/>
        <w:tabs>
          <w:tab w:val="left" w:pos="2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  <w:lang w:eastAsia="zh-CN"/>
        </w:rPr>
        <w:t>四、</w:t>
      </w: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  <w:t>政府信息公开行政复议、行政诉讼情况</w:t>
      </w:r>
    </w:p>
    <w:p w14:paraId="7FDAFD92"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b w:val="0"/>
          <w:bCs/>
          <w:color w:val="333333"/>
          <w:spacing w:val="0"/>
          <w:position w:val="0"/>
          <w:sz w:val="24"/>
          <w:shd w:val="clear" w:fill="FFFFFF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7"/>
        <w:gridCol w:w="567"/>
        <w:gridCol w:w="567"/>
        <w:gridCol w:w="568"/>
        <w:gridCol w:w="568"/>
        <w:gridCol w:w="568"/>
        <w:gridCol w:w="568"/>
        <w:gridCol w:w="568"/>
        <w:gridCol w:w="568"/>
        <w:gridCol w:w="568"/>
        <w:gridCol w:w="569"/>
        <w:gridCol w:w="569"/>
        <w:gridCol w:w="569"/>
        <w:gridCol w:w="569"/>
        <w:gridCol w:w="569"/>
      </w:tblGrid>
      <w:tr w14:paraId="7859A2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324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2A589F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39DD1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行政诉讼</w:t>
            </w:r>
          </w:p>
        </w:tc>
      </w:tr>
      <w:tr w14:paraId="74EDFE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649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4496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0D60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88C8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其他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2CE3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尚未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8A30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37BFB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803FB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复议后起诉</w:t>
            </w:r>
          </w:p>
        </w:tc>
      </w:tr>
      <w:tr w14:paraId="3AEF86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64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297597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4E896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43C6B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63929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F75E6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19CF4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维持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1437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纠正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3D9E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其他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8AC82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尚未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审结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0D943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总计</w:t>
            </w:r>
          </w:p>
        </w:tc>
        <w:tc>
          <w:tcPr>
            <w:tcW w:w="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40B5D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维持</w:t>
            </w:r>
          </w:p>
        </w:tc>
        <w:tc>
          <w:tcPr>
            <w:tcW w:w="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BFC1E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结果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纠正</w:t>
            </w:r>
          </w:p>
        </w:tc>
        <w:tc>
          <w:tcPr>
            <w:tcW w:w="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DDDCC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其他</w:t>
            </w: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结果</w:t>
            </w:r>
          </w:p>
        </w:tc>
        <w:tc>
          <w:tcPr>
            <w:tcW w:w="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54B06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尚未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0"/>
                <w:shd w:val="clear" w:fill="auto"/>
              </w:rPr>
              <w:t>审结</w:t>
            </w:r>
          </w:p>
        </w:tc>
        <w:tc>
          <w:tcPr>
            <w:tcW w:w="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5EC58"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0"/>
                <w:shd w:val="clear" w:fill="auto"/>
              </w:rPr>
              <w:t>总计</w:t>
            </w:r>
          </w:p>
        </w:tc>
      </w:tr>
      <w:tr w14:paraId="7CE597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1AD16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0059D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ABB3C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4DD89F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DF185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6A622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49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EDD11D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C0893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CB671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D2B74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51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3876A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51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6DD65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0 </w:t>
            </w:r>
          </w:p>
        </w:tc>
        <w:tc>
          <w:tcPr>
            <w:tcW w:w="651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50F66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51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A6196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黑体" w:hAnsi="黑体" w:eastAsia="黑体" w:cs="黑体"/>
                <w:color w:val="auto"/>
                <w:spacing w:val="0"/>
                <w:position w:val="0"/>
                <w:sz w:val="20"/>
                <w:shd w:val="clear" w:fill="auto"/>
              </w:rPr>
              <w:t> 0</w:t>
            </w:r>
          </w:p>
        </w:tc>
        <w:tc>
          <w:tcPr>
            <w:tcW w:w="651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E48F3"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  <w:t>0</w:t>
            </w:r>
          </w:p>
        </w:tc>
      </w:tr>
    </w:tbl>
    <w:p w14:paraId="44ADE2FD"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1"/>
          <w:shd w:val="clear" w:fill="auto"/>
        </w:rPr>
      </w:pPr>
    </w:p>
    <w:p w14:paraId="06BA6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  <w:lang w:eastAsia="zh-CN"/>
        </w:rPr>
        <w:t>五、</w:t>
      </w: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  <w:t>存在的主要问题及改进情况</w:t>
      </w:r>
    </w:p>
    <w:p w14:paraId="4453A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left"/>
        <w:textAlignment w:val="auto"/>
        <w:rPr>
          <w:rFonts w:ascii="仿宋_GB2312" w:hAnsi="仿宋_GB2312" w:eastAsia="仿宋_GB2312" w:cs="仿宋_GB2312"/>
          <w:color w:val="333333"/>
          <w:spacing w:val="0"/>
          <w:position w:val="0"/>
          <w:sz w:val="32"/>
          <w:u w:val="none"/>
          <w:shd w:val="clear" w:fill="FFFFFF"/>
        </w:rPr>
      </w:pPr>
      <w:r>
        <w:rPr>
          <w:rFonts w:ascii="仿宋_GB2312" w:hAnsi="仿宋_GB2312" w:eastAsia="仿宋_GB2312" w:cs="仿宋_GB2312"/>
          <w:color w:val="333333"/>
          <w:spacing w:val="0"/>
          <w:position w:val="0"/>
          <w:sz w:val="32"/>
          <w:u w:val="none"/>
          <w:shd w:val="clear" w:fill="FFFFFF"/>
        </w:rPr>
        <w:t>今年以来，我局政府信息工作取得良好成绩，公开标准进一步规范，主动公开的范围进一步扩大，但公开的内容还不够全面，主要是个别股室对政府信息公开工作重要性认识不够，信息公开工作不够主动。</w:t>
      </w:r>
    </w:p>
    <w:p w14:paraId="7E8D6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left"/>
        <w:textAlignment w:val="auto"/>
        <w:rPr>
          <w:rFonts w:ascii="仿宋_GB2312" w:hAnsi="仿宋_GB2312" w:eastAsia="仿宋_GB2312" w:cs="仿宋_GB2312"/>
          <w:color w:val="333333"/>
          <w:spacing w:val="0"/>
          <w:position w:val="0"/>
          <w:sz w:val="32"/>
          <w:u w:val="none"/>
          <w:shd w:val="clear" w:fill="FFFFFF"/>
        </w:rPr>
      </w:pPr>
      <w:r>
        <w:rPr>
          <w:rFonts w:ascii="仿宋_GB2312" w:hAnsi="仿宋_GB2312" w:eastAsia="仿宋_GB2312" w:cs="仿宋_GB2312"/>
          <w:color w:val="333333"/>
          <w:spacing w:val="0"/>
          <w:position w:val="0"/>
          <w:sz w:val="32"/>
          <w:u w:val="none"/>
          <w:shd w:val="clear" w:fill="FFFFFF"/>
        </w:rPr>
        <w:t>下一步，我局将组织各股室开展业务培训学习，提高主动履职的责任感，继续推进重点领域、重点环节的政府信息公开，做好政府信息公开申请工作，加强政策解读和群众关切问题的回应工作，增进公众对交通工作的理解和支持，优化公开服务，不断推进我局政府信息公开工作。</w:t>
      </w:r>
    </w:p>
    <w:p w14:paraId="10975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  <w:lang w:eastAsia="zh-CN"/>
        </w:rPr>
        <w:t>六、</w:t>
      </w:r>
      <w:r>
        <w:rPr>
          <w:rFonts w:hint="eastAsia" w:ascii="黑体" w:hAnsi="黑体" w:eastAsia="黑体" w:cs="黑体"/>
          <w:b w:val="0"/>
          <w:bCs/>
          <w:color w:val="333333"/>
          <w:spacing w:val="0"/>
          <w:position w:val="0"/>
          <w:sz w:val="32"/>
          <w:szCs w:val="32"/>
          <w:shd w:val="clear" w:fill="FFFFFF"/>
        </w:rPr>
        <w:t>其他需要报告的事项</w:t>
      </w:r>
    </w:p>
    <w:p w14:paraId="430AC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firstLine="640" w:firstLineChars="200"/>
        <w:jc w:val="left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color w:val="333333"/>
          <w:spacing w:val="0"/>
          <w:position w:val="0"/>
          <w:sz w:val="32"/>
          <w:szCs w:val="32"/>
          <w:shd w:val="clear" w:fill="FFFFFF"/>
        </w:rPr>
        <w:t>认真贯彻执行国务院办公厅《政府信息公开信息处理费管理办法》和《关于政府信息公开处理费管理有关事项的通知》。2025年我单位未收取信息处理费。</w:t>
      </w: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5D7C11"/>
    <w:rsid w:val="7AF774AD"/>
    <w:rsid w:val="7DBAAB8D"/>
    <w:rsid w:val="AB0F8C45"/>
    <w:rsid w:val="BFCD4D92"/>
    <w:rsid w:val="EB7F03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1737</Words>
  <Characters>1772</Characters>
  <TotalTime>273</TotalTime>
  <ScaleCrop>false</ScaleCrop>
  <LinksUpToDate>false</LinksUpToDate>
  <CharactersWithSpaces>1787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2026-01-28T08:11:00Z</dcterms:created>
  <dc:creator>kylin</dc:creator>
  <cp:lastModifiedBy>八爪小鱼</cp:lastModifiedBy>
  <cp:lastPrinted>2026-01-28T14:42:00Z</cp:lastPrinted>
  <dcterms:modified xsi:type="dcterms:W3CDTF">2026-01-30T02:00:04Z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5A7FAD52BE179353077678692C7FE800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