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E814E">
      <w:pPr>
        <w:spacing w:line="540" w:lineRule="exact"/>
        <w:ind w:firstLine="0" w:firstLineChars="0"/>
        <w:jc w:val="center"/>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涞水县教育和体育局</w:t>
      </w:r>
    </w:p>
    <w:p w14:paraId="36CA2640">
      <w:pPr>
        <w:pStyle w:val="4"/>
        <w:spacing w:beforeAutospacing="0" w:afterAutospacing="0" w:line="540" w:lineRule="exact"/>
        <w:ind w:firstLine="0" w:firstLineChars="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5</w:t>
      </w:r>
      <w:r>
        <w:rPr>
          <w:rFonts w:hint="eastAsia" w:ascii="方正小标宋简体" w:hAnsi="方正小标宋简体" w:eastAsia="方正小标宋简体" w:cs="方正小标宋简体"/>
          <w:color w:val="auto"/>
          <w:sz w:val="44"/>
          <w:szCs w:val="44"/>
        </w:rPr>
        <w:t>年政府信息公开工作年度报告</w:t>
      </w:r>
    </w:p>
    <w:p w14:paraId="26163047">
      <w:pPr>
        <w:widowControl/>
        <w:shd w:val="clear" w:color="auto" w:fill="FFFFFF"/>
        <w:tabs>
          <w:tab w:val="left" w:pos="6853"/>
        </w:tabs>
        <w:spacing w:line="480" w:lineRule="atLeast"/>
        <w:ind w:firstLineChars="0"/>
        <w:jc w:val="left"/>
        <w:rPr>
          <w:rFonts w:hint="eastAsia" w:cs="宋体" w:asciiTheme="majorEastAsia" w:hAnsiTheme="majorEastAsia" w:eastAsiaTheme="majorEastAsia"/>
          <w:color w:val="auto"/>
          <w:kern w:val="0"/>
          <w:sz w:val="24"/>
          <w:lang w:eastAsia="zh-CN"/>
        </w:rPr>
      </w:pPr>
      <w:r>
        <w:rPr>
          <w:rFonts w:hint="eastAsia" w:cs="宋体" w:asciiTheme="majorEastAsia" w:hAnsiTheme="majorEastAsia" w:eastAsiaTheme="majorEastAsia"/>
          <w:color w:val="auto"/>
          <w:kern w:val="0"/>
          <w:sz w:val="24"/>
          <w:lang w:eastAsia="zh-CN"/>
        </w:rPr>
        <w:tab/>
      </w:r>
    </w:p>
    <w:p w14:paraId="7807107C">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根据《中华人民共和国政府信息公开条例》规定，县教育和体育局202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年政府信息公开工作年度报告，所列数据的统计期限从202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年1月1日起至202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年12月31日止。</w:t>
      </w:r>
    </w:p>
    <w:p w14:paraId="79697880">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一、总体情况</w:t>
      </w:r>
    </w:p>
    <w:p w14:paraId="0E7CF81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年，在县委、县政府的领导下，在县政务公开办的具体指导下，我局认真贯彻落实《中华人民共和国政府信息公开条例》，严格按照《涞水县202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年政务公开工作要点》要求，逐条对标、补齐短板，进一步强化政务公开工作组织领导、夯实政务公开工作队伍建设、全面完善公开工作体系、全力抓好政府信息公开重点要点，切实做好政府信息公开各项工作。</w:t>
      </w:r>
    </w:p>
    <w:p w14:paraId="1D234AD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0"/>
          <w:sz w:val="32"/>
          <w:szCs w:val="32"/>
        </w:rPr>
        <w:t>（一）主动公开方面。</w:t>
      </w:r>
      <w:r>
        <w:rPr>
          <w:rFonts w:hint="eastAsia" w:ascii="仿宋_GB2312" w:hAnsi="仿宋_GB2312" w:eastAsia="仿宋_GB2312" w:cs="仿宋_GB2312"/>
          <w:color w:val="auto"/>
          <w:kern w:val="0"/>
          <w:sz w:val="32"/>
          <w:szCs w:val="32"/>
        </w:rPr>
        <w:t>坚持以公开为常态、不公开为例外，遵循公正、公平、合法、便民的原则，细化实化公开内容，持续推进政府网站线上线下数据互联互通，坚持“应公开、尽公开”原则，高效、精准公开划片招生信息，中、高考信息，惠民实事信息等，满足公众查询需求，有针对性地及时回应公众关心的教育政策问题。</w:t>
      </w:r>
    </w:p>
    <w:p w14:paraId="49E4AD80">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0"/>
          <w:sz w:val="32"/>
          <w:szCs w:val="32"/>
        </w:rPr>
        <w:t>（二）依申请公开方面。</w:t>
      </w:r>
      <w:r>
        <w:rPr>
          <w:rFonts w:hint="eastAsia" w:ascii="仿宋_GB2312" w:hAnsi="仿宋_GB2312" w:eastAsia="仿宋_GB2312" w:cs="仿宋_GB2312"/>
          <w:color w:val="auto"/>
          <w:kern w:val="0"/>
          <w:sz w:val="32"/>
          <w:szCs w:val="32"/>
        </w:rPr>
        <w:t>在县政府网站公开了信息公开指南，制定了《政府信息公开申请表》，当面申请、网上申请平台和信函申请渠道畅通。按便民利民原则，在局办公室设立依申请公开受理点，并优化了工作机制，建立了清单化台账，明确了依申请公开等具体工作流程和工作分工，确保信息公开申请能及时办理反馈。同时，不断推进政府信息公开标准化建设，严格按照《条例》等相关法律法规，规范做好政府信息公开申请接收、登记、办理、审核、答复、归档全链条工作,切实保障公众的知情权和监督权。</w:t>
      </w:r>
    </w:p>
    <w:p w14:paraId="2C98586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0"/>
          <w:sz w:val="32"/>
          <w:szCs w:val="32"/>
        </w:rPr>
        <w:t>（三）政府信息管理方面。</w:t>
      </w:r>
      <w:r>
        <w:rPr>
          <w:rFonts w:hint="eastAsia" w:ascii="仿宋_GB2312" w:hAnsi="仿宋_GB2312" w:eastAsia="仿宋_GB2312" w:cs="仿宋_GB2312"/>
          <w:color w:val="auto"/>
          <w:kern w:val="0"/>
          <w:sz w:val="32"/>
          <w:szCs w:val="32"/>
        </w:rPr>
        <w:t>局主要领导高度重视政务公开工作，坚持亲自研究，亲自部署，进一步优化调整局政务公开领导小组，明确专人专职督办政府信息公开工作，各股室明确具体信息员，负责推动本单位信息公开工作，形成了齐抓共管，层层落实的政府信息公开工作新格局。同时，针对政务新媒体、政府信息公开专栏、政策解读等重点环节，加强督促检查，对发现的问题及时督促整改到位。</w:t>
      </w:r>
    </w:p>
    <w:p w14:paraId="74384A2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Chars="0"/>
        <w:jc w:val="left"/>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0"/>
          <w:sz w:val="32"/>
          <w:szCs w:val="32"/>
        </w:rPr>
        <w:t>（四）政府信息公开平台建设方面。</w:t>
      </w:r>
      <w:r>
        <w:rPr>
          <w:rFonts w:hint="eastAsia" w:ascii="仿宋_GB2312" w:hAnsi="仿宋_GB2312" w:eastAsia="仿宋_GB2312" w:cs="仿宋_GB2312"/>
          <w:color w:val="auto"/>
          <w:kern w:val="0"/>
          <w:sz w:val="32"/>
          <w:szCs w:val="32"/>
        </w:rPr>
        <w:t>信息发布严格把关，坚持“先审后上、分级负责、保证质量”的原则，保证了信息发布的准确性和时效性，坚持以服务群众为宗旨，不断优化公开内容，提高政务服务群众的能力。不断巩固政务新媒体阵地，畅通“涞水教育”微信公众号。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年，通过“涞水教育”微信公众号全年发布信息</w:t>
      </w:r>
      <w:r>
        <w:rPr>
          <w:rFonts w:hint="eastAsia" w:ascii="仿宋_GB2312" w:hAnsi="仿宋_GB2312" w:eastAsia="仿宋_GB2312" w:cs="仿宋_GB2312"/>
          <w:color w:val="auto"/>
          <w:kern w:val="0"/>
          <w:sz w:val="32"/>
          <w:szCs w:val="32"/>
          <w:lang w:val="en-US" w:eastAsia="zh-CN"/>
        </w:rPr>
        <w:t>316</w:t>
      </w:r>
      <w:r>
        <w:rPr>
          <w:rFonts w:hint="eastAsia" w:ascii="仿宋_GB2312" w:hAnsi="仿宋_GB2312" w:eastAsia="仿宋_GB2312" w:cs="仿宋_GB2312"/>
          <w:color w:val="auto"/>
          <w:kern w:val="0"/>
          <w:sz w:val="32"/>
          <w:szCs w:val="32"/>
        </w:rPr>
        <w:t>篇，有效扩大宣传面，同时与群众互动进一步增强。 </w:t>
      </w:r>
    </w:p>
    <w:p w14:paraId="2187F8E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20" w:firstLineChars="0"/>
        <w:jc w:val="left"/>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0"/>
          <w:sz w:val="32"/>
          <w:szCs w:val="32"/>
        </w:rPr>
        <w:t>（五）监督保障方面。</w:t>
      </w:r>
      <w:r>
        <w:rPr>
          <w:rFonts w:hint="eastAsia" w:ascii="仿宋_GB2312" w:hAnsi="仿宋_GB2312" w:eastAsia="仿宋_GB2312" w:cs="仿宋_GB2312"/>
          <w:color w:val="auto"/>
          <w:kern w:val="0"/>
          <w:sz w:val="32"/>
          <w:szCs w:val="32"/>
        </w:rPr>
        <w:t>将教育信息公开工作列入重要议事日程，主要领导亲自抓、分管领导具体抓，由专人负责，定期组织研究和解决教育信息公开过程中遇到的问题，督导、检查和处理环境信息公开相关工作等，实现了领导、机构、人员“三到位”。对重大事项的公开，经分管领导审核并签署意见后报局长审定。按要求做好政府信息保密审查工作，严格审查标准，规定所有公开的信息都要进行严格的逐级审批，重要信息必须经主要领导审签后才可公开，局机关各股室严格按照政务公开责任主体和时限要求规范有序开展工作，及时做好“回头看”，确保严格按照政务公开责任主体和时限要求规范有序开展工作，发现问题及时整改。</w:t>
      </w:r>
    </w:p>
    <w:p w14:paraId="261D9582">
      <w:pPr>
        <w:pStyle w:val="4"/>
        <w:keepNext w:val="0"/>
        <w:keepLines w:val="0"/>
        <w:pageBreakBefore w:val="0"/>
        <w:kinsoku/>
        <w:wordWrap/>
        <w:overflowPunct/>
        <w:topLinePunct w:val="0"/>
        <w:autoSpaceDE/>
        <w:autoSpaceDN/>
        <w:bidi w:val="0"/>
        <w:adjustRightInd/>
        <w:snapToGrid/>
        <w:spacing w:beforeAutospacing="0" w:afterAutospacing="0" w:line="480" w:lineRule="exac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二、主动公开政府信息情况</w:t>
      </w:r>
    </w:p>
    <w:p w14:paraId="6EBD7BA7">
      <w:pPr>
        <w:pStyle w:val="4"/>
        <w:keepNext w:val="0"/>
        <w:keepLines w:val="0"/>
        <w:pageBreakBefore w:val="0"/>
        <w:kinsoku/>
        <w:wordWrap/>
        <w:overflowPunct/>
        <w:topLinePunct w:val="0"/>
        <w:autoSpaceDE/>
        <w:autoSpaceDN/>
        <w:bidi w:val="0"/>
        <w:adjustRightInd/>
        <w:snapToGrid/>
        <w:spacing w:beforeAutospacing="0" w:afterAutospacing="0" w:line="480" w:lineRule="exact"/>
        <w:textAlignment w:val="auto"/>
        <w:rPr>
          <w:rFonts w:hint="eastAsia" w:ascii="黑体" w:hAnsi="黑体" w:eastAsia="黑体" w:cs="黑体"/>
          <w:color w:val="auto"/>
          <w:sz w:val="32"/>
          <w:szCs w:val="32"/>
        </w:rPr>
      </w:pPr>
    </w:p>
    <w:tbl>
      <w:tblPr>
        <w:tblStyle w:val="5"/>
        <w:tblW w:w="9740" w:type="dxa"/>
        <w:jc w:val="center"/>
        <w:tblLayout w:type="autofit"/>
        <w:tblCellMar>
          <w:top w:w="15" w:type="dxa"/>
          <w:left w:w="15" w:type="dxa"/>
          <w:bottom w:w="15" w:type="dxa"/>
          <w:right w:w="15" w:type="dxa"/>
        </w:tblCellMar>
      </w:tblPr>
      <w:tblGrid>
        <w:gridCol w:w="2435"/>
        <w:gridCol w:w="2435"/>
        <w:gridCol w:w="2435"/>
        <w:gridCol w:w="2435"/>
      </w:tblGrid>
      <w:tr w14:paraId="12734FDE">
        <w:tblPrEx>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19C39B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2D1151B7">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84CCF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D1F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3C4B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F30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现行有效件数</w:t>
            </w:r>
          </w:p>
        </w:tc>
      </w:tr>
      <w:tr w14:paraId="0DF422BB">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5C251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006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E8E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7009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21E75D77">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ACA92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210B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54AD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1BEC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bookmarkStart w:id="0" w:name="_GoBack"/>
            <w:bookmarkEnd w:id="0"/>
          </w:p>
        </w:tc>
      </w:tr>
      <w:tr w14:paraId="7524A8C7">
        <w:tblPrEx>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48170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第二十条第（五）项</w:t>
            </w:r>
          </w:p>
        </w:tc>
      </w:tr>
      <w:tr w14:paraId="5AE96AC8">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8433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204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本年处理决定数量</w:t>
            </w:r>
          </w:p>
        </w:tc>
      </w:tr>
      <w:tr w14:paraId="603AE2FC">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C1BFB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105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1B7D9615">
        <w:tblPrEx>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12CF2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第二十条第（六）项</w:t>
            </w:r>
          </w:p>
        </w:tc>
      </w:tr>
      <w:tr w14:paraId="036573EA">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11DBB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C6F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本年处理决定数量</w:t>
            </w:r>
          </w:p>
        </w:tc>
      </w:tr>
      <w:tr w14:paraId="1A1908AD">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A4D08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E1F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r>
      <w:tr w14:paraId="2AED8796">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61B85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31D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r>
      <w:tr w14:paraId="39C770DE">
        <w:tblPrEx>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4DCB5C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第二十条第（八）项</w:t>
            </w:r>
          </w:p>
        </w:tc>
      </w:tr>
      <w:tr w14:paraId="0E2903DF">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4DE8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01863D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本年收费金额（单位：万元）</w:t>
            </w:r>
          </w:p>
        </w:tc>
      </w:tr>
      <w:tr w14:paraId="6520A6C4">
        <w:tblPrEx>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98C87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409545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60.35</w:t>
            </w:r>
          </w:p>
        </w:tc>
      </w:tr>
    </w:tbl>
    <w:p w14:paraId="4588E5D3">
      <w:pPr>
        <w:ind w:left="0" w:leftChars="0" w:firstLine="0" w:firstLineChars="0"/>
        <w:rPr>
          <w:color w:val="auto"/>
        </w:rPr>
      </w:pPr>
    </w:p>
    <w:p w14:paraId="42D4CA94">
      <w:pPr>
        <w:pStyle w:val="4"/>
        <w:ind w:left="0" w:leftChars="0" w:firstLine="320" w:firstLineChars="100"/>
        <w:rPr>
          <w:rFonts w:hint="eastAsia" w:ascii="黑体" w:hAnsi="黑体" w:eastAsia="黑体" w:cs="黑体"/>
          <w:color w:val="auto"/>
          <w:sz w:val="32"/>
          <w:szCs w:val="32"/>
        </w:rPr>
      </w:pPr>
      <w:r>
        <w:rPr>
          <w:rFonts w:hint="eastAsia" w:ascii="黑体" w:hAnsi="黑体" w:eastAsia="黑体" w:cs="黑体"/>
          <w:color w:val="auto"/>
          <w:sz w:val="32"/>
          <w:szCs w:val="32"/>
        </w:rPr>
        <w:t>三、收到和处理政府信息公开申请情况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54"/>
        <w:gridCol w:w="1164"/>
        <w:gridCol w:w="2972"/>
        <w:gridCol w:w="652"/>
        <w:gridCol w:w="652"/>
        <w:gridCol w:w="652"/>
        <w:gridCol w:w="652"/>
        <w:gridCol w:w="652"/>
        <w:gridCol w:w="653"/>
        <w:gridCol w:w="745"/>
      </w:tblGrid>
      <w:tr w14:paraId="4A77C5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2"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07F1D8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color w:val="auto"/>
              </w:rPr>
            </w:pPr>
            <w:r>
              <w:rPr>
                <w:color w:val="auto"/>
                <w:kern w:val="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CB323F">
            <w:pPr>
              <w:ind w:firstLine="420"/>
              <w:rPr>
                <w:color w:val="auto"/>
              </w:rPr>
            </w:pPr>
            <w:r>
              <w:rPr>
                <w:rFonts w:hint="eastAsia"/>
                <w:color w:val="auto"/>
                <w:kern w:val="0"/>
              </w:rPr>
              <w:t>申请人情况</w:t>
            </w:r>
          </w:p>
        </w:tc>
      </w:tr>
      <w:tr w14:paraId="0C1BAE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F2FB01E">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6B8DC">
            <w:pPr>
              <w:ind w:left="0" w:leftChars="0" w:firstLine="0" w:firstLineChars="0"/>
              <w:rPr>
                <w:color w:val="auto"/>
              </w:rPr>
            </w:pPr>
            <w:r>
              <w:rPr>
                <w:rFonts w:hint="eastAsia"/>
                <w:color w:val="auto"/>
                <w:kern w:val="0"/>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F4BCB6">
            <w:pPr>
              <w:ind w:firstLine="420"/>
              <w:rPr>
                <w:color w:val="auto"/>
              </w:rPr>
            </w:pPr>
            <w:r>
              <w:rPr>
                <w:rFonts w:hint="eastAsia"/>
                <w:color w:val="auto"/>
                <w:kern w:val="0"/>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306FF5B">
            <w:pPr>
              <w:ind w:firstLine="420"/>
              <w:rPr>
                <w:color w:val="auto"/>
              </w:rPr>
            </w:pPr>
            <w:r>
              <w:rPr>
                <w:rFonts w:hint="eastAsia"/>
                <w:color w:val="auto"/>
                <w:kern w:val="0"/>
              </w:rPr>
              <w:t>总计</w:t>
            </w:r>
          </w:p>
        </w:tc>
      </w:tr>
      <w:tr w14:paraId="30031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6771550">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42CF81">
            <w:pPr>
              <w:ind w:firstLine="420"/>
              <w:rPr>
                <w:color w:val="auto"/>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62761">
            <w:pPr>
              <w:ind w:left="0" w:leftChars="0" w:firstLine="0" w:firstLineChars="0"/>
              <w:rPr>
                <w:color w:val="auto"/>
              </w:rPr>
            </w:pPr>
            <w:r>
              <w:rPr>
                <w:rFonts w:hint="eastAsia"/>
                <w:color w:val="auto"/>
                <w:kern w:val="0"/>
              </w:rPr>
              <w:t>商业</w:t>
            </w:r>
          </w:p>
          <w:p w14:paraId="444B7662">
            <w:pPr>
              <w:ind w:left="0" w:leftChars="0" w:firstLine="0" w:firstLineChars="0"/>
              <w:rPr>
                <w:color w:val="auto"/>
              </w:rPr>
            </w:pPr>
            <w:r>
              <w:rPr>
                <w:rFonts w:hint="eastAsia"/>
                <w:color w:val="auto"/>
                <w:kern w:val="0"/>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710AD9">
            <w:pPr>
              <w:ind w:left="0" w:leftChars="0" w:firstLine="0" w:firstLineChars="0"/>
              <w:rPr>
                <w:color w:val="auto"/>
              </w:rPr>
            </w:pPr>
            <w:r>
              <w:rPr>
                <w:rFonts w:hint="eastAsia"/>
                <w:color w:val="auto"/>
                <w:kern w:val="0"/>
              </w:rPr>
              <w:t>科研</w:t>
            </w:r>
          </w:p>
          <w:p w14:paraId="1616D409">
            <w:pPr>
              <w:ind w:left="0" w:leftChars="0" w:firstLine="0" w:firstLineChars="0"/>
              <w:rPr>
                <w:color w:val="auto"/>
              </w:rPr>
            </w:pPr>
            <w:r>
              <w:rPr>
                <w:rFonts w:hint="eastAsia"/>
                <w:color w:val="auto"/>
                <w:kern w:val="0"/>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305B4C">
            <w:pPr>
              <w:ind w:left="0" w:leftChars="0" w:firstLine="0" w:firstLineChars="0"/>
              <w:rPr>
                <w:color w:val="auto"/>
              </w:rPr>
            </w:pPr>
            <w:r>
              <w:rPr>
                <w:rFonts w:hint="eastAsia"/>
                <w:color w:val="auto"/>
                <w:kern w:val="0"/>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7944D">
            <w:pPr>
              <w:ind w:left="0" w:leftChars="0" w:firstLine="0" w:firstLineChars="0"/>
              <w:rPr>
                <w:color w:val="auto"/>
              </w:rPr>
            </w:pPr>
            <w:r>
              <w:rPr>
                <w:rFonts w:hint="eastAsia"/>
                <w:color w:val="auto"/>
                <w:kern w:val="0"/>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AF210A">
            <w:pPr>
              <w:ind w:left="0" w:leftChars="0" w:firstLine="0" w:firstLineChars="0"/>
              <w:rPr>
                <w:color w:val="auto"/>
              </w:rPr>
            </w:pPr>
            <w:r>
              <w:rPr>
                <w:rFonts w:hint="eastAsia"/>
                <w:color w:val="auto"/>
                <w:kern w:val="0"/>
              </w:rPr>
              <w:t>其他</w:t>
            </w:r>
          </w:p>
        </w:tc>
        <w:tc>
          <w:tcPr>
            <w:tcW w:w="688"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F211235">
            <w:pPr>
              <w:ind w:firstLine="420"/>
              <w:rPr>
                <w:color w:val="auto"/>
              </w:rPr>
            </w:pPr>
          </w:p>
        </w:tc>
      </w:tr>
      <w:tr w14:paraId="5DEC35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551F447">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320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50B5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9A2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C9C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54E7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4704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6DA91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39BCE7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5C703B2">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4BB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41AE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8E26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64E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4D6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CFA3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E970D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62A252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769"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A0DEBEC">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62EF69">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3A5F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CD3A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FF84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F5E5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3641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3F68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tcPr>
          <w:p w14:paraId="01DF8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6A1910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3644B9F">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0B1CD0">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ascii="宋体" w:hAnsi="宋体" w:eastAsia="宋体" w:cs="宋体"/>
                <w:color w:val="auto"/>
                <w:kern w:val="0"/>
              </w:rPr>
              <w:t>（二）部分公开</w:t>
            </w:r>
            <w:r>
              <w:rPr>
                <w:rFonts w:hint="eastAsia"/>
                <w:color w:val="auto"/>
                <w:kern w:val="0"/>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759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410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E42A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AF7C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D526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7015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20278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350F55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B986A28">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DCDB4CB">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71B783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D8480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A0EC5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13572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A2457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C844F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C9455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tcPr>
          <w:p w14:paraId="0253FB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095F06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2A0769B">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B0BEB67">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0A4A10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C92EB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77910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CA71F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BC642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DA8A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DAA8C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82996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38CF3B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02E0001">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FBEBB62">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C0509D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FA650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09DB2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9447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887B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057D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FCFCD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39686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19DDA0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39C051B">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FDA6BE8">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69F7AE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E851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F102E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1144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FC1E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1F2E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7E88F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52307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6D7B69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32BCC98">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08EE941">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18264E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48F11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39A0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E0438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C8F3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8C36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0ABB4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AC5D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119DD6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4DF2B45">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FCFE76B">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09A5D7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D12BD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5A04A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F07D2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625B7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81CAA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57839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B2EE0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43E210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9BBEAE8">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473C4A6">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934E16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4B0D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9829C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25145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FA72B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A144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845B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2894F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2A77D7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23B9F22">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583B85E">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A1BA15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8CA0A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45EBD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DF938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592BF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72696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171C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0C48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599C93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5923121">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864740C">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836641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2EC08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75C3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0FD45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6F595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F2272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21F9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EBC47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1D7207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9D5472C">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AB54490">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00B4F1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9BBC9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8BE8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6E3A2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646AB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3241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27A5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107F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7BBC0F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F32EDD0">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E9C945B">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62F7C7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86CD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FAB5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DB57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4EAB9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E03AF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6E1E7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3936C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21D379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9C37CE">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D1F8629">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9D1637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68C4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DD97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52E02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21C2D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C553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1788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BE225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2EDB24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DE53BCA">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F99C20F">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2D0653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D043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69EC8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FBB5F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4C8BF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6910D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3A4C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ADED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36162C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9ACCDE1">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0BBB6DD">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A08121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51E48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95FE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6A251D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BA35C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DCF3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E820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4ACDD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2E781F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E7F34F9">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520784F">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7013BA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0C2D44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94720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1B5E7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60A0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B2B36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5D7E4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26B11F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5FA634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7D6ECF">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904F7C9">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842DFA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0187C7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5E2AE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0481E4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3EFE3B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22CB01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13AFD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tcPr>
          <w:p w14:paraId="7F7F4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516C87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D7E37A">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01CE070">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F20A8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606D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5912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527A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C510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4E22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44AE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E5FAD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4C6C77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EED4A1">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382E5995">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E297B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color w:val="auto"/>
              </w:rPr>
            </w:pPr>
            <w:r>
              <w:rPr>
                <w:rFonts w:hint="eastAsia"/>
                <w:color w:val="auto"/>
                <w:kern w:val="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B15B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0F05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DAA1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B1A4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08E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8841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4D3B4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6D0FD1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6E3E213">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01E303">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5CC3BE">
            <w:pPr>
              <w:keepNext w:val="0"/>
              <w:keepLines w:val="0"/>
              <w:pageBreakBefore w:val="0"/>
              <w:widowControl w:val="0"/>
              <w:kinsoku/>
              <w:wordWrap/>
              <w:overflowPunct/>
              <w:topLinePunct w:val="0"/>
              <w:autoSpaceDE/>
              <w:autoSpaceDN/>
              <w:bidi w:val="0"/>
              <w:adjustRightInd/>
              <w:snapToGrid/>
              <w:spacing w:line="300" w:lineRule="exact"/>
              <w:ind w:firstLine="420"/>
              <w:jc w:val="both"/>
              <w:textAlignment w:val="auto"/>
              <w:rPr>
                <w:color w:val="auto"/>
              </w:rPr>
            </w:pPr>
            <w:r>
              <w:rPr>
                <w:rFonts w:hint="eastAsia"/>
                <w:color w:val="auto"/>
                <w:kern w:val="0"/>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17EC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ABB1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CA1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DD93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6860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579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7B67CD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4B5394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3BF2E7B">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614B90">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28BA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09B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6E5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E0A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0C6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648C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3091B8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r w14:paraId="5DFF04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E27B421">
            <w:pPr>
              <w:keepNext w:val="0"/>
              <w:keepLines w:val="0"/>
              <w:pageBreakBefore w:val="0"/>
              <w:widowControl w:val="0"/>
              <w:kinsoku/>
              <w:wordWrap/>
              <w:overflowPunct/>
              <w:topLinePunct w:val="0"/>
              <w:autoSpaceDE/>
              <w:autoSpaceDN/>
              <w:bidi w:val="0"/>
              <w:adjustRightInd/>
              <w:snapToGrid/>
              <w:spacing w:line="300" w:lineRule="exact"/>
              <w:ind w:firstLine="420"/>
              <w:textAlignment w:val="auto"/>
              <w:rPr>
                <w:color w:val="auto"/>
              </w:rPr>
            </w:pPr>
            <w:r>
              <w:rPr>
                <w:rFonts w:hint="eastAsia"/>
                <w:color w:val="auto"/>
                <w:kern w:val="0"/>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19DA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ACC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F719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F5A8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7F6C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8924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tcPr>
          <w:p w14:paraId="474BD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0</w:t>
            </w:r>
          </w:p>
        </w:tc>
      </w:tr>
    </w:tbl>
    <w:p w14:paraId="5FE494AE">
      <w:pPr>
        <w:pStyle w:val="4"/>
        <w:rPr>
          <w:rFonts w:hint="eastAsia" w:ascii="黑体" w:hAnsi="黑体" w:eastAsia="黑体" w:cs="黑体"/>
          <w:color w:val="auto"/>
          <w:sz w:val="32"/>
          <w:szCs w:val="32"/>
        </w:rPr>
      </w:pPr>
    </w:p>
    <w:p w14:paraId="3EED844F">
      <w:pPr>
        <w:pStyle w:val="4"/>
        <w:rPr>
          <w:rFonts w:hint="eastAsia" w:ascii="黑体" w:hAnsi="黑体" w:eastAsia="黑体" w:cs="黑体"/>
          <w:color w:val="auto"/>
          <w:sz w:val="32"/>
          <w:szCs w:val="32"/>
        </w:rPr>
      </w:pPr>
    </w:p>
    <w:p w14:paraId="27F0E9B0">
      <w:pPr>
        <w:pStyle w:val="4"/>
        <w:rPr>
          <w:rFonts w:hint="eastAsia" w:ascii="黑体" w:hAnsi="黑体" w:eastAsia="黑体" w:cs="黑体"/>
          <w:color w:val="auto"/>
          <w:sz w:val="32"/>
          <w:szCs w:val="32"/>
        </w:rPr>
      </w:pPr>
      <w:r>
        <w:rPr>
          <w:rFonts w:hint="eastAsia" w:ascii="黑体" w:hAnsi="黑体" w:eastAsia="黑体" w:cs="黑体"/>
          <w:color w:val="auto"/>
          <w:sz w:val="32"/>
          <w:szCs w:val="32"/>
        </w:rPr>
        <w:t>四、政府信息公开行政复议、行政诉讼情况</w:t>
      </w:r>
    </w:p>
    <w:tbl>
      <w:tblPr>
        <w:tblStyle w:val="5"/>
        <w:tblW w:w="1080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43"/>
        <w:gridCol w:w="743"/>
        <w:gridCol w:w="743"/>
        <w:gridCol w:w="743"/>
        <w:gridCol w:w="743"/>
        <w:gridCol w:w="743"/>
        <w:gridCol w:w="743"/>
        <w:gridCol w:w="743"/>
        <w:gridCol w:w="743"/>
        <w:gridCol w:w="743"/>
        <w:gridCol w:w="743"/>
        <w:gridCol w:w="743"/>
        <w:gridCol w:w="743"/>
        <w:gridCol w:w="743"/>
        <w:gridCol w:w="743"/>
      </w:tblGrid>
      <w:tr w14:paraId="277C87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9" w:hRule="atLeast"/>
          <w:jc w:val="center"/>
        </w:trPr>
        <w:tc>
          <w:tcPr>
            <w:tcW w:w="360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9ED75A">
            <w:pPr>
              <w:ind w:firstLine="420"/>
              <w:rPr>
                <w:color w:val="auto"/>
              </w:rPr>
            </w:pPr>
            <w:r>
              <w:rPr>
                <w:rFonts w:hint="eastAsia"/>
                <w:color w:val="auto"/>
                <w:kern w:val="0"/>
              </w:rPr>
              <w:t>行政复议</w:t>
            </w:r>
          </w:p>
        </w:tc>
        <w:tc>
          <w:tcPr>
            <w:tcW w:w="7200"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E9FA50">
            <w:pPr>
              <w:ind w:firstLine="420"/>
              <w:rPr>
                <w:color w:val="auto"/>
              </w:rPr>
            </w:pPr>
            <w:r>
              <w:rPr>
                <w:rFonts w:hint="eastAsia"/>
                <w:color w:val="auto"/>
                <w:kern w:val="0"/>
              </w:rPr>
              <w:t>行政诉讼</w:t>
            </w:r>
          </w:p>
        </w:tc>
      </w:tr>
      <w:tr w14:paraId="5940B6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9" w:hRule="atLeast"/>
          <w:jc w:val="center"/>
        </w:trPr>
        <w:tc>
          <w:tcPr>
            <w:tcW w:w="72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6412E4">
            <w:pPr>
              <w:ind w:firstLine="0" w:firstLineChars="0"/>
              <w:rPr>
                <w:color w:val="auto"/>
              </w:rPr>
            </w:pPr>
            <w:r>
              <w:rPr>
                <w:rFonts w:hint="eastAsia"/>
                <w:color w:val="auto"/>
                <w:kern w:val="0"/>
              </w:rPr>
              <w:t>结果维持</w:t>
            </w:r>
          </w:p>
        </w:tc>
        <w:tc>
          <w:tcPr>
            <w:tcW w:w="72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A96B72">
            <w:pPr>
              <w:ind w:firstLine="0" w:firstLineChars="0"/>
              <w:rPr>
                <w:color w:val="auto"/>
              </w:rPr>
            </w:pPr>
            <w:r>
              <w:rPr>
                <w:rFonts w:hint="eastAsia"/>
                <w:color w:val="auto"/>
                <w:kern w:val="0"/>
              </w:rPr>
              <w:t>结果</w:t>
            </w:r>
            <w:r>
              <w:rPr>
                <w:rFonts w:hint="eastAsia"/>
                <w:color w:val="auto"/>
                <w:kern w:val="0"/>
              </w:rPr>
              <w:br w:type="textWrapping"/>
            </w:r>
            <w:r>
              <w:rPr>
                <w:rFonts w:hint="eastAsia"/>
                <w:color w:val="auto"/>
                <w:kern w:val="0"/>
              </w:rPr>
              <w:t>纠正</w:t>
            </w:r>
          </w:p>
        </w:tc>
        <w:tc>
          <w:tcPr>
            <w:tcW w:w="720"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A055DC">
            <w:pPr>
              <w:ind w:firstLine="0" w:firstLineChars="0"/>
              <w:rPr>
                <w:color w:val="auto"/>
              </w:rPr>
            </w:pPr>
            <w:r>
              <w:rPr>
                <w:rFonts w:hint="eastAsia"/>
                <w:color w:val="auto"/>
                <w:kern w:val="0"/>
              </w:rPr>
              <w:t>其他</w:t>
            </w:r>
            <w:r>
              <w:rPr>
                <w:rFonts w:hint="eastAsia"/>
                <w:color w:val="auto"/>
                <w:kern w:val="0"/>
              </w:rPr>
              <w:br w:type="textWrapping"/>
            </w:r>
            <w:r>
              <w:rPr>
                <w:rFonts w:hint="eastAsia"/>
                <w:color w:val="auto"/>
                <w:kern w:val="0"/>
              </w:rPr>
              <w:t>结果</w:t>
            </w:r>
          </w:p>
        </w:tc>
        <w:tc>
          <w:tcPr>
            <w:tcW w:w="720"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1C0507">
            <w:pPr>
              <w:ind w:firstLine="0" w:firstLineChars="0"/>
              <w:rPr>
                <w:color w:val="auto"/>
              </w:rPr>
            </w:pPr>
            <w:r>
              <w:rPr>
                <w:rFonts w:hint="eastAsia"/>
                <w:color w:val="auto"/>
                <w:kern w:val="0"/>
              </w:rPr>
              <w:t>尚未</w:t>
            </w:r>
            <w:r>
              <w:rPr>
                <w:rFonts w:hint="eastAsia"/>
                <w:color w:val="auto"/>
                <w:kern w:val="0"/>
              </w:rPr>
              <w:br w:type="textWrapping"/>
            </w:r>
            <w:r>
              <w:rPr>
                <w:rFonts w:hint="eastAsia"/>
                <w:color w:val="auto"/>
                <w:kern w:val="0"/>
              </w:rPr>
              <w:t>审结</w:t>
            </w:r>
          </w:p>
        </w:tc>
        <w:tc>
          <w:tcPr>
            <w:tcW w:w="720"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D95C44">
            <w:pPr>
              <w:ind w:firstLine="0" w:firstLineChars="0"/>
              <w:rPr>
                <w:color w:val="auto"/>
              </w:rPr>
            </w:pPr>
            <w:r>
              <w:rPr>
                <w:rFonts w:hint="eastAsia"/>
                <w:color w:val="auto"/>
                <w:kern w:val="0"/>
              </w:rPr>
              <w:t>总计</w:t>
            </w:r>
          </w:p>
        </w:tc>
        <w:tc>
          <w:tcPr>
            <w:tcW w:w="360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23EBF8">
            <w:pPr>
              <w:ind w:firstLine="420"/>
              <w:rPr>
                <w:color w:val="auto"/>
              </w:rPr>
            </w:pPr>
            <w:r>
              <w:rPr>
                <w:rFonts w:hint="eastAsia"/>
                <w:color w:val="auto"/>
                <w:kern w:val="0"/>
              </w:rPr>
              <w:t>未经复议直接起诉</w:t>
            </w:r>
          </w:p>
        </w:tc>
        <w:tc>
          <w:tcPr>
            <w:tcW w:w="360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75FCC2">
            <w:pPr>
              <w:ind w:firstLine="420"/>
              <w:rPr>
                <w:color w:val="auto"/>
              </w:rPr>
            </w:pPr>
            <w:r>
              <w:rPr>
                <w:rFonts w:hint="eastAsia"/>
                <w:color w:val="auto"/>
                <w:kern w:val="0"/>
              </w:rPr>
              <w:t>复议后起诉</w:t>
            </w:r>
          </w:p>
        </w:tc>
      </w:tr>
      <w:tr w14:paraId="4E09B7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5" w:hRule="atLeast"/>
          <w:jc w:val="center"/>
        </w:trPr>
        <w:tc>
          <w:tcPr>
            <w:tcW w:w="72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4EA401">
            <w:pPr>
              <w:ind w:firstLine="420"/>
              <w:rPr>
                <w:color w:val="auto"/>
              </w:rPr>
            </w:pPr>
          </w:p>
        </w:tc>
        <w:tc>
          <w:tcPr>
            <w:tcW w:w="72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1CD297">
            <w:pPr>
              <w:ind w:firstLine="420"/>
              <w:rPr>
                <w:color w:val="auto"/>
              </w:rPr>
            </w:pPr>
          </w:p>
        </w:tc>
        <w:tc>
          <w:tcPr>
            <w:tcW w:w="720"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1A1E5D">
            <w:pPr>
              <w:ind w:firstLine="420"/>
              <w:rPr>
                <w:color w:val="auto"/>
              </w:rPr>
            </w:pPr>
          </w:p>
        </w:tc>
        <w:tc>
          <w:tcPr>
            <w:tcW w:w="720"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9318DF">
            <w:pPr>
              <w:ind w:firstLine="420"/>
              <w:rPr>
                <w:color w:val="auto"/>
              </w:rPr>
            </w:pPr>
          </w:p>
        </w:tc>
        <w:tc>
          <w:tcPr>
            <w:tcW w:w="720"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6715E5">
            <w:pPr>
              <w:ind w:firstLine="420"/>
              <w:rPr>
                <w:color w:val="auto"/>
              </w:rPr>
            </w:pP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7EED52">
            <w:pPr>
              <w:ind w:firstLine="0" w:firstLineChars="0"/>
              <w:rPr>
                <w:color w:val="auto"/>
              </w:rPr>
            </w:pPr>
            <w:r>
              <w:rPr>
                <w:rFonts w:hint="eastAsia"/>
                <w:color w:val="auto"/>
                <w:kern w:val="0"/>
              </w:rPr>
              <w:t>结果</w:t>
            </w:r>
            <w:r>
              <w:rPr>
                <w:rFonts w:hint="eastAsia"/>
                <w:color w:val="auto"/>
                <w:kern w:val="0"/>
              </w:rPr>
              <w:br w:type="textWrapping"/>
            </w:r>
            <w:r>
              <w:rPr>
                <w:rFonts w:hint="eastAsia"/>
                <w:color w:val="auto"/>
                <w:kern w:val="0"/>
              </w:rPr>
              <w:t>维持</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965846">
            <w:pPr>
              <w:ind w:firstLine="0" w:firstLineChars="0"/>
              <w:rPr>
                <w:color w:val="auto"/>
              </w:rPr>
            </w:pPr>
            <w:r>
              <w:rPr>
                <w:rFonts w:hint="eastAsia"/>
                <w:color w:val="auto"/>
                <w:kern w:val="0"/>
              </w:rPr>
              <w:t>结果</w:t>
            </w:r>
            <w:r>
              <w:rPr>
                <w:rFonts w:hint="eastAsia"/>
                <w:color w:val="auto"/>
                <w:kern w:val="0"/>
              </w:rPr>
              <w:br w:type="textWrapping"/>
            </w:r>
            <w:r>
              <w:rPr>
                <w:rFonts w:hint="eastAsia"/>
                <w:color w:val="auto"/>
                <w:kern w:val="0"/>
              </w:rPr>
              <w:t>纠正</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4DABF5">
            <w:pPr>
              <w:ind w:firstLine="0" w:firstLineChars="0"/>
              <w:rPr>
                <w:color w:val="auto"/>
              </w:rPr>
            </w:pPr>
            <w:r>
              <w:rPr>
                <w:rFonts w:hint="eastAsia"/>
                <w:color w:val="auto"/>
                <w:kern w:val="0"/>
              </w:rPr>
              <w:t>其他</w:t>
            </w:r>
            <w:r>
              <w:rPr>
                <w:rFonts w:hint="eastAsia"/>
                <w:color w:val="auto"/>
                <w:kern w:val="0"/>
              </w:rPr>
              <w:br w:type="textWrapping"/>
            </w:r>
            <w:r>
              <w:rPr>
                <w:rFonts w:hint="eastAsia"/>
                <w:color w:val="auto"/>
                <w:kern w:val="0"/>
              </w:rPr>
              <w:t>结果</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CFDFA4">
            <w:pPr>
              <w:ind w:firstLine="0" w:firstLineChars="0"/>
              <w:rPr>
                <w:color w:val="auto"/>
              </w:rPr>
            </w:pPr>
            <w:r>
              <w:rPr>
                <w:rFonts w:hint="eastAsia"/>
                <w:color w:val="auto"/>
                <w:kern w:val="0"/>
              </w:rPr>
              <w:t>尚未</w:t>
            </w:r>
            <w:r>
              <w:rPr>
                <w:rFonts w:hint="eastAsia"/>
                <w:color w:val="auto"/>
                <w:kern w:val="0"/>
              </w:rPr>
              <w:br w:type="textWrapping"/>
            </w:r>
            <w:r>
              <w:rPr>
                <w:rFonts w:hint="eastAsia"/>
                <w:color w:val="auto"/>
                <w:kern w:val="0"/>
              </w:rPr>
              <w:t>审结</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1E2213">
            <w:pPr>
              <w:ind w:firstLine="0" w:firstLineChars="0"/>
              <w:rPr>
                <w:color w:val="auto"/>
              </w:rPr>
            </w:pPr>
            <w:r>
              <w:rPr>
                <w:rFonts w:hint="eastAsia"/>
                <w:color w:val="auto"/>
                <w:kern w:val="0"/>
              </w:rPr>
              <w:t>总计</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A48006">
            <w:pPr>
              <w:ind w:firstLine="0" w:firstLineChars="0"/>
              <w:rPr>
                <w:color w:val="auto"/>
              </w:rPr>
            </w:pPr>
            <w:r>
              <w:rPr>
                <w:rFonts w:hint="eastAsia"/>
                <w:color w:val="auto"/>
                <w:kern w:val="0"/>
              </w:rPr>
              <w:t>结果</w:t>
            </w:r>
            <w:r>
              <w:rPr>
                <w:rFonts w:hint="eastAsia"/>
                <w:color w:val="auto"/>
                <w:kern w:val="0"/>
              </w:rPr>
              <w:br w:type="textWrapping"/>
            </w:r>
            <w:r>
              <w:rPr>
                <w:rFonts w:hint="eastAsia"/>
                <w:color w:val="auto"/>
                <w:kern w:val="0"/>
              </w:rPr>
              <w:t>维持</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A5DEDF">
            <w:pPr>
              <w:ind w:firstLine="0" w:firstLineChars="0"/>
              <w:rPr>
                <w:color w:val="auto"/>
              </w:rPr>
            </w:pPr>
            <w:r>
              <w:rPr>
                <w:rFonts w:hint="eastAsia"/>
                <w:color w:val="auto"/>
                <w:kern w:val="0"/>
              </w:rPr>
              <w:t>结果</w:t>
            </w:r>
            <w:r>
              <w:rPr>
                <w:rFonts w:hint="eastAsia"/>
                <w:color w:val="auto"/>
                <w:kern w:val="0"/>
              </w:rPr>
              <w:br w:type="textWrapping"/>
            </w:r>
            <w:r>
              <w:rPr>
                <w:rFonts w:hint="eastAsia"/>
                <w:color w:val="auto"/>
                <w:kern w:val="0"/>
              </w:rPr>
              <w:t>纠正</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C56C24">
            <w:pPr>
              <w:ind w:firstLine="0" w:firstLineChars="0"/>
              <w:rPr>
                <w:color w:val="auto"/>
              </w:rPr>
            </w:pPr>
            <w:r>
              <w:rPr>
                <w:rFonts w:hint="eastAsia"/>
                <w:color w:val="auto"/>
                <w:kern w:val="0"/>
              </w:rPr>
              <w:t>其他</w:t>
            </w:r>
            <w:r>
              <w:rPr>
                <w:rFonts w:hint="eastAsia"/>
                <w:color w:val="auto"/>
                <w:kern w:val="0"/>
              </w:rPr>
              <w:br w:type="textWrapping"/>
            </w:r>
            <w:r>
              <w:rPr>
                <w:rFonts w:hint="eastAsia"/>
                <w:color w:val="auto"/>
                <w:kern w:val="0"/>
              </w:rPr>
              <w:t>结果</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F98B72">
            <w:pPr>
              <w:ind w:firstLine="0" w:firstLineChars="0"/>
              <w:rPr>
                <w:color w:val="auto"/>
              </w:rPr>
            </w:pPr>
            <w:r>
              <w:rPr>
                <w:rFonts w:hint="eastAsia"/>
                <w:color w:val="auto"/>
                <w:kern w:val="0"/>
              </w:rPr>
              <w:t>尚未</w:t>
            </w:r>
            <w:r>
              <w:rPr>
                <w:rFonts w:hint="eastAsia"/>
                <w:color w:val="auto"/>
                <w:kern w:val="0"/>
              </w:rPr>
              <w:br w:type="textWrapping"/>
            </w:r>
            <w:r>
              <w:rPr>
                <w:rFonts w:hint="eastAsia"/>
                <w:color w:val="auto"/>
                <w:kern w:val="0"/>
              </w:rPr>
              <w:t>审结</w:t>
            </w:r>
          </w:p>
        </w:tc>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BE7539">
            <w:pPr>
              <w:ind w:firstLine="0" w:firstLineChars="0"/>
              <w:rPr>
                <w:color w:val="auto"/>
              </w:rPr>
            </w:pPr>
            <w:r>
              <w:rPr>
                <w:rFonts w:hint="eastAsia"/>
                <w:color w:val="auto"/>
                <w:kern w:val="0"/>
              </w:rPr>
              <w:t>总计</w:t>
            </w:r>
          </w:p>
        </w:tc>
      </w:tr>
      <w:tr w14:paraId="46F9CC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27"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15C469">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C2566E">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30E10C">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F1D194">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01F36D">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CE548E">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511517">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742C51">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132B2B">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1272CA">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9582EE">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6F742F">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207C53">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EE0CD0">
            <w:pPr>
              <w:ind w:firstLine="420"/>
              <w:rPr>
                <w:color w:val="auto"/>
              </w:rPr>
            </w:pPr>
            <w:r>
              <w:rPr>
                <w:rFonts w:hint="eastAsia"/>
                <w:color w:val="auto"/>
              </w:rPr>
              <w:t>0</w:t>
            </w:r>
          </w:p>
        </w:tc>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6311F2">
            <w:pPr>
              <w:ind w:firstLine="420"/>
              <w:rPr>
                <w:color w:val="auto"/>
              </w:rPr>
            </w:pPr>
            <w:r>
              <w:rPr>
                <w:rFonts w:hint="eastAsia"/>
                <w:color w:val="auto"/>
              </w:rPr>
              <w:t>0</w:t>
            </w:r>
          </w:p>
        </w:tc>
      </w:tr>
    </w:tbl>
    <w:p w14:paraId="1852C8E8">
      <w:pPr>
        <w:pStyle w:val="4"/>
        <w:rPr>
          <w:rFonts w:hint="eastAsia" w:ascii="黑体" w:hAnsi="黑体" w:eastAsia="黑体" w:cs="黑体"/>
          <w:color w:val="auto"/>
          <w:sz w:val="32"/>
          <w:szCs w:val="32"/>
        </w:rPr>
      </w:pPr>
      <w:r>
        <w:rPr>
          <w:rFonts w:hint="eastAsia" w:ascii="黑体" w:hAnsi="黑体" w:eastAsia="黑体" w:cs="黑体"/>
          <w:color w:val="auto"/>
          <w:sz w:val="32"/>
          <w:szCs w:val="32"/>
        </w:rPr>
        <w:t>五、存在的主要问题及改进情况</w:t>
      </w:r>
    </w:p>
    <w:p w14:paraId="39BD8802">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2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年，我局信息公开工作虽然取得了一定成效，但仍然存在一些不足。如信息公开广度和深度还有拓展空间、对新媒体平台的管理还有待进一步加强等。</w:t>
      </w:r>
    </w:p>
    <w:p w14:paraId="2C571AB6">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2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年，我局将深入贯彻落实各级有关信息公开工作部署要求，全面落细落实教育领域政务公开工作，推动工作质效的新提升。</w:t>
      </w:r>
      <w:r>
        <w:rPr>
          <w:rFonts w:hint="eastAsia" w:ascii="仿宋_GB2312" w:hAnsi="仿宋_GB2312" w:eastAsia="仿宋_GB2312" w:cs="仿宋_GB2312"/>
          <w:b/>
          <w:bCs/>
          <w:color w:val="auto"/>
          <w:kern w:val="0"/>
          <w:sz w:val="32"/>
          <w:szCs w:val="32"/>
        </w:rPr>
        <w:t>一是进一步加大主动公开力度。</w:t>
      </w:r>
      <w:r>
        <w:rPr>
          <w:rFonts w:hint="eastAsia" w:ascii="仿宋_GB2312" w:hAnsi="仿宋_GB2312" w:eastAsia="仿宋_GB2312" w:cs="仿宋_GB2312"/>
          <w:color w:val="auto"/>
          <w:kern w:val="0"/>
          <w:sz w:val="32"/>
          <w:szCs w:val="32"/>
        </w:rPr>
        <w:t>按照应公开尽公开的原则，除依法公开招生就学、教师招聘、教育收费等常规内容外，聚焦师生家长需求，进一步拓展公开范围和内容（涉及国家秘密和商业秘密的除外），重点加强涉及学生资助、教师职称评聘等敏感热点领域的信息公开，进一步提高教育领域透明度，提高行政效能和政府公信力。</w:t>
      </w:r>
      <w:r>
        <w:rPr>
          <w:rFonts w:hint="eastAsia" w:ascii="仿宋_GB2312" w:hAnsi="仿宋_GB2312" w:eastAsia="仿宋_GB2312" w:cs="仿宋_GB2312"/>
          <w:b/>
          <w:bCs/>
          <w:color w:val="auto"/>
          <w:kern w:val="0"/>
          <w:sz w:val="32"/>
          <w:szCs w:val="32"/>
        </w:rPr>
        <w:t>二是进一步加强公开平台管理。</w:t>
      </w:r>
      <w:r>
        <w:rPr>
          <w:rFonts w:hint="eastAsia" w:ascii="仿宋_GB2312" w:hAnsi="仿宋_GB2312" w:eastAsia="仿宋_GB2312" w:cs="仿宋_GB2312"/>
          <w:color w:val="auto"/>
          <w:kern w:val="0"/>
          <w:sz w:val="32"/>
          <w:szCs w:val="32"/>
        </w:rPr>
        <w:t>严格落实“三审三校”制度，加强对微信公众号、政府网站等各类信息发布平台的内容审核把关，加强工作人员业务培训，提高责任意识和业务水平，确保信息发布工作“零失误”、“零差错”。</w:t>
      </w:r>
      <w:r>
        <w:rPr>
          <w:rFonts w:hint="eastAsia" w:ascii="仿宋_GB2312" w:hAnsi="仿宋_GB2312" w:eastAsia="仿宋_GB2312" w:cs="仿宋_GB2312"/>
          <w:b/>
          <w:bCs/>
          <w:color w:val="auto"/>
          <w:kern w:val="0"/>
          <w:sz w:val="32"/>
          <w:szCs w:val="32"/>
        </w:rPr>
        <w:t>三是进一步健全信息公开制度。</w:t>
      </w:r>
      <w:r>
        <w:rPr>
          <w:rFonts w:hint="eastAsia" w:ascii="仿宋_GB2312" w:hAnsi="仿宋_GB2312" w:eastAsia="仿宋_GB2312" w:cs="仿宋_GB2312"/>
          <w:color w:val="auto"/>
          <w:kern w:val="0"/>
          <w:sz w:val="32"/>
          <w:szCs w:val="32"/>
        </w:rPr>
        <w:t>进一步修订完善信息公开工作相关制度，理顺工作机制和流程，全面提升政务公开质效。</w:t>
      </w:r>
    </w:p>
    <w:p w14:paraId="235CCE9E">
      <w:pPr>
        <w:pStyle w:val="4"/>
        <w:keepNext w:val="0"/>
        <w:keepLines w:val="0"/>
        <w:pageBreakBefore w:val="0"/>
        <w:widowControl w:val="0"/>
        <w:kinsoku/>
        <w:wordWrap/>
        <w:overflowPunct/>
        <w:topLinePunct w:val="0"/>
        <w:autoSpaceDE/>
        <w:autoSpaceDN/>
        <w:bidi w:val="0"/>
        <w:adjustRightInd/>
        <w:snapToGrid/>
        <w:spacing w:beforeAutospacing="0" w:afterAutospacing="0" w:line="520" w:lineRule="exac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六、其他需要报告的事项</w:t>
      </w:r>
    </w:p>
    <w:p w14:paraId="3E9BDA9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认真贯彻执行国务院办公厅《政府信息公开信息处理费管理办法》和《关于政府信息公开处理费管理有关事项的通知》。202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年我单位未收取信息处理费。</w:t>
      </w:r>
    </w:p>
    <w:p w14:paraId="76F442B2">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20"/>
        <w:textAlignment w:val="auto"/>
        <w:rPr>
          <w:rFonts w:hint="eastAsia" w:ascii="仿宋_GB2312" w:hAnsi="仿宋_GB2312" w:eastAsia="仿宋_GB2312" w:cs="仿宋_GB2312"/>
          <w:color w:val="auto"/>
          <w:sz w:val="32"/>
          <w:szCs w:val="32"/>
        </w:rPr>
      </w:pPr>
    </w:p>
    <w:p w14:paraId="492601BE">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20"/>
        <w:textAlignment w:val="auto"/>
        <w:rPr>
          <w:rFonts w:hint="eastAsia" w:ascii="仿宋_GB2312" w:hAnsi="仿宋_GB2312" w:eastAsia="仿宋_GB2312" w:cs="仿宋_GB2312"/>
          <w:color w:val="auto"/>
          <w:sz w:val="32"/>
          <w:szCs w:val="32"/>
        </w:rPr>
      </w:pPr>
    </w:p>
    <w:p w14:paraId="482C3E68">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420"/>
        <w:jc w:val="right"/>
        <w:textAlignment w:val="auto"/>
        <w:rPr>
          <w:rFonts w:hint="eastAsia" w:ascii="仿宋_GB2312" w:hAnsi="仿宋_GB2312" w:eastAsia="仿宋_GB2312" w:cs="仿宋_GB2312"/>
          <w:color w:val="auto"/>
          <w:sz w:val="32"/>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F7368">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258C7">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DE83">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1B8A">
    <w:pPr>
      <w:pStyle w:val="3"/>
      <w:pBdr>
        <w:top w:val="none" w:color="auto" w:sz="0" w:space="0"/>
        <w:left w:val="none" w:color="auto" w:sz="0" w:space="0"/>
        <w:bottom w:val="none" w:color="auto" w:sz="0" w:space="6"/>
        <w:right w:val="none" w:color="auto" w:sz="0" w:space="0"/>
        <w:between w:val="none" w:color="auto" w:sz="0" w:space="0"/>
      </w:pBdr>
      <w:tabs>
        <w:tab w:val="left" w:pos="5668"/>
      </w:tabs>
      <w:ind w:firstLine="360"/>
      <w:jc w:val="left"/>
      <w:rPr>
        <w:rFonts w:hint="eastAsia" w:eastAsiaTheme="minorEastAsia"/>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0F0C9">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B8218">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785"/>
    <w:rsid w:val="000232F4"/>
    <w:rsid w:val="00265A2A"/>
    <w:rsid w:val="003B5F7D"/>
    <w:rsid w:val="004657EF"/>
    <w:rsid w:val="004B4734"/>
    <w:rsid w:val="00576D85"/>
    <w:rsid w:val="005A1A5B"/>
    <w:rsid w:val="005E6321"/>
    <w:rsid w:val="00613D8A"/>
    <w:rsid w:val="00693FD4"/>
    <w:rsid w:val="007A5C18"/>
    <w:rsid w:val="008E0F58"/>
    <w:rsid w:val="008F3065"/>
    <w:rsid w:val="00930ECB"/>
    <w:rsid w:val="009A2947"/>
    <w:rsid w:val="009B3189"/>
    <w:rsid w:val="00A50785"/>
    <w:rsid w:val="00A54C0A"/>
    <w:rsid w:val="00A55A8C"/>
    <w:rsid w:val="00AD46EA"/>
    <w:rsid w:val="00B26E6F"/>
    <w:rsid w:val="00BA20B4"/>
    <w:rsid w:val="00CB5AF9"/>
    <w:rsid w:val="00CC723A"/>
    <w:rsid w:val="00D21F12"/>
    <w:rsid w:val="00D62143"/>
    <w:rsid w:val="00E34451"/>
    <w:rsid w:val="00FE5038"/>
    <w:rsid w:val="0ADA481D"/>
    <w:rsid w:val="0D45126E"/>
    <w:rsid w:val="2A6428AE"/>
    <w:rsid w:val="2C0F38F6"/>
    <w:rsid w:val="35F923D1"/>
    <w:rsid w:val="3C44757C"/>
    <w:rsid w:val="3F03396F"/>
    <w:rsid w:val="48A83B48"/>
    <w:rsid w:val="498F750F"/>
    <w:rsid w:val="4C864DFB"/>
    <w:rsid w:val="5079066C"/>
    <w:rsid w:val="53894E8F"/>
    <w:rsid w:val="66083323"/>
    <w:rsid w:val="66AB4FF9"/>
    <w:rsid w:val="71C32FE3"/>
    <w:rsid w:val="76EE7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50" w:lineRule="atLeast"/>
      <w:ind w:firstLine="480" w:firstLineChars="20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jc w:val="left"/>
    </w:pPr>
    <w:rPr>
      <w:rFonts w:cs="Times New Roman"/>
      <w:kern w:val="0"/>
      <w:sz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A689E-6051-4703-A79B-1143193ADC15}">
  <ds:schemaRefs/>
</ds:datastoreItem>
</file>

<file path=docProps/app.xml><?xml version="1.0" encoding="utf-8"?>
<Properties xmlns="http://schemas.openxmlformats.org/officeDocument/2006/extended-properties" xmlns:vt="http://schemas.openxmlformats.org/officeDocument/2006/docPropsVTypes">
  <Template>Normal</Template>
  <Pages>5</Pages>
  <Words>1468</Words>
  <Characters>1497</Characters>
  <Lines>22</Lines>
  <Paragraphs>6</Paragraphs>
  <TotalTime>206</TotalTime>
  <ScaleCrop>false</ScaleCrop>
  <LinksUpToDate>false</LinksUpToDate>
  <CharactersWithSpaces>1507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2025-01-03T07:07:00Z</dcterms:created>
  <dc:creator>冀爱东</dc:creator>
  <cp:lastModifiedBy>八爪小鱼</cp:lastModifiedBy>
  <cp:lastPrinted>2025-02-06T07:05:00Z</cp:lastPrinted>
  <dcterms:modified xsi:type="dcterms:W3CDTF">2026-01-29T02:17:25Z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eyJoZGlkIjoiNTY3NzU0NDM5MWFkMmY4ZmZmZjJjODBjMzI2N2ZmYWUiLCJ1c2VySWQiOiI0MDE5OTQ3MTgifQ==</vt:lpwstr>
  </property>
  <property fmtid="{D5CDD505-2E9C-101B-9397-08002B2CF9AE}" pid="3" name="KSOProductBuildVer">
    <vt:lpwstr>2052-12.1.0.24657</vt:lpwstr>
  </property>
  <property fmtid="{D5CDD505-2E9C-101B-9397-08002B2CF9AE}" pid="4" name="ICV">
    <vt:lpwstr>12D1D6B7645249AEA12A3C7296434A20_12</vt:lpwstr>
  </property>
</Properties>
</file>