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7C8DB">
      <w:pPr>
        <w:pStyle w:val="3"/>
        <w:keepNext w:val="0"/>
        <w:keepLines w:val="0"/>
        <w:pageBreakBefore w:val="0"/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24242"/>
          <w:kern w:val="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24242"/>
          <w:kern w:val="0"/>
          <w:sz w:val="44"/>
          <w:szCs w:val="44"/>
          <w:shd w:val="clear" w:color="auto" w:fill="auto"/>
        </w:rPr>
        <w:t>国家税务总局涞水县税务局</w:t>
      </w:r>
    </w:p>
    <w:p w14:paraId="09A91497">
      <w:pPr>
        <w:widowControl/>
        <w:spacing w:after="313" w:afterLines="100" w:line="580" w:lineRule="exact"/>
        <w:jc w:val="center"/>
        <w:rPr>
          <w:rFonts w:hint="eastAsia" w:ascii="方正小标宋简体" w:hAnsi="方正小标宋简体" w:eastAsia="方正小标宋简体" w:cs="方正小标宋简体"/>
          <w:color w:val="424242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24242"/>
          <w:kern w:val="0"/>
          <w:sz w:val="44"/>
          <w:szCs w:val="44"/>
          <w:shd w:val="clear" w:color="auto" w:fill="auto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24242"/>
          <w:kern w:val="0"/>
          <w:sz w:val="44"/>
          <w:szCs w:val="44"/>
          <w:shd w:val="clear" w:color="auto" w:fill="auto"/>
        </w:rPr>
        <w:t>政府信息公开工作年度报告</w:t>
      </w:r>
    </w:p>
    <w:p w14:paraId="1E6F8A00">
      <w:pPr>
        <w:widowControl/>
        <w:spacing w:after="0" w:line="580" w:lineRule="exact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ascii="inherit" w:hAnsi="inherit" w:eastAsia="微软雅黑" w:cs="宋体"/>
          <w:color w:val="424242"/>
          <w:kern w:val="0"/>
          <w:sz w:val="27"/>
          <w:szCs w:val="27"/>
        </w:rPr>
        <w:t> </w:t>
      </w:r>
      <w:r>
        <w:rPr>
          <w:rFonts w:hint="eastAsia" w:ascii="黑体" w:hAnsi="黑体" w:eastAsia="黑体" w:cs="黑体"/>
          <w:color w:val="424242"/>
          <w:kern w:val="0"/>
          <w:sz w:val="32"/>
          <w:szCs w:val="32"/>
        </w:rPr>
        <w:t>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/>
        </w:rPr>
        <w:t>根据《中华人民共和国政府信息公开条例》（以下简称《条例》），特向社会公布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2025年国家税务总局涞水县税务局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eastAsia="zh-CN"/>
        </w:rPr>
        <w:t>（以下简称“涞水县税务局”）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政府信息公开年度报告。</w:t>
      </w:r>
    </w:p>
    <w:p w14:paraId="665FA6D1">
      <w:pPr>
        <w:widowControl/>
        <w:spacing w:after="0"/>
        <w:ind w:firstLine="640" w:firstLineChars="200"/>
        <w:jc w:val="left"/>
        <w:rPr>
          <w:rFonts w:ascii="inherit" w:hAnsi="inherit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color w:val="424242"/>
          <w:kern w:val="0"/>
          <w:sz w:val="32"/>
          <w:szCs w:val="32"/>
        </w:rPr>
        <w:t>一、总体情况</w:t>
      </w:r>
    </w:p>
    <w:p w14:paraId="16DA65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eastAsia="zh-CN"/>
        </w:rPr>
        <w:t>涞水县税务局坚持以习近平新时代中国特色社会主义思想为指导，认真贯彻落实省局、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eastAsia="zh-CN"/>
        </w:rPr>
        <w:t>局和县委、县政府关于政府信息公开工作的部署要求，按照《条例》全面落实政府信息公开工作，充分保障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</w:rPr>
        <w:t>纳税人缴费人和社会公众的知情权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eastAsia="zh-CN"/>
        </w:rPr>
        <w:t>、参与权和监督权。</w:t>
      </w:r>
    </w:p>
    <w:p w14:paraId="7D29E10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（一）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主动公开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eastAsia="zh-CN"/>
        </w:rPr>
        <w:t>始终坚持“公开为常态、不公开为例外”的原则，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持续加大主动公开力度，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主动公开税收政策法规、工作动态等各类政府信息，及时回应社会关切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，涞水县税务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局对外公开行政许可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条，行政处罚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条，行政强制0条，行政事业性收费0项。</w:t>
      </w:r>
    </w:p>
    <w:p w14:paraId="7A55A66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（二）依申请公开。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涞水县税务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坚持完善依申请公开的工作流程和规范，在收到申请时迅速准确作出回应。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涞水县税务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结转上年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自然人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依申请公开事项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次，于2025年1月办理完成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。</w:t>
      </w:r>
    </w:p>
    <w:p w14:paraId="041600D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（三）政府信息管理。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涞水县税务局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根据工作分工变化及时调整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政府信息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公开领导小组及成员，形成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党委统一领导、主要领导负总责、分管领导具体抓、各相关职能部门配合实施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的领导体制和工作机制。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严格落实政府信息公开审查制度，严格按照信息公开审核流程发布各类信息，全面加强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政府信息公开工作的规范化和标准化。</w:t>
      </w:r>
    </w:p>
    <w:p w14:paraId="1DF68F2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（四）政府信息公开平台建设。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涞水县税务局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依托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河北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省税务局网站加强政府信息公开工作，设置政府信息公开栏目，主要由政府信息公开指南、政府信息公开制度、法定主动公开内容、政府信息公开工作年度报告组成，集中发布法定公开的政府信息。</w:t>
      </w:r>
    </w:p>
    <w:p w14:paraId="173BB97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/>
          <w:i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（五）监督保障。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涞水县税务局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val="en-US" w:eastAsia="zh-CN"/>
        </w:rPr>
        <w:t>建立完善监督保障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机制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，明确各部门在政府信息公开工作中的职责和分工，强化监督检查，及时发现并整改问题。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组织开展政府信息公开培训，切实提高全局干部对政府信息公开工作的认识，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规范信息公开流程，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  <w:t>积极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</w:rPr>
        <w:t>扩大公众参与，有力保障公众知情权、参与权和监督权。</w:t>
      </w:r>
    </w:p>
    <w:p w14:paraId="4EE46A0E">
      <w:pPr>
        <w:widowControl/>
        <w:spacing w:after="0"/>
        <w:jc w:val="left"/>
        <w:rPr>
          <w:rFonts w:hint="eastAsia" w:ascii="黑体" w:hAnsi="黑体" w:eastAsia="黑体" w:cs="黑体"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424242"/>
          <w:kern w:val="0"/>
          <w:sz w:val="32"/>
          <w:szCs w:val="32"/>
        </w:rPr>
        <w:t>  二、主动公开政府信息情况</w:t>
      </w:r>
    </w:p>
    <w:tbl>
      <w:tblPr>
        <w:tblStyle w:val="4"/>
        <w:tblW w:w="973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0"/>
        <w:gridCol w:w="2430"/>
        <w:gridCol w:w="2430"/>
        <w:gridCol w:w="2445"/>
      </w:tblGrid>
      <w:tr w14:paraId="224176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9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7B92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第二十条第（一）项</w:t>
            </w:r>
          </w:p>
        </w:tc>
      </w:tr>
      <w:tr w14:paraId="7E8585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D5CE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4D35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本年制发件数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9348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本年废止件数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41F3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现行有效件数</w:t>
            </w:r>
          </w:p>
        </w:tc>
      </w:tr>
      <w:tr w14:paraId="5A05CB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D442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规章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836C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EBEB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3B22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F071E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10F1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行政规范性文件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13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9DD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AD6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19FA8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9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2F52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第二十条第（五）项</w:t>
            </w:r>
          </w:p>
        </w:tc>
      </w:tr>
      <w:tr w14:paraId="2EFA7F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91C8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31E3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本年处理决定数量</w:t>
            </w:r>
          </w:p>
        </w:tc>
      </w:tr>
      <w:tr w14:paraId="201507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5812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1B53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62D23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9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BF1F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第二十条第（六）项</w:t>
            </w:r>
          </w:p>
        </w:tc>
      </w:tr>
      <w:tr w14:paraId="76C11B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013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BE6F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本年处理决定数量</w:t>
            </w:r>
          </w:p>
        </w:tc>
      </w:tr>
      <w:tr w14:paraId="115C12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37F3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40E0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1859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EAEE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160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1EC62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9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B8D2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第二十条第（八）项</w:t>
            </w:r>
          </w:p>
        </w:tc>
      </w:tr>
      <w:tr w14:paraId="2360F4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EEF6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7D7D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本年收费金额（单位：万元）</w:t>
            </w:r>
          </w:p>
        </w:tc>
      </w:tr>
      <w:tr w14:paraId="315448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  <w:hidden/>
        </w:trPr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5A76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1D47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3089A95A">
      <w:pPr>
        <w:widowControl/>
        <w:spacing w:after="0"/>
        <w:jc w:val="left"/>
        <w:rPr>
          <w:rFonts w:hint="eastAsia" w:ascii="黑体" w:hAnsi="黑体" w:eastAsia="黑体" w:cs="黑体"/>
          <w:color w:val="424242"/>
          <w:kern w:val="0"/>
          <w:sz w:val="32"/>
          <w:szCs w:val="32"/>
        </w:rPr>
      </w:pPr>
      <w:r>
        <w:rPr>
          <w:rFonts w:ascii="inherit" w:hAnsi="inherit" w:eastAsia="微软雅黑" w:cs="宋体"/>
          <w:color w:val="424242"/>
          <w:kern w:val="0"/>
          <w:sz w:val="27"/>
          <w:szCs w:val="27"/>
        </w:rPr>
        <w:t> </w:t>
      </w:r>
      <w:r>
        <w:rPr>
          <w:rFonts w:hint="eastAsia" w:ascii="黑体" w:hAnsi="黑体" w:eastAsia="黑体" w:cs="黑体"/>
          <w:color w:val="424242"/>
          <w:kern w:val="0"/>
          <w:sz w:val="32"/>
          <w:szCs w:val="32"/>
        </w:rPr>
        <w:t> 三、收到和处理政府信息公开申请情况</w:t>
      </w:r>
    </w:p>
    <w:tbl>
      <w:tblPr>
        <w:tblStyle w:val="4"/>
        <w:tblW w:w="9450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0"/>
        <w:gridCol w:w="1073"/>
        <w:gridCol w:w="2636"/>
        <w:gridCol w:w="629"/>
        <w:gridCol w:w="810"/>
        <w:gridCol w:w="810"/>
        <w:gridCol w:w="980"/>
        <w:gridCol w:w="656"/>
        <w:gridCol w:w="426"/>
        <w:gridCol w:w="420"/>
      </w:tblGrid>
      <w:tr w14:paraId="1B659B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  <w:hidden/>
        </w:trPr>
        <w:tc>
          <w:tcPr>
            <w:tcW w:w="2636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3B5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（本列数据的勾稽关系为：第一项加第二项之和，等于第三项加第四项之和）</w:t>
            </w:r>
          </w:p>
        </w:tc>
        <w:tc>
          <w:tcPr>
            <w:tcW w:w="42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79354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申请人情况</w:t>
            </w:r>
          </w:p>
        </w:tc>
      </w:tr>
      <w:tr w14:paraId="108ACF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  <w:hidden/>
        </w:trPr>
        <w:tc>
          <w:tcPr>
            <w:tcW w:w="263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3CE6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62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07A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自然人</w:t>
            </w:r>
          </w:p>
        </w:tc>
        <w:tc>
          <w:tcPr>
            <w:tcW w:w="4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0448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法人或其他组织</w:t>
            </w:r>
          </w:p>
        </w:tc>
        <w:tc>
          <w:tcPr>
            <w:tcW w:w="42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82F6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总计</w:t>
            </w:r>
          </w:p>
        </w:tc>
      </w:tr>
      <w:tr w14:paraId="497D10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  <w:hidden/>
        </w:trPr>
        <w:tc>
          <w:tcPr>
            <w:tcW w:w="263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6FD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62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911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EBD5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商业企业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3D66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科研机构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B023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社会公益组织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405B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法律服务机构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A54D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其他</w:t>
            </w:r>
          </w:p>
        </w:tc>
        <w:tc>
          <w:tcPr>
            <w:tcW w:w="4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10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</w:tr>
      <w:tr w14:paraId="0674CE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26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CB38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一、本年新收政府信息公开申请数量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6B4DA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8296F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391B8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F5363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FE67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64EB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81B6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68CD08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26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3D3A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二、上年结转政府信息公开申请数量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3734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A686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23330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9C80C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EF92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C2A48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DF2E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1</w:t>
            </w:r>
          </w:p>
        </w:tc>
      </w:tr>
      <w:tr w14:paraId="533EC5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BF1F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三、本年度办理结果</w:t>
            </w:r>
          </w:p>
        </w:tc>
        <w:tc>
          <w:tcPr>
            <w:tcW w:w="26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4A2F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（一）予以公开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1AA95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09604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FDE00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C5218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8026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54B76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A69B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033BAE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B31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B3361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（二）部分公开（区分处理的，只计这一情形，不计其他情形）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57B4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B4A0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20DC3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139B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2617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BA35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BCCD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18DE48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120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EB1B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（三）不予公开</w:t>
            </w: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2737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1.属于国家秘密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A190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2C8A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3448D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BFE79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7A14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853F7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80ADE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425C9A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98B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7AE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8DD6C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2.其他法律行政法规禁止公开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EC3D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4759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890EA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B86E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F276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6362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1BFA7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0573AA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28B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568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5E0D0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3.危及“三安全一稳定”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FFA1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D848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5BA5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4F20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D7770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9B391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0671B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7D8126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978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182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20C7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4.保护第三方合法权益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64A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9B2F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0E53E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4CC6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1EA1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A2185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BBA20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0E8D0E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34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697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0110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5.属于三类内部事务信息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D310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BF6C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F86CF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62B9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F8A65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9B8E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AB3F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2F5B5D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EDA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246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41CCC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6.属于四类过程性信息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6A5E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2D44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ED01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FF779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0282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05419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59868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0290E3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151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FBB0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2EC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7.属于行政执法案卷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150B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770A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FE3F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B1BA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5751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B2FF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A360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5C1896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BA4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59D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DDE2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8.属于行政查询事项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5294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A901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7191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FC9D9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0181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EDDE1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5A5A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0D6908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C1C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83CFE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（四）无法提供</w:t>
            </w: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1722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1.本机关不掌握相关政府信息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53BA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BEFE9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FACE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9FCB5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149D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EFB8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FA73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1</w:t>
            </w:r>
          </w:p>
        </w:tc>
      </w:tr>
      <w:tr w14:paraId="186E64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40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D1F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EA09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2.没有现成信息需要另行制作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8910C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C0AE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7B662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B04E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27B6C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4470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353E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5D7F5D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8F6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B51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3C5AB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3.补正后申请内容仍不明确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DDF72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6E1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053AB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F4103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D9F9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8CA3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9035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5E48AE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C717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2CBA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（五）不予处理</w:t>
            </w: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4C52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1.信访举报投诉类申请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5DA46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8D14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0CDB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5DEE9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6841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9345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03E2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037E67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A0E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2D24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58AE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2.重复申请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156A5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B9CE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EA5B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9CE9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59F2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CDCE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F04A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4DC67D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81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683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E3A2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3.要求提供公开出版物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6691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CFA31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4F58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FF37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536D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248AD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ABB8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7A60D9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C7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A3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0847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4.无正当理由大量反复申请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8A01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F697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D424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A8BB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AFDC4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8C35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7580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067F77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58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532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DDD0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5.要求行政机关确认或重新出具已获取信息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D6F0D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34BB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D4D6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A67A2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7D12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6D939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09827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682B39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080B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51D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（六）其他处理</w:t>
            </w: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3D2E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1.申请人无正当理由逾期不补正、行政机关不再处理其政府信息公开申请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D36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7FEB9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A525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842B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6C2D8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C14E7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570C1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26B79F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F7F4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C9C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BE0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2.申请人逾期未按收费通知要求缴纳费用、行政机关不再处理其政府信息公开申请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BE266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7471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852A6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55E8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491A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35F28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A69D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3BA73A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707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bookmarkStart w:id="0" w:name="_GoBack" w:colFirst="3" w:colLast="9"/>
          </w:p>
        </w:tc>
        <w:tc>
          <w:tcPr>
            <w:tcW w:w="107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372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66904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3.其他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132A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2A1A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2A261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51AA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37CD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EB9A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E960F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tr w14:paraId="61B47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10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E37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</w:p>
        </w:tc>
        <w:tc>
          <w:tcPr>
            <w:tcW w:w="26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EDAD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（七）总计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32C1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48A5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0096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D3BD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0BDB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873E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36BD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1</w:t>
            </w:r>
          </w:p>
        </w:tc>
      </w:tr>
      <w:tr w14:paraId="3091B3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  <w:hidden/>
        </w:trPr>
        <w:tc>
          <w:tcPr>
            <w:tcW w:w="26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7889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left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</w:rPr>
              <w:t>四、结转下年度继续办理</w:t>
            </w:r>
          </w:p>
        </w:tc>
        <w:tc>
          <w:tcPr>
            <w:tcW w:w="6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32D3C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FD78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41B1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8F47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F16B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AD70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BEF5F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333333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shd w:val="clear"/>
                <w:vertAlign w:val="baseline"/>
                <w:lang w:val="en-US" w:eastAsia="zh-CN"/>
              </w:rPr>
              <w:t>0</w:t>
            </w:r>
          </w:p>
        </w:tc>
      </w:tr>
      <w:bookmarkEnd w:id="0"/>
    </w:tbl>
    <w:p w14:paraId="4BB78D2A">
      <w:pPr>
        <w:widowControl/>
        <w:spacing w:after="0"/>
        <w:jc w:val="left"/>
        <w:rPr>
          <w:rFonts w:hint="eastAsia" w:ascii="黑体" w:hAnsi="黑体" w:eastAsia="黑体" w:cs="黑体"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424242"/>
          <w:kern w:val="0"/>
          <w:sz w:val="32"/>
          <w:szCs w:val="32"/>
        </w:rPr>
        <w:t>  四、政府信息公开行政复议、行政诉讼情况</w:t>
      </w:r>
    </w:p>
    <w:tbl>
      <w:tblPr>
        <w:tblStyle w:val="4"/>
        <w:tblW w:w="9750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14:paraId="51F592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32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847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行政复议</w:t>
            </w:r>
          </w:p>
        </w:tc>
        <w:tc>
          <w:tcPr>
            <w:tcW w:w="65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4037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行政诉讼</w:t>
            </w:r>
          </w:p>
        </w:tc>
      </w:tr>
      <w:tr w14:paraId="7091AB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6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099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结果维持</w:t>
            </w:r>
          </w:p>
        </w:tc>
        <w:tc>
          <w:tcPr>
            <w:tcW w:w="6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383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</w:t>
            </w:r>
          </w:p>
          <w:p w14:paraId="5A15A4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3E59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其他</w:t>
            </w:r>
          </w:p>
          <w:p w14:paraId="3F5198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AD1C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尚未</w:t>
            </w:r>
          </w:p>
          <w:p w14:paraId="5F8696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192C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总计</w:t>
            </w:r>
          </w:p>
        </w:tc>
        <w:tc>
          <w:tcPr>
            <w:tcW w:w="32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92A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734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复议后起诉</w:t>
            </w:r>
          </w:p>
        </w:tc>
      </w:tr>
      <w:tr w14:paraId="71D921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F1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275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FB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D9B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57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2AFB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</w:t>
            </w:r>
          </w:p>
          <w:p w14:paraId="0B1EC0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CD0F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</w:t>
            </w:r>
          </w:p>
          <w:p w14:paraId="17440C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415F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其他</w:t>
            </w:r>
          </w:p>
          <w:p w14:paraId="0EBC0E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984C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尚未</w:t>
            </w:r>
          </w:p>
          <w:p w14:paraId="3F7A95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7BE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总计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35CF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</w:t>
            </w:r>
          </w:p>
          <w:p w14:paraId="6E258E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1AFA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</w:t>
            </w:r>
          </w:p>
          <w:p w14:paraId="3B2CE5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0BE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其他</w:t>
            </w:r>
          </w:p>
          <w:p w14:paraId="143D29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08FB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尚未</w:t>
            </w:r>
          </w:p>
          <w:p w14:paraId="098F25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2B14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</w:rPr>
              <w:t>总计</w:t>
            </w:r>
          </w:p>
        </w:tc>
      </w:tr>
      <w:tr w14:paraId="5EAEFA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  <w:hidden/>
        </w:trPr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D26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9E70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7259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C4F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C360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CC16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AC2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F5D1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6AA2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0CA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3416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C81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08D5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46A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C1D5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uppressAutoHyphens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黑体"/>
                <w:vanish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5FBC9EEC">
      <w:pPr>
        <w:widowControl/>
        <w:spacing w:after="0"/>
        <w:jc w:val="left"/>
        <w:rPr>
          <w:rFonts w:hint="eastAsia" w:ascii="黑体" w:hAnsi="黑体" w:eastAsia="黑体" w:cs="黑体"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424242"/>
          <w:kern w:val="0"/>
          <w:sz w:val="32"/>
          <w:szCs w:val="32"/>
        </w:rPr>
        <w:t>  五、存在的主要问题及改进情况</w:t>
      </w:r>
    </w:p>
    <w:p w14:paraId="544B0214">
      <w:pPr>
        <w:widowControl/>
        <w:adjustRightInd/>
        <w:snapToGrid/>
        <w:spacing w:after="0"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涞水县税务局政府信息公开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仍存在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一些问题和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不足：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一是信息公开内容仍需进一步丰富。目前，涞水县税务局公开的信息主要集中在政策法规和工作动态等方面，对于一些深层次、专业性的信息解读还不够充分。二是信息公开人员素质有待提高。部分干部对信息公开工作的重要性认识不足，业务水平有待提升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。</w:t>
      </w:r>
    </w:p>
    <w:p w14:paraId="3FAB9930">
      <w:pPr>
        <w:ind w:firstLine="640" w:firstLineChars="200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针对以上问题，涞水县税务局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采取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以下措施加以改进：一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深化信息公开内容。进一步梳理和挖掘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税务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工作的深层次信息，加大对政策法规解读、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典型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案例等方面的信息公开力度，为公众提供更加全面、深入的信息服务。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加强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人员队伍建设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。定期组织信息公开人员进行业务培训和学习交流，提高全局干部信息公开业务水平和责任意识，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切实提高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干部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队伍综合素质和业务能力，推动政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府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  <w:t>信息公开工作的深入推进。</w:t>
      </w:r>
    </w:p>
    <w:p w14:paraId="0AF9F514">
      <w:pPr>
        <w:widowControl/>
        <w:spacing w:after="0"/>
        <w:jc w:val="left"/>
        <w:rPr>
          <w:rFonts w:hint="eastAsia" w:ascii="黑体" w:hAnsi="黑体" w:eastAsia="黑体" w:cs="黑体"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424242"/>
          <w:kern w:val="0"/>
          <w:sz w:val="32"/>
          <w:szCs w:val="32"/>
        </w:rPr>
        <w:t>  六、其他需要报告的事项</w:t>
      </w:r>
    </w:p>
    <w:p w14:paraId="731622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涞水县税务局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年度未收取信息处理费，报告中所列数据的统计期限自202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年1月1日至202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年12月31日。</w:t>
      </w:r>
    </w:p>
    <w:p w14:paraId="46E855FE">
      <w:pPr>
        <w:widowControl/>
        <w:adjustRightInd w:val="0"/>
        <w:snapToGrid w:val="0"/>
        <w:spacing w:after="0"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i/>
          <w:iCs/>
          <w:kern w:val="0"/>
          <w:sz w:val="32"/>
          <w:szCs w:val="32"/>
          <w:highlight w:val="none"/>
        </w:rPr>
      </w:pPr>
    </w:p>
    <w:p w14:paraId="70B8884A"/>
    <w:p w14:paraId="4F3B36E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inherit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83BB5"/>
    <w:rsid w:val="2622669F"/>
    <w:rsid w:val="3BF8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2100</Words>
  <Characters>2157</Characters>
  <Lines>0</Lines>
  <Paragraphs>0</Paragraphs>
  <TotalTime>2</TotalTime>
  <ScaleCrop>false</ScaleCrop>
  <LinksUpToDate>false</LinksUpToDate>
  <CharactersWithSpaces>2157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2026-01-28T06:45:00Z</dcterms:created>
  <dc:creator>八爪小鱼</dc:creator>
  <cp:lastModifiedBy>八爪小鱼</cp:lastModifiedBy>
  <dcterms:modified xsi:type="dcterms:W3CDTF">2026-01-28T06:51:30Z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10D7648CCEB14D669C23E5F5E83D9DD8_11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