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398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7FF997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涞水县石亭镇人民政府</w:t>
      </w:r>
    </w:p>
    <w:p w14:paraId="5C3D46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政府信息公开工作报告</w:t>
      </w:r>
    </w:p>
    <w:p w14:paraId="36EA3E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52BD2C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本年度，本单位严格遵循《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中华人民共和国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政府信息公开条例》及上级部署，持续深化公开内容、优化平台功能、强化制度保障，有效提升工作规范化、标准化、信息化水平。</w:t>
      </w:r>
    </w:p>
    <w:p w14:paraId="376E3BE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主动公开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坚持“公开为常态、不公开为例外”，聚焦重大战略规划、重点领域改革、财政预决算、社会公益事业及民生保障政策等关键信息，依法及时准确公开。</w:t>
      </w:r>
    </w:p>
    <w:p w14:paraId="15398AA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依申请公开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优化受理、审查、办理、答复等流程，加强沟通互动，保障公民、法人和其他组织依法获取政府信息的权利，促进依法行政。</w:t>
      </w:r>
    </w:p>
    <w:p w14:paraId="24627FA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政府信息管理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健全信息全生命周期管理制度，完成规范性文件集中公开与动态清理，强化信息公开属性源头认定和发布审查，推进数据资源归集共享。</w:t>
      </w:r>
    </w:p>
    <w:p w14:paraId="1A9FCAC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政府信息公开平台建设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强化政府门户网站第一平台作用，提升搜索精准度和用户体验；规范政务新媒体矩阵运营。</w:t>
      </w:r>
    </w:p>
    <w:p w14:paraId="2BAE001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监督保障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将信息公开纳入绩效考核，加强日常督查与专项检查；开展业务培训，完善社会评议机制，主动接受监督。</w:t>
      </w:r>
    </w:p>
    <w:p w14:paraId="467F66D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下一步，本单位将继续坚持问题导向和需求导向，深化重点领域公开，提升政策解读质量，加强平台智能化建设，完善长效管理机制，推动政府信息公开工作向更深层次、更高水平迈进。</w:t>
      </w:r>
    </w:p>
    <w:p w14:paraId="7BE2D94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p w14:paraId="79CFB7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10C3F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329B0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41686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94C2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0607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450D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E724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3AA58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95BF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050D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F4EE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1A7D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9062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2A6D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665F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EF4D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9616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576A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573A4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1C186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C16D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F4C0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67088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424F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EBD2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953</w:t>
            </w:r>
          </w:p>
        </w:tc>
      </w:tr>
      <w:tr w14:paraId="625A6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BB1DA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2F7BD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B743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51BB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163D8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D005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B866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43130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A826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CFD5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FA09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04610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1185A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913B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7472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15BA1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EE45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3EF932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0.1</w:t>
            </w:r>
          </w:p>
        </w:tc>
      </w:tr>
    </w:tbl>
    <w:p w14:paraId="22A485B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p w14:paraId="014280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32555E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3848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52F0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1B55C8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E82794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49F3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1468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2F77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737C7A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0F7BC2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59A094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2D9A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2D1467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49DF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43C729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710F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F7A3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0B7A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84B7BD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388E6F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4F50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A55E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C44F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DD7E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1B48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553D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5AFB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2E8E3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CF667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D6F0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4AF2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B734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A4C2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AC3A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00AF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A800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EBA5F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02234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A79C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8339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DF5B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5025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18FD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3002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C5DF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D391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053B5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98556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05AD4B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C811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AC95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07B6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7A4D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A010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5F60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3CBB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E1544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F2C16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DDDB2D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393C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3DE31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0D1FA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7D871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A2416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7C830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78BAA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A686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3C1E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72CE8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18F592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AA0C5B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DBD44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F7E91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644BB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D4901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9D2D1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B817A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5FA56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608AC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8931D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2AA476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20306A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0CFAC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20E8B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5A135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0620C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D37DD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2B474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5A32F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BEEC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0C5E1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2FAE67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83DC66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E3DE5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47D00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6DFBD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B8CF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5FDF7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00C00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C74EE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701D2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24AA2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13EF30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AB1C7D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36DBC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C1F99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92ABD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11E77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0EAC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26C4F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CA40C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09A7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7DAC1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875884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2F427B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C88C6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1B2D7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1D0A3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68618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A880C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CA2F4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AD48A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B2420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CF084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AD17D8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B4E125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8C43D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82D07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73E7B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3E213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C5772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B00A0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7C1DE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763EA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B6757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15C53E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718CDD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C8FD5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521E1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0480B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4A117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09296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343E8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BC955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DE6B2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CE458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30A1A1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8FD7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85067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5C142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0D642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C70ED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1B15A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01C08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B7F2F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E258C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07757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F0A020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3F1B41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6DA96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49F3B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CD742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0CD83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C58C8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82A34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F0EC0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E2C93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DE495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C73863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BC6F22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8576B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B16C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9846A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7E133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BBF14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B22D7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E7B19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C7DCC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D27C3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64CFCD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FE05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6697B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C1BE4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EF3DB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BD740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78603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5998E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91A2F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6AB1C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BAA3EA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CF86EB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A11438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AE91C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6388A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B5646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135A0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FFF15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5E952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5D99A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A7BFF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52293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EAE910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99B0E0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E78F9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9915B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9EE92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E87CA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D6BCD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15710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7A095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50917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51D62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7FEF24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C67262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848F0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4CD20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D5E98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55792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358F5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5F0CB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E1775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9783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BDBAF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5CCDD4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D8AE4F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ADAF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23CF7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789A9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B3B06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E9E1F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F1C2B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6996B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00A66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CC4CC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DCEEFE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6E21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5337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3905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A00A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9953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9B3D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9D03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B477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45901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E872A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966329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BCF423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2316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7449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3CA2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EBA2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A25C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2C4B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5812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1CE0E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B765E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6490FC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1394EE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A514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3BD4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69FE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D50B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3113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D401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D445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8BFC3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7E555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3113F0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C7E7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8FF3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3D55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0C15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9F78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5F7D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5C67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FD2E9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DDEF0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B933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C8AE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1B8A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A9BB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DA47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C574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639F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37501BF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4EFE8A7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p w14:paraId="364DC6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220509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89DE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ABEF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366479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44D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59D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56A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3A5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3567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613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0C3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753AC2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57B23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0E37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2B60F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C848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7F83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98A2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A9F6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810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537C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8132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81D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80F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679C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2CE2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920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5358F2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ADAF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A4D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A59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0BD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3778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199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68D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F68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FC3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2FE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B8C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1697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799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9097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44FFB"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</w:tr>
    </w:tbl>
    <w:p w14:paraId="024FAB8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五、存在的主要问题及改进情况</w:t>
      </w:r>
    </w:p>
    <w:p w14:paraId="293DE82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（一）存在的主要问题</w:t>
      </w:r>
    </w:p>
    <w:p w14:paraId="05D3890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1、公开内容质量有待深化。公开内容与公众实际需求结合不够紧密，政策解读材料有时过于原则化、专业化，通俗性、可读性有待提升。</w:t>
      </w:r>
    </w:p>
    <w:p w14:paraId="088DB1E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2、依申请公开处理能力需持续加强。面对复杂、新型的申请需求，研判能力、沟通技巧和答复规范性仍有提升空间。</w:t>
      </w:r>
    </w:p>
    <w:p w14:paraId="7664F2D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3、基层基础工作仍需夯实。部分信息公开力量配备相对薄弱，专业培训的系统性和针对性有待加强。</w:t>
      </w:r>
    </w:p>
    <w:p w14:paraId="68A037D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（二）改进情况及下一步计划</w:t>
      </w:r>
    </w:p>
    <w:p w14:paraId="74E60C4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1、着力提升公开内容实用性。聚焦公众高频需求和重点领域，大力推行政策解读“一图读懂”、专家访谈等多元化形式，力求解读更接地气、更易理解。</w:t>
      </w:r>
    </w:p>
    <w:p w14:paraId="135B365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2、持续规范依申请公开工作。编制典型案例指引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优化在线申请系统功能，提升办理流程透明度与用户体验。</w:t>
      </w:r>
    </w:p>
    <w:p w14:paraId="08D27F9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3、大力推进平台资源整合。强化政府网站总门户功能，推动与政务新媒体、线下服务大厅的数据联通与业务协同，实现信息“一次发布、多端同步”。</w:t>
      </w:r>
    </w:p>
    <w:p w14:paraId="7451BF0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4、不断强化能力建设。加大培训力度和频次，创新培训形式，推广标准化工作流程和模板。加强常态化业务指导和监督检查，推动各项制度要求落细落实。</w:t>
      </w:r>
    </w:p>
    <w:p w14:paraId="75C3BB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下一步，本单位将坚持问题导向，健全长效机制，推动政府信息公开工作更好地服务人民群众和经济社会发展。</w:t>
      </w:r>
    </w:p>
    <w:p w14:paraId="02636EA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 w14:paraId="2AB3A9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认真贯彻执行国务院办公厅《政府信息公开信息处理费管理办法》和《关于政府信息公开处理费管理有关事项的通知》。2025年我单位未收取信息处理费。</w:t>
      </w:r>
    </w:p>
    <w:p w14:paraId="30BD82B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11E00"/>
    <w:rsid w:val="2190727D"/>
    <w:rsid w:val="231C7EC4"/>
    <w:rsid w:val="23B81471"/>
    <w:rsid w:val="37A11E00"/>
    <w:rsid w:val="582128D9"/>
    <w:rsid w:val="59525558"/>
    <w:rsid w:val="5C697E5C"/>
    <w:rsid w:val="71F53987"/>
    <w:rsid w:val="7B43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725</Words>
  <Characters>732</Characters>
  <Lines>0</Lines>
  <Paragraphs>0</Paragraphs>
  <TotalTime>20</TotalTime>
  <ScaleCrop>false</ScaleCrop>
  <LinksUpToDate>false</LinksUpToDate>
  <CharactersWithSpaces>732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2022-01-11T09:34:00Z</dcterms:created>
  <dc:creator>Administrator</dc:creator>
  <cp:lastModifiedBy>八爪小鱼</cp:lastModifiedBy>
  <cp:lastPrinted>2026-01-28T04:11:00Z</cp:lastPrinted>
  <dcterms:modified xsi:type="dcterms:W3CDTF">2026-01-28T11:01:44Z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3C863D74A4D14A0FBD1E1D93FDEE4657_13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