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涞水县交通运输局</w:t>
      </w:r>
      <w:r>
        <w:rPr>
          <w:rFonts w:ascii="黑体" w:hAnsi="黑体" w:eastAsia="黑体" w:cs="黑体"/>
          <w:b/>
          <w:color w:val="000000"/>
          <w:sz w:val="44"/>
        </w:rPr>
        <w:t>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3</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30</w:t>
      </w:r>
      <w:r>
        <w:rPr>
          <w:rFonts w:hint="eastAsia"/>
          <w:lang w:eastAsia="zh-CN"/>
        </w:rP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部门预算收支总表</w:t>
            </w:r>
          </w:p>
        </w:tc>
      </w:tr>
      <w:tr>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pPr>
              <w:pStyle w:val="14"/>
              <w:jc w:val="both"/>
            </w:pPr>
            <w:r>
              <w:rPr>
                <w:rFonts w:hint="eastAsia"/>
                <w:lang w:eastAsia="zh-CN"/>
              </w:rPr>
              <w:t>[348]涞水县交通运输局</w:t>
            </w:r>
          </w:p>
        </w:tc>
        <w:tc>
          <w:tcPr>
            <w:tcW w:w="4845" w:type="dxa"/>
            <w:tcBorders>
              <w:top w:val="nil"/>
              <w:left w:val="nil"/>
              <w:bottom w:val="single" w:color="auto" w:sz="4" w:space="0"/>
              <w:right w:val="nil"/>
            </w:tcBorders>
            <w:shd w:val="clear" w:color="auto" w:fill="auto"/>
            <w:noWrap/>
            <w:vAlign w:val="center"/>
          </w:tcPr>
          <w:p>
            <w:pPr>
              <w:pStyle w:val="14"/>
              <w:jc w:val="center"/>
              <w:rPr>
                <w:rFonts w:hint="default"/>
                <w:lang w:val="en-US"/>
              </w:rPr>
            </w:pPr>
            <w:r>
              <w:rPr>
                <w:rFonts w:hint="eastAsia"/>
                <w:lang w:eastAsia="zh-CN"/>
              </w:rPr>
              <w:t>预算年度：202</w:t>
            </w:r>
            <w:r>
              <w:rPr>
                <w:rFonts w:hint="eastAsia"/>
                <w:lang w:val="en-US" w:eastAsia="zh-CN"/>
              </w:rPr>
              <w:t>5</w:t>
            </w:r>
          </w:p>
        </w:tc>
        <w:tc>
          <w:tcPr>
            <w:tcW w:w="1845" w:type="dxa"/>
            <w:tcBorders>
              <w:top w:val="nil"/>
              <w:left w:val="nil"/>
              <w:bottom w:val="single" w:color="auto" w:sz="4" w:space="0"/>
              <w:right w:val="nil"/>
            </w:tcBorders>
            <w:shd w:val="clear" w:color="auto" w:fill="auto"/>
            <w:noWrap/>
            <w:vAlign w:val="center"/>
          </w:tcPr>
          <w:p>
            <w:pPr>
              <w:pStyle w:val="14"/>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支出</w:t>
            </w:r>
          </w:p>
        </w:tc>
      </w:tr>
      <w:tr>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预算数</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b/>
                <w:bCs/>
                <w:sz w:val="20"/>
                <w:szCs w:val="20"/>
              </w:rPr>
            </w:pPr>
            <w:r>
              <w:rPr>
                <w:rFonts w:hint="eastAsia"/>
                <w:b/>
                <w:bCs/>
                <w:sz w:val="20"/>
                <w:szCs w:val="20"/>
                <w:lang w:eastAsia="zh-CN"/>
              </w:rPr>
              <w:t>4</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sz w:val="22"/>
                <w:szCs w:val="22"/>
                <w:u w:val="none"/>
                <w:lang w:val="en-US" w:eastAsia="zh-CN" w:bidi="ar-SA"/>
              </w:rPr>
              <w:t>3110.10</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jc w:val="right"/>
              <w:rPr>
                <w:sz w:val="20"/>
                <w:szCs w:val="20"/>
                <w:lang w:eastAsia="zh-CN"/>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lang w:eastAsia="zh-CN"/>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五、单位资金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13.17</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default" w:ascii="Calibri" w:hAnsi="Calibri" w:eastAsia="宋体" w:cs="Calibri"/>
                <w:i w:val="0"/>
                <w:color w:val="000000"/>
                <w:kern w:val="0"/>
                <w:sz w:val="22"/>
                <w:szCs w:val="22"/>
                <w:u w:val="none"/>
                <w:lang w:val="en-US" w:eastAsia="zh-CN" w:bidi="ar"/>
              </w:rPr>
              <w:t>7.</w:t>
            </w:r>
            <w:r>
              <w:rPr>
                <w:rFonts w:hint="eastAsia" w:ascii="Calibri" w:hAnsi="Calibri" w:eastAsia="宋体" w:cs="Calibri"/>
                <w:i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20789.12</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7.74</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三十一、人行科目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uk-UA" w:bidi="ar-SA"/>
              </w:rPr>
            </w:pPr>
            <w:r>
              <w:rPr>
                <w:sz w:val="20"/>
                <w:szCs w:val="20"/>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3110.10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uk-UA" w:bidi="ar-SA"/>
              </w:rPr>
            </w:pPr>
            <w:r>
              <w:rPr>
                <w:sz w:val="20"/>
                <w:szCs w:val="20"/>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21556.17</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sz w:val="20"/>
                <w:szCs w:val="20"/>
              </w:rPr>
            </w:pPr>
            <w:r>
              <w:rPr>
                <w:sz w:val="20"/>
                <w:szCs w:val="20"/>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uk-UA" w:bidi="ar-SA"/>
              </w:rPr>
            </w:pPr>
            <w:r>
              <w:rPr>
                <w:sz w:val="20"/>
                <w:szCs w:val="20"/>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rPr>
            </w:pPr>
            <w:r>
              <w:rPr>
                <w:rFonts w:hint="eastAsia" w:ascii="Calibri" w:hAnsi="Calibri" w:eastAsia="宋体" w:cs="Calibri"/>
                <w:i w:val="0"/>
                <w:color w:val="000000"/>
                <w:kern w:val="0"/>
                <w:sz w:val="22"/>
                <w:szCs w:val="22"/>
                <w:u w:val="none"/>
                <w:lang w:val="en-US" w:eastAsia="zh-CN" w:bidi="ar"/>
              </w:rPr>
              <w:t>18446.07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uk-UA" w:bidi="ar-SA"/>
              </w:rPr>
            </w:pPr>
            <w:r>
              <w:rPr>
                <w:sz w:val="20"/>
                <w:szCs w:val="20"/>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sz w:val="20"/>
                <w:szCs w:val="20"/>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4"/>
              <w:rPr>
                <w:rFonts w:hint="default"/>
                <w:sz w:val="20"/>
                <w:szCs w:val="20"/>
                <w:lang w:val="en-US" w:eastAsia="zh-CN"/>
              </w:rPr>
            </w:pPr>
            <w:r>
              <w:rPr>
                <w:rFonts w:hint="eastAsia"/>
                <w:sz w:val="20"/>
                <w:szCs w:val="20"/>
                <w:lang w:val="en-US" w:eastAsia="zh-CN"/>
              </w:rPr>
              <w:t>34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zh-CN" w:bidi="ar-SA"/>
              </w:rPr>
            </w:pPr>
            <w:r>
              <w:rPr>
                <w:sz w:val="20"/>
                <w:szCs w:val="20"/>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21556.17</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4"/>
              <w:rPr>
                <w:rFonts w:ascii="方正小标宋_GBK" w:hAnsi="方正小标宋_GBK" w:eastAsia="方正小标宋_GBK" w:cs="方正小标宋_GBK"/>
                <w:sz w:val="20"/>
                <w:szCs w:val="20"/>
                <w:lang w:val="en-US" w:eastAsia="zh-CN" w:bidi="ar-SA"/>
              </w:rPr>
            </w:pPr>
            <w:r>
              <w:rPr>
                <w:sz w:val="20"/>
                <w:szCs w:val="20"/>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sz w:val="20"/>
                <w:szCs w:val="20"/>
                <w:lang w:val="en-US" w:eastAsia="zh-CN"/>
              </w:rPr>
            </w:pPr>
            <w:r>
              <w:rPr>
                <w:rFonts w:hint="eastAsia" w:ascii="Calibri" w:hAnsi="Calibri" w:eastAsia="宋体" w:cs="Calibri"/>
                <w:i w:val="0"/>
                <w:color w:val="000000"/>
                <w:kern w:val="0"/>
                <w:sz w:val="22"/>
                <w:szCs w:val="22"/>
                <w:u w:val="none"/>
                <w:lang w:val="en-US" w:eastAsia="zh-CN" w:bidi="ar"/>
              </w:rPr>
              <w:t>21556.17</w:t>
            </w:r>
          </w:p>
        </w:tc>
      </w:tr>
    </w:tbl>
    <w:p>
      <w:pPr>
        <w:pStyle w:val="14"/>
        <w:rPr>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
    <w:tbl>
      <w:tblPr>
        <w:tblStyle w:val="9"/>
        <w:tblW w:w="14920" w:type="dxa"/>
        <w:tblInd w:w="96" w:type="dxa"/>
        <w:tblLayout w:type="fixed"/>
        <w:tblCellMar>
          <w:top w:w="0" w:type="dxa"/>
          <w:left w:w="108" w:type="dxa"/>
          <w:bottom w:w="0" w:type="dxa"/>
          <w:right w:w="108" w:type="dxa"/>
        </w:tblCellMar>
      </w:tblPr>
      <w:tblGrid>
        <w:gridCol w:w="735"/>
        <w:gridCol w:w="1223"/>
        <w:gridCol w:w="2348"/>
        <w:gridCol w:w="1066"/>
        <w:gridCol w:w="1215"/>
        <w:gridCol w:w="1320"/>
        <w:gridCol w:w="959"/>
        <w:gridCol w:w="705"/>
        <w:gridCol w:w="1095"/>
        <w:gridCol w:w="1050"/>
        <w:gridCol w:w="1215"/>
        <w:gridCol w:w="961"/>
        <w:gridCol w:w="1028"/>
      </w:tblGrid>
      <w:tr>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tblPrEx>
          <w:tblCellMar>
            <w:top w:w="0" w:type="dxa"/>
            <w:left w:w="108" w:type="dxa"/>
            <w:bottom w:w="0" w:type="dxa"/>
            <w:right w:w="108" w:type="dxa"/>
          </w:tblCellMar>
        </w:tblPrEx>
        <w:trPr>
          <w:trHeight w:val="288" w:hRule="atLeast"/>
        </w:trPr>
        <w:tc>
          <w:tcPr>
            <w:tcW w:w="4306"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[348001]涞水县交通运输局（本级）</w:t>
            </w:r>
          </w:p>
        </w:tc>
        <w:tc>
          <w:tcPr>
            <w:tcW w:w="1066"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3494" w:type="dxa"/>
            <w:gridSpan w:val="3"/>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b/>
                <w:bCs/>
                <w:sz w:val="21"/>
                <w:szCs w:val="21"/>
                <w:lang w:val="en-US" w:eastAsia="zh-CN"/>
              </w:rPr>
            </w:pPr>
            <w:r>
              <w:rPr>
                <w:rFonts w:hint="eastAsia" w:ascii="方正小标宋_GBK" w:hAnsi="方正小标宋_GBK" w:eastAsia="方正小标宋_GBK" w:cs="方正小标宋_GBK"/>
                <w:b/>
                <w:bCs/>
                <w:sz w:val="21"/>
                <w:szCs w:val="21"/>
                <w:lang w:eastAsia="zh-CN"/>
              </w:rPr>
              <w:t xml:space="preserve">             预算年度：202</w:t>
            </w:r>
            <w:r>
              <w:rPr>
                <w:rFonts w:hint="eastAsia" w:ascii="方正小标宋_GBK" w:hAnsi="方正小标宋_GBK" w:eastAsia="方正小标宋_GBK" w:cs="方正小标宋_GBK"/>
                <w:b/>
                <w:bCs/>
                <w:sz w:val="21"/>
                <w:szCs w:val="21"/>
                <w:lang w:val="en-US" w:eastAsia="zh-CN"/>
              </w:rPr>
              <w:t>5</w:t>
            </w:r>
          </w:p>
        </w:tc>
        <w:tc>
          <w:tcPr>
            <w:tcW w:w="70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109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2265" w:type="dxa"/>
            <w:gridSpan w:val="2"/>
            <w:tcBorders>
              <w:top w:val="nil"/>
              <w:left w:val="nil"/>
              <w:bottom w:val="nil"/>
              <w:right w:val="nil"/>
            </w:tcBorders>
            <w:shd w:val="clear" w:color="auto" w:fill="auto"/>
            <w:noWrap/>
            <w:vAlign w:val="center"/>
          </w:tcPr>
          <w:p>
            <w:pPr>
              <w:jc w:val="right"/>
              <w:rPr>
                <w:rFonts w:ascii="方正小标宋_GBK" w:hAnsi="方正小标宋_GBK" w:eastAsia="方正小标宋_GBK" w:cs="方正小标宋_GBK"/>
                <w:b/>
                <w:bCs/>
                <w:sz w:val="21"/>
                <w:szCs w:val="21"/>
                <w:lang w:eastAsia="zh-CN"/>
              </w:rPr>
            </w:pPr>
          </w:p>
        </w:tc>
        <w:tc>
          <w:tcPr>
            <w:tcW w:w="1989" w:type="dxa"/>
            <w:gridSpan w:val="2"/>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序号</w:t>
            </w:r>
          </w:p>
        </w:tc>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功能分类科目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上年结转</w:t>
            </w:r>
          </w:p>
        </w:tc>
      </w:tr>
      <w:tr>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2"/>
                <w:szCs w:val="22"/>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科目编码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科目名称</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财政拨款收入</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财政专户收入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事业收入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经营收入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上级补助收入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附属单位上缴收入</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b/>
                <w:bCs/>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21556.17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3110.10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3110.10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18446.07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13.17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7.14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4.04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小标宋_GBK" w:hAnsi="方正小标宋_GBK" w:eastAsia="方正小标宋_GBK" w:cs="方正小标宋_GBK"/>
                <w:sz w:val="22"/>
                <w:szCs w:val="22"/>
                <w:lang w:val="en-US" w:eastAsia="zh-CN"/>
              </w:rPr>
            </w:pPr>
            <w:r>
              <w:rPr>
                <w:rFonts w:hint="default" w:ascii="Calibri" w:hAnsi="Calibri" w:eastAsia="宋体" w:cs="Calibri"/>
                <w:i w:val="0"/>
                <w:color w:val="000000"/>
                <w:kern w:val="0"/>
                <w:sz w:val="22"/>
                <w:szCs w:val="22"/>
                <w:u w:val="none"/>
                <w:lang w:val="en-US" w:eastAsia="zh-CN" w:bidi="ar"/>
              </w:rPr>
              <w:t>1.40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20789.12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17707.07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20789.12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3082.05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17707.07</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行政运行</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1556.22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公路建设</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14271.44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14271.44</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公路养护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4306.62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871.00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871.00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3435.62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公路和运输安全</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586.79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3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68.04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36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7.74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54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2"/>
                <w:szCs w:val="22"/>
                <w:lang w:val="en-US" w:eastAsia="zh-CN"/>
              </w:rPr>
            </w:pPr>
            <w:r>
              <w:rPr>
                <w:rFonts w:hint="eastAsia" w:ascii="方正小标宋_GBK" w:hAnsi="方正小标宋_GBK" w:eastAsia="方正小标宋_GBK" w:cs="方正小标宋_GBK"/>
                <w:sz w:val="22"/>
                <w:szCs w:val="22"/>
                <w:lang w:val="en-US" w:eastAsia="zh-CN"/>
              </w:rPr>
              <w:t>22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自然灾害灾后重建补助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739.00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r>
    </w:tbl>
    <w:p>
      <w:pPr>
        <w:sectPr>
          <w:footerReference r:id="rId3" w:type="default"/>
          <w:footerReference r:id="rId4" w:type="even"/>
          <w:pgSz w:w="16840" w:h="11900" w:orient="landscape"/>
          <w:pgMar w:top="1361" w:right="1020" w:bottom="1134" w:left="1020" w:header="720" w:footer="720" w:gutter="0"/>
          <w:cols w:space="720" w:num="1"/>
        </w:sect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bookmarkStart w:id="0" w:name="_Toc_2_2_0000000003"/>
            <w:r>
              <w:rPr>
                <w:rFonts w:hint="eastAsia" w:ascii="方正小标宋_GBK" w:hAnsi="方正小标宋_GBK" w:eastAsia="方正小标宋_GBK" w:cs="方正小标宋_GBK"/>
                <w:color w:val="000000"/>
                <w:sz w:val="36"/>
                <w:lang w:eastAsia="zh-CN"/>
              </w:rPr>
              <w:t>部门预算支出总表</w:t>
            </w:r>
          </w:p>
        </w:tc>
      </w:tr>
      <w:tr>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[348]涞水县交通运输局</w:t>
            </w:r>
          </w:p>
        </w:tc>
        <w:tc>
          <w:tcPr>
            <w:tcW w:w="7034" w:type="dxa"/>
            <w:gridSpan w:val="5"/>
            <w:tcBorders>
              <w:top w:val="nil"/>
              <w:left w:val="nil"/>
              <w:bottom w:val="nil"/>
              <w:right w:val="nil"/>
            </w:tcBorders>
            <w:shd w:val="clear" w:color="auto" w:fill="auto"/>
            <w:noWrap/>
            <w:vAlign w:val="center"/>
          </w:tcPr>
          <w:p>
            <w:pPr>
              <w:tabs>
                <w:tab w:val="left" w:pos="1286"/>
                <w:tab w:val="center" w:pos="3524"/>
              </w:tabs>
              <w:textAlignment w:val="center"/>
              <w:rPr>
                <w:rFonts w:hint="default" w:ascii="方正小标宋_GBK" w:hAnsi="方正小标宋_GBK" w:eastAsia="方正小标宋_GBK" w:cs="方正小标宋_GBK"/>
                <w:b/>
                <w:bCs/>
                <w:sz w:val="21"/>
                <w:szCs w:val="21"/>
                <w:lang w:val="en-US"/>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w:t>
            </w:r>
            <w:r>
              <w:rPr>
                <w:rFonts w:hint="eastAsia" w:ascii="方正小标宋_GBK" w:hAnsi="方正小标宋_GBK" w:eastAsia="方正小标宋_GBK" w:cs="方正小标宋_GBK"/>
                <w:b/>
                <w:bCs/>
                <w:sz w:val="21"/>
                <w:szCs w:val="21"/>
                <w:lang w:val="en-US" w:eastAsia="zh-CN"/>
              </w:rPr>
              <w:t>5</w:t>
            </w:r>
          </w:p>
        </w:tc>
        <w:tc>
          <w:tcPr>
            <w:tcW w:w="1882"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21556.17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1584.27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19971.90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13.17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20789.12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19232.90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20789.12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19232.90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1556.22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14271.44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14271.44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4306.62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4306.62</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公路和运输安全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586.79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586.79</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68.04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68.04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7.74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22407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18"/>
                <w:szCs w:val="18"/>
                <w:lang w:val="en-US" w:eastAsia="zh-CN"/>
              </w:rPr>
            </w:pPr>
            <w:r>
              <w:rPr>
                <w:rFonts w:hint="eastAsia" w:ascii="方正小标宋_GBK" w:hAnsi="方正小标宋_GBK" w:eastAsia="方正小标宋_GBK" w:cs="方正小标宋_GBK"/>
                <w:sz w:val="18"/>
                <w:szCs w:val="18"/>
                <w:lang w:val="en-US" w:eastAsia="zh-CN"/>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2240704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自然灾害灾后重建补助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739.00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739.00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bl>
    <w:p>
      <w:pPr>
        <w:jc w:val="center"/>
        <w:outlineLvl w:val="1"/>
        <w:rPr>
          <w:rFonts w:ascii="方正小标宋_GBK" w:hAnsi="方正小标宋_GBK" w:eastAsia="方正小标宋_GBK" w:cs="方正小标宋_GBK"/>
          <w:color w:val="000000"/>
          <w:sz w:val="36"/>
        </w:rPr>
      </w:pPr>
    </w:p>
    <w:bookmarkEnd w:id="0"/>
    <w:p>
      <w:pPr>
        <w:jc w:val="both"/>
        <w:outlineLvl w:val="1"/>
        <w:sectPr>
          <w:pgSz w:w="16840" w:h="11900" w:orient="landscape"/>
          <w:pgMar w:top="1361" w:right="1020" w:bottom="1134" w:left="1020"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735"/>
        <w:gridCol w:w="1155"/>
        <w:gridCol w:w="1710"/>
        <w:gridCol w:w="1905"/>
        <w:gridCol w:w="1928"/>
      </w:tblGrid>
      <w:tr>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bookmarkStart w:id="1" w:name="_Toc_2_2_0000000004"/>
            <w:r>
              <w:rPr>
                <w:rFonts w:hint="eastAsia" w:ascii="方正小标宋_GBK" w:hAnsi="方正小标宋_GBK" w:eastAsia="方正小标宋_GBK" w:cs="方正小标宋_GBK"/>
                <w:color w:val="000000"/>
                <w:sz w:val="36"/>
                <w:lang w:eastAsia="zh-CN"/>
              </w:rPr>
              <w:t>部门预算财政拨款收支总表</w:t>
            </w:r>
          </w:p>
        </w:tc>
      </w:tr>
      <w:tr>
        <w:tblPrEx>
          <w:tblCellMar>
            <w:top w:w="0" w:type="dxa"/>
            <w:left w:w="108" w:type="dxa"/>
            <w:bottom w:w="0" w:type="dxa"/>
            <w:right w:w="108" w:type="dxa"/>
          </w:tblCellMar>
        </w:tblPrEx>
        <w:trPr>
          <w:trHeight w:val="288" w:hRule="atLeast"/>
        </w:trPr>
        <w:tc>
          <w:tcPr>
            <w:tcW w:w="3407" w:type="dxa"/>
            <w:gridSpan w:val="2"/>
            <w:tcBorders>
              <w:top w:val="nil"/>
              <w:left w:val="nil"/>
              <w:bottom w:val="nil"/>
              <w:right w:val="nil"/>
            </w:tcBorders>
            <w:shd w:val="clear" w:color="auto" w:fill="auto"/>
            <w:noWrap/>
            <w:vAlign w:val="center"/>
          </w:tcPr>
          <w:p>
            <w:pPr>
              <w:pStyle w:val="14"/>
              <w:rPr>
                <w:b/>
              </w:rPr>
            </w:pPr>
            <w:r>
              <w:rPr>
                <w:rFonts w:hint="eastAsia"/>
                <w:b/>
                <w:lang w:eastAsia="zh-CN"/>
              </w:rPr>
              <w:t>[348]涞水县交通运输局</w:t>
            </w:r>
          </w:p>
        </w:tc>
        <w:tc>
          <w:tcPr>
            <w:tcW w:w="1080" w:type="dxa"/>
            <w:tcBorders>
              <w:top w:val="nil"/>
              <w:left w:val="nil"/>
              <w:bottom w:val="nil"/>
              <w:right w:val="nil"/>
            </w:tcBorders>
            <w:shd w:val="clear" w:color="auto" w:fill="auto"/>
            <w:noWrap/>
            <w:vAlign w:val="center"/>
          </w:tcPr>
          <w:p>
            <w:pPr>
              <w:pStyle w:val="14"/>
              <w:rPr>
                <w:b/>
              </w:rPr>
            </w:pPr>
          </w:p>
        </w:tc>
        <w:tc>
          <w:tcPr>
            <w:tcW w:w="8505" w:type="dxa"/>
            <w:gridSpan w:val="4"/>
            <w:tcBorders>
              <w:top w:val="nil"/>
              <w:left w:val="nil"/>
              <w:bottom w:val="nil"/>
              <w:right w:val="nil"/>
            </w:tcBorders>
            <w:shd w:val="clear" w:color="auto" w:fill="auto"/>
            <w:noWrap/>
            <w:vAlign w:val="center"/>
          </w:tcPr>
          <w:p>
            <w:pPr>
              <w:pStyle w:val="14"/>
              <w:ind w:firstLine="2409" w:firstLineChars="1000"/>
              <w:rPr>
                <w:rFonts w:hint="default"/>
                <w:b/>
                <w:lang w:val="en-US"/>
              </w:rPr>
            </w:pPr>
            <w:r>
              <w:rPr>
                <w:rFonts w:hint="eastAsia"/>
                <w:b/>
                <w:lang w:eastAsia="zh-CN"/>
              </w:rPr>
              <w:t>预算年度：202</w:t>
            </w:r>
            <w:r>
              <w:rPr>
                <w:rFonts w:hint="eastAsia"/>
                <w:b/>
                <w:lang w:val="en-US" w:eastAsia="zh-CN"/>
              </w:rPr>
              <w:t>5</w:t>
            </w:r>
          </w:p>
        </w:tc>
        <w:tc>
          <w:tcPr>
            <w:tcW w:w="1928" w:type="dxa"/>
            <w:tcBorders>
              <w:top w:val="nil"/>
              <w:left w:val="nil"/>
              <w:bottom w:val="nil"/>
              <w:right w:val="nil"/>
            </w:tcBorders>
            <w:shd w:val="clear" w:color="auto" w:fill="auto"/>
            <w:noWrap/>
            <w:vAlign w:val="center"/>
          </w:tcPr>
          <w:p>
            <w:pPr>
              <w:pStyle w:val="14"/>
              <w:jc w:val="right"/>
              <w:rPr>
                <w:b/>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3110.10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一、一般公共服务支出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二、外交支出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三、国防支出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四、公共安全支出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五、教育支出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六、科学技术支出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八、社会保障和就业支出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13.17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13.17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九、社会保险基金支出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十、卫生健康支出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十一、节能环保支出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十二、城乡社区支出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十三、农林水支出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十四、交通运输支出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20789.12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20789.12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十六、商业服务业等支出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十七、金融支出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十八、援助其他地区支出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7.74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二十一、粮油物资储备支出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_GBK" w:hAnsi="方正小标宋_GBK" w:eastAsia="宋体"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二十三、灾害防治及应急管理支</w:t>
            </w:r>
            <w:r>
              <w:rPr>
                <w:rFonts w:hint="eastAsia" w:ascii="Calibri" w:hAnsi="Calibri" w:eastAsia="宋体" w:cs="Calibri"/>
                <w:i w:val="0"/>
                <w:color w:val="000000"/>
                <w:kern w:val="0"/>
                <w:sz w:val="22"/>
                <w:szCs w:val="22"/>
                <w:u w:val="none"/>
                <w:lang w:val="en-US" w:eastAsia="zh-CN" w:bidi="ar"/>
              </w:rPr>
              <w:t>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739.00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二十四、预备费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二十五、其他支出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二十六、转移性支出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二十七、债务还本支出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二十八、债务付息支出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二十九、债务发行费用支出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三十一、人行科目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3110.10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本年支出合计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21556.17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21556.17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18446.07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年末财政拨款结转和结余</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18446.07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小标宋_GBK" w:hAnsi="方正小标宋_GBK" w:eastAsia="方正小标宋_GBK" w:cs="方正小标宋_GBK"/>
                <w:sz w:val="21"/>
                <w:szCs w:val="21"/>
                <w:lang w:val="en-US" w:eastAsia="zh-CN"/>
              </w:rPr>
            </w:pPr>
            <w:r>
              <w:rPr>
                <w:rFonts w:hint="eastAsia" w:ascii="Calibri" w:hAnsi="Calibri" w:eastAsia="宋体" w:cs="Calibri"/>
                <w:i w:val="0"/>
                <w:color w:val="000000"/>
                <w:kern w:val="0"/>
                <w:sz w:val="22"/>
                <w:szCs w:val="22"/>
                <w:u w:val="none"/>
                <w:lang w:val="en-US" w:eastAsia="zh-CN" w:bidi="ar"/>
              </w:rPr>
              <w:t>21556.17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支出总计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21556.17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hint="default"/>
                <w:lang w:val="en-US"/>
              </w:rPr>
            </w:pPr>
            <w:r>
              <w:rPr>
                <w:rFonts w:hint="eastAsia" w:hAnsi="方正小标宋_GBK" w:eastAsia="方正小标宋_GBK" w:cs="方正小标宋_GBK" w:asciiTheme="minorAscii"/>
                <w:sz w:val="22"/>
                <w:szCs w:val="22"/>
                <w:lang w:val="en-US" w:eastAsia="zh-CN"/>
              </w:rPr>
              <w:t>21556.17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bl>
    <w:p>
      <w:pPr>
        <w:textAlignment w:val="top"/>
        <w:rPr>
          <w:rFonts w:ascii="方正小标宋_GBK" w:hAnsi="方正小标宋_GBK" w:eastAsia="方正小标宋_GBK" w:cs="方正小标宋_GBK"/>
          <w:sz w:val="21"/>
          <w:szCs w:val="21"/>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9"/>
        <w:tblW w:w="14387" w:type="dxa"/>
        <w:tblInd w:w="96" w:type="dxa"/>
        <w:tblLayout w:type="fixed"/>
        <w:tblCellMar>
          <w:top w:w="0" w:type="dxa"/>
          <w:left w:w="108" w:type="dxa"/>
          <w:bottom w:w="0" w:type="dxa"/>
          <w:right w:w="108" w:type="dxa"/>
        </w:tblCellMar>
      </w:tblPr>
      <w:tblGrid>
        <w:gridCol w:w="842"/>
        <w:gridCol w:w="1455"/>
        <w:gridCol w:w="4725"/>
        <w:gridCol w:w="1620"/>
        <w:gridCol w:w="1470"/>
        <w:gridCol w:w="1290"/>
        <w:gridCol w:w="1330"/>
        <w:gridCol w:w="1655"/>
      </w:tblGrid>
      <w:tr>
        <w:tblPrEx>
          <w:tblCellMar>
            <w:top w:w="0" w:type="dxa"/>
            <w:left w:w="108" w:type="dxa"/>
            <w:bottom w:w="0" w:type="dxa"/>
            <w:right w:w="108" w:type="dxa"/>
          </w:tblCellMar>
        </w:tblPrEx>
        <w:trPr>
          <w:trHeight w:val="288" w:hRule="atLeast"/>
        </w:trPr>
        <w:tc>
          <w:tcPr>
            <w:tcW w:w="14387"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部门预算一般公共预算财政拨款支出表</w:t>
            </w:r>
          </w:p>
        </w:tc>
      </w:tr>
      <w:tr>
        <w:tblPrEx>
          <w:tblCellMar>
            <w:top w:w="0" w:type="dxa"/>
            <w:left w:w="108" w:type="dxa"/>
            <w:bottom w:w="0" w:type="dxa"/>
            <w:right w:w="108" w:type="dxa"/>
          </w:tblCellMar>
        </w:tblPrEx>
        <w:trPr>
          <w:trHeight w:val="288" w:hRule="atLeast"/>
        </w:trPr>
        <w:tc>
          <w:tcPr>
            <w:tcW w:w="7022" w:type="dxa"/>
            <w:gridSpan w:val="3"/>
            <w:tcBorders>
              <w:top w:val="nil"/>
              <w:left w:val="nil"/>
              <w:bottom w:val="nil"/>
              <w:right w:val="nil"/>
            </w:tcBorders>
            <w:shd w:val="clear" w:color="auto" w:fill="auto"/>
            <w:noWrap/>
            <w:vAlign w:val="center"/>
          </w:tcPr>
          <w:p>
            <w:pPr>
              <w:pStyle w:val="14"/>
              <w:rPr>
                <w:b/>
                <w:lang w:eastAsia="zh-CN"/>
              </w:rPr>
            </w:pPr>
            <w:r>
              <w:rPr>
                <w:rFonts w:hint="eastAsia"/>
                <w:b/>
                <w:lang w:eastAsia="zh-CN"/>
              </w:rPr>
              <w:t>[348]涞水县交通运输局</w:t>
            </w:r>
          </w:p>
        </w:tc>
        <w:tc>
          <w:tcPr>
            <w:tcW w:w="5710" w:type="dxa"/>
            <w:gridSpan w:val="4"/>
            <w:tcBorders>
              <w:top w:val="nil"/>
              <w:left w:val="nil"/>
              <w:bottom w:val="nil"/>
              <w:right w:val="nil"/>
            </w:tcBorders>
            <w:shd w:val="clear" w:color="auto" w:fill="auto"/>
            <w:noWrap/>
            <w:vAlign w:val="center"/>
          </w:tcPr>
          <w:p>
            <w:pPr>
              <w:pStyle w:val="14"/>
              <w:rPr>
                <w:rFonts w:hint="default"/>
                <w:b/>
                <w:lang w:val="en-US" w:eastAsia="zh-CN"/>
              </w:rPr>
            </w:pPr>
            <w:r>
              <w:rPr>
                <w:rFonts w:hint="eastAsia"/>
                <w:b/>
                <w:lang w:eastAsia="zh-CN"/>
              </w:rPr>
              <w:t>预算年度：202</w:t>
            </w:r>
            <w:r>
              <w:rPr>
                <w:rFonts w:hint="eastAsia"/>
                <w:b/>
                <w:lang w:val="en-US" w:eastAsia="zh-CN"/>
              </w:rPr>
              <w:t>5</w:t>
            </w:r>
          </w:p>
        </w:tc>
        <w:tc>
          <w:tcPr>
            <w:tcW w:w="1655" w:type="dxa"/>
            <w:tcBorders>
              <w:top w:val="nil"/>
              <w:left w:val="nil"/>
              <w:bottom w:val="nil"/>
              <w:right w:val="nil"/>
            </w:tcBorders>
            <w:shd w:val="clear" w:color="auto" w:fill="auto"/>
            <w:noWrap/>
            <w:vAlign w:val="center"/>
          </w:tcPr>
          <w:p>
            <w:pPr>
              <w:pStyle w:val="14"/>
              <w:rPr>
                <w:b/>
                <w:lang w:eastAsia="zh-CN"/>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tblPrEx>
          <w:tblCellMar>
            <w:top w:w="0" w:type="dxa"/>
            <w:left w:w="108" w:type="dxa"/>
            <w:bottom w:w="0" w:type="dxa"/>
            <w:right w:w="108" w:type="dxa"/>
          </w:tblCellMar>
        </w:tblPrEx>
        <w:trPr>
          <w:trHeight w:val="28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21556.17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1584.27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1356.42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19971.90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13.17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4.04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20789.12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19232.90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20789.12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19232.90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1556.22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1328.37</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227.85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14271.44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14271.44</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2140106</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4306.62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4306.62</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公路和运输安全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586.79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586.79</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2140112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68.04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68.04</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7.74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22407</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739.00</w:t>
            </w:r>
          </w:p>
        </w:tc>
      </w:tr>
      <w:tr>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hint="default" w:ascii="方正小标宋_GBK" w:hAnsi="方正小标宋_GBK" w:eastAsia="方正小标宋_GBK" w:cs="方正小标宋_GBK"/>
                <w:sz w:val="18"/>
                <w:szCs w:val="18"/>
                <w:lang w:val="en-US" w:eastAsia="zh-CN"/>
              </w:rPr>
            </w:pPr>
            <w:r>
              <w:rPr>
                <w:rFonts w:hint="eastAsia" w:ascii="方正小标宋_GBK" w:hAnsi="方正小标宋_GBK" w:eastAsia="方正小标宋_GBK" w:cs="方正小标宋_GBK"/>
                <w:sz w:val="18"/>
                <w:szCs w:val="18"/>
                <w:lang w:val="en-US" w:eastAsia="zh-CN"/>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2240704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自然灾害灾后重建补助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739.00</w:t>
            </w:r>
          </w:p>
        </w:tc>
      </w:tr>
      <w:bookmarkEnd w:id="1"/>
    </w:tbl>
    <w:p>
      <w:pPr>
        <w:jc w:val="both"/>
        <w:outlineLvl w:val="1"/>
        <w:sectPr>
          <w:pgSz w:w="16840" w:h="11900" w:orient="landscape"/>
          <w:pgMar w:top="1361" w:right="1020" w:bottom="1134" w:left="1020" w:header="720" w:footer="720" w:gutter="0"/>
          <w:cols w:space="720" w:num="1"/>
        </w:sectPr>
      </w:pPr>
    </w:p>
    <w:tbl>
      <w:tblPr>
        <w:tblStyle w:val="9"/>
        <w:tblW w:w="14417" w:type="dxa"/>
        <w:tblInd w:w="96" w:type="dxa"/>
        <w:tblLayout w:type="fixed"/>
        <w:tblCellMar>
          <w:top w:w="0" w:type="dxa"/>
          <w:left w:w="108" w:type="dxa"/>
          <w:bottom w:w="0" w:type="dxa"/>
          <w:right w:w="108" w:type="dxa"/>
        </w:tblCellMar>
      </w:tblPr>
      <w:tblGrid>
        <w:gridCol w:w="688"/>
        <w:gridCol w:w="1804"/>
        <w:gridCol w:w="4515"/>
        <w:gridCol w:w="2805"/>
        <w:gridCol w:w="2393"/>
        <w:gridCol w:w="2212"/>
      </w:tblGrid>
      <w:tr>
        <w:tblPrEx>
          <w:tblCellMar>
            <w:top w:w="0" w:type="dxa"/>
            <w:left w:w="108" w:type="dxa"/>
            <w:bottom w:w="0" w:type="dxa"/>
            <w:right w:w="108" w:type="dxa"/>
          </w:tblCellMar>
        </w:tblPrEx>
        <w:trPr>
          <w:trHeight w:val="336" w:hRule="atLeast"/>
        </w:trPr>
        <w:tc>
          <w:tcPr>
            <w:tcW w:w="14417"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部门预算一般公共预算财政拨款基本支出表</w:t>
            </w:r>
          </w:p>
        </w:tc>
      </w:tr>
      <w:tr>
        <w:tblPrEx>
          <w:tblCellMar>
            <w:top w:w="0" w:type="dxa"/>
            <w:left w:w="108" w:type="dxa"/>
            <w:bottom w:w="0" w:type="dxa"/>
            <w:right w:w="108" w:type="dxa"/>
          </w:tblCellMar>
        </w:tblPrEx>
        <w:trPr>
          <w:trHeight w:val="288" w:hRule="atLeast"/>
        </w:trPr>
        <w:tc>
          <w:tcPr>
            <w:tcW w:w="7007" w:type="dxa"/>
            <w:gridSpan w:val="3"/>
            <w:tcBorders>
              <w:top w:val="nil"/>
              <w:left w:val="nil"/>
              <w:bottom w:val="nil"/>
              <w:right w:val="nil"/>
            </w:tcBorders>
            <w:shd w:val="clear" w:color="auto" w:fill="auto"/>
            <w:noWrap/>
            <w:vAlign w:val="center"/>
          </w:tcPr>
          <w:p>
            <w:pPr>
              <w:pStyle w:val="14"/>
              <w:rPr>
                <w:b/>
                <w:lang w:eastAsia="zh-CN"/>
              </w:rPr>
            </w:pPr>
            <w:r>
              <w:rPr>
                <w:rFonts w:hint="eastAsia"/>
                <w:b/>
                <w:lang w:eastAsia="zh-CN"/>
              </w:rPr>
              <w:t>[348]涞水县交通运输局</w:t>
            </w:r>
          </w:p>
        </w:tc>
        <w:tc>
          <w:tcPr>
            <w:tcW w:w="5198" w:type="dxa"/>
            <w:gridSpan w:val="2"/>
            <w:tcBorders>
              <w:top w:val="nil"/>
              <w:left w:val="nil"/>
              <w:bottom w:val="nil"/>
              <w:right w:val="nil"/>
            </w:tcBorders>
            <w:shd w:val="clear" w:color="auto" w:fill="auto"/>
            <w:noWrap/>
            <w:vAlign w:val="center"/>
          </w:tcPr>
          <w:p>
            <w:pPr>
              <w:pStyle w:val="14"/>
              <w:rPr>
                <w:rFonts w:hint="default"/>
                <w:b/>
                <w:lang w:val="en-US" w:eastAsia="zh-CN"/>
              </w:rPr>
            </w:pPr>
            <w:r>
              <w:rPr>
                <w:rFonts w:hint="eastAsia"/>
                <w:b/>
                <w:lang w:eastAsia="zh-CN"/>
              </w:rPr>
              <w:t>预算年度：202</w:t>
            </w:r>
            <w:r>
              <w:rPr>
                <w:rFonts w:hint="eastAsia"/>
                <w:b/>
                <w:lang w:val="en-US" w:eastAsia="zh-CN"/>
              </w:rPr>
              <w:t>5</w:t>
            </w:r>
          </w:p>
        </w:tc>
        <w:tc>
          <w:tcPr>
            <w:tcW w:w="2212" w:type="dxa"/>
            <w:tcBorders>
              <w:top w:val="nil"/>
              <w:left w:val="nil"/>
              <w:bottom w:val="nil"/>
              <w:right w:val="nil"/>
            </w:tcBorders>
            <w:shd w:val="clear" w:color="auto" w:fill="auto"/>
            <w:noWrap/>
            <w:vAlign w:val="center"/>
          </w:tcPr>
          <w:p>
            <w:pPr>
              <w:pStyle w:val="14"/>
              <w:jc w:val="right"/>
              <w:rPr>
                <w:b/>
                <w:lang w:eastAsia="zh-CN"/>
              </w:rPr>
            </w:pPr>
            <w:r>
              <w:rPr>
                <w:rFonts w:hint="eastAsia"/>
                <w:b/>
                <w:lang w:eastAsia="zh-CN"/>
              </w:rPr>
              <w:t>单位：万元</w:t>
            </w:r>
          </w:p>
        </w:tc>
      </w:tr>
      <w:tr>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序号</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支出部门经济分类科目</w:t>
            </w:r>
          </w:p>
        </w:tc>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一般公共预算基本支出</w:t>
            </w:r>
          </w:p>
        </w:tc>
      </w:tr>
      <w:tr>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合计</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人员经费</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公用经费</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栏次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1584.27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1356.42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工资福利支出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1353.30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1353.30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基本工资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1209.42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1209.42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津贴补贴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21.85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21.85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奖金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11.78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11.78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绩效工资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81.64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81.64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13.17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13.17</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职工基本医疗保险缴费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5.44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5.44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公务员医疗补助缴费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其他社会保障缴费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0.56</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住房公积金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7.74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7.74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227.85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办公费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36.90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36.90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邮电费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取暖费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差旅费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劳务费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81.97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81.97</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工会经费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13.98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13.98</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福利费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23.23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23.23</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公务用车运行维护费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其他交通费用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6.06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6.06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其他商品和服务支出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对个人和家庭的补助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生活补助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3.12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ascii="方正小标宋_GBK" w:hAnsi="方正小标宋_GBK" w:eastAsia="方正小标宋_GBK" w:cs="方正小标宋_GBK"/>
                <w:szCs w:val="16"/>
                <w:lang w:eastAsia="zh-CN"/>
              </w:rPr>
            </w:pPr>
          </w:p>
        </w:tc>
      </w:tr>
    </w:tbl>
    <w:p>
      <w:pPr>
        <w:jc w:val="both"/>
        <w:outlineLvl w:val="1"/>
        <w:sectPr>
          <w:pgSz w:w="16840" w:h="11900" w:orient="landscape"/>
          <w:pgMar w:top="737" w:right="1020" w:bottom="737" w:left="1020" w:header="720" w:footer="720" w:gutter="0"/>
          <w:cols w:space="0" w:num="1"/>
          <w:rtlGutter w:val="0"/>
          <w:docGrid w:linePitch="0" w:charSpace="0"/>
        </w:sectPr>
      </w:pPr>
    </w:p>
    <w:p>
      <w:pPr>
        <w:jc w:val="center"/>
        <w:outlineLvl w:val="1"/>
        <w:rPr>
          <w:rFonts w:ascii="方正小标宋_GBK" w:hAnsi="方正小标宋_GBK" w:eastAsia="方正小标宋_GBK" w:cs="方正小标宋_GBK"/>
          <w:color w:val="000000"/>
          <w:sz w:val="36"/>
        </w:rPr>
      </w:pPr>
      <w:bookmarkStart w:id="2" w:name="_Toc_2_2_0000000007"/>
    </w:p>
    <w:p>
      <w:pPr>
        <w:jc w:val="center"/>
        <w:outlineLvl w:val="1"/>
      </w:pPr>
      <w:r>
        <w:rPr>
          <w:rFonts w:ascii="方正小标宋_GBK" w:hAnsi="方正小标宋_GBK" w:eastAsia="方正小标宋_GBK" w:cs="方正小标宋_GBK"/>
          <w:color w:val="000000"/>
          <w:sz w:val="36"/>
        </w:rPr>
        <w:t>部门预算政府基金预算财政拨款支出表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b/>
              </w:rPr>
            </w:pPr>
            <w:r>
              <w:rPr>
                <w:rFonts w:hint="eastAsia"/>
                <w:b/>
                <w:lang w:eastAsia="zh-CN"/>
              </w:rPr>
              <w:t>[348]涞水县交通运输局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b/>
                <w:lang w:val="en-US" w:eastAsia="zh-CN"/>
              </w:rPr>
            </w:pPr>
            <w:r>
              <w:rPr>
                <w:b/>
              </w:rPr>
              <w:t>预算年度：202</w:t>
            </w:r>
            <w:r>
              <w:rPr>
                <w:rFonts w:hint="eastAsia"/>
                <w:b/>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rPr>
                <w:b/>
              </w:rPr>
            </w:pPr>
            <w:r>
              <w:rPr>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rFonts w:ascii="方正小标宋_GBK" w:hAnsi="方正小标宋_GBK" w:eastAsia="方正小标宋_GBK" w:cs="方正小标宋_GBK"/>
          <w:color w:val="000000"/>
          <w:sz w:val="36"/>
        </w:rPr>
      </w:pPr>
      <w:bookmarkStart w:id="3" w:name="_Toc_2_2_0000000008"/>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b/>
              </w:rPr>
            </w:pPr>
            <w:r>
              <w:rPr>
                <w:rFonts w:hint="eastAsia"/>
                <w:b/>
                <w:lang w:eastAsia="zh-CN"/>
              </w:rPr>
              <w:t>[348]涞水县交通运输局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b/>
                <w:lang w:val="en-US" w:eastAsia="zh-CN"/>
              </w:rPr>
            </w:pPr>
            <w:r>
              <w:rPr>
                <w:b/>
              </w:rPr>
              <w:t>预算年度：202</w:t>
            </w:r>
            <w:r>
              <w:rPr>
                <w:rFonts w:hint="eastAsia"/>
                <w:b/>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rPr>
                <w:b/>
              </w:rPr>
            </w:pPr>
            <w:r>
              <w:rPr>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rPr>
          <w:rFonts w:ascii="方正书宋_GBK" w:hAnsi="方正书宋_GBK" w:eastAsia="方正书宋_GBK" w:cs="方正书宋_GBK"/>
          <w:color w:val="000000"/>
          <w:sz w:val="21"/>
          <w:lang w:eastAsia="zh-CN"/>
        </w:rPr>
      </w:pPr>
    </w:p>
    <w:p>
      <w:pPr>
        <w:jc w:val="center"/>
        <w:outlineLvl w:val="1"/>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部门预算财政拨款“三公”经费支出表</w:t>
            </w:r>
          </w:p>
        </w:tc>
      </w:tr>
      <w:tr>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rPr>
            </w:pPr>
            <w:r>
              <w:rPr>
                <w:rFonts w:hint="eastAsia" w:ascii="方正小标宋_GBK" w:hAnsi="方正小标宋_GBK" w:eastAsia="方正小标宋_GBK" w:cs="方正小标宋_GBK"/>
                <w:b/>
                <w:lang w:eastAsia="zh-CN"/>
              </w:rPr>
              <w:t>[348]涞水县交通运输局</w:t>
            </w:r>
          </w:p>
        </w:tc>
        <w:tc>
          <w:tcPr>
            <w:tcW w:w="2475" w:type="dxa"/>
            <w:tcBorders>
              <w:top w:val="nil"/>
              <w:left w:val="nil"/>
              <w:bottom w:val="nil"/>
              <w:right w:val="nil"/>
            </w:tcBorders>
            <w:shd w:val="clear" w:color="auto" w:fill="auto"/>
            <w:noWrap/>
            <w:vAlign w:val="center"/>
          </w:tcPr>
          <w:p>
            <w:pPr>
              <w:textAlignment w:val="center"/>
              <w:rPr>
                <w:rFonts w:hint="default" w:ascii="方正小标宋_GBK" w:hAnsi="方正小标宋_GBK" w:eastAsia="方正小标宋_GBK" w:cs="方正小标宋_GBK"/>
                <w:b/>
                <w:lang w:val="en-US"/>
              </w:rPr>
            </w:pPr>
            <w:r>
              <w:rPr>
                <w:rFonts w:hint="eastAsia" w:ascii="方正小标宋_GBK" w:hAnsi="方正小标宋_GBK" w:eastAsia="方正小标宋_GBK" w:cs="方正小标宋_GBK"/>
                <w:b/>
                <w:lang w:eastAsia="zh-CN"/>
              </w:rPr>
              <w:t>预算年度：202</w:t>
            </w:r>
            <w:r>
              <w:rPr>
                <w:rFonts w:hint="eastAsia" w:ascii="方正小标宋_GBK" w:hAnsi="方正小标宋_GBK" w:eastAsia="方正小标宋_GBK" w:cs="方正小标宋_GBK"/>
                <w:b/>
                <w:lang w:val="en-US" w:eastAsia="zh-CN"/>
              </w:rPr>
              <w:t>5</w:t>
            </w:r>
          </w:p>
        </w:tc>
        <w:tc>
          <w:tcPr>
            <w:tcW w:w="3353"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rPr>
            </w:pPr>
            <w:r>
              <w:rPr>
                <w:rFonts w:hint="eastAsia" w:ascii="方正小标宋_GBK" w:hAnsi="方正小标宋_GBK" w:eastAsia="方正小标宋_GBK" w:cs="方正小标宋_GBK"/>
                <w:b/>
                <w:lang w:eastAsia="zh-CN"/>
              </w:rPr>
              <w:t>单位：万元</w:t>
            </w:r>
          </w:p>
        </w:tc>
      </w:tr>
      <w:tr>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资金性质</w:t>
            </w:r>
          </w:p>
        </w:tc>
      </w:tr>
      <w:tr>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r>
              <w:rPr>
                <w:rFonts w:hint="eastAsia"/>
                <w:lang w:eastAsia="zh-CN"/>
              </w:rPr>
              <w:t>国有资本经营预算财政拨款</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hint="eastAsia" w:ascii="方正书宋_GBK" w:hAnsi="方正书宋_GBK" w:cs="方正书宋_GBK" w:eastAsiaTheme="minorEastAsia"/>
                <w:sz w:val="21"/>
              </w:rPr>
            </w:pPr>
            <w:r>
              <w:rPr>
                <w:rFonts w:hint="eastAsia" w:ascii="方正书宋_GBK" w:hAnsi="方正书宋_GBK" w:cs="方正书宋_GBK" w:eastAsiaTheme="minorEastAsia"/>
                <w:sz w:val="21"/>
                <w:lang w:eastAsia="zh-CN"/>
              </w:rPr>
              <w:t>30.50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30.00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cs="方正书宋_GBK" w:eastAsiaTheme="minorEastAsia"/>
                <w:sz w:val="21"/>
                <w:lang w:eastAsia="zh-CN"/>
              </w:rPr>
              <w:t>0</w:t>
            </w:r>
            <w:r>
              <w:rPr>
                <w:rFonts w:ascii="方正书宋_GBK" w:hAnsi="方正书宋_GBK" w:eastAsia="方正书宋_GBK" w:cs="方正书宋_GBK"/>
                <w:sz w:val="21"/>
                <w:lang w:eastAsia="zh-CN"/>
              </w:rPr>
              <w:t>.00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cs="方正书宋_GBK" w:eastAsiaTheme="minorEastAsia"/>
                <w:sz w:val="21"/>
                <w:lang w:eastAsia="zh-CN"/>
              </w:rPr>
              <w:t>0</w:t>
            </w:r>
            <w:r>
              <w:rPr>
                <w:rFonts w:ascii="方正书宋_GBK" w:hAnsi="方正书宋_GBK" w:eastAsia="方正书宋_GBK" w:cs="方正书宋_GBK"/>
                <w:sz w:val="21"/>
                <w:lang w:eastAsia="zh-CN"/>
              </w:rPr>
              <w:t>.00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r>
    </w:tbl>
    <w:p>
      <w:pPr>
        <w:jc w:val="both"/>
        <w:outlineLvl w:val="0"/>
        <w:rPr>
          <w:rFonts w:eastAsiaTheme="minorEastAsia"/>
          <w:lang w:eastAsia="zh-CN"/>
        </w:rPr>
        <w:sectPr>
          <w:pgSz w:w="16840" w:h="11900" w:orient="landscape"/>
          <w:pgMar w:top="1361" w:right="1020" w:bottom="1361" w:left="1020" w:header="720" w:footer="720" w:gutter="0"/>
          <w:cols w:space="720" w:num="1"/>
        </w:sectPr>
      </w:pPr>
    </w:p>
    <w:p>
      <w:pPr>
        <w:jc w:val="both"/>
        <w:rPr>
          <w:rFonts w:ascii="方正小标宋_GBK" w:hAnsi="方正小标宋_GBK" w:eastAsia="方正小标宋_GBK" w:cs="方正小标宋_GBK"/>
          <w:color w:val="000000"/>
          <w:sz w:val="44"/>
          <w:lang w:eastAsia="zh-CN"/>
        </w:rPr>
      </w:pPr>
    </w:p>
    <w:p>
      <w:pPr>
        <w:jc w:val="center"/>
      </w:pPr>
      <w:r>
        <w:rPr>
          <w:rFonts w:hint="eastAsia" w:ascii="方正小标宋_GBK" w:hAnsi="方正小标宋_GBK" w:eastAsia="方正小标宋_GBK" w:cs="方正小标宋_GBK"/>
          <w:color w:val="000000"/>
          <w:sz w:val="44"/>
          <w:lang w:eastAsia="zh-CN"/>
        </w:rPr>
        <w:t>涞水县交通运输局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年部门预算信息公开</w:t>
      </w:r>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年部门预算公开如下：</w:t>
      </w:r>
    </w:p>
    <w:p>
      <w:pPr>
        <w:spacing w:before="10" w:after="10" w:line="360" w:lineRule="auto"/>
        <w:ind w:firstLine="640"/>
        <w:outlineLvl w:val="2"/>
      </w:pPr>
      <w:bookmarkStart w:id="4" w:name="_Toc_3_3_0000000010"/>
      <w:r>
        <w:rPr>
          <w:rFonts w:ascii="黑体" w:hAnsi="黑体" w:eastAsia="黑体" w:cs="黑体"/>
          <w:color w:val="000000"/>
          <w:sz w:val="32"/>
        </w:rPr>
        <w:t>一、部门职责及机构设置情况</w:t>
      </w:r>
      <w:bookmarkEnd w:id="4"/>
    </w:p>
    <w:p>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pPr>
        <w:spacing w:line="500" w:lineRule="exact"/>
        <w:ind w:firstLine="560" w:firstLineChars="200"/>
        <w:rPr>
          <w:rFonts w:eastAsia="方正仿宋_GBK"/>
          <w:sz w:val="28"/>
        </w:rPr>
      </w:pPr>
      <w:r>
        <w:rPr>
          <w:rFonts w:eastAsia="方正仿宋_GBK"/>
          <w:sz w:val="28"/>
        </w:rPr>
        <w:t>（十）指导公路、水路行业安全生产和应急管理工作。</w:t>
      </w:r>
    </w:p>
    <w:p>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pPr>
        <w:spacing w:line="500" w:lineRule="exact"/>
        <w:ind w:firstLine="560" w:firstLineChars="200"/>
        <w:rPr>
          <w:rFonts w:eastAsia="方正仿宋_GBK"/>
          <w:sz w:val="28"/>
        </w:rPr>
      </w:pPr>
      <w:r>
        <w:rPr>
          <w:rFonts w:eastAsia="方正仿宋_GBK"/>
          <w:sz w:val="28"/>
        </w:rPr>
        <w:t>（十三）负责交通战备工作，承担国防动员有关工作。</w:t>
      </w:r>
    </w:p>
    <w:p>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bookmarkStart w:id="5" w:name="_Toc_3_3_0000000011"/>
    </w:p>
    <w:p>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pPr>
              <w:pStyle w:val="17"/>
            </w:pPr>
            <w:r>
              <w:rPr>
                <w:rFonts w:hint="eastAsia"/>
                <w:lang w:eastAsia="zh-CN"/>
              </w:rPr>
              <w:t>涞水县交通运输局</w:t>
            </w:r>
            <w:r>
              <w:t>（本级）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pPr>
              <w:pStyle w:val="17"/>
            </w:pPr>
            <w:r>
              <w:rPr>
                <w:rFonts w:hint="eastAsia"/>
                <w:lang w:eastAsia="zh-CN"/>
              </w:rPr>
              <w:t>涞水县交通运输局</w:t>
            </w:r>
            <w:r>
              <w:t>事业</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outlineLvl w:val="2"/>
        <w:rPr>
          <w:rFonts w:ascii="黑体" w:hAnsi="黑体" w:eastAsia="黑体" w:cs="黑体"/>
          <w:color w:val="000000"/>
          <w:sz w:val="32"/>
          <w:lang w:eastAsia="zh-CN"/>
        </w:rPr>
      </w:pPr>
    </w:p>
    <w:p>
      <w:pPr>
        <w:spacing w:before="10" w:after="10" w:line="360" w:lineRule="auto"/>
        <w:ind w:firstLine="640"/>
        <w:outlineLvl w:val="2"/>
        <w:rPr>
          <w:rFonts w:hint="eastAsia" w:eastAsia="黑体"/>
          <w:color w:val="000000"/>
          <w:sz w:val="28"/>
          <w:lang w:eastAsia="zh-CN"/>
        </w:rPr>
      </w:pPr>
      <w:r>
        <w:rPr>
          <w:rFonts w:ascii="黑体" w:hAnsi="黑体" w:eastAsia="黑体" w:cs="黑体"/>
          <w:color w:val="000000"/>
          <w:sz w:val="32"/>
        </w:rPr>
        <w:t>二、部门预算安排的总体情</w:t>
      </w:r>
      <w:bookmarkEnd w:id="5"/>
      <w:bookmarkStart w:id="6" w:name="_Toc_3_3_0000000012"/>
      <w:r>
        <w:rPr>
          <w:rFonts w:hint="eastAsia" w:ascii="黑体" w:hAnsi="黑体" w:eastAsia="黑体" w:cs="黑体"/>
          <w:color w:val="000000"/>
          <w:sz w:val="32"/>
          <w:lang w:eastAsia="zh-CN"/>
        </w:rPr>
        <w:t>况</w:t>
      </w:r>
    </w:p>
    <w:bookmarkEnd w:id="6"/>
    <w:p>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pPr>
        <w:spacing w:line="560" w:lineRule="exact"/>
        <w:ind w:firstLine="640"/>
        <w:rPr>
          <w:rFonts w:hint="eastAsia"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5</w:t>
      </w:r>
      <w:r>
        <w:rPr>
          <w:rFonts w:hint="eastAsia" w:eastAsia="方正仿宋_GBK"/>
          <w:color w:val="000000"/>
          <w:sz w:val="28"/>
          <w:lang w:eastAsia="zh-CN"/>
        </w:rPr>
        <w:t>年一般公共预算拨款收入共计</w:t>
      </w:r>
      <w:r>
        <w:rPr>
          <w:rFonts w:hint="eastAsia" w:eastAsia="方正仿宋_GBK"/>
          <w:color w:val="000000"/>
          <w:sz w:val="28"/>
          <w:lang w:val="en-US" w:eastAsia="zh-CN"/>
        </w:rPr>
        <w:t>3110.10</w:t>
      </w:r>
      <w:r>
        <w:rPr>
          <w:rFonts w:hint="eastAsia" w:eastAsia="方正仿宋_GBK"/>
          <w:color w:val="000000"/>
          <w:sz w:val="28"/>
          <w:lang w:eastAsia="zh-CN"/>
        </w:rPr>
        <w:t>万元。其中：财政拨款</w:t>
      </w:r>
      <w:r>
        <w:rPr>
          <w:rFonts w:hint="eastAsia" w:eastAsia="方正仿宋_GBK"/>
          <w:color w:val="000000"/>
          <w:sz w:val="28"/>
          <w:lang w:val="en-US" w:eastAsia="zh-CN"/>
        </w:rPr>
        <w:t>3110.10</w:t>
      </w:r>
      <w:r>
        <w:rPr>
          <w:rFonts w:hint="eastAsia" w:eastAsia="方正仿宋_GBK"/>
          <w:color w:val="000000"/>
          <w:sz w:val="28"/>
          <w:lang w:eastAsia="zh-CN"/>
        </w:rPr>
        <w:t>万元。</w:t>
      </w:r>
    </w:p>
    <w:p>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5</w:t>
      </w:r>
      <w:r>
        <w:rPr>
          <w:rFonts w:hint="eastAsia" w:eastAsia="方正仿宋_GBK"/>
          <w:color w:val="000000"/>
          <w:sz w:val="28"/>
          <w:lang w:eastAsia="zh-CN"/>
        </w:rPr>
        <w:t>年预算支出</w:t>
      </w:r>
      <w:r>
        <w:rPr>
          <w:rFonts w:hint="eastAsia" w:eastAsiaTheme="minorEastAsia"/>
          <w:color w:val="000000"/>
          <w:sz w:val="28"/>
          <w:lang w:val="en-US" w:eastAsia="zh-CN"/>
        </w:rPr>
        <w:t>71095.3</w:t>
      </w:r>
      <w:r>
        <w:rPr>
          <w:rFonts w:hint="eastAsia" w:eastAsia="方正仿宋_GBK"/>
          <w:color w:val="000000"/>
          <w:sz w:val="28"/>
          <w:lang w:eastAsia="zh-CN"/>
        </w:rPr>
        <w:t>万元。其中：基本支出</w:t>
      </w:r>
      <w:r>
        <w:rPr>
          <w:rFonts w:hint="eastAsia" w:eastAsiaTheme="minorEastAsia"/>
          <w:color w:val="000000"/>
          <w:sz w:val="28"/>
          <w:lang w:val="en-US" w:eastAsia="zh-CN"/>
        </w:rPr>
        <w:t>1584.27</w:t>
      </w:r>
      <w:r>
        <w:rPr>
          <w:rFonts w:hint="eastAsia" w:eastAsia="方正仿宋_GBK"/>
          <w:color w:val="000000"/>
          <w:sz w:val="28"/>
          <w:lang w:eastAsia="zh-CN"/>
        </w:rPr>
        <w:t>万元 （人员经费</w:t>
      </w:r>
      <w:r>
        <w:rPr>
          <w:rFonts w:hint="eastAsia" w:eastAsiaTheme="minorEastAsia"/>
          <w:color w:val="000000"/>
          <w:sz w:val="28"/>
          <w:lang w:val="en-US" w:eastAsia="zh-CN"/>
        </w:rPr>
        <w:t>1356.42</w:t>
      </w:r>
      <w:r>
        <w:rPr>
          <w:rFonts w:hint="eastAsia" w:eastAsia="方正仿宋_GBK"/>
          <w:color w:val="000000"/>
          <w:sz w:val="28"/>
          <w:lang w:eastAsia="zh-CN"/>
        </w:rPr>
        <w:t>万元，日常公用经费</w:t>
      </w:r>
      <w:r>
        <w:rPr>
          <w:rFonts w:hint="eastAsia" w:eastAsiaTheme="minorEastAsia"/>
          <w:color w:val="000000"/>
          <w:sz w:val="28"/>
          <w:lang w:val="en-US" w:eastAsia="zh-CN"/>
        </w:rPr>
        <w:t>227.85</w:t>
      </w:r>
      <w:r>
        <w:rPr>
          <w:rFonts w:hint="eastAsia" w:eastAsia="方正仿宋_GBK"/>
          <w:color w:val="000000"/>
          <w:sz w:val="28"/>
          <w:lang w:eastAsia="zh-CN"/>
        </w:rPr>
        <w:t>万元）；项目支出</w:t>
      </w:r>
      <w:r>
        <w:rPr>
          <w:rFonts w:hint="eastAsia" w:eastAsiaTheme="minorEastAsia"/>
          <w:color w:val="000000"/>
          <w:sz w:val="28"/>
          <w:lang w:val="en-US" w:eastAsia="zh-CN"/>
        </w:rPr>
        <w:t>19971.9</w:t>
      </w:r>
      <w:r>
        <w:rPr>
          <w:rFonts w:hint="eastAsia" w:eastAsia="方正仿宋_GBK"/>
          <w:color w:val="000000"/>
          <w:sz w:val="28"/>
          <w:lang w:eastAsia="zh-CN"/>
        </w:rPr>
        <w:t>万元，主要是自然灾害及恢复重建、</w:t>
      </w:r>
      <w:r>
        <w:rPr>
          <w:rFonts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养护工程项目资金。</w:t>
      </w:r>
    </w:p>
    <w:p>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pPr>
        <w:spacing w:before="10" w:after="10"/>
        <w:ind w:firstLine="640"/>
        <w:outlineLvl w:val="5"/>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年人员经费支出</w:t>
      </w:r>
      <w:r>
        <w:rPr>
          <w:rFonts w:hint="eastAsia" w:eastAsiaTheme="minorEastAsia"/>
          <w:color w:val="000000"/>
          <w:sz w:val="28"/>
          <w:lang w:val="en-US" w:eastAsia="zh-CN"/>
        </w:rPr>
        <w:t>1356.42</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1383.88</w:t>
      </w:r>
      <w:r>
        <w:rPr>
          <w:rFonts w:hint="eastAsia" w:eastAsia="方正仿宋_GBK"/>
          <w:color w:val="000000"/>
          <w:sz w:val="28"/>
          <w:lang w:eastAsia="zh-CN"/>
        </w:rPr>
        <w:t>万元减少</w:t>
      </w:r>
      <w:r>
        <w:rPr>
          <w:rFonts w:hint="eastAsia" w:eastAsiaTheme="minorEastAsia"/>
          <w:color w:val="000000"/>
          <w:sz w:val="28"/>
          <w:lang w:val="en-US" w:eastAsia="zh-CN"/>
        </w:rPr>
        <w:t>27.46</w:t>
      </w:r>
      <w:r>
        <w:rPr>
          <w:rFonts w:hint="eastAsia" w:eastAsia="方正仿宋_GBK"/>
          <w:color w:val="000000"/>
          <w:sz w:val="28"/>
          <w:lang w:eastAsia="zh-CN"/>
        </w:rPr>
        <w:t>万元，主要为我局退休职工增加；202</w:t>
      </w:r>
      <w:r>
        <w:rPr>
          <w:rFonts w:hint="eastAsia" w:eastAsia="方正仿宋_GBK"/>
          <w:color w:val="000000"/>
          <w:sz w:val="28"/>
          <w:lang w:val="en-US" w:eastAsia="zh-CN"/>
        </w:rPr>
        <w:t>5</w:t>
      </w:r>
      <w:r>
        <w:rPr>
          <w:rFonts w:hint="eastAsia" w:eastAsia="方正仿宋_GBK"/>
          <w:color w:val="000000"/>
          <w:sz w:val="28"/>
          <w:lang w:eastAsia="zh-CN"/>
        </w:rPr>
        <w:t>年日常公用经费为</w:t>
      </w:r>
      <w:r>
        <w:rPr>
          <w:rFonts w:hint="eastAsia" w:eastAsiaTheme="minorEastAsia"/>
          <w:color w:val="000000"/>
          <w:sz w:val="28"/>
          <w:lang w:val="en-US" w:eastAsia="zh-CN"/>
        </w:rPr>
        <w:t>227.85</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234.27</w:t>
      </w:r>
      <w:r>
        <w:rPr>
          <w:rFonts w:hint="eastAsia" w:eastAsia="方正仿宋_GBK"/>
          <w:color w:val="000000"/>
          <w:sz w:val="28"/>
          <w:lang w:eastAsia="zh-CN"/>
        </w:rPr>
        <w:t>万元，</w:t>
      </w:r>
      <w:r>
        <w:rPr>
          <w:rFonts w:hint="eastAsia" w:asciiTheme="minorEastAsia" w:hAnsiTheme="minorEastAsia" w:eastAsiaTheme="minorEastAsia"/>
          <w:color w:val="000000"/>
          <w:sz w:val="28"/>
          <w:lang w:eastAsia="zh-CN"/>
        </w:rPr>
        <w:t>减少</w:t>
      </w:r>
      <w:r>
        <w:rPr>
          <w:rFonts w:hint="eastAsia" w:asciiTheme="minorEastAsia" w:hAnsiTheme="minorEastAsia" w:eastAsiaTheme="minorEastAsia"/>
          <w:color w:val="000000"/>
          <w:sz w:val="28"/>
          <w:lang w:val="en-US" w:eastAsia="zh-CN"/>
        </w:rPr>
        <w:t>6.42</w:t>
      </w:r>
      <w:r>
        <w:rPr>
          <w:rFonts w:hint="eastAsia" w:eastAsia="方正仿宋_GBK"/>
          <w:color w:val="000000"/>
          <w:sz w:val="28"/>
          <w:lang w:eastAsia="zh-CN"/>
        </w:rPr>
        <w:t>万元，主要为我局</w:t>
      </w:r>
      <w:r>
        <w:rPr>
          <w:rFonts w:hint="eastAsia" w:asciiTheme="minorEastAsia" w:hAnsiTheme="minorEastAsia" w:eastAsiaTheme="minorEastAsia"/>
          <w:color w:val="000000"/>
          <w:sz w:val="28"/>
          <w:lang w:val="en-US" w:eastAsia="zh-CN"/>
        </w:rPr>
        <w:t>24年人员减少4人，劳务派遣减少4人</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年项目支出</w:t>
      </w:r>
      <w:r>
        <w:rPr>
          <w:rFonts w:hint="eastAsia" w:eastAsiaTheme="minorEastAsia"/>
          <w:color w:val="000000"/>
          <w:sz w:val="28"/>
          <w:lang w:val="en-US" w:eastAsia="zh-CN"/>
        </w:rPr>
        <w:t>19971.9</w:t>
      </w:r>
      <w:r>
        <w:rPr>
          <w:rFonts w:hint="eastAsia" w:eastAsia="方正仿宋_GBK"/>
          <w:color w:val="000000"/>
          <w:sz w:val="28"/>
          <w:lang w:eastAsia="zh-CN"/>
        </w:rPr>
        <w:t>万元比202</w:t>
      </w:r>
      <w:r>
        <w:rPr>
          <w:rFonts w:hint="eastAsia" w:eastAsia="方正仿宋_GBK"/>
          <w:color w:val="000000"/>
          <w:sz w:val="28"/>
          <w:lang w:val="en-US" w:eastAsia="zh-CN"/>
        </w:rPr>
        <w:t>4</w:t>
      </w:r>
      <w:r>
        <w:rPr>
          <w:rFonts w:hint="eastAsia" w:eastAsia="方正仿宋_GBK"/>
          <w:color w:val="000000"/>
          <w:sz w:val="28"/>
          <w:lang w:eastAsia="zh-CN"/>
        </w:rPr>
        <w:t>年预算数</w:t>
      </w:r>
      <w:r>
        <w:rPr>
          <w:rFonts w:hint="eastAsia" w:eastAsiaTheme="minorEastAsia"/>
          <w:color w:val="000000"/>
          <w:sz w:val="28"/>
          <w:lang w:val="en-US" w:eastAsia="zh-CN"/>
        </w:rPr>
        <w:t>69477.15</w:t>
      </w:r>
      <w:r>
        <w:rPr>
          <w:rFonts w:hint="eastAsia" w:eastAsia="方正仿宋_GBK"/>
          <w:color w:val="000000"/>
          <w:sz w:val="28"/>
          <w:lang w:eastAsia="zh-CN"/>
        </w:rPr>
        <w:t>万元，减少</w:t>
      </w:r>
      <w:r>
        <w:rPr>
          <w:rFonts w:hint="eastAsia" w:eastAsiaTheme="minorEastAsia"/>
          <w:color w:val="000000"/>
          <w:sz w:val="28"/>
          <w:lang w:val="en-US" w:eastAsia="zh-CN"/>
        </w:rPr>
        <w:t>49505.25</w:t>
      </w:r>
      <w:r>
        <w:rPr>
          <w:rFonts w:hint="eastAsia" w:eastAsia="方正仿宋_GBK"/>
          <w:color w:val="000000"/>
          <w:sz w:val="28"/>
          <w:lang w:eastAsia="zh-CN"/>
        </w:rPr>
        <w:t>万元，主要为202</w:t>
      </w:r>
      <w:r>
        <w:rPr>
          <w:rFonts w:hint="eastAsia" w:eastAsia="方正仿宋_GBK"/>
          <w:color w:val="000000"/>
          <w:sz w:val="28"/>
          <w:lang w:val="en-US" w:eastAsia="zh-CN"/>
        </w:rPr>
        <w:t>3</w:t>
      </w:r>
      <w:r>
        <w:rPr>
          <w:rFonts w:hint="eastAsia" w:eastAsia="方正仿宋_GBK"/>
          <w:color w:val="000000"/>
          <w:sz w:val="28"/>
          <w:lang w:eastAsia="zh-CN"/>
        </w:rPr>
        <w:t>年自然灾害及恢复重建工程基本完工。</w:t>
      </w:r>
    </w:p>
    <w:p>
      <w:pPr>
        <w:spacing w:before="10" w:after="10"/>
        <w:ind w:firstLine="640"/>
        <w:outlineLvl w:val="5"/>
      </w:pPr>
      <w:r>
        <w:rPr>
          <w:rFonts w:hint="eastAsia" w:ascii="黑体" w:hAnsi="黑体" w:eastAsia="黑体" w:cs="黑体"/>
          <w:color w:val="000000"/>
          <w:sz w:val="32"/>
        </w:rPr>
        <w:t>三、机关运行经费安排情况</w:t>
      </w:r>
    </w:p>
    <w:p>
      <w:pPr>
        <w:spacing w:line="560" w:lineRule="exact"/>
        <w:ind w:firstLine="560" w:firstLineChars="20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涞水县交通运输局</w:t>
      </w:r>
      <w:r>
        <w:rPr>
          <w:rFonts w:hint="eastAsia" w:eastAsia="方正仿宋_GBK"/>
          <w:color w:val="000000"/>
          <w:sz w:val="28"/>
        </w:rPr>
        <w:t>单位预算安排机关运行经费支出</w:t>
      </w:r>
      <w:r>
        <w:rPr>
          <w:rFonts w:hint="eastAsia" w:eastAsia="方正仿宋_GBK"/>
          <w:color w:val="000000"/>
          <w:sz w:val="28"/>
          <w:lang w:val="en-US" w:eastAsia="zh-CN"/>
        </w:rPr>
        <w:t>227.85</w:t>
      </w:r>
      <w:r>
        <w:rPr>
          <w:rFonts w:hint="eastAsia" w:eastAsia="方正仿宋_GBK"/>
          <w:color w:val="000000"/>
          <w:sz w:val="28"/>
        </w:rPr>
        <w:t>万元，其中包括办公费</w:t>
      </w:r>
      <w:r>
        <w:rPr>
          <w:rFonts w:hint="eastAsia" w:eastAsia="方正仿宋_GBK"/>
          <w:color w:val="000000"/>
          <w:sz w:val="28"/>
          <w:lang w:val="en-US" w:eastAsia="zh-CN"/>
        </w:rPr>
        <w:t>36.9</w:t>
      </w:r>
      <w:r>
        <w:rPr>
          <w:rFonts w:hint="eastAsia" w:eastAsia="方正仿宋_GBK"/>
          <w:color w:val="000000"/>
          <w:sz w:val="28"/>
        </w:rPr>
        <w:t>万元，邮电费0.36万元，取暖费17.25万元，差旅费17万元，公务接待费0.50万元，公务用车运行维护费</w:t>
      </w:r>
      <w:r>
        <w:rPr>
          <w:rFonts w:hint="eastAsia" w:eastAsiaTheme="minorEastAsia"/>
          <w:color w:val="000000"/>
          <w:sz w:val="28"/>
          <w:lang w:eastAsia="zh-CN"/>
        </w:rPr>
        <w:t>30</w:t>
      </w:r>
      <w:r>
        <w:rPr>
          <w:rFonts w:hint="eastAsia" w:eastAsia="方正仿宋_GBK"/>
          <w:color w:val="000000"/>
          <w:sz w:val="28"/>
        </w:rPr>
        <w:t>.00万元，公务交通补贴</w:t>
      </w:r>
      <w:r>
        <w:rPr>
          <w:rFonts w:hint="eastAsia" w:eastAsia="方正仿宋_GBK"/>
          <w:color w:val="000000"/>
          <w:sz w:val="28"/>
          <w:lang w:val="en-US" w:eastAsia="zh-CN"/>
        </w:rPr>
        <w:t xml:space="preserve">   6.06   </w:t>
      </w:r>
      <w:r>
        <w:rPr>
          <w:rFonts w:hint="eastAsia" w:eastAsia="方正仿宋_GBK"/>
          <w:color w:val="000000"/>
          <w:sz w:val="28"/>
        </w:rPr>
        <w:t>万元，离退休人员公用经费</w:t>
      </w:r>
      <w:r>
        <w:rPr>
          <w:rFonts w:hint="eastAsia" w:eastAsiaTheme="minorEastAsia"/>
          <w:color w:val="000000"/>
          <w:sz w:val="28"/>
          <w:lang w:val="en-US" w:eastAsia="zh-CN"/>
        </w:rPr>
        <w:t>0.6</w:t>
      </w:r>
      <w:r>
        <w:rPr>
          <w:rFonts w:hint="eastAsia" w:eastAsia="方正仿宋_GBK"/>
          <w:color w:val="000000"/>
          <w:sz w:val="28"/>
        </w:rPr>
        <w:t>万元，劳务费</w:t>
      </w:r>
      <w:r>
        <w:rPr>
          <w:rFonts w:hint="eastAsia" w:eastAsiaTheme="minorEastAsia"/>
          <w:color w:val="000000"/>
          <w:sz w:val="28"/>
          <w:lang w:val="en-US" w:eastAsia="zh-CN"/>
        </w:rPr>
        <w:t>81.97</w:t>
      </w:r>
      <w:r>
        <w:rPr>
          <w:rFonts w:hint="eastAsia" w:eastAsia="方正仿宋_GBK"/>
          <w:color w:val="000000"/>
          <w:sz w:val="28"/>
        </w:rPr>
        <w:t>万元，工会经费</w:t>
      </w:r>
      <w:r>
        <w:rPr>
          <w:rFonts w:hint="eastAsia" w:eastAsiaTheme="minorEastAsia"/>
          <w:color w:val="000000"/>
          <w:sz w:val="28"/>
          <w:lang w:eastAsia="zh-CN"/>
        </w:rPr>
        <w:t>13.</w:t>
      </w:r>
      <w:r>
        <w:rPr>
          <w:rFonts w:hint="eastAsia" w:eastAsiaTheme="minorEastAsia"/>
          <w:color w:val="000000"/>
          <w:sz w:val="28"/>
          <w:lang w:val="en-US" w:eastAsia="zh-CN"/>
        </w:rPr>
        <w:t>98</w:t>
      </w:r>
      <w:r>
        <w:rPr>
          <w:rFonts w:hint="eastAsia" w:eastAsia="方正仿宋_GBK"/>
          <w:color w:val="000000"/>
          <w:sz w:val="28"/>
        </w:rPr>
        <w:t>万元，职工福利费</w:t>
      </w:r>
      <w:r>
        <w:rPr>
          <w:rFonts w:hint="eastAsia" w:eastAsiaTheme="minorEastAsia"/>
          <w:color w:val="000000"/>
          <w:sz w:val="28"/>
          <w:lang w:val="en-US" w:eastAsia="zh-CN"/>
        </w:rPr>
        <w:t>23.23</w:t>
      </w:r>
      <w:r>
        <w:rPr>
          <w:rFonts w:hint="eastAsia" w:eastAsia="方正仿宋_GBK"/>
          <w:color w:val="000000"/>
          <w:sz w:val="28"/>
        </w:rPr>
        <w:t>万元</w:t>
      </w:r>
      <w:r>
        <w:rPr>
          <w:rFonts w:hint="eastAsia" w:eastAsiaTheme="minorEastAsia"/>
          <w:color w:val="000000"/>
          <w:sz w:val="28"/>
          <w:lang w:eastAsia="zh-CN"/>
        </w:rPr>
        <w:t>。</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36"/>
        <w:spacing w:line="500" w:lineRule="exact"/>
        <w:ind w:left="420" w:leftChars="175" w:firstLine="56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年我单位安排“三公”经费共计</w:t>
      </w:r>
      <w:r>
        <w:rPr>
          <w:rFonts w:hint="eastAsia" w:eastAsia="方正仿宋_GBK"/>
          <w:color w:val="000000"/>
          <w:sz w:val="28"/>
          <w:lang w:val="en-US" w:eastAsia="zh-CN"/>
        </w:rPr>
        <w:t>30.5</w:t>
      </w:r>
      <w:r>
        <w:rPr>
          <w:rFonts w:hint="eastAsia" w:eastAsia="方正仿宋_GBK"/>
          <w:color w:val="000000"/>
          <w:sz w:val="28"/>
        </w:rPr>
        <w:t>万元，其中因公出国经费0万元与202</w:t>
      </w:r>
      <w:r>
        <w:rPr>
          <w:rFonts w:hint="eastAsia" w:eastAsia="方正仿宋_GBK"/>
          <w:color w:val="000000"/>
          <w:sz w:val="28"/>
          <w:lang w:val="en-US" w:eastAsia="zh-CN"/>
        </w:rPr>
        <w:t>4</w:t>
      </w:r>
      <w:r>
        <w:rPr>
          <w:rFonts w:hint="eastAsia" w:eastAsia="方正仿宋_GBK"/>
          <w:color w:val="000000"/>
          <w:sz w:val="28"/>
        </w:rPr>
        <w:t>年相同;公务接待费0.50万元，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；公务用车购置及运行维护费3</w:t>
      </w:r>
      <w:r>
        <w:rPr>
          <w:rFonts w:hint="eastAsia" w:eastAsiaTheme="minorEastAsia"/>
          <w:color w:val="000000"/>
          <w:sz w:val="28"/>
          <w:lang w:eastAsia="zh-CN"/>
        </w:rPr>
        <w:t>0</w:t>
      </w:r>
      <w:r>
        <w:rPr>
          <w:rFonts w:hint="eastAsia" w:eastAsia="方正仿宋_GBK"/>
          <w:color w:val="000000"/>
          <w:sz w:val="28"/>
        </w:rPr>
        <w:t>.00万元，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。公务用车购置费0万元，与202</w:t>
      </w:r>
      <w:r>
        <w:rPr>
          <w:rFonts w:hint="eastAsia" w:eastAsia="方正仿宋_GBK"/>
          <w:color w:val="000000"/>
          <w:sz w:val="28"/>
          <w:lang w:val="en-US" w:eastAsia="zh-CN"/>
        </w:rPr>
        <w:t>4</w:t>
      </w:r>
      <w:r>
        <w:rPr>
          <w:rFonts w:hint="eastAsia" w:eastAsia="方正仿宋_GBK"/>
          <w:color w:val="000000"/>
          <w:sz w:val="28"/>
        </w:rPr>
        <w:t>年持平。</w:t>
      </w:r>
      <w:r>
        <w:rPr>
          <w:rFonts w:hint="eastAsia" w:eastAsia="方正仿宋_GBK"/>
          <w:color w:val="000000"/>
          <w:sz w:val="28"/>
          <w:lang w:eastAsia="zh-CN"/>
        </w:rPr>
        <w:t>公务用车购置及运行维护费</w:t>
      </w:r>
      <w:r>
        <w:rPr>
          <w:rFonts w:hint="eastAsia" w:eastAsia="方正仿宋_GBK"/>
          <w:color w:val="000000"/>
          <w:sz w:val="28"/>
        </w:rPr>
        <w:t>下降原因为：严格执行</w:t>
      </w:r>
      <w:r>
        <w:rPr>
          <w:rFonts w:hint="eastAsia" w:eastAsia="方正仿宋_GBK"/>
          <w:color w:val="000000"/>
          <w:sz w:val="28"/>
          <w:lang w:eastAsia="zh-CN"/>
        </w:rPr>
        <w:t>中央</w:t>
      </w:r>
      <w:r>
        <w:rPr>
          <w:rFonts w:hint="eastAsia" w:eastAsia="方正仿宋_GBK"/>
          <w:color w:val="000000"/>
          <w:sz w:val="28"/>
        </w:rPr>
        <w:t>八项规定要求，努力压缩开支，公务用车改革取得实效。</w:t>
      </w:r>
    </w:p>
    <w:p>
      <w:pPr>
        <w:spacing w:before="10" w:after="10" w:line="360" w:lineRule="auto"/>
        <w:outlineLvl w:val="2"/>
        <w:rPr>
          <w:rFonts w:ascii="黑体" w:hAnsi="黑体" w:eastAsia="黑体" w:cs="黑体"/>
          <w:color w:val="000000"/>
          <w:sz w:val="32"/>
          <w:lang w:eastAsia="zh-CN"/>
        </w:rPr>
      </w:pPr>
    </w:p>
    <w:tbl>
      <w:tblPr>
        <w:tblStyle w:val="9"/>
        <w:tblW w:w="13935" w:type="dxa"/>
        <w:tblInd w:w="263" w:type="dxa"/>
        <w:tblLayout w:type="fixed"/>
        <w:tblCellMar>
          <w:top w:w="0" w:type="dxa"/>
          <w:left w:w="108" w:type="dxa"/>
          <w:bottom w:w="0" w:type="dxa"/>
          <w:right w:w="108" w:type="dxa"/>
        </w:tblCellMar>
      </w:tblPr>
      <w:tblGrid>
        <w:gridCol w:w="2205"/>
        <w:gridCol w:w="1979"/>
        <w:gridCol w:w="2059"/>
        <w:gridCol w:w="1855"/>
        <w:gridCol w:w="5837"/>
      </w:tblGrid>
      <w:tr>
        <w:tblPrEx>
          <w:tblCellMar>
            <w:top w:w="0" w:type="dxa"/>
            <w:left w:w="108" w:type="dxa"/>
            <w:bottom w:w="0" w:type="dxa"/>
            <w:right w:w="108" w:type="dxa"/>
          </w:tblCellMar>
        </w:tblPrEx>
        <w:trPr>
          <w:trHeight w:val="221" w:hRule="atLeast"/>
        </w:trPr>
        <w:tc>
          <w:tcPr>
            <w:tcW w:w="2205" w:type="dxa"/>
            <w:tcBorders>
              <w:top w:val="nil"/>
              <w:left w:val="nil"/>
              <w:bottom w:val="nil"/>
              <w:right w:val="nil"/>
            </w:tcBorders>
            <w:vAlign w:val="center"/>
          </w:tcPr>
          <w:p>
            <w:pPr>
              <w:rPr>
                <w:rFonts w:ascii="宋体" w:hAnsi="宋体" w:eastAsia="宋体" w:cs="宋体"/>
              </w:rPr>
            </w:pPr>
          </w:p>
        </w:tc>
        <w:tc>
          <w:tcPr>
            <w:tcW w:w="1979" w:type="dxa"/>
            <w:tcBorders>
              <w:top w:val="nil"/>
              <w:left w:val="nil"/>
              <w:bottom w:val="nil"/>
              <w:right w:val="nil"/>
            </w:tcBorders>
            <w:vAlign w:val="center"/>
          </w:tcPr>
          <w:p>
            <w:pPr>
              <w:rPr>
                <w:rFonts w:ascii="宋体" w:hAnsi="宋体" w:eastAsia="宋体" w:cs="宋体"/>
              </w:rPr>
            </w:pPr>
          </w:p>
        </w:tc>
        <w:tc>
          <w:tcPr>
            <w:tcW w:w="2059" w:type="dxa"/>
            <w:tcBorders>
              <w:top w:val="nil"/>
              <w:left w:val="nil"/>
              <w:bottom w:val="nil"/>
              <w:right w:val="nil"/>
            </w:tcBorders>
            <w:vAlign w:val="center"/>
          </w:tcPr>
          <w:p>
            <w:pPr>
              <w:rPr>
                <w:rFonts w:ascii="宋体" w:hAnsi="宋体" w:eastAsia="宋体" w:cs="宋体"/>
              </w:rPr>
            </w:pPr>
          </w:p>
        </w:tc>
        <w:tc>
          <w:tcPr>
            <w:tcW w:w="1855" w:type="dxa"/>
            <w:tcBorders>
              <w:top w:val="nil"/>
              <w:left w:val="nil"/>
              <w:bottom w:val="nil"/>
              <w:right w:val="nil"/>
            </w:tcBorders>
            <w:vAlign w:val="center"/>
          </w:tcPr>
          <w:p>
            <w:pPr>
              <w:rPr>
                <w:rFonts w:ascii="宋体" w:hAnsi="宋体" w:eastAsia="宋体" w:cs="宋体"/>
              </w:rPr>
            </w:pPr>
          </w:p>
        </w:tc>
        <w:tc>
          <w:tcPr>
            <w:tcW w:w="5837"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576" w:hRule="atLeast"/>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97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20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5</w:t>
            </w:r>
            <w:r>
              <w:rPr>
                <w:rFonts w:hint="eastAsia" w:ascii="仿宋_GB2312" w:hAnsi="宋体" w:eastAsia="仿宋_GB2312"/>
              </w:rPr>
              <w:t>年度预算</w:t>
            </w:r>
          </w:p>
        </w:tc>
        <w:tc>
          <w:tcPr>
            <w:tcW w:w="18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583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76"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97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05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837"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16"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97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05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583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97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30</w:t>
            </w:r>
          </w:p>
        </w:tc>
        <w:tc>
          <w:tcPr>
            <w:tcW w:w="2059"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30.00</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837"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5"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979"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0.50</w:t>
            </w:r>
          </w:p>
        </w:tc>
        <w:tc>
          <w:tcPr>
            <w:tcW w:w="2059"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0.50</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583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40"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97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30.50</w:t>
            </w:r>
          </w:p>
        </w:tc>
        <w:tc>
          <w:tcPr>
            <w:tcW w:w="2059"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30.50</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837"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spacing w:before="10" w:after="10" w:line="360" w:lineRule="auto"/>
        <w:outlineLvl w:val="2"/>
        <w:rPr>
          <w:rFonts w:ascii="黑体" w:hAnsi="黑体" w:eastAsia="黑体" w:cs="黑体"/>
          <w:color w:val="000000"/>
          <w:sz w:val="32"/>
          <w:lang w:eastAsia="zh-CN"/>
        </w:rPr>
      </w:pPr>
      <w:bookmarkStart w:id="7" w:name="_Toc_3_3_0000000014"/>
    </w:p>
    <w:p>
      <w:pPr>
        <w:spacing w:before="10" w:after="10" w:line="360" w:lineRule="auto"/>
        <w:ind w:firstLine="640"/>
        <w:outlineLvl w:val="2"/>
        <w:rPr>
          <w:rFonts w:eastAsiaTheme="minorEastAsia"/>
          <w:lang w:eastAsia="zh-CN"/>
        </w:rPr>
      </w:pPr>
      <w:r>
        <w:rPr>
          <w:rFonts w:ascii="黑体" w:hAnsi="黑体" w:eastAsia="黑体" w:cs="黑体"/>
          <w:color w:val="000000"/>
          <w:sz w:val="32"/>
        </w:rPr>
        <w:t>五、预算绩效信息</w:t>
      </w:r>
      <w:bookmarkEnd w:id="7"/>
    </w:p>
    <w:p>
      <w:pPr>
        <w:ind w:firstLine="640"/>
        <w:rPr>
          <w:rFonts w:eastAsiaTheme="minorEastAsia"/>
          <w:lang w:val="uk-UA" w:eastAsia="zh-CN"/>
        </w:rP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rPr>
          <w:lang w:eastAsia="zh-CN"/>
        </w:rPr>
      </w:pPr>
      <w:r>
        <w:rPr>
          <w:lang w:eastAsia="zh-CN"/>
        </w:rPr>
        <w:t>202</w:t>
      </w:r>
      <w:r>
        <w:rPr>
          <w:rFonts w:hint="eastAsia"/>
          <w:lang w:val="en-US" w:eastAsia="zh-CN"/>
        </w:rPr>
        <w:t>5</w:t>
      </w:r>
      <w:r>
        <w:rPr>
          <w:lang w:eastAsia="zh-CN"/>
        </w:rPr>
        <w:t>年,在县委、县政府的坚强领导下，在省市交通部门的大力支持和指导下，我局全体干部职工逆势而上、求真务实、兢兢业业，坚决贯彻落实涞水县委确立的“11458”总要求，坚定不移的做好</w:t>
      </w:r>
      <w:r>
        <w:rPr>
          <w:rFonts w:hint="eastAsia"/>
          <w:lang w:eastAsia="zh-CN"/>
        </w:rPr>
        <w:t>交通建设</w:t>
      </w:r>
      <w:r>
        <w:rPr>
          <w:lang w:eastAsia="zh-CN"/>
        </w:rPr>
        <w:t>工作，全力以赴打赢建设项目、行政执法、路域环境治理等攻坚战，各项工作任务圆满完成。</w:t>
      </w:r>
    </w:p>
    <w:p>
      <w:pPr>
        <w:pStyle w:val="26"/>
        <w:rPr>
          <w:lang w:eastAsia="zh-CN"/>
        </w:rPr>
      </w:pPr>
      <w:r>
        <w:rPr>
          <w:lang w:eastAsia="zh-CN"/>
        </w:rPr>
        <w:t>202</w:t>
      </w:r>
      <w:r>
        <w:rPr>
          <w:rFonts w:hint="eastAsia"/>
          <w:lang w:val="en-US" w:eastAsia="zh-CN"/>
        </w:rPr>
        <w:t>5</w:t>
      </w:r>
      <w:r>
        <w:rPr>
          <w:lang w:eastAsia="zh-CN"/>
        </w:rPr>
        <w:t>年，我局将在做好常态化疫情防控的前提下，继续围绕全县的中心工作，以项目建设和行业管理为主线，抓队伍、转作风，抓问题、严整改，抓落实、出精品，努力推动涞水交通建设高质量发展。</w:t>
      </w:r>
    </w:p>
    <w:p>
      <w:pPr>
        <w:spacing w:before="10" w:after="10"/>
        <w:ind w:firstLine="560"/>
        <w:jc w:val="left"/>
        <w:outlineLvl w:val="1"/>
      </w:pPr>
      <w:bookmarkStart w:id="8" w:name="_Toc_2_2_0000000002"/>
      <w:r>
        <w:rPr>
          <w:rFonts w:ascii="方正黑体_GBK" w:hAnsi="方正黑体_GBK" w:eastAsia="方正黑体_GBK" w:cs="方正黑体_GBK"/>
          <w:color w:val="000000"/>
          <w:sz w:val="28"/>
        </w:rPr>
        <w:t>二、分项绩效目标</w:t>
      </w:r>
      <w:bookmarkEnd w:id="8"/>
    </w:p>
    <w:p>
      <w:pPr>
        <w:pStyle w:val="27"/>
      </w:pPr>
      <w:r>
        <w:t>(一）2024年养护工程项目资金。</w:t>
      </w:r>
    </w:p>
    <w:p>
      <w:pPr>
        <w:pStyle w:val="27"/>
      </w:pPr>
      <w:r>
        <w:t>绩效目标：</w:t>
      </w:r>
    </w:p>
    <w:p>
      <w:pPr>
        <w:pStyle w:val="27"/>
      </w:pPr>
      <w:r>
        <w:t>加强路网建设，保证我县农村公路畅通，为我县经济发展和人民出行提供有力的保障。</w:t>
      </w:r>
    </w:p>
    <w:p>
      <w:pPr>
        <w:pStyle w:val="27"/>
      </w:pPr>
      <w:r>
        <w:t>绩效指标：</w:t>
      </w:r>
    </w:p>
    <w:p>
      <w:pPr>
        <w:pStyle w:val="27"/>
      </w:pPr>
      <w:r>
        <w:t>1、质量指标的优良率，实施项目的数量占总项目数的比率（百分比）达到90%为优。</w:t>
      </w:r>
    </w:p>
    <w:p>
      <w:pPr>
        <w:pStyle w:val="27"/>
      </w:pPr>
      <w:r>
        <w:t>2、数量指标的覆盖率，全年实施覆盖情况，全县已完成公路的百分之百，指标达到90%为优。</w:t>
      </w:r>
    </w:p>
    <w:p>
      <w:pPr>
        <w:pStyle w:val="27"/>
      </w:pPr>
      <w:r>
        <w:t>3、社会效益指标的社会稳定水平，通过项目实施促进社会稳定水平。</w:t>
      </w:r>
    </w:p>
    <w:p>
      <w:pPr>
        <w:pStyle w:val="27"/>
      </w:pPr>
      <w:r>
        <w:t>（二）2024年交通事业建设专项经费。</w:t>
      </w:r>
    </w:p>
    <w:p>
      <w:pPr>
        <w:pStyle w:val="27"/>
      </w:pPr>
      <w:r>
        <w:t>绩效目标：</w:t>
      </w:r>
    </w:p>
    <w:p>
      <w:pPr>
        <w:pStyle w:val="27"/>
      </w:pPr>
      <w:r>
        <w:t>交通事业建设专项经费，为我县交通建设事业提供有力保证，为我县交通建设、交通环境的优化发展提供保证。</w:t>
      </w:r>
    </w:p>
    <w:p>
      <w:pPr>
        <w:pStyle w:val="27"/>
      </w:pPr>
      <w:r>
        <w:t>绩效指标：</w:t>
      </w:r>
    </w:p>
    <w:p>
      <w:pPr>
        <w:pStyle w:val="27"/>
      </w:pPr>
      <w:r>
        <w:t>1、质量指标的优良率，实施项目的数量占总项目数的比率（百分比）指标达到90%以上为优。</w:t>
      </w:r>
    </w:p>
    <w:p>
      <w:pPr>
        <w:pStyle w:val="27"/>
      </w:pPr>
      <w:r>
        <w:t>2、数量指标的项目实施完成率，项目实施完成情况，项目完成率达到90%以上为优。</w:t>
      </w:r>
    </w:p>
    <w:p>
      <w:pPr>
        <w:pStyle w:val="27"/>
      </w:pPr>
      <w:r>
        <w:t>3、社会效益指标的社会稳定水平，通过项目实施促进社会稳定水平。</w:t>
      </w:r>
    </w:p>
    <w:p>
      <w:pPr>
        <w:pStyle w:val="27"/>
      </w:pPr>
      <w:r>
        <w:t>（三)2025年农村公路建设养护发展专项资金。</w:t>
      </w:r>
    </w:p>
    <w:p>
      <w:pPr>
        <w:pStyle w:val="27"/>
      </w:pPr>
      <w:r>
        <w:t>绩效目标：</w:t>
      </w:r>
    </w:p>
    <w:p>
      <w:pPr>
        <w:pStyle w:val="27"/>
      </w:pPr>
      <w:r>
        <w:t>农村公路养护是我县经济发展的主要推动力，公路建设养护有效保证我县交通运输和人民出行。</w:t>
      </w:r>
    </w:p>
    <w:p>
      <w:pPr>
        <w:pStyle w:val="27"/>
      </w:pPr>
      <w:r>
        <w:t>绩效指标：</w:t>
      </w:r>
    </w:p>
    <w:p>
      <w:pPr>
        <w:pStyle w:val="27"/>
      </w:pPr>
      <w:r>
        <w:t>1、质量指标的优良率，实施项目的数量占总项目数的比率（百分比）项目实施优良率达到90%以上为优。</w:t>
      </w:r>
    </w:p>
    <w:p>
      <w:pPr>
        <w:pStyle w:val="27"/>
      </w:pPr>
      <w:r>
        <w:t>2、数量指标的覆盖率，全年实施覆盖情况。公路养护公里数为100%，养护覆盖率达到90%为优。社会效益指标的社会稳定水平，通过项目实施促进社会稳定水平。</w:t>
      </w:r>
    </w:p>
    <w:p>
      <w:pPr>
        <w:pStyle w:val="27"/>
      </w:pPr>
      <w:r>
        <w:t>3、满意度指标，服务对象的满意度，群众满意数量占总数的比例，依据满意度调查表达到90%以上为优。</w:t>
      </w:r>
    </w:p>
    <w:p>
      <w:pPr>
        <w:pStyle w:val="27"/>
      </w:pPr>
      <w:r>
        <w:t> </w:t>
      </w:r>
    </w:p>
    <w:p>
      <w:pPr>
        <w:pStyle w:val="27"/>
      </w:pPr>
      <w:r>
        <w:t>（四）2025年交通日常维修费用。</w:t>
      </w:r>
    </w:p>
    <w:p>
      <w:pPr>
        <w:pStyle w:val="27"/>
      </w:pPr>
      <w:r>
        <w:t>绩效目标：</w:t>
      </w:r>
    </w:p>
    <w:p>
      <w:pPr>
        <w:pStyle w:val="27"/>
      </w:pPr>
      <w:r>
        <w:t>交通运输局日常维修保证工作人员日常办公，优化办公环境。</w:t>
      </w:r>
    </w:p>
    <w:p>
      <w:pPr>
        <w:pStyle w:val="27"/>
      </w:pPr>
      <w:r>
        <w:t>绩效指标：</w:t>
      </w:r>
    </w:p>
    <w:p>
      <w:pPr>
        <w:pStyle w:val="27"/>
      </w:pPr>
      <w:r>
        <w:t>1、项目实施完成率，项目实施完成情况与项目实施后达到的效果。</w:t>
      </w:r>
    </w:p>
    <w:p>
      <w:pPr>
        <w:pStyle w:val="27"/>
      </w:pPr>
      <w:r>
        <w:t>2、质量指标，项目完成后合格率，质监部门出具质量合格率。</w:t>
      </w:r>
    </w:p>
    <w:p>
      <w:pPr>
        <w:pStyle w:val="27"/>
      </w:pPr>
      <w:r>
        <w:t>3、成本指标，资金支付比率，资金到位与支付比率数达到90%以上为优。</w:t>
      </w:r>
    </w:p>
    <w:p>
      <w:pPr>
        <w:pStyle w:val="27"/>
      </w:pPr>
      <w:r>
        <w:t>4、满意度指标，服务对象的满意度，群众满意数量占总数的比例依据满意度调查表达到90%以上为优。</w:t>
      </w:r>
    </w:p>
    <w:p>
      <w:pPr>
        <w:spacing w:before="10" w:after="10"/>
        <w:ind w:firstLine="560"/>
        <w:jc w:val="left"/>
        <w:outlineLvl w:val="1"/>
      </w:pPr>
      <w:r>
        <w:rPr>
          <w:rFonts w:ascii="方正黑体_GBK" w:hAnsi="方正黑体_GBK" w:eastAsia="方正黑体_GBK" w:cs="方正黑体_GBK"/>
          <w:color w:val="000000"/>
          <w:sz w:val="28"/>
        </w:rPr>
        <w:t>三、工作保障措施</w:t>
      </w:r>
    </w:p>
    <w:p>
      <w:pPr>
        <w:pStyle w:val="28"/>
      </w:pPr>
      <w:r>
        <w:t>202</w:t>
      </w:r>
      <w:r>
        <w:rPr>
          <w:rFonts w:hint="eastAsia"/>
          <w:lang w:val="en-US" w:eastAsia="zh-CN"/>
        </w:rPr>
        <w:t>5</w:t>
      </w:r>
      <w:r>
        <w:t xml:space="preserve">年是全面贯彻党的二十大精神开局之年，对我县交通工作更是极不平凡的一年，是夺取灾后恢复重建和交通运输高质量发展双胜利的关键之年。一年来，我们深入开展第二批学习贯彻习近平新时代中国特色社会主义思想主题教育，认真学习习近平总书记关于对交通运输工作的重要论述和在河北、在保定考察时的重要讲话精神，奋力夺取抢险救灾胜利，再接再厉推进灾后恢复重建，强化交通运输执法，确保安全生产形势稳定，圆满的完成了上级交办的工作任务。  </w:t>
      </w:r>
    </w:p>
    <w:p>
      <w:pPr>
        <w:pStyle w:val="28"/>
      </w:pPr>
      <w:r>
        <w:t>1、完善制度建设</w:t>
      </w:r>
    </w:p>
    <w:p>
      <w:pPr>
        <w:pStyle w:val="28"/>
      </w:pPr>
      <w: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lang w:eastAsia="zh-CN"/>
        </w:rPr>
        <w:t>健全</w:t>
      </w:r>
      <w:r>
        <w:t>财务制度，严格执行制度办公。</w:t>
      </w:r>
    </w:p>
    <w:p>
      <w:pPr>
        <w:pStyle w:val="28"/>
      </w:pPr>
      <w:r>
        <w:t>2、加强支出管理。</w:t>
      </w:r>
    </w:p>
    <w:p>
      <w:pPr>
        <w:pStyle w:val="28"/>
      </w:pPr>
      <w:r>
        <w:t>全面贯彻党的二十大和习近平总书记系列重要讲话精神，认真执行新修订的《</w:t>
      </w:r>
      <w:r>
        <w:rPr>
          <w:rFonts w:hint="eastAsia"/>
          <w:lang w:eastAsia="zh-CN"/>
        </w:rPr>
        <w:t>中华人民共和国</w:t>
      </w:r>
      <w:bookmarkStart w:id="23" w:name="_GoBack"/>
      <w:bookmarkEnd w:id="23"/>
      <w:r>
        <w:t>预算法》、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pPr>
        <w:pStyle w:val="28"/>
      </w:pPr>
      <w:r>
        <w:t>3、加强绩效运行监控。</w:t>
      </w:r>
    </w:p>
    <w:p>
      <w:pPr>
        <w:pStyle w:val="28"/>
      </w:pPr>
      <w:r>
        <w:t>调整结构，优先保障基本。加快推进项目支出定额标准体系建设，提高机关运行经费年初预算细化程度，保证机关事业单位正常运转。全面落实各项民生政策，全面进行绩效运行监控。</w:t>
      </w:r>
    </w:p>
    <w:p>
      <w:pPr>
        <w:pStyle w:val="28"/>
      </w:pPr>
      <w:r>
        <w:t>4、做好绩效自评。</w:t>
      </w:r>
    </w:p>
    <w:p>
      <w:pPr>
        <w:pStyle w:val="28"/>
      </w:pPr>
      <w:r>
        <w:t>对我单位项目的实施，严格按照绩效评价进行自评，对综合得分进行自我改正。</w:t>
      </w:r>
    </w:p>
    <w:p>
      <w:pPr>
        <w:pStyle w:val="28"/>
      </w:pPr>
      <w:r>
        <w:t>5、强化宣传引导</w:t>
      </w:r>
    </w:p>
    <w:p>
      <w:pPr>
        <w:pStyle w:val="28"/>
      </w:pPr>
      <w: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line="500" w:lineRule="exact"/>
        <w:ind w:firstLine="560"/>
        <w:rPr>
          <w:rFonts w:eastAsia="方正仿宋_GBK"/>
          <w:color w:val="000000"/>
          <w:sz w:val="28"/>
        </w:rPr>
      </w:pPr>
    </w:p>
    <w:p>
      <w:pPr>
        <w:spacing w:line="500" w:lineRule="exact"/>
        <w:rPr>
          <w:rFonts w:eastAsia="方正仿宋_GBK"/>
          <w:sz w:val="28"/>
          <w:lang w:val="uk-UA" w:eastAsia="zh-CN"/>
        </w:rPr>
      </w:pPr>
    </w:p>
    <w:p>
      <w:pPr>
        <w:numPr>
          <w:ilvl w:val="0"/>
          <w:numId w:val="2"/>
        </w:numPr>
        <w:rPr>
          <w:rFonts w:ascii="方正楷体_GBK" w:hAnsi="方正楷体_GBK" w:eastAsia="方正楷体_GBK" w:cs="方正楷体_GBK"/>
          <w:b/>
          <w:color w:val="000000"/>
          <w:sz w:val="32"/>
          <w:lang w:val="uk-UA" w:eastAsia="zh-CN"/>
        </w:rPr>
      </w:pPr>
      <w:r>
        <w:rPr>
          <w:rFonts w:ascii="方正楷体_GBK" w:hAnsi="方正楷体_GBK" w:eastAsia="方正楷体_GBK" w:cs="方正楷体_GBK"/>
          <w:b/>
          <w:color w:val="000000"/>
          <w:sz w:val="32"/>
        </w:rPr>
        <w:t xml:space="preserve"> 预算项目绩效目标</w:t>
      </w:r>
    </w:p>
    <w:p>
      <w:pPr>
        <w:numPr>
          <w:ilvl w:val="0"/>
          <w:numId w:val="0"/>
        </w:numPr>
        <w:rPr>
          <w:rFonts w:ascii="方正楷体_GBK" w:hAnsi="方正楷体_GBK" w:eastAsia="方正楷体_GBK" w:cs="方正楷体_GBK"/>
          <w:b/>
          <w:color w:val="000000"/>
          <w:sz w:val="32"/>
        </w:rPr>
      </w:pPr>
    </w:p>
    <w:p>
      <w:pPr>
        <w:numPr>
          <w:ilvl w:val="0"/>
          <w:numId w:val="0"/>
        </w:numPr>
        <w:rPr>
          <w:rFonts w:ascii="方正楷体_GBK" w:hAnsi="方正楷体_GBK" w:eastAsia="方正楷体_GBK" w:cs="方正楷体_GBK"/>
          <w:b/>
          <w:color w:val="000000"/>
          <w:sz w:val="32"/>
        </w:rPr>
      </w:pPr>
    </w:p>
    <w:p>
      <w:pPr>
        <w:numPr>
          <w:ilvl w:val="0"/>
          <w:numId w:val="0"/>
        </w:numPr>
        <w:rPr>
          <w:rFonts w:ascii="方正楷体_GBK" w:hAnsi="方正楷体_GBK" w:eastAsia="方正楷体_GBK" w:cs="方正楷体_GBK"/>
          <w:b/>
          <w:color w:val="000000"/>
          <w:sz w:val="32"/>
        </w:rPr>
      </w:pPr>
    </w:p>
    <w:p>
      <w:pPr>
        <w:spacing w:before="0" w:after="0"/>
        <w:ind w:firstLine="560"/>
        <w:jc w:val="left"/>
        <w:outlineLvl w:val="3"/>
      </w:pPr>
      <w:bookmarkStart w:id="9" w:name="_Toc_4_4_0000000004"/>
      <w:r>
        <w:rPr>
          <w:rFonts w:ascii="方正仿宋_GBK" w:hAnsi="方正仿宋_GBK" w:eastAsia="方正仿宋_GBK" w:cs="方正仿宋_GBK"/>
          <w:color w:val="000000"/>
          <w:sz w:val="28"/>
        </w:rPr>
        <w:t>1.2023年国债灾后恢复重建和提升防灾减灾能力补助资金（涞水县水毁公路恢复重建工程）冀财预[2023]74号绩效目标表</w:t>
      </w:r>
      <w:bookmarkEnd w:id="9"/>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13062324P000245100038</w:t>
            </w:r>
          </w:p>
        </w:tc>
        <w:tc>
          <w:tcPr>
            <w:tcW w:w="1587" w:type="dxa"/>
            <w:vAlign w:val="center"/>
          </w:tcPr>
          <w:p>
            <w:pPr>
              <w:pStyle w:val="15"/>
            </w:pPr>
            <w:r>
              <w:t>项目名称</w:t>
            </w:r>
          </w:p>
        </w:tc>
        <w:tc>
          <w:tcPr>
            <w:tcW w:w="4423" w:type="dxa"/>
            <w:gridSpan w:val="3"/>
            <w:vAlign w:val="center"/>
          </w:tcPr>
          <w:p>
            <w:pPr>
              <w:pStyle w:val="17"/>
            </w:pPr>
            <w:r>
              <w:t>2023年国债灾后恢复重建和提升防灾减灾能力补助资金（涞水县水毁公路恢复重建工程）冀财预[2023]74号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12971.44</w:t>
            </w:r>
          </w:p>
        </w:tc>
        <w:tc>
          <w:tcPr>
            <w:tcW w:w="1587" w:type="dxa"/>
            <w:vAlign w:val="center"/>
          </w:tcPr>
          <w:p>
            <w:pPr>
              <w:pStyle w:val="15"/>
            </w:pPr>
            <w:r>
              <w:t>其中：财政    资金</w:t>
            </w:r>
          </w:p>
        </w:tc>
        <w:tc>
          <w:tcPr>
            <w:tcW w:w="1304" w:type="dxa"/>
            <w:vAlign w:val="center"/>
          </w:tcPr>
          <w:p>
            <w:pPr>
              <w:pStyle w:val="17"/>
            </w:pPr>
            <w:r>
              <w:t>12971.44</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本项目恢复重建128.078公里，恢复重建桥梁67座，恢复重建涵洞122道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12971443832%</w:t>
            </w:r>
          </w:p>
        </w:tc>
        <w:tc>
          <w:tcPr>
            <w:tcW w:w="3119"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1.本项目恢复重建128.078公里，恢复重建桥梁67座，恢复重建涵洞122道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工程量完成率</w:t>
            </w:r>
          </w:p>
        </w:tc>
        <w:tc>
          <w:tcPr>
            <w:tcW w:w="2891" w:type="dxa"/>
            <w:vAlign w:val="center"/>
          </w:tcPr>
          <w:p>
            <w:pPr>
              <w:pStyle w:val="17"/>
            </w:pPr>
            <w:r>
              <w:t>工程量完成率</w:t>
            </w:r>
          </w:p>
        </w:tc>
        <w:tc>
          <w:tcPr>
            <w:tcW w:w="1276" w:type="dxa"/>
            <w:vAlign w:val="center"/>
          </w:tcPr>
          <w:p>
            <w:pPr>
              <w:pStyle w:val="17"/>
            </w:pPr>
            <w:r>
              <w:t>≥10%</w:t>
            </w:r>
          </w:p>
        </w:tc>
        <w:tc>
          <w:tcPr>
            <w:tcW w:w="1843" w:type="dxa"/>
            <w:vAlign w:val="center"/>
          </w:tcPr>
          <w:p>
            <w:pPr>
              <w:pStyle w:val="17"/>
            </w:pPr>
            <w:r>
              <w:t>计量支付</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工程按期完成率（%）</w:t>
            </w:r>
          </w:p>
        </w:tc>
        <w:tc>
          <w:tcPr>
            <w:tcW w:w="2891" w:type="dxa"/>
            <w:vAlign w:val="center"/>
          </w:tcPr>
          <w:p>
            <w:pPr>
              <w:pStyle w:val="17"/>
            </w:pPr>
            <w:r>
              <w:t>按期完成的工程量占总工程量的比率</w:t>
            </w:r>
          </w:p>
        </w:tc>
        <w:tc>
          <w:tcPr>
            <w:tcW w:w="1276" w:type="dxa"/>
            <w:vAlign w:val="center"/>
          </w:tcPr>
          <w:p>
            <w:pPr>
              <w:pStyle w:val="17"/>
            </w:pPr>
            <w:r>
              <w:t>≥10%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工程合格率</w:t>
            </w:r>
          </w:p>
        </w:tc>
        <w:tc>
          <w:tcPr>
            <w:tcW w:w="2891" w:type="dxa"/>
            <w:vAlign w:val="center"/>
          </w:tcPr>
          <w:p>
            <w:pPr>
              <w:pStyle w:val="17"/>
            </w:pPr>
            <w:r>
              <w:t>通过验收的工程量占建设总量的比率</w:t>
            </w:r>
          </w:p>
        </w:tc>
        <w:tc>
          <w:tcPr>
            <w:tcW w:w="1276" w:type="dxa"/>
            <w:vAlign w:val="center"/>
          </w:tcPr>
          <w:p>
            <w:pPr>
              <w:pStyle w:val="17"/>
            </w:pPr>
            <w:r>
              <w:t>≥10%</w:t>
            </w:r>
          </w:p>
        </w:tc>
        <w:tc>
          <w:tcPr>
            <w:tcW w:w="1843" w:type="dxa"/>
            <w:vAlign w:val="center"/>
          </w:tcPr>
          <w:p>
            <w:pPr>
              <w:pStyle w:val="17"/>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≤65280万元</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显著提升</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对社会经济发展的影响</w:t>
            </w:r>
          </w:p>
        </w:tc>
        <w:tc>
          <w:tcPr>
            <w:tcW w:w="2891" w:type="dxa"/>
            <w:vAlign w:val="center"/>
          </w:tcPr>
          <w:p>
            <w:pPr>
              <w:pStyle w:val="17"/>
            </w:pPr>
            <w:r>
              <w:t>对社会经济发展的影响</w:t>
            </w:r>
          </w:p>
        </w:tc>
        <w:tc>
          <w:tcPr>
            <w:tcW w:w="1276" w:type="dxa"/>
            <w:vAlign w:val="center"/>
          </w:tcPr>
          <w:p>
            <w:pPr>
              <w:pStyle w:val="17"/>
            </w:pPr>
            <w:r>
              <w:t>反映良好</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满足生态环保要求</w:t>
            </w:r>
          </w:p>
        </w:tc>
        <w:tc>
          <w:tcPr>
            <w:tcW w:w="2891" w:type="dxa"/>
            <w:vAlign w:val="center"/>
          </w:tcPr>
          <w:p>
            <w:pPr>
              <w:pStyle w:val="17"/>
            </w:pPr>
            <w:r>
              <w:t>满足生态环保要求</w:t>
            </w:r>
          </w:p>
        </w:tc>
        <w:tc>
          <w:tcPr>
            <w:tcW w:w="1276" w:type="dxa"/>
            <w:vAlign w:val="center"/>
          </w:tcPr>
          <w:p>
            <w:pPr>
              <w:pStyle w:val="17"/>
            </w:pPr>
            <w:r>
              <w:t>满足</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基建类项目持续使用时间（年）</w:t>
            </w:r>
          </w:p>
        </w:tc>
        <w:tc>
          <w:tcPr>
            <w:tcW w:w="2891" w:type="dxa"/>
            <w:vAlign w:val="center"/>
          </w:tcPr>
          <w:p>
            <w:pPr>
              <w:pStyle w:val="17"/>
            </w:pPr>
            <w:r>
              <w:t>基建类项目持续使用时间（年）</w:t>
            </w:r>
          </w:p>
        </w:tc>
        <w:tc>
          <w:tcPr>
            <w:tcW w:w="1276" w:type="dxa"/>
            <w:vAlign w:val="center"/>
          </w:tcPr>
          <w:p>
            <w:pPr>
              <w:pStyle w:val="17"/>
            </w:pPr>
            <w:r>
              <w:t>≥10年</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调查问卷</w:t>
            </w:r>
          </w:p>
          <w:p>
            <w:pPr>
              <w:pStyle w:val="17"/>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05"/>
      <w:r>
        <w:rPr>
          <w:rFonts w:ascii="方正仿宋_GBK" w:hAnsi="方正仿宋_GBK" w:eastAsia="方正仿宋_GBK" w:cs="方正仿宋_GBK"/>
          <w:color w:val="000000"/>
          <w:sz w:val="28"/>
        </w:rPr>
        <w:t>2.2024年一般债券2023年涞水县水毁公路恢复重建工程（调整）绩效目标表</w:t>
      </w:r>
      <w:bookmarkEnd w:id="10"/>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13062324P00953510002U</w:t>
            </w:r>
          </w:p>
        </w:tc>
        <w:tc>
          <w:tcPr>
            <w:tcW w:w="1587" w:type="dxa"/>
            <w:vAlign w:val="center"/>
          </w:tcPr>
          <w:p>
            <w:pPr>
              <w:pStyle w:val="15"/>
            </w:pPr>
            <w:r>
              <w:t>项目名称</w:t>
            </w:r>
          </w:p>
        </w:tc>
        <w:tc>
          <w:tcPr>
            <w:tcW w:w="4423" w:type="dxa"/>
            <w:gridSpan w:val="3"/>
            <w:vAlign w:val="center"/>
          </w:tcPr>
          <w:p>
            <w:pPr>
              <w:pStyle w:val="17"/>
            </w:pPr>
            <w:r>
              <w:t>2024年一般债券2023年涞水县水毁公路恢复重建工程（调整）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1300.00</w:t>
            </w:r>
          </w:p>
        </w:tc>
        <w:tc>
          <w:tcPr>
            <w:tcW w:w="1587" w:type="dxa"/>
            <w:vAlign w:val="center"/>
          </w:tcPr>
          <w:p>
            <w:pPr>
              <w:pStyle w:val="15"/>
            </w:pPr>
            <w:r>
              <w:t>其中：财政    资金</w:t>
            </w:r>
          </w:p>
        </w:tc>
        <w:tc>
          <w:tcPr>
            <w:tcW w:w="1304" w:type="dxa"/>
            <w:vAlign w:val="center"/>
          </w:tcPr>
          <w:p>
            <w:pPr>
              <w:pStyle w:val="17"/>
            </w:pPr>
            <w:r>
              <w:t>1300.00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本项目恢复重建128.078公里，恢复重建桥梁67座，恢复重建涵洞122道</w:t>
            </w:r>
            <w:r>
              <w:tab/>
            </w:r>
            <w:r>
              <w:tab/>
            </w:r>
            <w:r>
              <w:tab/>
            </w:r>
            <w:r>
              <w:tab/>
            </w:r>
            <w:r>
              <w:tab/>
            </w:r>
            <w:r>
              <w:tab/>
            </w:r>
          </w:p>
          <w:p>
            <w:pPr>
              <w:pStyle w:val="17"/>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1300000000%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1."本项目恢复重建128.078公里，恢复重建桥梁67座，恢复重建涵洞122道</w:t>
            </w:r>
            <w:r>
              <w:tab/>
            </w:r>
            <w:r>
              <w:tab/>
            </w:r>
            <w:r>
              <w:tab/>
            </w:r>
          </w:p>
          <w:p>
            <w:pPr>
              <w:pStyle w:val="17"/>
            </w:pP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98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1274"/>
        <w:gridCol w:w="1330"/>
        <w:gridCol w:w="2886"/>
        <w:gridCol w:w="1274"/>
        <w:gridCol w:w="1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1274" w:type="dxa"/>
            <w:vAlign w:val="center"/>
          </w:tcPr>
          <w:p>
            <w:pPr>
              <w:pStyle w:val="15"/>
            </w:pPr>
            <w:r>
              <w:t>一级指标</w:t>
            </w:r>
          </w:p>
        </w:tc>
        <w:tc>
          <w:tcPr>
            <w:tcW w:w="1274" w:type="dxa"/>
            <w:vAlign w:val="center"/>
          </w:tcPr>
          <w:p>
            <w:pPr>
              <w:pStyle w:val="15"/>
            </w:pPr>
            <w:r>
              <w:t>二级指标</w:t>
            </w:r>
          </w:p>
        </w:tc>
        <w:tc>
          <w:tcPr>
            <w:tcW w:w="1330" w:type="dxa"/>
            <w:vAlign w:val="center"/>
          </w:tcPr>
          <w:p>
            <w:pPr>
              <w:pStyle w:val="15"/>
            </w:pPr>
            <w:r>
              <w:t>三级指标</w:t>
            </w:r>
          </w:p>
        </w:tc>
        <w:tc>
          <w:tcPr>
            <w:tcW w:w="2886" w:type="dxa"/>
            <w:vAlign w:val="center"/>
          </w:tcPr>
          <w:p>
            <w:pPr>
              <w:pStyle w:val="15"/>
            </w:pPr>
            <w:r>
              <w:t>绩效指标描述</w:t>
            </w:r>
          </w:p>
        </w:tc>
        <w:tc>
          <w:tcPr>
            <w:tcW w:w="1274" w:type="dxa"/>
            <w:vAlign w:val="center"/>
          </w:tcPr>
          <w:p>
            <w:pPr>
              <w:pStyle w:val="15"/>
            </w:pPr>
            <w:r>
              <w:t>指标值</w:t>
            </w:r>
          </w:p>
        </w:tc>
        <w:tc>
          <w:tcPr>
            <w:tcW w:w="1840"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1274" w:type="dxa"/>
            <w:vMerge w:val="restart"/>
            <w:vAlign w:val="center"/>
          </w:tcPr>
          <w:p>
            <w:pPr>
              <w:pStyle w:val="18"/>
            </w:pPr>
            <w:r>
              <w:t>产出指标</w:t>
            </w:r>
          </w:p>
        </w:tc>
        <w:tc>
          <w:tcPr>
            <w:tcW w:w="1274" w:type="dxa"/>
            <w:vAlign w:val="center"/>
          </w:tcPr>
          <w:p>
            <w:pPr>
              <w:pStyle w:val="17"/>
            </w:pPr>
            <w:r>
              <w:t>数量指标</w:t>
            </w:r>
          </w:p>
        </w:tc>
        <w:tc>
          <w:tcPr>
            <w:tcW w:w="1330" w:type="dxa"/>
            <w:vAlign w:val="center"/>
          </w:tcPr>
          <w:p>
            <w:pPr>
              <w:pStyle w:val="17"/>
            </w:pPr>
            <w:r>
              <w:t>工程量完成率</w:t>
            </w:r>
          </w:p>
        </w:tc>
        <w:tc>
          <w:tcPr>
            <w:tcW w:w="2886" w:type="dxa"/>
            <w:vAlign w:val="center"/>
          </w:tcPr>
          <w:p>
            <w:pPr>
              <w:pStyle w:val="17"/>
            </w:pPr>
            <w:r>
              <w:t>工程量完成率</w:t>
            </w:r>
          </w:p>
        </w:tc>
        <w:tc>
          <w:tcPr>
            <w:tcW w:w="1274" w:type="dxa"/>
            <w:vAlign w:val="center"/>
          </w:tcPr>
          <w:p>
            <w:pPr>
              <w:pStyle w:val="17"/>
            </w:pPr>
            <w:r>
              <w:t>≥10%</w:t>
            </w:r>
          </w:p>
        </w:tc>
        <w:tc>
          <w:tcPr>
            <w:tcW w:w="1840" w:type="dxa"/>
            <w:vAlign w:val="center"/>
          </w:tcPr>
          <w:p>
            <w:pPr>
              <w:pStyle w:val="17"/>
            </w:pPr>
            <w:r>
              <w:t>每少完成1%扣1分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1274" w:type="dxa"/>
            <w:vMerge w:val="continue"/>
            <w:vAlign w:val="center"/>
          </w:tcPr>
          <w:p/>
        </w:tc>
        <w:tc>
          <w:tcPr>
            <w:tcW w:w="1274" w:type="dxa"/>
            <w:vAlign w:val="center"/>
          </w:tcPr>
          <w:p>
            <w:pPr>
              <w:pStyle w:val="17"/>
            </w:pPr>
            <w:r>
              <w:t>质量指标</w:t>
            </w:r>
          </w:p>
        </w:tc>
        <w:tc>
          <w:tcPr>
            <w:tcW w:w="1330" w:type="dxa"/>
            <w:vAlign w:val="center"/>
          </w:tcPr>
          <w:p>
            <w:pPr>
              <w:pStyle w:val="17"/>
            </w:pPr>
            <w:r>
              <w:t>工程按期完成率（%）</w:t>
            </w:r>
          </w:p>
        </w:tc>
        <w:tc>
          <w:tcPr>
            <w:tcW w:w="2886" w:type="dxa"/>
            <w:vAlign w:val="center"/>
          </w:tcPr>
          <w:p>
            <w:pPr>
              <w:pStyle w:val="17"/>
            </w:pPr>
            <w:r>
              <w:t>工程按期完成率（%）</w:t>
            </w:r>
          </w:p>
        </w:tc>
        <w:tc>
          <w:tcPr>
            <w:tcW w:w="1274" w:type="dxa"/>
            <w:vAlign w:val="center"/>
          </w:tcPr>
          <w:p>
            <w:pPr>
              <w:pStyle w:val="17"/>
            </w:pPr>
            <w:r>
              <w:t>≥10%</w:t>
            </w:r>
          </w:p>
        </w:tc>
        <w:tc>
          <w:tcPr>
            <w:tcW w:w="1840" w:type="dxa"/>
            <w:vAlign w:val="center"/>
          </w:tcPr>
          <w:p>
            <w:pPr>
              <w:pStyle w:val="17"/>
            </w:pPr>
            <w:r>
              <w:t>每少完成1%扣1分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1274" w:type="dxa"/>
            <w:vMerge w:val="continue"/>
            <w:vAlign w:val="center"/>
          </w:tcPr>
          <w:p/>
        </w:tc>
        <w:tc>
          <w:tcPr>
            <w:tcW w:w="1274" w:type="dxa"/>
            <w:vAlign w:val="center"/>
          </w:tcPr>
          <w:p>
            <w:pPr>
              <w:pStyle w:val="17"/>
            </w:pPr>
            <w:r>
              <w:t>时效指标</w:t>
            </w:r>
          </w:p>
        </w:tc>
        <w:tc>
          <w:tcPr>
            <w:tcW w:w="1330" w:type="dxa"/>
            <w:vAlign w:val="center"/>
          </w:tcPr>
          <w:p>
            <w:pPr>
              <w:pStyle w:val="17"/>
            </w:pPr>
            <w:r>
              <w:t>工程合格率</w:t>
            </w:r>
          </w:p>
        </w:tc>
        <w:tc>
          <w:tcPr>
            <w:tcW w:w="2886" w:type="dxa"/>
            <w:vAlign w:val="center"/>
          </w:tcPr>
          <w:p>
            <w:pPr>
              <w:pStyle w:val="17"/>
            </w:pPr>
            <w:r>
              <w:t>通过验收的工程量占建设总量的比率</w:t>
            </w:r>
          </w:p>
        </w:tc>
        <w:tc>
          <w:tcPr>
            <w:tcW w:w="1274" w:type="dxa"/>
            <w:vAlign w:val="center"/>
          </w:tcPr>
          <w:p>
            <w:pPr>
              <w:pStyle w:val="17"/>
            </w:pPr>
            <w:r>
              <w:t>≥10%</w:t>
            </w:r>
          </w:p>
        </w:tc>
        <w:tc>
          <w:tcPr>
            <w:tcW w:w="1840" w:type="dxa"/>
            <w:vAlign w:val="center"/>
          </w:tcPr>
          <w:p>
            <w:pPr>
              <w:pStyle w:val="17"/>
            </w:pPr>
            <w:r>
              <w:t>每少完成1%扣1分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1274" w:type="dxa"/>
            <w:vMerge w:val="continue"/>
            <w:vAlign w:val="center"/>
          </w:tcPr>
          <w:p/>
        </w:tc>
        <w:tc>
          <w:tcPr>
            <w:tcW w:w="1274" w:type="dxa"/>
            <w:vAlign w:val="center"/>
          </w:tcPr>
          <w:p>
            <w:pPr>
              <w:pStyle w:val="17"/>
            </w:pPr>
            <w:r>
              <w:t>成本指标</w:t>
            </w:r>
          </w:p>
        </w:tc>
        <w:tc>
          <w:tcPr>
            <w:tcW w:w="1330" w:type="dxa"/>
            <w:vAlign w:val="center"/>
          </w:tcPr>
          <w:p>
            <w:pPr>
              <w:pStyle w:val="17"/>
            </w:pPr>
            <w:r>
              <w:t>总成本</w:t>
            </w:r>
          </w:p>
        </w:tc>
        <w:tc>
          <w:tcPr>
            <w:tcW w:w="2886" w:type="dxa"/>
            <w:vAlign w:val="center"/>
          </w:tcPr>
          <w:p>
            <w:pPr>
              <w:pStyle w:val="17"/>
            </w:pPr>
            <w:r>
              <w:t>总成本</w:t>
            </w:r>
          </w:p>
        </w:tc>
        <w:tc>
          <w:tcPr>
            <w:tcW w:w="1274" w:type="dxa"/>
            <w:vAlign w:val="center"/>
          </w:tcPr>
          <w:p>
            <w:pPr>
              <w:pStyle w:val="17"/>
            </w:pPr>
            <w:r>
              <w:t>≤1300万元</w:t>
            </w:r>
          </w:p>
        </w:tc>
        <w:tc>
          <w:tcPr>
            <w:tcW w:w="1840" w:type="dxa"/>
            <w:vAlign w:val="center"/>
          </w:tcPr>
          <w:p>
            <w:pPr>
              <w:pStyle w:val="17"/>
            </w:pPr>
            <w:r>
              <w:t>每少完成1%扣1分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74" w:type="dxa"/>
            <w:vMerge w:val="restart"/>
            <w:vAlign w:val="center"/>
          </w:tcPr>
          <w:p>
            <w:pPr>
              <w:pStyle w:val="18"/>
            </w:pPr>
            <w:r>
              <w:t>效益指标</w:t>
            </w:r>
          </w:p>
        </w:tc>
        <w:tc>
          <w:tcPr>
            <w:tcW w:w="1274" w:type="dxa"/>
            <w:vAlign w:val="center"/>
          </w:tcPr>
          <w:p>
            <w:pPr>
              <w:pStyle w:val="17"/>
            </w:pPr>
            <w:r>
              <w:t>经济效益指标</w:t>
            </w:r>
          </w:p>
        </w:tc>
        <w:tc>
          <w:tcPr>
            <w:tcW w:w="1330" w:type="dxa"/>
            <w:vAlign w:val="center"/>
          </w:tcPr>
          <w:p>
            <w:pPr>
              <w:pStyle w:val="17"/>
            </w:pPr>
            <w:r>
              <w:t xml:space="preserve">对经济发展带来效果 </w:t>
            </w:r>
          </w:p>
        </w:tc>
        <w:tc>
          <w:tcPr>
            <w:tcW w:w="2886" w:type="dxa"/>
            <w:vAlign w:val="center"/>
          </w:tcPr>
          <w:p>
            <w:pPr>
              <w:pStyle w:val="17"/>
            </w:pPr>
            <w:r>
              <w:t xml:space="preserve">对经济发展带来效果 </w:t>
            </w:r>
          </w:p>
        </w:tc>
        <w:tc>
          <w:tcPr>
            <w:tcW w:w="1274" w:type="dxa"/>
            <w:vAlign w:val="center"/>
          </w:tcPr>
          <w:p>
            <w:pPr>
              <w:pStyle w:val="17"/>
            </w:pPr>
            <w:r>
              <w:t>显著提升</w:t>
            </w:r>
          </w:p>
        </w:tc>
        <w:tc>
          <w:tcPr>
            <w:tcW w:w="1840" w:type="dxa"/>
            <w:vAlign w:val="center"/>
          </w:tcPr>
          <w:p>
            <w:pPr>
              <w:pStyle w:val="17"/>
            </w:pPr>
            <w:r>
              <w:t>完成得满分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74" w:type="dxa"/>
            <w:vMerge w:val="continue"/>
            <w:vAlign w:val="center"/>
          </w:tcPr>
          <w:p/>
        </w:tc>
        <w:tc>
          <w:tcPr>
            <w:tcW w:w="1274" w:type="dxa"/>
            <w:vAlign w:val="center"/>
          </w:tcPr>
          <w:p>
            <w:pPr>
              <w:pStyle w:val="17"/>
            </w:pPr>
            <w:r>
              <w:t>社会效益指标</w:t>
            </w:r>
          </w:p>
        </w:tc>
        <w:tc>
          <w:tcPr>
            <w:tcW w:w="1330" w:type="dxa"/>
            <w:vAlign w:val="center"/>
          </w:tcPr>
          <w:p>
            <w:pPr>
              <w:pStyle w:val="17"/>
            </w:pPr>
            <w:r>
              <w:t>对社会经济发展的影响</w:t>
            </w:r>
          </w:p>
        </w:tc>
        <w:tc>
          <w:tcPr>
            <w:tcW w:w="2886" w:type="dxa"/>
            <w:vAlign w:val="center"/>
          </w:tcPr>
          <w:p>
            <w:pPr>
              <w:pStyle w:val="17"/>
            </w:pPr>
            <w:r>
              <w:t>对社会经济发展的影响</w:t>
            </w:r>
          </w:p>
        </w:tc>
        <w:tc>
          <w:tcPr>
            <w:tcW w:w="1274" w:type="dxa"/>
            <w:vAlign w:val="center"/>
          </w:tcPr>
          <w:p>
            <w:pPr>
              <w:pStyle w:val="17"/>
            </w:pPr>
            <w:r>
              <w:t>反映良好</w:t>
            </w:r>
          </w:p>
        </w:tc>
        <w:tc>
          <w:tcPr>
            <w:tcW w:w="1840" w:type="dxa"/>
            <w:vAlign w:val="center"/>
          </w:tcPr>
          <w:p>
            <w:pPr>
              <w:pStyle w:val="17"/>
            </w:pPr>
            <w:r>
              <w:t>完成得满分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74" w:type="dxa"/>
            <w:vMerge w:val="continue"/>
            <w:vAlign w:val="center"/>
          </w:tcPr>
          <w:p/>
        </w:tc>
        <w:tc>
          <w:tcPr>
            <w:tcW w:w="1274" w:type="dxa"/>
            <w:vAlign w:val="center"/>
          </w:tcPr>
          <w:p>
            <w:pPr>
              <w:pStyle w:val="17"/>
            </w:pPr>
            <w:r>
              <w:t>生态效益指标</w:t>
            </w:r>
          </w:p>
        </w:tc>
        <w:tc>
          <w:tcPr>
            <w:tcW w:w="1330" w:type="dxa"/>
            <w:vAlign w:val="center"/>
          </w:tcPr>
          <w:p>
            <w:pPr>
              <w:pStyle w:val="17"/>
            </w:pPr>
            <w:r>
              <w:t>满足生态环保要求</w:t>
            </w:r>
          </w:p>
        </w:tc>
        <w:tc>
          <w:tcPr>
            <w:tcW w:w="2886" w:type="dxa"/>
            <w:vAlign w:val="center"/>
          </w:tcPr>
          <w:p>
            <w:pPr>
              <w:pStyle w:val="17"/>
            </w:pPr>
            <w:r>
              <w:t>满足生态环保要求</w:t>
            </w:r>
          </w:p>
        </w:tc>
        <w:tc>
          <w:tcPr>
            <w:tcW w:w="1274" w:type="dxa"/>
            <w:vAlign w:val="center"/>
          </w:tcPr>
          <w:p>
            <w:pPr>
              <w:pStyle w:val="17"/>
            </w:pPr>
            <w:r>
              <w:t>满足</w:t>
            </w:r>
          </w:p>
        </w:tc>
        <w:tc>
          <w:tcPr>
            <w:tcW w:w="1840" w:type="dxa"/>
            <w:vAlign w:val="center"/>
          </w:tcPr>
          <w:p>
            <w:pPr>
              <w:pStyle w:val="17"/>
            </w:pPr>
            <w:r>
              <w:t>完成得满分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1274" w:type="dxa"/>
            <w:vMerge w:val="continue"/>
            <w:vAlign w:val="center"/>
          </w:tcPr>
          <w:p/>
        </w:tc>
        <w:tc>
          <w:tcPr>
            <w:tcW w:w="1274" w:type="dxa"/>
            <w:vAlign w:val="center"/>
          </w:tcPr>
          <w:p>
            <w:pPr>
              <w:pStyle w:val="17"/>
            </w:pPr>
            <w:r>
              <w:t>可持续影响指标</w:t>
            </w:r>
          </w:p>
        </w:tc>
        <w:tc>
          <w:tcPr>
            <w:tcW w:w="1330" w:type="dxa"/>
            <w:vAlign w:val="center"/>
          </w:tcPr>
          <w:p>
            <w:pPr>
              <w:pStyle w:val="17"/>
            </w:pPr>
            <w:r>
              <w:t>基建类项目持续使用时间（年）</w:t>
            </w:r>
          </w:p>
        </w:tc>
        <w:tc>
          <w:tcPr>
            <w:tcW w:w="2886" w:type="dxa"/>
            <w:vAlign w:val="center"/>
          </w:tcPr>
          <w:p>
            <w:pPr>
              <w:pStyle w:val="17"/>
            </w:pPr>
            <w:r>
              <w:t>基建类项目持续使用时间（年）</w:t>
            </w:r>
          </w:p>
        </w:tc>
        <w:tc>
          <w:tcPr>
            <w:tcW w:w="1274" w:type="dxa"/>
            <w:vAlign w:val="center"/>
          </w:tcPr>
          <w:p>
            <w:pPr>
              <w:pStyle w:val="17"/>
            </w:pPr>
            <w:r>
              <w:t>≥10年</w:t>
            </w:r>
          </w:p>
        </w:tc>
        <w:tc>
          <w:tcPr>
            <w:tcW w:w="1840" w:type="dxa"/>
            <w:vAlign w:val="center"/>
          </w:tcPr>
          <w:p>
            <w:pPr>
              <w:pStyle w:val="17"/>
            </w:pPr>
            <w:r>
              <w:t>每少完年扣1分</w:t>
            </w:r>
          </w:p>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274" w:type="dxa"/>
            <w:vAlign w:val="center"/>
          </w:tcPr>
          <w:p>
            <w:pPr>
              <w:pStyle w:val="18"/>
            </w:pPr>
            <w:r>
              <w:t>满意度指标</w:t>
            </w:r>
          </w:p>
        </w:tc>
        <w:tc>
          <w:tcPr>
            <w:tcW w:w="1274" w:type="dxa"/>
            <w:vAlign w:val="center"/>
          </w:tcPr>
          <w:p>
            <w:pPr>
              <w:pStyle w:val="17"/>
            </w:pPr>
            <w:r>
              <w:t>服务对象满意度指标</w:t>
            </w:r>
          </w:p>
        </w:tc>
        <w:tc>
          <w:tcPr>
            <w:tcW w:w="1330" w:type="dxa"/>
            <w:vAlign w:val="center"/>
          </w:tcPr>
          <w:p>
            <w:pPr>
              <w:pStyle w:val="17"/>
            </w:pPr>
            <w:r>
              <w:t>群众满意度</w:t>
            </w:r>
          </w:p>
        </w:tc>
        <w:tc>
          <w:tcPr>
            <w:tcW w:w="2886" w:type="dxa"/>
            <w:vAlign w:val="center"/>
          </w:tcPr>
          <w:p>
            <w:pPr>
              <w:pStyle w:val="17"/>
            </w:pPr>
            <w:r>
              <w:t>群众满意度</w:t>
            </w:r>
          </w:p>
        </w:tc>
        <w:tc>
          <w:tcPr>
            <w:tcW w:w="1274" w:type="dxa"/>
            <w:vAlign w:val="center"/>
          </w:tcPr>
          <w:p>
            <w:pPr>
              <w:pStyle w:val="17"/>
            </w:pPr>
            <w:r>
              <w:t>≥92%</w:t>
            </w:r>
          </w:p>
        </w:tc>
        <w:tc>
          <w:tcPr>
            <w:tcW w:w="1840" w:type="dxa"/>
            <w:vAlign w:val="center"/>
          </w:tcPr>
          <w:p>
            <w:pPr>
              <w:pStyle w:val="17"/>
            </w:pPr>
            <w:r>
              <w:t>每少完年扣1分</w:t>
            </w:r>
          </w:p>
          <w:p>
            <w:pPr>
              <w:pStyle w:val="17"/>
            </w:pPr>
          </w:p>
        </w:tc>
      </w:tr>
    </w:tbl>
    <w:p>
      <w:pPr>
        <w:sectPr>
          <w:pgSz w:w="11900" w:h="16840"/>
          <w:pgMar w:top="510" w:right="1304" w:bottom="850"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3.2025年“三线”铁路建设民兵人员补助经费绩效目标表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13062325P000054100050</w:t>
            </w:r>
          </w:p>
        </w:tc>
        <w:tc>
          <w:tcPr>
            <w:tcW w:w="1587" w:type="dxa"/>
            <w:vAlign w:val="center"/>
          </w:tcPr>
          <w:p>
            <w:pPr>
              <w:pStyle w:val="15"/>
            </w:pPr>
            <w:r>
              <w:t>项目名称</w:t>
            </w:r>
          </w:p>
        </w:tc>
        <w:tc>
          <w:tcPr>
            <w:tcW w:w="4423" w:type="dxa"/>
            <w:gridSpan w:val="3"/>
            <w:vAlign w:val="center"/>
          </w:tcPr>
          <w:p>
            <w:pPr>
              <w:pStyle w:val="17"/>
            </w:pPr>
            <w:r>
              <w:t>2025年“三线”铁路建设民兵人员补助经费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472.70</w:t>
            </w:r>
          </w:p>
        </w:tc>
        <w:tc>
          <w:tcPr>
            <w:tcW w:w="1587" w:type="dxa"/>
            <w:vAlign w:val="center"/>
          </w:tcPr>
          <w:p>
            <w:pPr>
              <w:pStyle w:val="15"/>
            </w:pPr>
            <w:r>
              <w:t>其中：财政    资金</w:t>
            </w:r>
          </w:p>
        </w:tc>
        <w:tc>
          <w:tcPr>
            <w:tcW w:w="1304" w:type="dxa"/>
            <w:vAlign w:val="center"/>
          </w:tcPr>
          <w:p>
            <w:pPr>
              <w:pStyle w:val="17"/>
            </w:pPr>
            <w:r>
              <w:t>472.70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为妥善解决原“三线”铁路建设民兵生活困难的历史问题，保障原“三线”铁路建设民兵基本生活权益、维护和谐稳定社会局面，结合我县实际，经核查认定，发放补贴金额472.7万元。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100000000%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1.为妥善解决原“三线”铁路建设民兵生活困难的历史问题，保障原“三线”铁路建设民兵基本生活权益、维护和谐稳定社会局面，结合我县实际，经核查认定，发放补贴金额472.7万元。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472.7万元</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完成及时率</w:t>
            </w:r>
          </w:p>
        </w:tc>
        <w:tc>
          <w:tcPr>
            <w:tcW w:w="2891" w:type="dxa"/>
            <w:vAlign w:val="center"/>
          </w:tcPr>
          <w:p>
            <w:pPr>
              <w:pStyle w:val="17"/>
            </w:pPr>
            <w:r>
              <w:t>完成及时率</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项目实际成本</w:t>
            </w:r>
          </w:p>
        </w:tc>
        <w:tc>
          <w:tcPr>
            <w:tcW w:w="2891" w:type="dxa"/>
            <w:vAlign w:val="center"/>
          </w:tcPr>
          <w:p>
            <w:pPr>
              <w:pStyle w:val="17"/>
            </w:pPr>
            <w:r>
              <w:t>项目实际成本</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覆盖服务人口</w:t>
            </w:r>
          </w:p>
        </w:tc>
        <w:tc>
          <w:tcPr>
            <w:tcW w:w="2891" w:type="dxa"/>
            <w:vAlign w:val="center"/>
          </w:tcPr>
          <w:p>
            <w:pPr>
              <w:pStyle w:val="17"/>
            </w:pPr>
            <w:r>
              <w:t>覆盖服务人口</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提升服务能力</w:t>
            </w:r>
          </w:p>
        </w:tc>
        <w:tc>
          <w:tcPr>
            <w:tcW w:w="2891" w:type="dxa"/>
            <w:vAlign w:val="center"/>
          </w:tcPr>
          <w:p>
            <w:pPr>
              <w:pStyle w:val="17"/>
            </w:pPr>
            <w:r>
              <w:t>提升服务能力</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结果准确性</w:t>
            </w:r>
          </w:p>
        </w:tc>
        <w:tc>
          <w:tcPr>
            <w:tcW w:w="2891" w:type="dxa"/>
            <w:vAlign w:val="center"/>
          </w:tcPr>
          <w:p>
            <w:pPr>
              <w:pStyle w:val="17"/>
            </w:pPr>
            <w:r>
              <w:t>结果准确性</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可持续性</w:t>
            </w:r>
          </w:p>
        </w:tc>
        <w:tc>
          <w:tcPr>
            <w:tcW w:w="2891" w:type="dxa"/>
            <w:vAlign w:val="center"/>
          </w:tcPr>
          <w:p>
            <w:pPr>
              <w:pStyle w:val="17"/>
            </w:pPr>
            <w:r>
              <w:t>可持续性</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≥92百分比</w:t>
            </w:r>
          </w:p>
        </w:tc>
        <w:tc>
          <w:tcPr>
            <w:tcW w:w="1843" w:type="dxa"/>
            <w:vAlign w:val="center"/>
          </w:tcPr>
          <w:p>
            <w:pPr>
              <w:pStyle w:val="17"/>
            </w:pPr>
            <w:r>
              <w:t>依据满意度调查表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07"/>
      <w:r>
        <w:rPr>
          <w:rFonts w:ascii="方正仿宋_GBK" w:hAnsi="方正仿宋_GBK" w:eastAsia="方正仿宋_GBK" w:cs="方正仿宋_GBK"/>
          <w:color w:val="000000"/>
          <w:sz w:val="28"/>
        </w:rPr>
        <w:t>4.2025年工役制人员补助经费绩效目标表</w:t>
      </w:r>
      <w:bookmarkEnd w:id="11"/>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13062325P00005410004C</w:t>
            </w:r>
          </w:p>
        </w:tc>
        <w:tc>
          <w:tcPr>
            <w:tcW w:w="1587" w:type="dxa"/>
            <w:vAlign w:val="center"/>
          </w:tcPr>
          <w:p>
            <w:pPr>
              <w:pStyle w:val="15"/>
            </w:pPr>
            <w:r>
              <w:t>项目名称</w:t>
            </w:r>
          </w:p>
        </w:tc>
        <w:tc>
          <w:tcPr>
            <w:tcW w:w="4423" w:type="dxa"/>
            <w:gridSpan w:val="3"/>
            <w:vAlign w:val="center"/>
          </w:tcPr>
          <w:p>
            <w:pPr>
              <w:pStyle w:val="17"/>
            </w:pPr>
            <w:r>
              <w:t>2025年工役制人员补助经费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50.88</w:t>
            </w:r>
          </w:p>
        </w:tc>
        <w:tc>
          <w:tcPr>
            <w:tcW w:w="1587" w:type="dxa"/>
            <w:vAlign w:val="center"/>
          </w:tcPr>
          <w:p>
            <w:pPr>
              <w:pStyle w:val="15"/>
            </w:pPr>
            <w:r>
              <w:t>其中：财政    资金</w:t>
            </w:r>
          </w:p>
        </w:tc>
        <w:tc>
          <w:tcPr>
            <w:tcW w:w="1304" w:type="dxa"/>
            <w:vAlign w:val="center"/>
          </w:tcPr>
          <w:p>
            <w:pPr>
              <w:pStyle w:val="17"/>
            </w:pPr>
            <w:r>
              <w:t>50.88</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为妥善解决国防公路工役制人员生活困难问题，维护社会公平，保持社会稳定，参照廊坊市、邢台市做法，结合我市实际，对在世的国防公路建设工役制人员每人每月发放800元</w:t>
            </w:r>
            <w:r>
              <w:tab/>
            </w:r>
            <w:r>
              <w:tab/>
            </w:r>
            <w:r>
              <w:tab/>
            </w:r>
            <w:r>
              <w:tab/>
            </w:r>
            <w:r>
              <w:tab/>
            </w:r>
            <w:r>
              <w:tab/>
            </w:r>
          </w:p>
          <w:p>
            <w:pPr>
              <w:pStyle w:val="17"/>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12720000%</w:t>
            </w:r>
          </w:p>
        </w:tc>
        <w:tc>
          <w:tcPr>
            <w:tcW w:w="1587" w:type="dxa"/>
            <w:vAlign w:val="center"/>
          </w:tcPr>
          <w:p>
            <w:pPr>
              <w:pStyle w:val="18"/>
            </w:pPr>
            <w:r>
              <w:t>25440000%</w:t>
            </w:r>
          </w:p>
        </w:tc>
        <w:tc>
          <w:tcPr>
            <w:tcW w:w="1304" w:type="dxa"/>
            <w:vAlign w:val="center"/>
          </w:tcPr>
          <w:p>
            <w:pPr>
              <w:pStyle w:val="18"/>
            </w:pPr>
            <w:r>
              <w:t>38160000%</w:t>
            </w:r>
          </w:p>
        </w:tc>
        <w:tc>
          <w:tcPr>
            <w:tcW w:w="3119" w:type="dxa"/>
            <w:gridSpan w:val="2"/>
            <w:vAlign w:val="center"/>
          </w:tcPr>
          <w:p>
            <w:pPr>
              <w:pStyle w:val="18"/>
            </w:pPr>
            <w:r>
              <w:t>50880000%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1.为妥善解决国防公路工役制人员生活困难问题，维护社会公平，保持社会稳定，参照廊坊市、邢台市做法，结合我市实际，对在世的国防公路建设工役制人员每人每月发放800元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补助资金支付率</w:t>
            </w:r>
          </w:p>
        </w:tc>
        <w:tc>
          <w:tcPr>
            <w:tcW w:w="2891" w:type="dxa"/>
            <w:vAlign w:val="center"/>
          </w:tcPr>
          <w:p>
            <w:pPr>
              <w:pStyle w:val="17"/>
            </w:pPr>
            <w:r>
              <w:t>补助资金到位后，及时支付相关人员</w:t>
            </w:r>
          </w:p>
        </w:tc>
        <w:tc>
          <w:tcPr>
            <w:tcW w:w="1276" w:type="dxa"/>
            <w:vAlign w:val="center"/>
          </w:tcPr>
          <w:p>
            <w:pPr>
              <w:pStyle w:val="17"/>
            </w:pPr>
            <w:r>
              <w:t>≥95百分比</w:t>
            </w:r>
          </w:p>
        </w:tc>
        <w:tc>
          <w:tcPr>
            <w:tcW w:w="1843" w:type="dxa"/>
            <w:vAlign w:val="center"/>
          </w:tcPr>
          <w:p>
            <w:pPr>
              <w:pStyle w:val="17"/>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补助资金发放完成率（%）</w:t>
            </w:r>
          </w:p>
        </w:tc>
        <w:tc>
          <w:tcPr>
            <w:tcW w:w="2891" w:type="dxa"/>
            <w:vAlign w:val="center"/>
          </w:tcPr>
          <w:p>
            <w:pPr>
              <w:pStyle w:val="17"/>
            </w:pPr>
            <w:r>
              <w:t>补助资金发放完成率（%）</w:t>
            </w:r>
          </w:p>
        </w:tc>
        <w:tc>
          <w:tcPr>
            <w:tcW w:w="1276" w:type="dxa"/>
            <w:vAlign w:val="center"/>
          </w:tcPr>
          <w:p>
            <w:pPr>
              <w:pStyle w:val="17"/>
            </w:pPr>
            <w:r>
              <w:t>≥95百分比</w:t>
            </w:r>
          </w:p>
        </w:tc>
        <w:tc>
          <w:tcPr>
            <w:tcW w:w="1843" w:type="dxa"/>
            <w:vAlign w:val="center"/>
          </w:tcPr>
          <w:p>
            <w:pPr>
              <w:pStyle w:val="17"/>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补助发放</w:t>
            </w:r>
          </w:p>
        </w:tc>
        <w:tc>
          <w:tcPr>
            <w:tcW w:w="2891" w:type="dxa"/>
            <w:vAlign w:val="center"/>
          </w:tcPr>
          <w:p>
            <w:pPr>
              <w:pStyle w:val="17"/>
            </w:pPr>
            <w:r>
              <w:t>补助发放及时性</w:t>
            </w:r>
          </w:p>
        </w:tc>
        <w:tc>
          <w:tcPr>
            <w:tcW w:w="1276" w:type="dxa"/>
            <w:vAlign w:val="center"/>
          </w:tcPr>
          <w:p>
            <w:pPr>
              <w:pStyle w:val="17"/>
            </w:pPr>
            <w:r>
              <w:t>≥95百分比</w:t>
            </w:r>
          </w:p>
        </w:tc>
        <w:tc>
          <w:tcPr>
            <w:tcW w:w="1843" w:type="dxa"/>
            <w:vAlign w:val="center"/>
          </w:tcPr>
          <w:p>
            <w:pPr>
              <w:pStyle w:val="17"/>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≥95百分比</w:t>
            </w:r>
          </w:p>
        </w:tc>
        <w:tc>
          <w:tcPr>
            <w:tcW w:w="1843" w:type="dxa"/>
            <w:vAlign w:val="center"/>
          </w:tcPr>
          <w:p>
            <w:pPr>
              <w:pStyle w:val="17"/>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受补助人群生活水平提高程度</w:t>
            </w:r>
          </w:p>
        </w:tc>
        <w:tc>
          <w:tcPr>
            <w:tcW w:w="2891" w:type="dxa"/>
            <w:vAlign w:val="center"/>
          </w:tcPr>
          <w:p>
            <w:pPr>
              <w:pStyle w:val="17"/>
            </w:pPr>
            <w:r>
              <w:t>受补助人群生活水平提高程度</w:t>
            </w:r>
          </w:p>
        </w:tc>
        <w:tc>
          <w:tcPr>
            <w:tcW w:w="1276" w:type="dxa"/>
            <w:vAlign w:val="center"/>
          </w:tcPr>
          <w:p>
            <w:pPr>
              <w:pStyle w:val="17"/>
            </w:pPr>
            <w:r>
              <w:t>≥95百分比</w:t>
            </w:r>
          </w:p>
        </w:tc>
        <w:tc>
          <w:tcPr>
            <w:tcW w:w="1843" w:type="dxa"/>
            <w:vAlign w:val="center"/>
          </w:tcPr>
          <w:p>
            <w:pPr>
              <w:pStyle w:val="17"/>
            </w:pPr>
            <w:r>
              <w:t>依据政府文件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≥95百分比</w:t>
            </w:r>
          </w:p>
        </w:tc>
        <w:tc>
          <w:tcPr>
            <w:tcW w:w="1843" w:type="dxa"/>
            <w:vAlign w:val="center"/>
          </w:tcPr>
          <w:p>
            <w:pPr>
              <w:pStyle w:val="17"/>
            </w:pPr>
            <w:r>
              <w:t>满意度调查表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08"/>
      <w:r>
        <w:rPr>
          <w:rFonts w:ascii="方正仿宋_GBK" w:hAnsi="方正仿宋_GBK" w:eastAsia="方正仿宋_GBK" w:cs="方正仿宋_GBK"/>
          <w:color w:val="000000"/>
          <w:sz w:val="28"/>
        </w:rPr>
        <w:t>5.2025年农村公路建设养护发展专项资金--日常养护补助  冀财建【2024】281号绩效目标表</w:t>
      </w:r>
      <w:bookmarkEnd w:id="12"/>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13062325P00010810005A</w:t>
            </w:r>
          </w:p>
        </w:tc>
        <w:tc>
          <w:tcPr>
            <w:tcW w:w="1587" w:type="dxa"/>
            <w:vAlign w:val="center"/>
          </w:tcPr>
          <w:p>
            <w:pPr>
              <w:pStyle w:val="15"/>
            </w:pPr>
            <w:r>
              <w:t>项目名称</w:t>
            </w:r>
          </w:p>
        </w:tc>
        <w:tc>
          <w:tcPr>
            <w:tcW w:w="4423" w:type="dxa"/>
            <w:gridSpan w:val="3"/>
            <w:vAlign w:val="center"/>
          </w:tcPr>
          <w:p>
            <w:pPr>
              <w:pStyle w:val="17"/>
            </w:pPr>
            <w:r>
              <w:t>2025年农村公路建设养护发展专项资金--日常养护补助  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38.00</w:t>
            </w:r>
          </w:p>
        </w:tc>
        <w:tc>
          <w:tcPr>
            <w:tcW w:w="1587" w:type="dxa"/>
            <w:vAlign w:val="center"/>
          </w:tcPr>
          <w:p>
            <w:pPr>
              <w:pStyle w:val="15"/>
            </w:pPr>
            <w:r>
              <w:t>其中：财政    资金</w:t>
            </w:r>
          </w:p>
        </w:tc>
        <w:tc>
          <w:tcPr>
            <w:tcW w:w="1304" w:type="dxa"/>
            <w:vAlign w:val="center"/>
          </w:tcPr>
          <w:p>
            <w:pPr>
              <w:pStyle w:val="17"/>
            </w:pPr>
            <w:r>
              <w:t>38.00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完成2025年的农村公路日常养护工作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38000000%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1.完成2025年的农村公路日常养护工作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日常养护工作完成率</w:t>
            </w:r>
          </w:p>
        </w:tc>
        <w:tc>
          <w:tcPr>
            <w:tcW w:w="2891" w:type="dxa"/>
            <w:vAlign w:val="center"/>
          </w:tcPr>
          <w:p>
            <w:pPr>
              <w:pStyle w:val="17"/>
            </w:pPr>
            <w:r>
              <w:t>日常养护工作完成率</w:t>
            </w:r>
          </w:p>
        </w:tc>
        <w:tc>
          <w:tcPr>
            <w:tcW w:w="1276" w:type="dxa"/>
            <w:vAlign w:val="center"/>
          </w:tcPr>
          <w:p>
            <w:pPr>
              <w:pStyle w:val="17"/>
            </w:pPr>
            <w:r>
              <w:t>100%</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养护工程合格率</w:t>
            </w:r>
          </w:p>
        </w:tc>
        <w:tc>
          <w:tcPr>
            <w:tcW w:w="2891" w:type="dxa"/>
            <w:vAlign w:val="center"/>
          </w:tcPr>
          <w:p>
            <w:pPr>
              <w:pStyle w:val="17"/>
            </w:pPr>
            <w:r>
              <w:t>养护工程合格率</w:t>
            </w:r>
          </w:p>
        </w:tc>
        <w:tc>
          <w:tcPr>
            <w:tcW w:w="1276" w:type="dxa"/>
            <w:vAlign w:val="center"/>
          </w:tcPr>
          <w:p>
            <w:pPr>
              <w:pStyle w:val="17"/>
            </w:pPr>
            <w:r>
              <w:t>≥95%</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项目完成时间</w:t>
            </w:r>
          </w:p>
          <w:p>
            <w:pPr>
              <w:pStyle w:val="17"/>
            </w:pPr>
          </w:p>
        </w:tc>
        <w:tc>
          <w:tcPr>
            <w:tcW w:w="2891" w:type="dxa"/>
            <w:vAlign w:val="center"/>
          </w:tcPr>
          <w:p>
            <w:pPr>
              <w:pStyle w:val="17"/>
            </w:pPr>
            <w:r>
              <w:t>项目完成时间</w:t>
            </w:r>
          </w:p>
          <w:p>
            <w:pPr>
              <w:pStyle w:val="17"/>
            </w:pPr>
          </w:p>
        </w:tc>
        <w:tc>
          <w:tcPr>
            <w:tcW w:w="1276" w:type="dxa"/>
            <w:vAlign w:val="center"/>
          </w:tcPr>
          <w:p>
            <w:pPr>
              <w:pStyle w:val="17"/>
            </w:pPr>
            <w:r>
              <w:t>2025年12月31日</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项目总成本</w:t>
            </w:r>
          </w:p>
        </w:tc>
        <w:tc>
          <w:tcPr>
            <w:tcW w:w="2891" w:type="dxa"/>
            <w:vAlign w:val="center"/>
          </w:tcPr>
          <w:p>
            <w:pPr>
              <w:pStyle w:val="17"/>
            </w:pPr>
            <w:r>
              <w:t>项目总成本</w:t>
            </w:r>
          </w:p>
        </w:tc>
        <w:tc>
          <w:tcPr>
            <w:tcW w:w="1276" w:type="dxa"/>
            <w:vAlign w:val="center"/>
          </w:tcPr>
          <w:p>
            <w:pPr>
              <w:pStyle w:val="17"/>
            </w:pPr>
            <w:r>
              <w:t>≤38万元</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促进区域经济社会发展情况</w:t>
            </w:r>
          </w:p>
        </w:tc>
        <w:tc>
          <w:tcPr>
            <w:tcW w:w="2891" w:type="dxa"/>
            <w:vAlign w:val="center"/>
          </w:tcPr>
          <w:p>
            <w:pPr>
              <w:pStyle w:val="17"/>
            </w:pPr>
            <w:r>
              <w:t>促进区域经济社会发展情况</w:t>
            </w:r>
          </w:p>
        </w:tc>
        <w:tc>
          <w:tcPr>
            <w:tcW w:w="1276" w:type="dxa"/>
            <w:vAlign w:val="center"/>
          </w:tcPr>
          <w:p>
            <w:pPr>
              <w:pStyle w:val="17"/>
            </w:pPr>
            <w:r>
              <w:t>明显</w:t>
            </w:r>
          </w:p>
        </w:tc>
        <w:tc>
          <w:tcPr>
            <w:tcW w:w="1843" w:type="dxa"/>
            <w:vAlign w:val="center"/>
          </w:tcPr>
          <w:p>
            <w:pPr>
              <w:pStyle w:val="17"/>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公共服务水平提升情况</w:t>
            </w:r>
          </w:p>
        </w:tc>
        <w:tc>
          <w:tcPr>
            <w:tcW w:w="2891" w:type="dxa"/>
            <w:vAlign w:val="center"/>
          </w:tcPr>
          <w:p>
            <w:pPr>
              <w:pStyle w:val="17"/>
            </w:pPr>
            <w:r>
              <w:t>公共服务水平提升情况</w:t>
            </w:r>
          </w:p>
        </w:tc>
        <w:tc>
          <w:tcPr>
            <w:tcW w:w="1276" w:type="dxa"/>
            <w:vAlign w:val="center"/>
          </w:tcPr>
          <w:p>
            <w:pPr>
              <w:pStyle w:val="17"/>
            </w:pPr>
            <w:r>
              <w:t>提高</w:t>
            </w:r>
          </w:p>
        </w:tc>
        <w:tc>
          <w:tcPr>
            <w:tcW w:w="1843" w:type="dxa"/>
            <w:vAlign w:val="center"/>
          </w:tcPr>
          <w:p>
            <w:pPr>
              <w:pStyle w:val="17"/>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09"/>
      <w:r>
        <w:rPr>
          <w:rFonts w:ascii="方正仿宋_GBK" w:hAnsi="方正仿宋_GBK" w:eastAsia="方正仿宋_GBK" w:cs="方正仿宋_GBK"/>
          <w:color w:val="000000"/>
          <w:sz w:val="28"/>
        </w:rPr>
        <w:t>6.2025年农村公路建设养护发展专项资金--养护工程补助  冀财建【2024】281号绩效目标表</w:t>
      </w:r>
      <w:bookmarkEnd w:id="13"/>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13062325P00010810004N</w:t>
            </w:r>
          </w:p>
        </w:tc>
        <w:tc>
          <w:tcPr>
            <w:tcW w:w="1587" w:type="dxa"/>
            <w:vAlign w:val="center"/>
          </w:tcPr>
          <w:p>
            <w:pPr>
              <w:pStyle w:val="15"/>
            </w:pPr>
            <w:r>
              <w:t>项目名称</w:t>
            </w:r>
          </w:p>
        </w:tc>
        <w:tc>
          <w:tcPr>
            <w:tcW w:w="4423" w:type="dxa"/>
            <w:gridSpan w:val="3"/>
            <w:vAlign w:val="center"/>
          </w:tcPr>
          <w:p>
            <w:pPr>
              <w:pStyle w:val="17"/>
            </w:pPr>
            <w:r>
              <w:t>2025年农村公路建设养护发展专项资金--养护工程补助  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87.00</w:t>
            </w:r>
          </w:p>
        </w:tc>
        <w:tc>
          <w:tcPr>
            <w:tcW w:w="1587" w:type="dxa"/>
            <w:vAlign w:val="center"/>
          </w:tcPr>
          <w:p>
            <w:pPr>
              <w:pStyle w:val="15"/>
            </w:pPr>
            <w:r>
              <w:t>其中：财政    资金</w:t>
            </w:r>
          </w:p>
        </w:tc>
        <w:tc>
          <w:tcPr>
            <w:tcW w:w="1304" w:type="dxa"/>
            <w:vAlign w:val="center"/>
          </w:tcPr>
          <w:p>
            <w:pPr>
              <w:pStyle w:val="17"/>
            </w:pPr>
            <w:r>
              <w:t>87.00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87000000%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项目完成情况</w:t>
            </w:r>
          </w:p>
        </w:tc>
        <w:tc>
          <w:tcPr>
            <w:tcW w:w="2891" w:type="dxa"/>
            <w:vAlign w:val="center"/>
          </w:tcPr>
          <w:p>
            <w:pPr>
              <w:pStyle w:val="17"/>
            </w:pPr>
            <w:r>
              <w:t>项目完成情况</w:t>
            </w:r>
          </w:p>
        </w:tc>
        <w:tc>
          <w:tcPr>
            <w:tcW w:w="1276" w:type="dxa"/>
            <w:vAlign w:val="center"/>
          </w:tcPr>
          <w:p>
            <w:pPr>
              <w:pStyle w:val="17"/>
            </w:pPr>
            <w:r>
              <w:t>100%</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工程质量合格率</w:t>
            </w:r>
          </w:p>
        </w:tc>
        <w:tc>
          <w:tcPr>
            <w:tcW w:w="2891" w:type="dxa"/>
            <w:vAlign w:val="center"/>
          </w:tcPr>
          <w:p>
            <w:pPr>
              <w:pStyle w:val="17"/>
            </w:pPr>
            <w:r>
              <w:t>工程质量合格率</w:t>
            </w:r>
          </w:p>
        </w:tc>
        <w:tc>
          <w:tcPr>
            <w:tcW w:w="1276" w:type="dxa"/>
            <w:vAlign w:val="center"/>
          </w:tcPr>
          <w:p>
            <w:pPr>
              <w:pStyle w:val="17"/>
            </w:pPr>
            <w:r>
              <w:t>≥95%</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项目完成时间</w:t>
            </w:r>
          </w:p>
          <w:p>
            <w:pPr>
              <w:pStyle w:val="17"/>
            </w:pPr>
          </w:p>
        </w:tc>
        <w:tc>
          <w:tcPr>
            <w:tcW w:w="2891" w:type="dxa"/>
            <w:vAlign w:val="center"/>
          </w:tcPr>
          <w:p>
            <w:pPr>
              <w:pStyle w:val="17"/>
            </w:pPr>
            <w:r>
              <w:t>项目完成时间</w:t>
            </w:r>
          </w:p>
          <w:p>
            <w:pPr>
              <w:pStyle w:val="17"/>
            </w:pPr>
          </w:p>
        </w:tc>
        <w:tc>
          <w:tcPr>
            <w:tcW w:w="1276" w:type="dxa"/>
            <w:vAlign w:val="center"/>
          </w:tcPr>
          <w:p>
            <w:pPr>
              <w:pStyle w:val="17"/>
            </w:pPr>
            <w:r>
              <w:t>2025年12月31日</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项目总成本</w:t>
            </w:r>
          </w:p>
        </w:tc>
        <w:tc>
          <w:tcPr>
            <w:tcW w:w="2891" w:type="dxa"/>
            <w:vAlign w:val="center"/>
          </w:tcPr>
          <w:p>
            <w:pPr>
              <w:pStyle w:val="17"/>
            </w:pPr>
            <w:r>
              <w:t>项目总成本</w:t>
            </w:r>
          </w:p>
        </w:tc>
        <w:tc>
          <w:tcPr>
            <w:tcW w:w="1276" w:type="dxa"/>
            <w:vAlign w:val="center"/>
          </w:tcPr>
          <w:p>
            <w:pPr>
              <w:pStyle w:val="17"/>
            </w:pPr>
            <w:r>
              <w:t>≤87万元</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明显</w:t>
            </w:r>
          </w:p>
        </w:tc>
        <w:tc>
          <w:tcPr>
            <w:tcW w:w="1843" w:type="dxa"/>
            <w:vAlign w:val="center"/>
          </w:tcPr>
          <w:p>
            <w:pPr>
              <w:pStyle w:val="17"/>
            </w:pPr>
            <w:r>
              <w:t>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公共服务水平提升情况</w:t>
            </w:r>
          </w:p>
        </w:tc>
        <w:tc>
          <w:tcPr>
            <w:tcW w:w="2891" w:type="dxa"/>
            <w:vAlign w:val="center"/>
          </w:tcPr>
          <w:p>
            <w:pPr>
              <w:pStyle w:val="17"/>
            </w:pPr>
            <w:r>
              <w:t>公共服务水平提升情况</w:t>
            </w:r>
          </w:p>
        </w:tc>
        <w:tc>
          <w:tcPr>
            <w:tcW w:w="1276" w:type="dxa"/>
            <w:vAlign w:val="center"/>
          </w:tcPr>
          <w:p>
            <w:pPr>
              <w:pStyle w:val="17"/>
            </w:pPr>
            <w:r>
              <w:t>提升</w:t>
            </w:r>
          </w:p>
        </w:tc>
        <w:tc>
          <w:tcPr>
            <w:tcW w:w="1843" w:type="dxa"/>
            <w:vAlign w:val="center"/>
          </w:tcPr>
          <w:p>
            <w:pPr>
              <w:pStyle w:val="17"/>
            </w:pPr>
            <w:r>
              <w:t>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0"/>
      <w:r>
        <w:rPr>
          <w:rFonts w:ascii="方正仿宋_GBK" w:hAnsi="方正仿宋_GBK" w:eastAsia="方正仿宋_GBK" w:cs="方正仿宋_GBK"/>
          <w:color w:val="000000"/>
          <w:sz w:val="28"/>
        </w:rPr>
        <w:t>7.2025年农村客运补贴、城市交通发展奖励资金-城市交通发展奖励资金 冀财建【2024】248号绩效目标表</w:t>
      </w:r>
      <w:bookmarkEnd w:id="14"/>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13062325P00958810002F</w:t>
            </w:r>
          </w:p>
        </w:tc>
        <w:tc>
          <w:tcPr>
            <w:tcW w:w="1587" w:type="dxa"/>
            <w:vAlign w:val="center"/>
          </w:tcPr>
          <w:p>
            <w:pPr>
              <w:pStyle w:val="15"/>
            </w:pPr>
            <w:r>
              <w:t>项目名称</w:t>
            </w:r>
          </w:p>
        </w:tc>
        <w:tc>
          <w:tcPr>
            <w:tcW w:w="4423" w:type="dxa"/>
            <w:gridSpan w:val="3"/>
            <w:vAlign w:val="center"/>
          </w:tcPr>
          <w:p>
            <w:pPr>
              <w:pStyle w:val="17"/>
            </w:pPr>
            <w:r>
              <w:t>2025年农村客运补贴、城市交通发展奖励资金-城市交通发展奖励资金 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63.21</w:t>
            </w:r>
          </w:p>
        </w:tc>
        <w:tc>
          <w:tcPr>
            <w:tcW w:w="1587" w:type="dxa"/>
            <w:vAlign w:val="center"/>
          </w:tcPr>
          <w:p>
            <w:pPr>
              <w:pStyle w:val="15"/>
            </w:pPr>
            <w:r>
              <w:t>其中：财政    资金</w:t>
            </w:r>
          </w:p>
        </w:tc>
        <w:tc>
          <w:tcPr>
            <w:tcW w:w="1304" w:type="dxa"/>
            <w:vAlign w:val="center"/>
          </w:tcPr>
          <w:p>
            <w:pPr>
              <w:pStyle w:val="17"/>
            </w:pPr>
            <w:r>
              <w:t>63.21</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2025年城市交通发展奖励资金63.21万元，维护出租车行业稳定，支持公交行业发展。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15800000%</w:t>
            </w:r>
          </w:p>
        </w:tc>
        <w:tc>
          <w:tcPr>
            <w:tcW w:w="1587" w:type="dxa"/>
            <w:vAlign w:val="center"/>
          </w:tcPr>
          <w:p>
            <w:pPr>
              <w:pStyle w:val="18"/>
            </w:pPr>
            <w:r>
              <w:t>31600000%</w:t>
            </w:r>
          </w:p>
        </w:tc>
        <w:tc>
          <w:tcPr>
            <w:tcW w:w="1304" w:type="dxa"/>
            <w:vAlign w:val="center"/>
          </w:tcPr>
          <w:p>
            <w:pPr>
              <w:pStyle w:val="18"/>
            </w:pPr>
            <w:r>
              <w:t>47400000%</w:t>
            </w:r>
          </w:p>
        </w:tc>
        <w:tc>
          <w:tcPr>
            <w:tcW w:w="3119" w:type="dxa"/>
            <w:gridSpan w:val="2"/>
            <w:vAlign w:val="center"/>
          </w:tcPr>
          <w:p>
            <w:pPr>
              <w:pStyle w:val="18"/>
            </w:pPr>
            <w:r>
              <w:t>63210000%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1.2025年城市交通发展奖励资金63.21万元，维护出租车行业稳定，支持公交行业发展。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p>
            <w:pPr>
              <w:pStyle w:val="17"/>
            </w:pPr>
          </w:p>
        </w:tc>
        <w:tc>
          <w:tcPr>
            <w:tcW w:w="2891" w:type="dxa"/>
            <w:vAlign w:val="center"/>
          </w:tcPr>
          <w:p>
            <w:pPr>
              <w:pStyle w:val="17"/>
            </w:pPr>
            <w:r>
              <w:t>资金到位率</w:t>
            </w:r>
          </w:p>
          <w:p>
            <w:pPr>
              <w:pStyle w:val="17"/>
            </w:pPr>
          </w:p>
        </w:tc>
        <w:tc>
          <w:tcPr>
            <w:tcW w:w="1276" w:type="dxa"/>
            <w:vAlign w:val="center"/>
          </w:tcPr>
          <w:p>
            <w:pPr>
              <w:pStyle w:val="17"/>
            </w:pPr>
            <w:r>
              <w:t>100百分比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完成及时率</w:t>
            </w:r>
          </w:p>
        </w:tc>
        <w:tc>
          <w:tcPr>
            <w:tcW w:w="2891" w:type="dxa"/>
            <w:vAlign w:val="center"/>
          </w:tcPr>
          <w:p>
            <w:pPr>
              <w:pStyle w:val="17"/>
            </w:pPr>
            <w:r>
              <w:t>完成及时率</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98百分比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项目工程完成情况</w:t>
            </w:r>
          </w:p>
        </w:tc>
        <w:tc>
          <w:tcPr>
            <w:tcW w:w="2891" w:type="dxa"/>
            <w:vAlign w:val="center"/>
          </w:tcPr>
          <w:p>
            <w:pPr>
              <w:pStyle w:val="17"/>
            </w:pPr>
            <w:r>
              <w:t>项目工程完成情况</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工作完成率</w:t>
            </w:r>
          </w:p>
        </w:tc>
        <w:tc>
          <w:tcPr>
            <w:tcW w:w="2891" w:type="dxa"/>
            <w:vAlign w:val="center"/>
          </w:tcPr>
          <w:p>
            <w:pPr>
              <w:pStyle w:val="17"/>
            </w:pPr>
            <w:r>
              <w:t>工作完成率</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受检测用户满意数量占总数的比例%。</w:t>
            </w:r>
          </w:p>
        </w:tc>
        <w:tc>
          <w:tcPr>
            <w:tcW w:w="1276" w:type="dxa"/>
            <w:vAlign w:val="center"/>
          </w:tcPr>
          <w:p>
            <w:pPr>
              <w:pStyle w:val="17"/>
            </w:pPr>
            <w:r>
              <w:t>≥92百分比</w:t>
            </w:r>
          </w:p>
        </w:tc>
        <w:tc>
          <w:tcPr>
            <w:tcW w:w="1843" w:type="dxa"/>
            <w:vAlign w:val="center"/>
          </w:tcPr>
          <w:p>
            <w:pPr>
              <w:pStyle w:val="17"/>
            </w:pPr>
            <w:r>
              <w:t>群众满意度调查表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1"/>
      <w:r>
        <w:rPr>
          <w:rFonts w:ascii="方正仿宋_GBK" w:hAnsi="方正仿宋_GBK" w:eastAsia="方正仿宋_GBK" w:cs="方正仿宋_GBK"/>
          <w:color w:val="000000"/>
          <w:sz w:val="28"/>
        </w:rPr>
        <w:t>8.2025年农村客运补贴、城市交通发展奖励资金-农村道路客运补贴 冀财建【2024】248号绩效目标表</w:t>
      </w:r>
      <w:bookmarkEnd w:id="15"/>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13062325P009588100033</w:t>
            </w:r>
          </w:p>
        </w:tc>
        <w:tc>
          <w:tcPr>
            <w:tcW w:w="1587" w:type="dxa"/>
            <w:vAlign w:val="center"/>
          </w:tcPr>
          <w:p>
            <w:pPr>
              <w:pStyle w:val="15"/>
            </w:pPr>
            <w:r>
              <w:t>项目名称</w:t>
            </w:r>
          </w:p>
        </w:tc>
        <w:tc>
          <w:tcPr>
            <w:tcW w:w="4423" w:type="dxa"/>
            <w:gridSpan w:val="3"/>
            <w:vAlign w:val="center"/>
          </w:tcPr>
          <w:p>
            <w:pPr>
              <w:pStyle w:val="17"/>
            </w:pPr>
            <w:r>
              <w:t>2025年农村客运补贴、城市交通发展奖励资金-农村道路客运补贴 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68.04</w:t>
            </w:r>
          </w:p>
        </w:tc>
        <w:tc>
          <w:tcPr>
            <w:tcW w:w="1587" w:type="dxa"/>
            <w:vAlign w:val="center"/>
          </w:tcPr>
          <w:p>
            <w:pPr>
              <w:pStyle w:val="15"/>
            </w:pPr>
            <w:r>
              <w:t>其中：财政    资金</w:t>
            </w:r>
          </w:p>
        </w:tc>
        <w:tc>
          <w:tcPr>
            <w:tcW w:w="1304" w:type="dxa"/>
            <w:vAlign w:val="center"/>
          </w:tcPr>
          <w:p>
            <w:pPr>
              <w:pStyle w:val="17"/>
            </w:pPr>
            <w:r>
              <w:t>68.04</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2025年农村道路客运补贴资金68.04万元，为推进城乡客运公共服务均等化，强化农村客运安全运营，为人民群众提供安全、便捷出行服务。</w:t>
            </w:r>
            <w:r>
              <w:tab/>
            </w:r>
            <w:r>
              <w:tab/>
            </w:r>
            <w:r>
              <w:tab/>
            </w:r>
            <w:r>
              <w:tab/>
            </w:r>
            <w:r>
              <w:tab/>
            </w:r>
            <w:r>
              <w:tab/>
            </w:r>
          </w:p>
          <w:p>
            <w:pPr>
              <w:pStyle w:val="17"/>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68040000%</w:t>
            </w:r>
          </w:p>
        </w:tc>
        <w:tc>
          <w:tcPr>
            <w:tcW w:w="3119"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1.2025年农村道路客运补贴资金68.04万元，为推进城乡客运公共服务均等化，强化农村客运安全运营，为人民群众提供安全、便捷出行服务。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68.04万元</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完成及时率</w:t>
            </w:r>
          </w:p>
        </w:tc>
        <w:tc>
          <w:tcPr>
            <w:tcW w:w="2891" w:type="dxa"/>
            <w:vAlign w:val="center"/>
          </w:tcPr>
          <w:p>
            <w:pPr>
              <w:pStyle w:val="17"/>
            </w:pPr>
            <w:r>
              <w:t>完成及时率</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≥95百分比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经济效益增值率</w:t>
            </w:r>
          </w:p>
        </w:tc>
        <w:tc>
          <w:tcPr>
            <w:tcW w:w="2891" w:type="dxa"/>
            <w:vAlign w:val="center"/>
          </w:tcPr>
          <w:p>
            <w:pPr>
              <w:pStyle w:val="17"/>
            </w:pPr>
            <w:r>
              <w:t>项目实施后经济效益增长率</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工作完成率</w:t>
            </w:r>
          </w:p>
        </w:tc>
        <w:tc>
          <w:tcPr>
            <w:tcW w:w="2891" w:type="dxa"/>
            <w:vAlign w:val="center"/>
          </w:tcPr>
          <w:p>
            <w:pPr>
              <w:pStyle w:val="17"/>
            </w:pPr>
            <w:r>
              <w:t>工作完成率</w:t>
            </w:r>
          </w:p>
        </w:tc>
        <w:tc>
          <w:tcPr>
            <w:tcW w:w="1276" w:type="dxa"/>
            <w:vAlign w:val="center"/>
          </w:tcPr>
          <w:p>
            <w:pPr>
              <w:pStyle w:val="17"/>
            </w:pPr>
            <w:r>
              <w:t>≥92百分比</w:t>
            </w:r>
          </w:p>
        </w:tc>
        <w:tc>
          <w:tcPr>
            <w:tcW w:w="1843" w:type="dxa"/>
            <w:vAlign w:val="center"/>
          </w:tcPr>
          <w:p>
            <w:pPr>
              <w:pStyle w:val="17"/>
            </w:pPr>
            <w:r>
              <w:t>依据相关文件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服务对象的满意度</w:t>
            </w:r>
          </w:p>
        </w:tc>
        <w:tc>
          <w:tcPr>
            <w:tcW w:w="2891" w:type="dxa"/>
            <w:vAlign w:val="center"/>
          </w:tcPr>
          <w:p>
            <w:pPr>
              <w:pStyle w:val="17"/>
            </w:pPr>
            <w:r>
              <w:t>服务对象的满意度</w:t>
            </w:r>
          </w:p>
        </w:tc>
        <w:tc>
          <w:tcPr>
            <w:tcW w:w="1276" w:type="dxa"/>
            <w:vAlign w:val="center"/>
          </w:tcPr>
          <w:p>
            <w:pPr>
              <w:pStyle w:val="17"/>
            </w:pPr>
            <w:r>
              <w:t>≥92百分比</w:t>
            </w:r>
          </w:p>
        </w:tc>
        <w:tc>
          <w:tcPr>
            <w:tcW w:w="1843" w:type="dxa"/>
            <w:vAlign w:val="center"/>
          </w:tcPr>
          <w:p>
            <w:pPr>
              <w:pStyle w:val="17"/>
            </w:pPr>
            <w:r>
              <w:t>依据满意度调查表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2"/>
      <w:r>
        <w:rPr>
          <w:rFonts w:ascii="方正仿宋_GBK" w:hAnsi="方正仿宋_GBK" w:eastAsia="方正仿宋_GBK" w:cs="方正仿宋_GBK"/>
          <w:color w:val="000000"/>
          <w:sz w:val="28"/>
        </w:rPr>
        <w:t>9.2025年养护工程补助资金绩效目标表</w:t>
      </w:r>
      <w:bookmarkEnd w:id="16"/>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13062325P000108100033</w:t>
            </w:r>
          </w:p>
        </w:tc>
        <w:tc>
          <w:tcPr>
            <w:tcW w:w="1587" w:type="dxa"/>
            <w:vAlign w:val="center"/>
          </w:tcPr>
          <w:p>
            <w:pPr>
              <w:pStyle w:val="15"/>
            </w:pPr>
            <w:r>
              <w:t>项目名称</w:t>
            </w:r>
          </w:p>
        </w:tc>
        <w:tc>
          <w:tcPr>
            <w:tcW w:w="4423" w:type="dxa"/>
            <w:gridSpan w:val="3"/>
            <w:vAlign w:val="center"/>
          </w:tcPr>
          <w:p>
            <w:pPr>
              <w:pStyle w:val="17"/>
            </w:pPr>
            <w:r>
              <w:t>2025年养护工程补助资金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746.00</w:t>
            </w:r>
          </w:p>
        </w:tc>
        <w:tc>
          <w:tcPr>
            <w:tcW w:w="1587" w:type="dxa"/>
            <w:vAlign w:val="center"/>
          </w:tcPr>
          <w:p>
            <w:pPr>
              <w:pStyle w:val="15"/>
            </w:pPr>
            <w:r>
              <w:t>其中：财政    资金</w:t>
            </w:r>
          </w:p>
        </w:tc>
        <w:tc>
          <w:tcPr>
            <w:tcW w:w="1304" w:type="dxa"/>
            <w:vAlign w:val="center"/>
          </w:tcPr>
          <w:p>
            <w:pPr>
              <w:pStyle w:val="17"/>
            </w:pPr>
            <w:r>
              <w:t>746.00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减少和杜绝由于道路及设施维护不当给用户及使用者带来的意外损害，避免为此引发的不必要的法律纠纷。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50000000%</w:t>
            </w:r>
          </w:p>
        </w:tc>
        <w:tc>
          <w:tcPr>
            <w:tcW w:w="1304" w:type="dxa"/>
            <w:vAlign w:val="center"/>
          </w:tcPr>
          <w:p>
            <w:pPr>
              <w:pStyle w:val="18"/>
            </w:pPr>
            <w:r>
              <w:t>75000000%</w:t>
            </w:r>
          </w:p>
        </w:tc>
        <w:tc>
          <w:tcPr>
            <w:tcW w:w="3119" w:type="dxa"/>
            <w:gridSpan w:val="2"/>
            <w:vAlign w:val="center"/>
          </w:tcPr>
          <w:p>
            <w:pPr>
              <w:pStyle w:val="18"/>
            </w:pPr>
            <w:r>
              <w:t>100000000%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1.减少和杜绝由于道路及设施维护不当给用户及使用者带来的意外损害，避免为此引发的不必要的法律纠纷。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项目完成情况</w:t>
            </w:r>
          </w:p>
        </w:tc>
        <w:tc>
          <w:tcPr>
            <w:tcW w:w="2891" w:type="dxa"/>
            <w:vAlign w:val="center"/>
          </w:tcPr>
          <w:p>
            <w:pPr>
              <w:pStyle w:val="17"/>
            </w:pPr>
            <w:r>
              <w:t>项目完成情况</w:t>
            </w:r>
          </w:p>
        </w:tc>
        <w:tc>
          <w:tcPr>
            <w:tcW w:w="1276" w:type="dxa"/>
            <w:vAlign w:val="center"/>
          </w:tcPr>
          <w:p>
            <w:pPr>
              <w:pStyle w:val="17"/>
            </w:pPr>
            <w:r>
              <w:t>≥100%</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工程质量合格率</w:t>
            </w:r>
          </w:p>
        </w:tc>
        <w:tc>
          <w:tcPr>
            <w:tcW w:w="2891" w:type="dxa"/>
            <w:vAlign w:val="center"/>
          </w:tcPr>
          <w:p>
            <w:pPr>
              <w:pStyle w:val="17"/>
            </w:pPr>
            <w:r>
              <w:t>工程质量合格率</w:t>
            </w:r>
          </w:p>
        </w:tc>
        <w:tc>
          <w:tcPr>
            <w:tcW w:w="1276" w:type="dxa"/>
            <w:vAlign w:val="center"/>
          </w:tcPr>
          <w:p>
            <w:pPr>
              <w:pStyle w:val="17"/>
            </w:pPr>
            <w:r>
              <w:t>≥95%</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项目完成时间</w:t>
            </w:r>
          </w:p>
        </w:tc>
        <w:tc>
          <w:tcPr>
            <w:tcW w:w="2891" w:type="dxa"/>
            <w:vAlign w:val="center"/>
          </w:tcPr>
          <w:p>
            <w:pPr>
              <w:pStyle w:val="17"/>
            </w:pPr>
            <w:r>
              <w:t>项目完成时间</w:t>
            </w:r>
          </w:p>
        </w:tc>
        <w:tc>
          <w:tcPr>
            <w:tcW w:w="1276" w:type="dxa"/>
            <w:vAlign w:val="center"/>
          </w:tcPr>
          <w:p>
            <w:pPr>
              <w:pStyle w:val="17"/>
            </w:pPr>
            <w:r>
              <w:t>2024年12月31日</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项目总成本</w:t>
            </w:r>
          </w:p>
        </w:tc>
        <w:tc>
          <w:tcPr>
            <w:tcW w:w="2891" w:type="dxa"/>
            <w:vAlign w:val="center"/>
          </w:tcPr>
          <w:p>
            <w:pPr>
              <w:pStyle w:val="17"/>
            </w:pPr>
            <w:r>
              <w:t>项目总成本</w:t>
            </w:r>
          </w:p>
        </w:tc>
        <w:tc>
          <w:tcPr>
            <w:tcW w:w="1276" w:type="dxa"/>
            <w:vAlign w:val="center"/>
          </w:tcPr>
          <w:p>
            <w:pPr>
              <w:pStyle w:val="17"/>
            </w:pPr>
            <w:r>
              <w:t>≤746万元</w:t>
            </w:r>
          </w:p>
        </w:tc>
        <w:tc>
          <w:tcPr>
            <w:tcW w:w="1843" w:type="dxa"/>
            <w:vAlign w:val="center"/>
          </w:tcPr>
          <w:p>
            <w:pPr>
              <w:pStyle w:val="17"/>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明显</w:t>
            </w:r>
          </w:p>
        </w:tc>
        <w:tc>
          <w:tcPr>
            <w:tcW w:w="1843" w:type="dxa"/>
            <w:vAlign w:val="center"/>
          </w:tcPr>
          <w:p>
            <w:pPr>
              <w:pStyle w:val="17"/>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公共服务水平提升情况</w:t>
            </w:r>
          </w:p>
        </w:tc>
        <w:tc>
          <w:tcPr>
            <w:tcW w:w="2891" w:type="dxa"/>
            <w:vAlign w:val="center"/>
          </w:tcPr>
          <w:p>
            <w:pPr>
              <w:pStyle w:val="17"/>
            </w:pPr>
            <w:r>
              <w:t>公共服务水平提升情况</w:t>
            </w:r>
          </w:p>
        </w:tc>
        <w:tc>
          <w:tcPr>
            <w:tcW w:w="1276" w:type="dxa"/>
            <w:vAlign w:val="center"/>
          </w:tcPr>
          <w:p>
            <w:pPr>
              <w:pStyle w:val="17"/>
            </w:pPr>
            <w:r>
              <w:t>提升</w:t>
            </w:r>
          </w:p>
        </w:tc>
        <w:tc>
          <w:tcPr>
            <w:tcW w:w="1843" w:type="dxa"/>
            <w:vAlign w:val="center"/>
          </w:tcPr>
          <w:p>
            <w:pPr>
              <w:pStyle w:val="17"/>
            </w:pPr>
            <w:r>
              <w:t>养护管理办法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社会公众或服务对象对项目实施效</w:t>
            </w:r>
          </w:p>
        </w:tc>
        <w:tc>
          <w:tcPr>
            <w:tcW w:w="2891" w:type="dxa"/>
            <w:vAlign w:val="center"/>
          </w:tcPr>
          <w:p>
            <w:pPr>
              <w:pStyle w:val="17"/>
            </w:pPr>
            <w:r>
              <w:t>社会公众或服务对象对项目实施效果的满意程度</w:t>
            </w:r>
          </w:p>
        </w:tc>
        <w:tc>
          <w:tcPr>
            <w:tcW w:w="1276" w:type="dxa"/>
            <w:vAlign w:val="center"/>
          </w:tcPr>
          <w:p>
            <w:pPr>
              <w:pStyle w:val="17"/>
            </w:pPr>
            <w:r>
              <w:t>≥92%</w:t>
            </w:r>
          </w:p>
        </w:tc>
        <w:tc>
          <w:tcPr>
            <w:tcW w:w="1843" w:type="dxa"/>
            <w:vAlign w:val="center"/>
          </w:tcPr>
          <w:p>
            <w:pPr>
              <w:pStyle w:val="17"/>
            </w:pPr>
            <w:r>
              <w:t>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3"/>
      <w:r>
        <w:rPr>
          <w:rFonts w:ascii="方正仿宋_GBK" w:hAnsi="方正仿宋_GBK" w:eastAsia="方正仿宋_GBK" w:cs="方正仿宋_GBK"/>
          <w:color w:val="000000"/>
          <w:sz w:val="28"/>
        </w:rPr>
        <w:t>10.增发2023年国债省级补助（交通领域）资金 冀财建[2023]272号--农村公路建设养护发展专项资金绩效目标表</w:t>
      </w:r>
      <w:bookmarkEnd w:id="17"/>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13062324P00941110001B</w:t>
            </w:r>
          </w:p>
        </w:tc>
        <w:tc>
          <w:tcPr>
            <w:tcW w:w="1587" w:type="dxa"/>
            <w:vAlign w:val="center"/>
          </w:tcPr>
          <w:p>
            <w:pPr>
              <w:pStyle w:val="15"/>
            </w:pPr>
            <w:r>
              <w:t>项目名称</w:t>
            </w:r>
          </w:p>
        </w:tc>
        <w:tc>
          <w:tcPr>
            <w:tcW w:w="4423" w:type="dxa"/>
            <w:gridSpan w:val="3"/>
            <w:vAlign w:val="center"/>
          </w:tcPr>
          <w:p>
            <w:pPr>
              <w:pStyle w:val="17"/>
            </w:pPr>
            <w:r>
              <w:t>增发2023年国债省级补助（交通领域）资金 冀财建[2023]272号--农村公路建设养护发展专项资金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171.62</w:t>
            </w:r>
          </w:p>
        </w:tc>
        <w:tc>
          <w:tcPr>
            <w:tcW w:w="1587" w:type="dxa"/>
            <w:vAlign w:val="center"/>
          </w:tcPr>
          <w:p>
            <w:pPr>
              <w:pStyle w:val="15"/>
            </w:pPr>
            <w:r>
              <w:t>其中：财政    资金</w:t>
            </w:r>
          </w:p>
        </w:tc>
        <w:tc>
          <w:tcPr>
            <w:tcW w:w="1304" w:type="dxa"/>
            <w:vAlign w:val="center"/>
          </w:tcPr>
          <w:p>
            <w:pPr>
              <w:pStyle w:val="17"/>
            </w:pPr>
            <w:r>
              <w:t>171.62</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恢复重建128.078公里，恢复重建桥梁67座，恢复重建涵洞122道。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171624100%</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1.恢复重建128.078公里，恢复重建桥梁67座，恢复重建涵洞122道。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工程量完成率</w:t>
            </w:r>
          </w:p>
        </w:tc>
        <w:tc>
          <w:tcPr>
            <w:tcW w:w="2891" w:type="dxa"/>
            <w:vAlign w:val="center"/>
          </w:tcPr>
          <w:p>
            <w:pPr>
              <w:pStyle w:val="17"/>
            </w:pPr>
            <w:r>
              <w:t>工程量完成率</w:t>
            </w:r>
          </w:p>
        </w:tc>
        <w:tc>
          <w:tcPr>
            <w:tcW w:w="1276" w:type="dxa"/>
            <w:vAlign w:val="center"/>
          </w:tcPr>
          <w:p>
            <w:pPr>
              <w:pStyle w:val="17"/>
            </w:pPr>
            <w:r>
              <w:t>≥80%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工程按期完成率（%）</w:t>
            </w:r>
          </w:p>
        </w:tc>
        <w:tc>
          <w:tcPr>
            <w:tcW w:w="2891" w:type="dxa"/>
            <w:vAlign w:val="center"/>
          </w:tcPr>
          <w:p>
            <w:pPr>
              <w:pStyle w:val="17"/>
            </w:pPr>
            <w:r>
              <w:t>按期完成的工程量占总工程量的比率</w:t>
            </w:r>
          </w:p>
        </w:tc>
        <w:tc>
          <w:tcPr>
            <w:tcW w:w="1276" w:type="dxa"/>
            <w:vAlign w:val="center"/>
          </w:tcPr>
          <w:p>
            <w:pPr>
              <w:pStyle w:val="17"/>
            </w:pPr>
            <w:r>
              <w:t>≥80%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工程合格率</w:t>
            </w:r>
          </w:p>
        </w:tc>
        <w:tc>
          <w:tcPr>
            <w:tcW w:w="2891" w:type="dxa"/>
            <w:vAlign w:val="center"/>
          </w:tcPr>
          <w:p>
            <w:pPr>
              <w:pStyle w:val="17"/>
            </w:pPr>
            <w:r>
              <w:t>通过验收的工程量占建设总量的比率</w:t>
            </w:r>
          </w:p>
        </w:tc>
        <w:tc>
          <w:tcPr>
            <w:tcW w:w="1276" w:type="dxa"/>
            <w:vAlign w:val="center"/>
          </w:tcPr>
          <w:p>
            <w:pPr>
              <w:pStyle w:val="17"/>
            </w:pPr>
            <w:r>
              <w:t>≥90%</w:t>
            </w:r>
          </w:p>
        </w:tc>
        <w:tc>
          <w:tcPr>
            <w:tcW w:w="1843" w:type="dxa"/>
            <w:vAlign w:val="center"/>
          </w:tcPr>
          <w:p>
            <w:pPr>
              <w:pStyle w:val="17"/>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≤171.62万元</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显著提升</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对社会经济发展的影响</w:t>
            </w:r>
          </w:p>
        </w:tc>
        <w:tc>
          <w:tcPr>
            <w:tcW w:w="2891" w:type="dxa"/>
            <w:vAlign w:val="center"/>
          </w:tcPr>
          <w:p>
            <w:pPr>
              <w:pStyle w:val="17"/>
            </w:pPr>
            <w:r>
              <w:t>对社会经济发展的影响</w:t>
            </w:r>
          </w:p>
        </w:tc>
        <w:tc>
          <w:tcPr>
            <w:tcW w:w="1276" w:type="dxa"/>
            <w:vAlign w:val="center"/>
          </w:tcPr>
          <w:p>
            <w:pPr>
              <w:pStyle w:val="17"/>
            </w:pPr>
            <w:r>
              <w:t>反映良好</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满足生态环保要求</w:t>
            </w:r>
          </w:p>
        </w:tc>
        <w:tc>
          <w:tcPr>
            <w:tcW w:w="2891" w:type="dxa"/>
            <w:vAlign w:val="center"/>
          </w:tcPr>
          <w:p>
            <w:pPr>
              <w:pStyle w:val="17"/>
            </w:pPr>
            <w:r>
              <w:t>满足生态环保要求</w:t>
            </w:r>
          </w:p>
        </w:tc>
        <w:tc>
          <w:tcPr>
            <w:tcW w:w="1276" w:type="dxa"/>
            <w:vAlign w:val="center"/>
          </w:tcPr>
          <w:p>
            <w:pPr>
              <w:pStyle w:val="17"/>
            </w:pPr>
            <w:r>
              <w:t>满足</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基建类项目持续使用时间（年）</w:t>
            </w:r>
          </w:p>
        </w:tc>
        <w:tc>
          <w:tcPr>
            <w:tcW w:w="2891" w:type="dxa"/>
            <w:vAlign w:val="center"/>
          </w:tcPr>
          <w:p>
            <w:pPr>
              <w:pStyle w:val="17"/>
            </w:pPr>
            <w:r>
              <w:t>基建类项目持续使用时间（年）</w:t>
            </w:r>
          </w:p>
        </w:tc>
        <w:tc>
          <w:tcPr>
            <w:tcW w:w="1276" w:type="dxa"/>
            <w:vAlign w:val="center"/>
          </w:tcPr>
          <w:p>
            <w:pPr>
              <w:pStyle w:val="17"/>
            </w:pPr>
            <w:r>
              <w:t>≥10年</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4"/>
      <w:r>
        <w:rPr>
          <w:rFonts w:ascii="方正仿宋_GBK" w:hAnsi="方正仿宋_GBK" w:eastAsia="方正仿宋_GBK" w:cs="方正仿宋_GBK"/>
          <w:color w:val="000000"/>
          <w:sz w:val="28"/>
        </w:rPr>
        <w:t>11.增发2023年国债省级补助（交通领域）资金-农村公路建设养护资金 冀财建[2024]162号绩效目标表</w:t>
      </w:r>
      <w:bookmarkEnd w:id="18"/>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13062324P009590100017</w:t>
            </w:r>
          </w:p>
        </w:tc>
        <w:tc>
          <w:tcPr>
            <w:tcW w:w="1587" w:type="dxa"/>
            <w:vAlign w:val="center"/>
          </w:tcPr>
          <w:p>
            <w:pPr>
              <w:pStyle w:val="15"/>
            </w:pPr>
            <w:r>
              <w:t>项目名称</w:t>
            </w:r>
          </w:p>
        </w:tc>
        <w:tc>
          <w:tcPr>
            <w:tcW w:w="4423" w:type="dxa"/>
            <w:gridSpan w:val="3"/>
            <w:vAlign w:val="center"/>
          </w:tcPr>
          <w:p>
            <w:pPr>
              <w:pStyle w:val="17"/>
            </w:pPr>
            <w:r>
              <w:t>增发2023年国债省级补助（交通领域）资金-农村公路建设养护资金 冀财建[2024]162号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3264.00</w:t>
            </w:r>
          </w:p>
        </w:tc>
        <w:tc>
          <w:tcPr>
            <w:tcW w:w="1587" w:type="dxa"/>
            <w:vAlign w:val="center"/>
          </w:tcPr>
          <w:p>
            <w:pPr>
              <w:pStyle w:val="15"/>
            </w:pPr>
            <w:r>
              <w:t>其中：财政    资金</w:t>
            </w:r>
          </w:p>
        </w:tc>
        <w:tc>
          <w:tcPr>
            <w:tcW w:w="1304" w:type="dxa"/>
            <w:vAlign w:val="center"/>
          </w:tcPr>
          <w:p>
            <w:pPr>
              <w:pStyle w:val="17"/>
            </w:pPr>
            <w:r>
              <w:t>3264.00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2023年水毁项目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3264000000%</w:t>
            </w:r>
          </w:p>
        </w:tc>
        <w:tc>
          <w:tcPr>
            <w:tcW w:w="3119"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1.本项目恢复重建128.078公里，恢复重建桥梁67座，恢复重建涵洞122道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工程量完成率</w:t>
            </w:r>
          </w:p>
        </w:tc>
        <w:tc>
          <w:tcPr>
            <w:tcW w:w="2891" w:type="dxa"/>
            <w:vAlign w:val="center"/>
          </w:tcPr>
          <w:p>
            <w:pPr>
              <w:pStyle w:val="17"/>
            </w:pPr>
            <w:r>
              <w:t>工程量完成率</w:t>
            </w:r>
          </w:p>
        </w:tc>
        <w:tc>
          <w:tcPr>
            <w:tcW w:w="1276" w:type="dxa"/>
            <w:vAlign w:val="center"/>
          </w:tcPr>
          <w:p>
            <w:pPr>
              <w:pStyle w:val="17"/>
            </w:pPr>
            <w:r>
              <w:t>≥90%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工程按期完成率（%）</w:t>
            </w:r>
          </w:p>
        </w:tc>
        <w:tc>
          <w:tcPr>
            <w:tcW w:w="2891" w:type="dxa"/>
            <w:vAlign w:val="center"/>
          </w:tcPr>
          <w:p>
            <w:pPr>
              <w:pStyle w:val="17"/>
            </w:pPr>
            <w:r>
              <w:t>按期完成的工程量占总工程量的比率</w:t>
            </w:r>
          </w:p>
        </w:tc>
        <w:tc>
          <w:tcPr>
            <w:tcW w:w="1276" w:type="dxa"/>
            <w:vAlign w:val="center"/>
          </w:tcPr>
          <w:p>
            <w:pPr>
              <w:pStyle w:val="17"/>
            </w:pPr>
            <w:r>
              <w:t>≥90%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工程合格率</w:t>
            </w:r>
          </w:p>
        </w:tc>
        <w:tc>
          <w:tcPr>
            <w:tcW w:w="2891" w:type="dxa"/>
            <w:vAlign w:val="center"/>
          </w:tcPr>
          <w:p>
            <w:pPr>
              <w:pStyle w:val="17"/>
            </w:pPr>
            <w:r>
              <w:t>通过验收的工程量占建设总量的比率</w:t>
            </w:r>
          </w:p>
        </w:tc>
        <w:tc>
          <w:tcPr>
            <w:tcW w:w="1276" w:type="dxa"/>
            <w:vAlign w:val="center"/>
          </w:tcPr>
          <w:p>
            <w:pPr>
              <w:pStyle w:val="17"/>
            </w:pPr>
            <w:r>
              <w:t>≥90%</w:t>
            </w:r>
          </w:p>
        </w:tc>
        <w:tc>
          <w:tcPr>
            <w:tcW w:w="1843" w:type="dxa"/>
            <w:vAlign w:val="center"/>
          </w:tcPr>
          <w:p>
            <w:pPr>
              <w:pStyle w:val="17"/>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≤3264万元</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显著提升</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对社会经济发展的影响</w:t>
            </w:r>
          </w:p>
        </w:tc>
        <w:tc>
          <w:tcPr>
            <w:tcW w:w="2891" w:type="dxa"/>
            <w:vAlign w:val="center"/>
          </w:tcPr>
          <w:p>
            <w:pPr>
              <w:pStyle w:val="17"/>
            </w:pPr>
            <w:r>
              <w:t>对社会经济发展的影响</w:t>
            </w:r>
          </w:p>
        </w:tc>
        <w:tc>
          <w:tcPr>
            <w:tcW w:w="1276" w:type="dxa"/>
            <w:vAlign w:val="center"/>
          </w:tcPr>
          <w:p>
            <w:pPr>
              <w:pStyle w:val="17"/>
            </w:pPr>
            <w:r>
              <w:t>反映良好</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满足生态环保要求</w:t>
            </w:r>
          </w:p>
        </w:tc>
        <w:tc>
          <w:tcPr>
            <w:tcW w:w="2891" w:type="dxa"/>
            <w:vAlign w:val="center"/>
          </w:tcPr>
          <w:p>
            <w:pPr>
              <w:pStyle w:val="17"/>
            </w:pPr>
            <w:r>
              <w:t>满足生态环保要求</w:t>
            </w:r>
          </w:p>
        </w:tc>
        <w:tc>
          <w:tcPr>
            <w:tcW w:w="1276" w:type="dxa"/>
            <w:vAlign w:val="center"/>
          </w:tcPr>
          <w:p>
            <w:pPr>
              <w:pStyle w:val="17"/>
            </w:pPr>
            <w:r>
              <w:t>满足</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基建类项目持续使用时间（年）</w:t>
            </w:r>
          </w:p>
        </w:tc>
        <w:tc>
          <w:tcPr>
            <w:tcW w:w="2891" w:type="dxa"/>
            <w:vAlign w:val="center"/>
          </w:tcPr>
          <w:p>
            <w:pPr>
              <w:pStyle w:val="17"/>
            </w:pPr>
            <w:r>
              <w:t>基建类项目持续使用时间（年）</w:t>
            </w:r>
          </w:p>
        </w:tc>
        <w:tc>
          <w:tcPr>
            <w:tcW w:w="1276" w:type="dxa"/>
            <w:vAlign w:val="center"/>
          </w:tcPr>
          <w:p>
            <w:pPr>
              <w:pStyle w:val="17"/>
            </w:pPr>
            <w:r>
              <w:t>≥10年</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12.增发2023年国债省级补助（交通领域）资金-灾后重建专项资金 冀财建[2024]162号绩效目标表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13062324P00959110001W</w:t>
            </w:r>
          </w:p>
        </w:tc>
        <w:tc>
          <w:tcPr>
            <w:tcW w:w="1587" w:type="dxa"/>
            <w:vAlign w:val="center"/>
          </w:tcPr>
          <w:p>
            <w:pPr>
              <w:pStyle w:val="15"/>
            </w:pPr>
            <w:r>
              <w:t>项目名称</w:t>
            </w:r>
          </w:p>
        </w:tc>
        <w:tc>
          <w:tcPr>
            <w:tcW w:w="4423" w:type="dxa"/>
            <w:gridSpan w:val="3"/>
            <w:vAlign w:val="center"/>
          </w:tcPr>
          <w:p>
            <w:pPr>
              <w:pStyle w:val="17"/>
            </w:pPr>
            <w:r>
              <w:t>增发2023年国债省级补助（交通领域）资金-灾后重建专项资金 冀财建[2024]162号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739.00</w:t>
            </w:r>
          </w:p>
        </w:tc>
        <w:tc>
          <w:tcPr>
            <w:tcW w:w="1587" w:type="dxa"/>
            <w:vAlign w:val="center"/>
          </w:tcPr>
          <w:p>
            <w:pPr>
              <w:pStyle w:val="15"/>
            </w:pPr>
            <w:r>
              <w:t>其中：财政    资金</w:t>
            </w:r>
          </w:p>
        </w:tc>
        <w:tc>
          <w:tcPr>
            <w:tcW w:w="1304" w:type="dxa"/>
            <w:vAlign w:val="center"/>
          </w:tcPr>
          <w:p>
            <w:pPr>
              <w:pStyle w:val="17"/>
            </w:pPr>
            <w:r>
              <w:t>739.00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用于灾后重建项目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739000000%</w:t>
            </w:r>
          </w:p>
        </w:tc>
        <w:tc>
          <w:tcPr>
            <w:tcW w:w="3119" w:type="dxa"/>
            <w:gridSpan w:val="2"/>
            <w:vAlign w:val="center"/>
          </w:tcPr>
          <w:p>
            <w:pPr>
              <w:pStyle w:val="18"/>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gridSpan w:val="6"/>
            <w:vAlign w:val="center"/>
          </w:tcPr>
          <w:p>
            <w:pPr>
              <w:pStyle w:val="17"/>
            </w:pPr>
            <w:r>
              <w:t>1.本项目恢复重建128.078公里，恢复重建桥梁67座，恢复重建涵洞122道</w:t>
            </w:r>
            <w:r>
              <w:tab/>
            </w:r>
            <w:r>
              <w:tab/>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工程量完成率</w:t>
            </w:r>
          </w:p>
        </w:tc>
        <w:tc>
          <w:tcPr>
            <w:tcW w:w="2891" w:type="dxa"/>
            <w:vAlign w:val="center"/>
          </w:tcPr>
          <w:p>
            <w:pPr>
              <w:pStyle w:val="17"/>
            </w:pPr>
            <w:r>
              <w:t>工程量完成率</w:t>
            </w:r>
          </w:p>
        </w:tc>
        <w:tc>
          <w:tcPr>
            <w:tcW w:w="1276" w:type="dxa"/>
            <w:vAlign w:val="center"/>
          </w:tcPr>
          <w:p>
            <w:pPr>
              <w:pStyle w:val="17"/>
            </w:pPr>
            <w:r>
              <w:t>≥90%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工程按期完成率（%）</w:t>
            </w:r>
          </w:p>
        </w:tc>
        <w:tc>
          <w:tcPr>
            <w:tcW w:w="2891" w:type="dxa"/>
            <w:vAlign w:val="center"/>
          </w:tcPr>
          <w:p>
            <w:pPr>
              <w:pStyle w:val="17"/>
            </w:pPr>
            <w:r>
              <w:t>按期完成的工程量占总工程量的比率</w:t>
            </w:r>
          </w:p>
        </w:tc>
        <w:tc>
          <w:tcPr>
            <w:tcW w:w="1276" w:type="dxa"/>
            <w:vAlign w:val="center"/>
          </w:tcPr>
          <w:p>
            <w:pPr>
              <w:pStyle w:val="17"/>
            </w:pPr>
            <w:r>
              <w:t>≥90%</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工程合格率</w:t>
            </w:r>
          </w:p>
        </w:tc>
        <w:tc>
          <w:tcPr>
            <w:tcW w:w="2891" w:type="dxa"/>
            <w:vAlign w:val="center"/>
          </w:tcPr>
          <w:p>
            <w:pPr>
              <w:pStyle w:val="17"/>
            </w:pPr>
            <w:r>
              <w:t>通过验收的工程量占建设总量的比率</w:t>
            </w:r>
          </w:p>
        </w:tc>
        <w:tc>
          <w:tcPr>
            <w:tcW w:w="1276" w:type="dxa"/>
            <w:vAlign w:val="center"/>
          </w:tcPr>
          <w:p>
            <w:pPr>
              <w:pStyle w:val="17"/>
            </w:pPr>
            <w:r>
              <w:t>≥90%</w:t>
            </w:r>
          </w:p>
        </w:tc>
        <w:tc>
          <w:tcPr>
            <w:tcW w:w="1843" w:type="dxa"/>
            <w:vAlign w:val="center"/>
          </w:tcPr>
          <w:p>
            <w:pPr>
              <w:pStyle w:val="17"/>
            </w:pPr>
            <w:r>
              <w:t>监理资料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w:t>
            </w:r>
          </w:p>
        </w:tc>
        <w:tc>
          <w:tcPr>
            <w:tcW w:w="2891" w:type="dxa"/>
            <w:vAlign w:val="center"/>
          </w:tcPr>
          <w:p>
            <w:pPr>
              <w:pStyle w:val="17"/>
            </w:pPr>
            <w:r>
              <w:t>总成本</w:t>
            </w:r>
          </w:p>
        </w:tc>
        <w:tc>
          <w:tcPr>
            <w:tcW w:w="1276" w:type="dxa"/>
            <w:vAlign w:val="center"/>
          </w:tcPr>
          <w:p>
            <w:pPr>
              <w:pStyle w:val="17"/>
            </w:pPr>
            <w:r>
              <w:t>≤739万元</w:t>
            </w:r>
          </w:p>
        </w:tc>
        <w:tc>
          <w:tcPr>
            <w:tcW w:w="1843" w:type="dxa"/>
            <w:vAlign w:val="center"/>
          </w:tcPr>
          <w:p>
            <w:pPr>
              <w:pStyle w:val="17"/>
            </w:pPr>
            <w:r>
              <w:t>计量支付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 xml:space="preserve">对经济发展带来效果 </w:t>
            </w:r>
          </w:p>
        </w:tc>
        <w:tc>
          <w:tcPr>
            <w:tcW w:w="2891" w:type="dxa"/>
            <w:vAlign w:val="center"/>
          </w:tcPr>
          <w:p>
            <w:pPr>
              <w:pStyle w:val="17"/>
            </w:pPr>
            <w:r>
              <w:t xml:space="preserve">对经济发展带来效果 </w:t>
            </w:r>
          </w:p>
        </w:tc>
        <w:tc>
          <w:tcPr>
            <w:tcW w:w="1276" w:type="dxa"/>
            <w:vAlign w:val="center"/>
          </w:tcPr>
          <w:p>
            <w:pPr>
              <w:pStyle w:val="17"/>
            </w:pPr>
            <w:r>
              <w:t>显著提升</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对社会经济发展的影响</w:t>
            </w:r>
          </w:p>
        </w:tc>
        <w:tc>
          <w:tcPr>
            <w:tcW w:w="2891" w:type="dxa"/>
            <w:vAlign w:val="center"/>
          </w:tcPr>
          <w:p>
            <w:pPr>
              <w:pStyle w:val="17"/>
            </w:pPr>
            <w:r>
              <w:t>对社会经济发展的影响</w:t>
            </w:r>
          </w:p>
        </w:tc>
        <w:tc>
          <w:tcPr>
            <w:tcW w:w="1276" w:type="dxa"/>
            <w:vAlign w:val="center"/>
          </w:tcPr>
          <w:p>
            <w:pPr>
              <w:pStyle w:val="17"/>
            </w:pPr>
            <w:r>
              <w:t>反映良好</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满足生态环保要求</w:t>
            </w:r>
          </w:p>
        </w:tc>
        <w:tc>
          <w:tcPr>
            <w:tcW w:w="2891" w:type="dxa"/>
            <w:vAlign w:val="center"/>
          </w:tcPr>
          <w:p>
            <w:pPr>
              <w:pStyle w:val="17"/>
            </w:pPr>
            <w:r>
              <w:t>满足生态环保要求</w:t>
            </w:r>
          </w:p>
        </w:tc>
        <w:tc>
          <w:tcPr>
            <w:tcW w:w="1276" w:type="dxa"/>
            <w:vAlign w:val="center"/>
          </w:tcPr>
          <w:p>
            <w:pPr>
              <w:pStyle w:val="17"/>
            </w:pPr>
            <w:r>
              <w:t>满足</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基建类项目持续使用时间（年）</w:t>
            </w:r>
          </w:p>
        </w:tc>
        <w:tc>
          <w:tcPr>
            <w:tcW w:w="2891" w:type="dxa"/>
            <w:vAlign w:val="center"/>
          </w:tcPr>
          <w:p>
            <w:pPr>
              <w:pStyle w:val="17"/>
            </w:pPr>
            <w:r>
              <w:t>基建类项目持续使用时间（年）</w:t>
            </w:r>
          </w:p>
        </w:tc>
        <w:tc>
          <w:tcPr>
            <w:tcW w:w="1276" w:type="dxa"/>
            <w:vAlign w:val="center"/>
          </w:tcPr>
          <w:p>
            <w:pPr>
              <w:pStyle w:val="17"/>
            </w:pPr>
            <w:r>
              <w:t>≥10年</w:t>
            </w:r>
          </w:p>
        </w:tc>
        <w:tc>
          <w:tcPr>
            <w:tcW w:w="1843" w:type="dxa"/>
            <w:vAlign w:val="center"/>
          </w:tcPr>
          <w:p>
            <w:pPr>
              <w:pStyle w:val="17"/>
            </w:pPr>
            <w:r>
              <w:t>工可报告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群众满意度</w:t>
            </w:r>
          </w:p>
        </w:tc>
        <w:tc>
          <w:tcPr>
            <w:tcW w:w="1276" w:type="dxa"/>
            <w:vAlign w:val="center"/>
          </w:tcPr>
          <w:p>
            <w:pPr>
              <w:pStyle w:val="17"/>
            </w:pPr>
            <w:r>
              <w:t>≥92%</w:t>
            </w:r>
          </w:p>
        </w:tc>
        <w:tc>
          <w:tcPr>
            <w:tcW w:w="1843" w:type="dxa"/>
            <w:vAlign w:val="center"/>
          </w:tcPr>
          <w:p>
            <w:pPr>
              <w:pStyle w:val="17"/>
            </w:pPr>
            <w:r>
              <w:t>调查问卷</w:t>
            </w:r>
          </w:p>
        </w:tc>
      </w:tr>
    </w:tbl>
    <w:p/>
    <w:p>
      <w:pPr>
        <w:numPr>
          <w:ilvl w:val="0"/>
          <w:numId w:val="0"/>
        </w:numPr>
        <w:rPr>
          <w:rFonts w:ascii="方正楷体_GBK" w:hAnsi="方正楷体_GBK" w:eastAsia="方正楷体_GBK" w:cs="方正楷体_GBK"/>
          <w:b/>
          <w:color w:val="000000"/>
          <w:sz w:val="32"/>
          <w:lang w:val="uk-UA" w:eastAsia="zh-CN"/>
        </w:rPr>
      </w:pPr>
    </w:p>
    <w:p>
      <w:pPr>
        <w:numPr>
          <w:ilvl w:val="0"/>
          <w:numId w:val="0"/>
        </w:numPr>
        <w:rPr>
          <w:rFonts w:ascii="方正楷体_GBK" w:hAnsi="方正楷体_GBK" w:eastAsia="方正楷体_GBK" w:cs="方正楷体_GBK"/>
          <w:b/>
          <w:color w:val="000000"/>
          <w:sz w:val="32"/>
          <w:lang w:val="uk-UA" w:eastAsia="zh-CN"/>
        </w:rPr>
      </w:pPr>
    </w:p>
    <w:p>
      <w:pPr>
        <w:spacing w:before="10" w:after="10"/>
        <w:outlineLvl w:val="2"/>
        <w:rPr>
          <w:rFonts w:ascii="黑体" w:hAnsi="黑体" w:eastAsia="黑体" w:cs="黑体"/>
          <w:color w:val="000000"/>
          <w:sz w:val="32"/>
        </w:rPr>
      </w:pPr>
      <w:bookmarkStart w:id="19" w:name="_Toc_3_3_0000000015"/>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pPr>
      <w:r>
        <w:rPr>
          <w:rFonts w:ascii="黑体" w:hAnsi="黑体" w:eastAsia="黑体" w:cs="黑体"/>
          <w:color w:val="000000"/>
          <w:sz w:val="32"/>
        </w:rPr>
        <w:t>六、政府采购预算情况</w:t>
      </w:r>
      <w:bookmarkEnd w:id="19"/>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w:t>
      </w:r>
      <w:r>
        <w:rPr>
          <w:rFonts w:hint="eastAsia" w:eastAsia="方正仿宋_GBK"/>
          <w:color w:val="000000"/>
          <w:sz w:val="28"/>
          <w:lang w:eastAsia="zh-CN"/>
        </w:rPr>
        <w:t>政府采购预算</w:t>
      </w:r>
      <w:r>
        <w:rPr>
          <w:rFonts w:hint="eastAsia" w:eastAsia="方正仿宋_GBK"/>
          <w:color w:val="000000"/>
          <w:sz w:val="28"/>
          <w:lang w:val="en-US" w:eastAsia="zh-CN"/>
        </w:rPr>
        <w:t>3374</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eastAsia="zh-CN"/>
        </w:rPr>
        <w:t>具体内容见下表。</w:t>
      </w:r>
    </w:p>
    <w:p>
      <w:pPr>
        <w:spacing w:line="500" w:lineRule="exact"/>
        <w:ind w:firstLine="560"/>
        <w:rPr>
          <w:rFonts w:eastAsia="方正仿宋_GBK"/>
          <w:color w:val="000000"/>
          <w:sz w:val="28"/>
          <w:lang w:eastAsia="zh-CN"/>
        </w:rPr>
      </w:pPr>
    </w:p>
    <w:p>
      <w:pPr>
        <w:jc w:val="center"/>
        <w:outlineLvl w:val="1"/>
      </w:pPr>
      <w:bookmarkStart w:id="20" w:name="_Toc_3_3_0000000016"/>
      <w:r>
        <w:rPr>
          <w:rFonts w:ascii="方正小标宋_GBK" w:hAnsi="方正小标宋_GBK" w:eastAsia="方正小标宋_GBK" w:cs="方正小标宋_GBK"/>
          <w:color w:val="000000"/>
          <w:sz w:val="32"/>
        </w:rPr>
        <w:t>部门政府采购预算</w:t>
      </w:r>
    </w:p>
    <w:tbl>
      <w:tblPr>
        <w:tblStyle w:val="9"/>
        <w:tblW w:w="16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838"/>
        <w:gridCol w:w="1132"/>
        <w:gridCol w:w="114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838" w:type="dxa"/>
            <w:vMerge w:val="restart"/>
            <w:vAlign w:val="center"/>
          </w:tcPr>
          <w:p>
            <w:pPr>
              <w:pStyle w:val="15"/>
            </w:pPr>
            <w:r>
              <w:t>采购物品名称</w:t>
            </w:r>
          </w:p>
        </w:tc>
        <w:tc>
          <w:tcPr>
            <w:tcW w:w="1132" w:type="dxa"/>
            <w:vMerge w:val="restart"/>
            <w:vAlign w:val="center"/>
          </w:tcPr>
          <w:p>
            <w:pPr>
              <w:pStyle w:val="15"/>
            </w:pPr>
            <w:r>
              <w:t>政府采购目录序号</w:t>
            </w:r>
          </w:p>
        </w:tc>
        <w:tc>
          <w:tcPr>
            <w:tcW w:w="1149" w:type="dxa"/>
            <w:vMerge w:val="restart"/>
            <w:vAlign w:val="center"/>
          </w:tcPr>
          <w:p>
            <w:pPr>
              <w:pStyle w:val="15"/>
            </w:pPr>
            <w:r>
              <w:t>计量  单位</w:t>
            </w:r>
          </w:p>
        </w:tc>
        <w:tc>
          <w:tcPr>
            <w:tcW w:w="709"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838" w:type="dxa"/>
            <w:vMerge w:val="continue"/>
          </w:tcPr>
          <w:p/>
        </w:tc>
        <w:tc>
          <w:tcPr>
            <w:tcW w:w="1132" w:type="dxa"/>
            <w:vMerge w:val="continue"/>
          </w:tcPr>
          <w:p/>
        </w:tc>
        <w:tc>
          <w:tcPr>
            <w:tcW w:w="1149" w:type="dxa"/>
            <w:vMerge w:val="continue"/>
          </w:tcPr>
          <w:p/>
        </w:tc>
        <w:tc>
          <w:tcPr>
            <w:tcW w:w="709"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rPr>
                <w:rFonts w:hint="default" w:eastAsia="方正书宋_GBK"/>
                <w:lang w:val="en-US" w:eastAsia="zh-CN"/>
              </w:rPr>
            </w:pPr>
            <w:r>
              <w:rPr>
                <w:rFonts w:hint="eastAsia"/>
                <w:lang w:val="en-US" w:eastAsia="zh-CN"/>
              </w:rPr>
              <w:t>3374</w:t>
            </w:r>
          </w:p>
        </w:tc>
        <w:tc>
          <w:tcPr>
            <w:tcW w:w="838" w:type="dxa"/>
            <w:vAlign w:val="center"/>
          </w:tcPr>
          <w:p>
            <w:pPr>
              <w:pStyle w:val="21"/>
            </w:pPr>
          </w:p>
        </w:tc>
        <w:tc>
          <w:tcPr>
            <w:tcW w:w="1132" w:type="dxa"/>
            <w:vAlign w:val="center"/>
          </w:tcPr>
          <w:p>
            <w:pPr>
              <w:pStyle w:val="21"/>
            </w:pPr>
          </w:p>
        </w:tc>
        <w:tc>
          <w:tcPr>
            <w:tcW w:w="1149" w:type="dxa"/>
            <w:vAlign w:val="center"/>
          </w:tcPr>
          <w:p>
            <w:pPr>
              <w:pStyle w:val="19"/>
            </w:pPr>
          </w:p>
        </w:tc>
        <w:tc>
          <w:tcPr>
            <w:tcW w:w="709" w:type="dxa"/>
            <w:vAlign w:val="center"/>
          </w:tcPr>
          <w:p>
            <w:pPr>
              <w:pStyle w:val="20"/>
            </w:pPr>
          </w:p>
        </w:tc>
        <w:tc>
          <w:tcPr>
            <w:tcW w:w="850" w:type="dxa"/>
            <w:vAlign w:val="center"/>
          </w:tcPr>
          <w:p>
            <w:pPr>
              <w:pStyle w:val="20"/>
            </w:pPr>
          </w:p>
        </w:tc>
        <w:tc>
          <w:tcPr>
            <w:tcW w:w="964" w:type="dxa"/>
            <w:vAlign w:val="center"/>
          </w:tcPr>
          <w:p>
            <w:pPr>
              <w:pStyle w:val="20"/>
              <w:rPr>
                <w:b w:val="0"/>
                <w:bCs/>
                <w:sz w:val="18"/>
                <w:szCs w:val="21"/>
              </w:rPr>
            </w:pPr>
          </w:p>
        </w:tc>
        <w:tc>
          <w:tcPr>
            <w:tcW w:w="964" w:type="dxa"/>
            <w:vAlign w:val="center"/>
          </w:tcPr>
          <w:p>
            <w:pPr>
              <w:pStyle w:val="20"/>
              <w:rPr>
                <w:rFonts w:hint="default" w:eastAsia="方正书宋_GBK"/>
                <w:b w:val="0"/>
                <w:bCs/>
                <w:sz w:val="18"/>
                <w:szCs w:val="21"/>
                <w:lang w:val="en-US" w:eastAsia="zh-CN"/>
              </w:rPr>
            </w:pPr>
            <w:r>
              <w:rPr>
                <w:rFonts w:hint="eastAsia"/>
                <w:b w:val="0"/>
                <w:bCs/>
                <w:sz w:val="18"/>
                <w:szCs w:val="21"/>
                <w:lang w:val="en-US" w:eastAsia="zh-CN"/>
              </w:rPr>
              <w:t>3374</w:t>
            </w: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c>
          <w:tcPr>
            <w:tcW w:w="964" w:type="dxa"/>
            <w:vAlign w:val="center"/>
          </w:tcPr>
          <w:p>
            <w:pPr>
              <w:pStyle w:val="20"/>
              <w:rPr>
                <w:b w:val="0"/>
                <w:bCs/>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b w:val="0"/>
                <w:bCs/>
                <w:sz w:val="16"/>
                <w:szCs w:val="20"/>
              </w:rPr>
            </w:pPr>
            <w:r>
              <w:rPr>
                <w:b w:val="0"/>
                <w:bCs/>
                <w:sz w:val="16"/>
                <w:szCs w:val="20"/>
              </w:rPr>
              <w:t>涞水县交通运输局本级小计</w:t>
            </w:r>
          </w:p>
        </w:tc>
        <w:tc>
          <w:tcPr>
            <w:tcW w:w="964" w:type="dxa"/>
            <w:vAlign w:val="center"/>
          </w:tcPr>
          <w:p>
            <w:pPr>
              <w:pStyle w:val="20"/>
              <w:rPr>
                <w:b w:val="0"/>
                <w:bCs/>
                <w:sz w:val="16"/>
                <w:szCs w:val="20"/>
              </w:rPr>
            </w:pPr>
          </w:p>
        </w:tc>
        <w:tc>
          <w:tcPr>
            <w:tcW w:w="838" w:type="dxa"/>
            <w:vAlign w:val="center"/>
          </w:tcPr>
          <w:p>
            <w:pPr>
              <w:pStyle w:val="21"/>
              <w:rPr>
                <w:b w:val="0"/>
                <w:bCs/>
                <w:sz w:val="16"/>
                <w:szCs w:val="20"/>
              </w:rPr>
            </w:pPr>
          </w:p>
        </w:tc>
        <w:tc>
          <w:tcPr>
            <w:tcW w:w="1132" w:type="dxa"/>
            <w:vAlign w:val="center"/>
          </w:tcPr>
          <w:p>
            <w:pPr>
              <w:pStyle w:val="21"/>
              <w:rPr>
                <w:b w:val="0"/>
                <w:bCs/>
                <w:sz w:val="16"/>
                <w:szCs w:val="20"/>
              </w:rPr>
            </w:pPr>
          </w:p>
        </w:tc>
        <w:tc>
          <w:tcPr>
            <w:tcW w:w="1149" w:type="dxa"/>
            <w:vAlign w:val="center"/>
          </w:tcPr>
          <w:p>
            <w:pPr>
              <w:pStyle w:val="19"/>
              <w:rPr>
                <w:b w:val="0"/>
                <w:bCs/>
                <w:sz w:val="16"/>
                <w:szCs w:val="20"/>
              </w:rPr>
            </w:pPr>
          </w:p>
        </w:tc>
        <w:tc>
          <w:tcPr>
            <w:tcW w:w="709" w:type="dxa"/>
            <w:vAlign w:val="center"/>
          </w:tcPr>
          <w:p>
            <w:pPr>
              <w:pStyle w:val="20"/>
              <w:rPr>
                <w:b w:val="0"/>
                <w:bCs/>
                <w:sz w:val="16"/>
                <w:szCs w:val="20"/>
              </w:rPr>
            </w:pPr>
          </w:p>
        </w:tc>
        <w:tc>
          <w:tcPr>
            <w:tcW w:w="850" w:type="dxa"/>
            <w:vAlign w:val="center"/>
          </w:tcPr>
          <w:p>
            <w:pPr>
              <w:pStyle w:val="20"/>
              <w:rPr>
                <w:b w:val="0"/>
                <w:bCs/>
                <w:sz w:val="16"/>
                <w:szCs w:val="20"/>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c>
          <w:tcPr>
            <w:tcW w:w="964" w:type="dxa"/>
            <w:vAlign w:val="center"/>
          </w:tcPr>
          <w:p>
            <w:pPr>
              <w:pStyle w:val="20"/>
              <w:rPr>
                <w:b w:val="0"/>
                <w:bCs/>
                <w:sz w:val="13"/>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2024年农村公路建设养护发展专项资金--养护工程补助  冀财建[2023]270号</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87</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bCs/>
                <w:sz w:val="16"/>
                <w:szCs w:val="20"/>
              </w:rPr>
            </w:pPr>
            <w:r>
              <w:rPr>
                <w:bCs/>
                <w:sz w:val="16"/>
                <w:szCs w:val="20"/>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87</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87</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2024年农村公路建设养护发展专项资金--日常养护补助 冀财建[2023]270号</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38</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bCs/>
                <w:sz w:val="16"/>
                <w:szCs w:val="20"/>
              </w:rPr>
            </w:pPr>
            <w:r>
              <w:rPr>
                <w:bCs/>
                <w:sz w:val="16"/>
                <w:szCs w:val="20"/>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38</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38</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2024年养护工程项目资金</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增发2023年国债省级补助（交通领域）资金 冀财建[2023]272号--农村公路建设养护发展专项资金</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864</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864</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864</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增发2023年国债省级补助（交通领域）资金 冀财建[2023]272号--灾后重建专项资金</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893</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893</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893</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2023年养护工程项目资金</w:t>
            </w: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838" w:type="dxa"/>
            <w:vAlign w:val="center"/>
          </w:tcPr>
          <w:p>
            <w:pPr>
              <w:pStyle w:val="17"/>
              <w:rPr>
                <w:bCs/>
                <w:sz w:val="16"/>
                <w:szCs w:val="20"/>
              </w:rPr>
            </w:pPr>
            <w:r>
              <w:rPr>
                <w:bCs/>
                <w:sz w:val="16"/>
                <w:szCs w:val="20"/>
              </w:rPr>
              <w:t>公路工程施工</w:t>
            </w:r>
          </w:p>
        </w:tc>
        <w:tc>
          <w:tcPr>
            <w:tcW w:w="1132" w:type="dxa"/>
            <w:vAlign w:val="center"/>
          </w:tcPr>
          <w:p>
            <w:pPr>
              <w:pStyle w:val="17"/>
              <w:rPr>
                <w:bCs/>
                <w:sz w:val="16"/>
                <w:szCs w:val="20"/>
              </w:rPr>
            </w:pPr>
            <w:r>
              <w:rPr>
                <w:bCs/>
                <w:sz w:val="16"/>
                <w:szCs w:val="20"/>
              </w:rPr>
              <w:t>B02020000</w:t>
            </w:r>
          </w:p>
        </w:tc>
        <w:tc>
          <w:tcPr>
            <w:tcW w:w="1149" w:type="dxa"/>
            <w:vAlign w:val="center"/>
          </w:tcPr>
          <w:p>
            <w:pPr>
              <w:pStyle w:val="18"/>
              <w:rPr>
                <w:bCs/>
                <w:sz w:val="16"/>
                <w:szCs w:val="20"/>
              </w:rPr>
            </w:pPr>
            <w:r>
              <w:rPr>
                <w:bCs/>
                <w:sz w:val="16"/>
                <w:szCs w:val="20"/>
              </w:rPr>
              <w:t>万元</w:t>
            </w:r>
          </w:p>
        </w:tc>
        <w:tc>
          <w:tcPr>
            <w:tcW w:w="709" w:type="dxa"/>
            <w:vAlign w:val="center"/>
          </w:tcPr>
          <w:p>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pPr>
              <w:pStyle w:val="16"/>
              <w:rPr>
                <w:bCs/>
                <w:sz w:val="16"/>
                <w:szCs w:val="20"/>
              </w:rPr>
            </w:pPr>
          </w:p>
        </w:tc>
        <w:tc>
          <w:tcPr>
            <w:tcW w:w="964" w:type="dxa"/>
            <w:vAlign w:val="center"/>
          </w:tcPr>
          <w:p>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c>
          <w:tcPr>
            <w:tcW w:w="964" w:type="dxa"/>
            <w:vAlign w:val="center"/>
          </w:tcPr>
          <w:p>
            <w:pPr>
              <w:pStyle w:val="16"/>
              <w:rPr>
                <w:bCs/>
                <w:sz w:val="16"/>
                <w:szCs w:val="20"/>
              </w:rPr>
            </w:pPr>
          </w:p>
        </w:tc>
      </w:tr>
    </w:tbl>
    <w:p>
      <w:pPr>
        <w:rPr>
          <w:rFonts w:ascii="黑体" w:hAnsi="黑体" w:eastAsia="黑体" w:cs="黑体"/>
          <w:color w:val="000000"/>
          <w:sz w:val="32"/>
          <w:lang w:eastAsia="zh-CN"/>
        </w:rPr>
      </w:pPr>
    </w:p>
    <w:p>
      <w:pPr>
        <w:rPr>
          <w:rFonts w:ascii="黑体" w:hAnsi="黑体" w:eastAsia="黑体" w:cs="黑体"/>
          <w:color w:val="000000"/>
          <w:sz w:val="32"/>
          <w:lang w:eastAsia="zh-CN"/>
        </w:rPr>
      </w:pPr>
    </w:p>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10" w:after="10"/>
        <w:ind w:firstLine="640" w:firstLineChars="200"/>
        <w:outlineLvl w:val="2"/>
      </w:pPr>
      <w:r>
        <w:rPr>
          <w:rFonts w:ascii="黑体" w:hAnsi="黑体" w:eastAsia="黑体" w:cs="黑体"/>
          <w:color w:val="000000"/>
          <w:sz w:val="32"/>
        </w:rPr>
        <w:t>七、国有资产信息</w:t>
      </w:r>
      <w:bookmarkEnd w:id="20"/>
    </w:p>
    <w:p>
      <w:pPr>
        <w:spacing w:line="500" w:lineRule="exact"/>
        <w:ind w:firstLine="560"/>
        <w:rPr>
          <w:rFonts w:eastAsia="方正仿宋_GBK"/>
          <w:color w:val="000000"/>
          <w:sz w:val="28"/>
        </w:rPr>
      </w:pPr>
      <w:r>
        <w:rPr>
          <w:rFonts w:hint="eastAsia" w:eastAsia="方正仿宋_GBK"/>
          <w:color w:val="000000"/>
          <w:sz w:val="28"/>
          <w:lang w:eastAsia="zh-CN"/>
        </w:rPr>
        <w:t>涞水县交通运输局</w:t>
      </w:r>
      <w:r>
        <w:rPr>
          <w:rFonts w:eastAsia="方正仿宋_GBK"/>
          <w:color w:val="000000"/>
          <w:sz w:val="28"/>
        </w:rPr>
        <w:t>（含所属单位）上年末固定资产金额为</w:t>
      </w:r>
      <w:r>
        <w:rPr>
          <w:rFonts w:hint="eastAsia" w:eastAsia="方正仿宋_GBK"/>
          <w:color w:val="000000"/>
          <w:sz w:val="28"/>
          <w:lang w:val="en-US" w:eastAsia="zh-CN"/>
        </w:rPr>
        <w:t>1354.52</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rPr>
          <w:rFonts w:ascii="方正小标宋_GBK" w:hAnsi="方正小标宋_GBK" w:eastAsia="方正小标宋_GBK" w:cs="方正小标宋_GBK"/>
          <w:color w:val="000000"/>
          <w:sz w:val="36"/>
        </w:rPr>
      </w:pPr>
    </w:p>
    <w:p>
      <w:pPr>
        <w:ind w:firstLine="6480" w:firstLineChars="1800"/>
        <w:rPr>
          <w:rFonts w:ascii="楷体" w:hAnsi="楷体" w:eastAsia="楷体" w:cs="仿宋"/>
          <w:b/>
          <w:sz w:val="32"/>
          <w:szCs w:val="32"/>
          <w:shd w:val="clear" w:color="FFFFFF" w:fill="D9D9D9"/>
        </w:rPr>
      </w:pPr>
      <w:r>
        <w:rPr>
          <w:rFonts w:ascii="方正小标宋_GBK" w:hAnsi="方正小标宋_GBK" w:eastAsia="方正小标宋_GBK" w:cs="方正小标宋_GBK"/>
          <w:color w:val="000000"/>
          <w:sz w:val="36"/>
        </w:rPr>
        <w:t>部门固定资产占用情况表</w:t>
      </w:r>
    </w:p>
    <w:p>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348涞水县交通运输局                                                           </w:t>
      </w:r>
      <w:r>
        <w:rPr>
          <w:rFonts w:hint="eastAsia" w:ascii="仿宋" w:hAnsi="仿宋" w:eastAsia="仿宋" w:cs="仿宋"/>
          <w:bCs/>
          <w:color w:val="000000"/>
        </w:rPr>
        <w:t>截止时间：202</w:t>
      </w:r>
      <w:r>
        <w:rPr>
          <w:rFonts w:hint="eastAsia" w:ascii="仿宋" w:hAnsi="仿宋" w:eastAsia="仿宋" w:cs="仿宋"/>
          <w:bCs/>
          <w:color w:val="000000"/>
          <w:lang w:val="en-US" w:eastAsia="zh-CN"/>
        </w:rPr>
        <w:t>3</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hint="default" w:ascii="仿宋" w:hAnsi="仿宋" w:eastAsia="仿宋" w:cs="仿宋"/>
                <w:lang w:val="en-US" w:eastAsia="zh-CN"/>
              </w:rPr>
            </w:pPr>
            <w:r>
              <w:rPr>
                <w:rFonts w:hint="eastAsia" w:ascii="仿宋" w:hAnsi="仿宋" w:eastAsia="仿宋" w:cs="仿宋"/>
                <w:b/>
                <w:color w:val="000000"/>
                <w:lang w:val="en-US" w:eastAsia="zh-CN"/>
              </w:rPr>
              <w:t>1354.52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rPr>
              <w:t>488.22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rPr>
              <w:t>377.09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25</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color w:val="000000"/>
              </w:rPr>
              <w:t>208.98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hint="default" w:ascii="仿宋" w:hAnsi="仿宋" w:eastAsia="仿宋" w:cs="仿宋"/>
                <w:lang w:val="en-US" w:eastAsia="zh-CN"/>
              </w:rPr>
            </w:pPr>
            <w:r>
              <w:rPr>
                <w:rFonts w:hint="eastAsia" w:ascii="仿宋" w:hAnsi="仿宋" w:eastAsia="仿宋" w:cs="仿宋"/>
                <w:color w:val="000000"/>
                <w:lang w:val="en-US" w:eastAsia="zh-CN"/>
              </w:rPr>
              <w:t>657.32</w:t>
            </w:r>
          </w:p>
        </w:tc>
      </w:tr>
    </w:tbl>
    <w:p>
      <w:pPr>
        <w:ind w:firstLine="640"/>
        <w:rPr>
          <w:rFonts w:eastAsia="方正仿宋_GBK"/>
          <w:color w:val="000000"/>
          <w:sz w:val="32"/>
        </w:rPr>
      </w:pPr>
    </w:p>
    <w:p>
      <w:pPr>
        <w:spacing w:before="10" w:after="10"/>
        <w:ind w:firstLine="640"/>
        <w:outlineLvl w:val="2"/>
        <w:rPr>
          <w:rFonts w:ascii="黑体" w:hAnsi="黑体" w:eastAsia="黑体" w:cs="黑体"/>
          <w:color w:val="000000"/>
          <w:sz w:val="32"/>
        </w:rPr>
      </w:pPr>
      <w:bookmarkStart w:id="21"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21"/>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96A57"/>
    <w:multiLevelType w:val="singleLevel"/>
    <w:tmpl w:val="C0096A57"/>
    <w:lvl w:ilvl="0" w:tentative="0">
      <w:start w:val="2"/>
      <w:numFmt w:val="chineseCounting"/>
      <w:suff w:val="space"/>
      <w:lvlText w:val="第%1部分"/>
      <w:lvlJc w:val="left"/>
      <w:rPr>
        <w:rFonts w:hint="eastAsia"/>
      </w:rPr>
    </w:lvl>
  </w:abstractNum>
  <w:abstractNum w:abstractNumId="1">
    <w:nsid w:val="0D42AF48"/>
    <w:multiLevelType w:val="singleLevel"/>
    <w:tmpl w:val="0D42AF4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3NzZjNGI4MmFhNWY3OTgzYjhiMzc5ODViZWM3ZDIifQ=="/>
  </w:docVars>
  <w:rsids>
    <w:rsidRoot w:val="00781D3A"/>
    <w:rsid w:val="000263BD"/>
    <w:rsid w:val="0007679B"/>
    <w:rsid w:val="00077C80"/>
    <w:rsid w:val="00081FB1"/>
    <w:rsid w:val="00096238"/>
    <w:rsid w:val="000D50EC"/>
    <w:rsid w:val="000F0D0C"/>
    <w:rsid w:val="00115EE0"/>
    <w:rsid w:val="001C0AE6"/>
    <w:rsid w:val="001D7814"/>
    <w:rsid w:val="0027685B"/>
    <w:rsid w:val="00277348"/>
    <w:rsid w:val="00285056"/>
    <w:rsid w:val="003236F0"/>
    <w:rsid w:val="003343E3"/>
    <w:rsid w:val="00340893"/>
    <w:rsid w:val="003753AA"/>
    <w:rsid w:val="003B233E"/>
    <w:rsid w:val="00417390"/>
    <w:rsid w:val="00443583"/>
    <w:rsid w:val="00444CFC"/>
    <w:rsid w:val="00460EBF"/>
    <w:rsid w:val="00461402"/>
    <w:rsid w:val="004668F1"/>
    <w:rsid w:val="00472F0F"/>
    <w:rsid w:val="00482F0B"/>
    <w:rsid w:val="004B143B"/>
    <w:rsid w:val="00500409"/>
    <w:rsid w:val="00515BAC"/>
    <w:rsid w:val="0052683F"/>
    <w:rsid w:val="005630ED"/>
    <w:rsid w:val="00573926"/>
    <w:rsid w:val="0059064F"/>
    <w:rsid w:val="00597E0E"/>
    <w:rsid w:val="005C0310"/>
    <w:rsid w:val="005E2126"/>
    <w:rsid w:val="005E5C0A"/>
    <w:rsid w:val="006011F5"/>
    <w:rsid w:val="0062164A"/>
    <w:rsid w:val="00683766"/>
    <w:rsid w:val="006841DD"/>
    <w:rsid w:val="00692287"/>
    <w:rsid w:val="0069536A"/>
    <w:rsid w:val="006A4CB1"/>
    <w:rsid w:val="006B610F"/>
    <w:rsid w:val="006B615C"/>
    <w:rsid w:val="006E600B"/>
    <w:rsid w:val="006F2B8F"/>
    <w:rsid w:val="00703A68"/>
    <w:rsid w:val="0073167B"/>
    <w:rsid w:val="0074140C"/>
    <w:rsid w:val="00746CBF"/>
    <w:rsid w:val="007543D7"/>
    <w:rsid w:val="00777BE8"/>
    <w:rsid w:val="00780AC2"/>
    <w:rsid w:val="00781D3A"/>
    <w:rsid w:val="00791CF2"/>
    <w:rsid w:val="007A5485"/>
    <w:rsid w:val="007D4EDD"/>
    <w:rsid w:val="007F244C"/>
    <w:rsid w:val="007F4572"/>
    <w:rsid w:val="008069B6"/>
    <w:rsid w:val="00821C63"/>
    <w:rsid w:val="008236D4"/>
    <w:rsid w:val="00851F5F"/>
    <w:rsid w:val="008605B3"/>
    <w:rsid w:val="008B48A6"/>
    <w:rsid w:val="00910DA6"/>
    <w:rsid w:val="00915155"/>
    <w:rsid w:val="0097410F"/>
    <w:rsid w:val="009C206B"/>
    <w:rsid w:val="009C232D"/>
    <w:rsid w:val="009C7232"/>
    <w:rsid w:val="00A560CA"/>
    <w:rsid w:val="00A562AF"/>
    <w:rsid w:val="00AB3DE1"/>
    <w:rsid w:val="00B15F7D"/>
    <w:rsid w:val="00B5663E"/>
    <w:rsid w:val="00BC0518"/>
    <w:rsid w:val="00BC2047"/>
    <w:rsid w:val="00BC2557"/>
    <w:rsid w:val="00BE465B"/>
    <w:rsid w:val="00C17BEF"/>
    <w:rsid w:val="00C36677"/>
    <w:rsid w:val="00C50221"/>
    <w:rsid w:val="00C551BF"/>
    <w:rsid w:val="00C84C2E"/>
    <w:rsid w:val="00C90DFB"/>
    <w:rsid w:val="00C92AE3"/>
    <w:rsid w:val="00CA59D1"/>
    <w:rsid w:val="00CB6BE0"/>
    <w:rsid w:val="00CC6A88"/>
    <w:rsid w:val="00CE2329"/>
    <w:rsid w:val="00CF6148"/>
    <w:rsid w:val="00D0245D"/>
    <w:rsid w:val="00D42B1A"/>
    <w:rsid w:val="00D8313F"/>
    <w:rsid w:val="00DC041D"/>
    <w:rsid w:val="00DE32C6"/>
    <w:rsid w:val="00DF5C32"/>
    <w:rsid w:val="00DF5F42"/>
    <w:rsid w:val="00DF7C5F"/>
    <w:rsid w:val="00E31CC1"/>
    <w:rsid w:val="00E6241B"/>
    <w:rsid w:val="00EA3BAC"/>
    <w:rsid w:val="00EC6498"/>
    <w:rsid w:val="00ED2EDE"/>
    <w:rsid w:val="00ED40B9"/>
    <w:rsid w:val="00F21EED"/>
    <w:rsid w:val="00F35D07"/>
    <w:rsid w:val="00F37B70"/>
    <w:rsid w:val="00F37E86"/>
    <w:rsid w:val="00F4342E"/>
    <w:rsid w:val="00F550A1"/>
    <w:rsid w:val="00F84216"/>
    <w:rsid w:val="00FC4D51"/>
    <w:rsid w:val="012E6AA2"/>
    <w:rsid w:val="018C78B5"/>
    <w:rsid w:val="02B16219"/>
    <w:rsid w:val="02B726F0"/>
    <w:rsid w:val="03122A20"/>
    <w:rsid w:val="04310698"/>
    <w:rsid w:val="045520A1"/>
    <w:rsid w:val="04575F38"/>
    <w:rsid w:val="046B2A4D"/>
    <w:rsid w:val="054B4674"/>
    <w:rsid w:val="054E6E64"/>
    <w:rsid w:val="05BB24F7"/>
    <w:rsid w:val="072E6CF9"/>
    <w:rsid w:val="081F44B1"/>
    <w:rsid w:val="082D0D5E"/>
    <w:rsid w:val="0869726C"/>
    <w:rsid w:val="088559BD"/>
    <w:rsid w:val="08D22029"/>
    <w:rsid w:val="0ABA2E08"/>
    <w:rsid w:val="0B372620"/>
    <w:rsid w:val="0C413C67"/>
    <w:rsid w:val="0DF50570"/>
    <w:rsid w:val="0ECE419A"/>
    <w:rsid w:val="0EE05D2E"/>
    <w:rsid w:val="0F29227F"/>
    <w:rsid w:val="104F3F68"/>
    <w:rsid w:val="10C304B2"/>
    <w:rsid w:val="11DF7CCB"/>
    <w:rsid w:val="13762088"/>
    <w:rsid w:val="15506032"/>
    <w:rsid w:val="15E52B6F"/>
    <w:rsid w:val="15FB4D1F"/>
    <w:rsid w:val="161B15A8"/>
    <w:rsid w:val="16556050"/>
    <w:rsid w:val="17F2672D"/>
    <w:rsid w:val="180F4263"/>
    <w:rsid w:val="19EF40C6"/>
    <w:rsid w:val="1C441005"/>
    <w:rsid w:val="1C8E078F"/>
    <w:rsid w:val="1EC25A34"/>
    <w:rsid w:val="1EE337D1"/>
    <w:rsid w:val="1F001077"/>
    <w:rsid w:val="20452C91"/>
    <w:rsid w:val="21350F58"/>
    <w:rsid w:val="216D4715"/>
    <w:rsid w:val="22853819"/>
    <w:rsid w:val="22DF561F"/>
    <w:rsid w:val="24B43E0A"/>
    <w:rsid w:val="25695AD4"/>
    <w:rsid w:val="257563C8"/>
    <w:rsid w:val="2650617A"/>
    <w:rsid w:val="26BD5C77"/>
    <w:rsid w:val="27080944"/>
    <w:rsid w:val="27A14D63"/>
    <w:rsid w:val="28B10C06"/>
    <w:rsid w:val="2AC71DC4"/>
    <w:rsid w:val="2BF23616"/>
    <w:rsid w:val="2BFD37AF"/>
    <w:rsid w:val="2C0D3C83"/>
    <w:rsid w:val="2C9B6708"/>
    <w:rsid w:val="2CF55A3F"/>
    <w:rsid w:val="2D0A13DA"/>
    <w:rsid w:val="2DB73ACD"/>
    <w:rsid w:val="2E093550"/>
    <w:rsid w:val="2E454F08"/>
    <w:rsid w:val="2E756E38"/>
    <w:rsid w:val="2EB8325E"/>
    <w:rsid w:val="30FE1366"/>
    <w:rsid w:val="31AA3FBD"/>
    <w:rsid w:val="32E334AB"/>
    <w:rsid w:val="32F06C52"/>
    <w:rsid w:val="34A00617"/>
    <w:rsid w:val="359B1C27"/>
    <w:rsid w:val="36BC7573"/>
    <w:rsid w:val="36BF1F85"/>
    <w:rsid w:val="36EA58C4"/>
    <w:rsid w:val="3764012D"/>
    <w:rsid w:val="37B00ABD"/>
    <w:rsid w:val="37CF26CA"/>
    <w:rsid w:val="391B123B"/>
    <w:rsid w:val="393022D9"/>
    <w:rsid w:val="39323BE5"/>
    <w:rsid w:val="39670FE3"/>
    <w:rsid w:val="3BD57167"/>
    <w:rsid w:val="3BD65867"/>
    <w:rsid w:val="3C961294"/>
    <w:rsid w:val="3D6F0EF6"/>
    <w:rsid w:val="3DB168ED"/>
    <w:rsid w:val="3E0B50C2"/>
    <w:rsid w:val="3EA15149"/>
    <w:rsid w:val="400F1738"/>
    <w:rsid w:val="40D02CCC"/>
    <w:rsid w:val="422C159B"/>
    <w:rsid w:val="435A0EBC"/>
    <w:rsid w:val="437D25BE"/>
    <w:rsid w:val="43CC6E3E"/>
    <w:rsid w:val="44055539"/>
    <w:rsid w:val="4448459A"/>
    <w:rsid w:val="44A03415"/>
    <w:rsid w:val="45837C34"/>
    <w:rsid w:val="45E72206"/>
    <w:rsid w:val="46DD15C6"/>
    <w:rsid w:val="48BA73C9"/>
    <w:rsid w:val="49B54134"/>
    <w:rsid w:val="4A161D98"/>
    <w:rsid w:val="4A4239C3"/>
    <w:rsid w:val="4A6E08DD"/>
    <w:rsid w:val="4A751573"/>
    <w:rsid w:val="4B427C4A"/>
    <w:rsid w:val="4D1762EC"/>
    <w:rsid w:val="4E406E58"/>
    <w:rsid w:val="4E612DB6"/>
    <w:rsid w:val="4EAC4E43"/>
    <w:rsid w:val="501D4112"/>
    <w:rsid w:val="50352906"/>
    <w:rsid w:val="505F3A81"/>
    <w:rsid w:val="506C48DD"/>
    <w:rsid w:val="51FB0B52"/>
    <w:rsid w:val="52CE5099"/>
    <w:rsid w:val="53797EAF"/>
    <w:rsid w:val="538232D9"/>
    <w:rsid w:val="54044713"/>
    <w:rsid w:val="54622056"/>
    <w:rsid w:val="54CE4BDB"/>
    <w:rsid w:val="550B3D4F"/>
    <w:rsid w:val="55693F0B"/>
    <w:rsid w:val="561E1A1D"/>
    <w:rsid w:val="569F747D"/>
    <w:rsid w:val="599A64DD"/>
    <w:rsid w:val="599E643A"/>
    <w:rsid w:val="5B01542B"/>
    <w:rsid w:val="5DC54774"/>
    <w:rsid w:val="5E622685"/>
    <w:rsid w:val="5EC476FD"/>
    <w:rsid w:val="5FD41360"/>
    <w:rsid w:val="608613DE"/>
    <w:rsid w:val="609A7E20"/>
    <w:rsid w:val="61225578"/>
    <w:rsid w:val="618868A7"/>
    <w:rsid w:val="61DE172D"/>
    <w:rsid w:val="6244674B"/>
    <w:rsid w:val="62707A48"/>
    <w:rsid w:val="67D22629"/>
    <w:rsid w:val="68695E8D"/>
    <w:rsid w:val="688C4647"/>
    <w:rsid w:val="697B6D87"/>
    <w:rsid w:val="6A3852B9"/>
    <w:rsid w:val="6AED5DB1"/>
    <w:rsid w:val="6B8F0314"/>
    <w:rsid w:val="6C175045"/>
    <w:rsid w:val="6CDE3F67"/>
    <w:rsid w:val="6D2B458A"/>
    <w:rsid w:val="6D836174"/>
    <w:rsid w:val="6D8A305E"/>
    <w:rsid w:val="6DB963C9"/>
    <w:rsid w:val="6F9B4DC7"/>
    <w:rsid w:val="712D08D1"/>
    <w:rsid w:val="71885014"/>
    <w:rsid w:val="728418EF"/>
    <w:rsid w:val="73E757D2"/>
    <w:rsid w:val="74D379E1"/>
    <w:rsid w:val="74E145D6"/>
    <w:rsid w:val="758E5922"/>
    <w:rsid w:val="7615180E"/>
    <w:rsid w:val="764566BC"/>
    <w:rsid w:val="764B522F"/>
    <w:rsid w:val="77843214"/>
    <w:rsid w:val="790A089A"/>
    <w:rsid w:val="7B4C7540"/>
    <w:rsid w:val="7B5B4A07"/>
    <w:rsid w:val="7B7315D6"/>
    <w:rsid w:val="7B7B048A"/>
    <w:rsid w:val="7C4A65B9"/>
    <w:rsid w:val="7CB555CD"/>
    <w:rsid w:val="7DDD71DA"/>
    <w:rsid w:val="7EED3E25"/>
    <w:rsid w:val="7EFD1DE3"/>
    <w:rsid w:val="7F1B2758"/>
    <w:rsid w:val="7F5C166C"/>
    <w:rsid w:val="7FDB050D"/>
    <w:rsid w:val="7FFA4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E9C162-3959-4E09-8552-3788A3BCB94D}">
  <ds:schemaRefs/>
</ds:datastoreItem>
</file>

<file path=customXml/itemProps11.xml><?xml version="1.0" encoding="utf-8"?>
<ds:datastoreItem xmlns:ds="http://schemas.openxmlformats.org/officeDocument/2006/customXml" ds:itemID="{328F8FAA-F9B6-48DE-ABD9-772610F9386F}">
  <ds:schemaRefs/>
</ds:datastoreItem>
</file>

<file path=customXml/itemProps12.xml><?xml version="1.0" encoding="utf-8"?>
<ds:datastoreItem xmlns:ds="http://schemas.openxmlformats.org/officeDocument/2006/customXml" ds:itemID="{6A6DB8E6-5EDD-4508-B255-AD07BCA264C9}">
  <ds:schemaRefs/>
</ds:datastoreItem>
</file>

<file path=customXml/itemProps13.xml><?xml version="1.0" encoding="utf-8"?>
<ds:datastoreItem xmlns:ds="http://schemas.openxmlformats.org/officeDocument/2006/customXml" ds:itemID="{FF40C868-CD10-4565-BD6F-28B55B247751}">
  <ds:schemaRefs/>
</ds:datastoreItem>
</file>

<file path=customXml/itemProps14.xml><?xml version="1.0" encoding="utf-8"?>
<ds:datastoreItem xmlns:ds="http://schemas.openxmlformats.org/officeDocument/2006/customXml" ds:itemID="{55A60376-5F1A-4B58-BE70-A0B8CD8AC393}">
  <ds:schemaRefs/>
</ds:datastoreItem>
</file>

<file path=customXml/itemProps15.xml><?xml version="1.0" encoding="utf-8"?>
<ds:datastoreItem xmlns:ds="http://schemas.openxmlformats.org/officeDocument/2006/customXml" ds:itemID="{82063DCE-E0D9-4D45-94AB-06A5849F123C}">
  <ds:schemaRefs/>
</ds:datastoreItem>
</file>

<file path=customXml/itemProps16.xml><?xml version="1.0" encoding="utf-8"?>
<ds:datastoreItem xmlns:ds="http://schemas.openxmlformats.org/officeDocument/2006/customXml" ds:itemID="{4D21B174-EFD5-481F-8023-ECD2C99EA6A5}">
  <ds:schemaRefs/>
</ds:datastoreItem>
</file>

<file path=customXml/itemProps17.xml><?xml version="1.0" encoding="utf-8"?>
<ds:datastoreItem xmlns:ds="http://schemas.openxmlformats.org/officeDocument/2006/customXml" ds:itemID="{5EFC46A3-03BA-4ECF-B65E-51918400F753}">
  <ds:schemaRefs/>
</ds:datastoreItem>
</file>

<file path=customXml/itemProps18.xml><?xml version="1.0" encoding="utf-8"?>
<ds:datastoreItem xmlns:ds="http://schemas.openxmlformats.org/officeDocument/2006/customXml" ds:itemID="{989DA21E-0CDF-4E3D-84F6-1D172BF7F4B9}">
  <ds:schemaRefs/>
</ds:datastoreItem>
</file>

<file path=customXml/itemProps19.xml><?xml version="1.0" encoding="utf-8"?>
<ds:datastoreItem xmlns:ds="http://schemas.openxmlformats.org/officeDocument/2006/customXml" ds:itemID="{3300B263-A8B2-4577-A8B1-07D060066AC1}">
  <ds:schemaRefs/>
</ds:datastoreItem>
</file>

<file path=customXml/itemProps2.xml><?xml version="1.0" encoding="utf-8"?>
<ds:datastoreItem xmlns:ds="http://schemas.openxmlformats.org/officeDocument/2006/customXml" ds:itemID="{526561F4-D429-4474-A75E-30A59CF88000}">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240D75C0-5405-407A-9D88-451A6C53325C}">
  <ds:schemaRefs/>
</ds:datastoreItem>
</file>

<file path=customXml/itemProps22.xml><?xml version="1.0" encoding="utf-8"?>
<ds:datastoreItem xmlns:ds="http://schemas.openxmlformats.org/officeDocument/2006/customXml" ds:itemID="{907DF196-29BA-4F64-A2E6-9B891D8DA970}">
  <ds:schemaRefs/>
</ds:datastoreItem>
</file>

<file path=customXml/itemProps23.xml><?xml version="1.0" encoding="utf-8"?>
<ds:datastoreItem xmlns:ds="http://schemas.openxmlformats.org/officeDocument/2006/customXml" ds:itemID="{C593EC27-B89C-46A8-9CF9-3B5AE2B23C20}">
  <ds:schemaRefs/>
</ds:datastoreItem>
</file>

<file path=customXml/itemProps24.xml><?xml version="1.0" encoding="utf-8"?>
<ds:datastoreItem xmlns:ds="http://schemas.openxmlformats.org/officeDocument/2006/customXml" ds:itemID="{7DA1E944-597F-4D9A-ADC8-E3A5D62388E9}">
  <ds:schemaRefs/>
</ds:datastoreItem>
</file>

<file path=customXml/itemProps25.xml><?xml version="1.0" encoding="utf-8"?>
<ds:datastoreItem xmlns:ds="http://schemas.openxmlformats.org/officeDocument/2006/customXml" ds:itemID="{4074F53B-6AA8-493B-96FF-0D7EB858216C}">
  <ds:schemaRefs/>
</ds:datastoreItem>
</file>

<file path=customXml/itemProps26.xml><?xml version="1.0" encoding="utf-8"?>
<ds:datastoreItem xmlns:ds="http://schemas.openxmlformats.org/officeDocument/2006/customXml" ds:itemID="{F2B0114A-1BF3-408C-A937-DBD594359DD7}">
  <ds:schemaRefs/>
</ds:datastoreItem>
</file>

<file path=customXml/itemProps27.xml><?xml version="1.0" encoding="utf-8"?>
<ds:datastoreItem xmlns:ds="http://schemas.openxmlformats.org/officeDocument/2006/customXml" ds:itemID="{1C4E702D-2594-4689-8404-84AFD7E73E52}">
  <ds:schemaRefs/>
</ds:datastoreItem>
</file>

<file path=customXml/itemProps28.xml><?xml version="1.0" encoding="utf-8"?>
<ds:datastoreItem xmlns:ds="http://schemas.openxmlformats.org/officeDocument/2006/customXml" ds:itemID="{CB6B8C05-D526-4E72-8AB4-B1FB0F487636}">
  <ds:schemaRefs/>
</ds:datastoreItem>
</file>

<file path=customXml/itemProps29.xml><?xml version="1.0" encoding="utf-8"?>
<ds:datastoreItem xmlns:ds="http://schemas.openxmlformats.org/officeDocument/2006/customXml" ds:itemID="{BF249A3C-5046-4792-B1C7-86A45BD0F7B3}">
  <ds:schemaRefs/>
</ds:datastoreItem>
</file>

<file path=customXml/itemProps3.xml><?xml version="1.0" encoding="utf-8"?>
<ds:datastoreItem xmlns:ds="http://schemas.openxmlformats.org/officeDocument/2006/customXml" ds:itemID="{C66F43F9-0AB8-4241-BA67-D8AE60CF6C21}">
  <ds:schemaRefs/>
</ds:datastoreItem>
</file>

<file path=customXml/itemProps30.xml><?xml version="1.0" encoding="utf-8"?>
<ds:datastoreItem xmlns:ds="http://schemas.openxmlformats.org/officeDocument/2006/customXml" ds:itemID="{6C8F0DDD-DA95-49D7-BEC9-54BED6023821}">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66CC41B6-D28D-4EED-B564-F0D3D013B8B1}">
  <ds:schemaRefs/>
</ds:datastoreItem>
</file>

<file path=customXml/itemProps33.xml><?xml version="1.0" encoding="utf-8"?>
<ds:datastoreItem xmlns:ds="http://schemas.openxmlformats.org/officeDocument/2006/customXml" ds:itemID="{DD8D39B1-E032-4B64-9020-66CD65ABCD3B}">
  <ds:schemaRefs/>
</ds:datastoreItem>
</file>

<file path=customXml/itemProps34.xml><?xml version="1.0" encoding="utf-8"?>
<ds:datastoreItem xmlns:ds="http://schemas.openxmlformats.org/officeDocument/2006/customXml" ds:itemID="{9E39FA8A-0D5E-4C72-88C2-A4A5C9D016A3}">
  <ds:schemaRefs/>
</ds:datastoreItem>
</file>

<file path=customXml/itemProps35.xml><?xml version="1.0" encoding="utf-8"?>
<ds:datastoreItem xmlns:ds="http://schemas.openxmlformats.org/officeDocument/2006/customXml" ds:itemID="{E56AD1C2-FB4D-4572-86C7-2470DBB3943B}">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DFFE41CD-7795-417D-8B3D-7B7E92ADCE28}">
  <ds:schemaRefs/>
</ds:datastoreItem>
</file>

<file path=customXml/itemProps38.xml><?xml version="1.0" encoding="utf-8"?>
<ds:datastoreItem xmlns:ds="http://schemas.openxmlformats.org/officeDocument/2006/customXml" ds:itemID="{BAA19A8D-5B92-489B-B169-BAD91A103344}">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927546BB-28A9-4183-9889-130B2B46E760}">
  <ds:schemaRefs/>
</ds:datastoreItem>
</file>

<file path=customXml/itemProps40.xml><?xml version="1.0" encoding="utf-8"?>
<ds:datastoreItem xmlns:ds="http://schemas.openxmlformats.org/officeDocument/2006/customXml" ds:itemID="{C486A553-0F69-4945-B340-E49BCA32411A}">
  <ds:schemaRefs/>
</ds:datastoreItem>
</file>

<file path=customXml/itemProps5.xml><?xml version="1.0" encoding="utf-8"?>
<ds:datastoreItem xmlns:ds="http://schemas.openxmlformats.org/officeDocument/2006/customXml" ds:itemID="{8807E301-CE3E-48B0-8F1B-BE48F29E1736}">
  <ds:schemaRefs/>
</ds:datastoreItem>
</file>

<file path=customXml/itemProps6.xml><?xml version="1.0" encoding="utf-8"?>
<ds:datastoreItem xmlns:ds="http://schemas.openxmlformats.org/officeDocument/2006/customXml" ds:itemID="{D5DDAF8B-C90E-40EE-B940-CCD547411B81}">
  <ds:schemaRefs/>
</ds:datastoreItem>
</file>

<file path=customXml/itemProps7.xml><?xml version="1.0" encoding="utf-8"?>
<ds:datastoreItem xmlns:ds="http://schemas.openxmlformats.org/officeDocument/2006/customXml" ds:itemID="{127F30A9-AC64-4000-970B-04BBBAF6782F}">
  <ds:schemaRefs/>
</ds:datastoreItem>
</file>

<file path=customXml/itemProps8.xml><?xml version="1.0" encoding="utf-8"?>
<ds:datastoreItem xmlns:ds="http://schemas.openxmlformats.org/officeDocument/2006/customXml" ds:itemID="{335668B4-649C-41E0-BC80-7D94ABF681A2}">
  <ds:schemaRefs/>
</ds:datastoreItem>
</file>

<file path=customXml/itemProps9.xml><?xml version="1.0" encoding="utf-8"?>
<ds:datastoreItem xmlns:ds="http://schemas.openxmlformats.org/officeDocument/2006/customXml" ds:itemID="{B8034E79-3EC9-4FB4-8900-8DB566ED87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2313</Words>
  <Characters>3628</Characters>
  <Lines>115</Lines>
  <Paragraphs>32</Paragraphs>
  <TotalTime>17</TotalTime>
  <ScaleCrop>false</ScaleCrop>
  <LinksUpToDate>false</LinksUpToDate>
  <CharactersWithSpaces>3660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Administrator</cp:lastModifiedBy>
  <cp:lastPrinted>2023-02-08T02:47:00Z</cp:lastPrinted>
  <dcterms:modified xsi:type="dcterms:W3CDTF">2025-04-21T01:26:19Z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