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D3DC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84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bookmarkStart w:id="0" w:name="02附件 1：涞水县娄村镇南水东村村庄规划（2021-2035年）主要内容。"/>
      <w:bookmarkEnd w:id="0"/>
      <w:r>
        <w:rPr>
          <w:rFonts w:hint="eastAsia" w:ascii="仿宋" w:hAnsi="仿宋" w:eastAsia="仿宋" w:cs="仿宋"/>
          <w:b w:val="0"/>
          <w:bCs w:val="0"/>
          <w:spacing w:val="-14"/>
          <w:sz w:val="32"/>
          <w:szCs w:val="32"/>
        </w:rPr>
        <w:t>附件</w:t>
      </w:r>
      <w:r>
        <w:rPr>
          <w:rFonts w:hint="eastAsia" w:ascii="仿宋" w:hAnsi="仿宋" w:eastAsia="仿宋" w:cs="仿宋"/>
          <w:b w:val="0"/>
          <w:bCs w:val="0"/>
          <w:spacing w:val="-6"/>
          <w:sz w:val="32"/>
          <w:szCs w:val="32"/>
        </w:rPr>
        <w:t>1</w:t>
      </w:r>
      <w:r>
        <w:rPr>
          <w:rFonts w:hint="eastAsia" w:ascii="仿宋" w:hAnsi="仿宋" w:eastAsia="仿宋" w:cs="仿宋"/>
          <w:b w:val="0"/>
          <w:bCs w:val="0"/>
          <w:spacing w:val="-7"/>
          <w:sz w:val="32"/>
          <w:szCs w:val="32"/>
        </w:rPr>
        <w:t>：涞水县娄村镇太平庄村村庄规划</w:t>
      </w:r>
      <w:r>
        <w:rPr>
          <w:rFonts w:hint="eastAsia" w:ascii="仿宋" w:hAnsi="仿宋" w:eastAsia="仿宋" w:cs="仿宋"/>
          <w:b w:val="0"/>
          <w:bCs w:val="0"/>
          <w:spacing w:val="-5"/>
          <w:sz w:val="32"/>
          <w:szCs w:val="32"/>
        </w:rPr>
        <w:t>（2021-2035</w:t>
      </w:r>
      <w:r>
        <w:rPr>
          <w:rFonts w:hint="eastAsia" w:ascii="仿宋" w:hAnsi="仿宋" w:eastAsia="仿宋" w:cs="仿宋"/>
          <w:b w:val="0"/>
          <w:bCs w:val="0"/>
          <w:spacing w:val="-7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）</w:t>
      </w:r>
      <w:r>
        <w:rPr>
          <w:rFonts w:hint="eastAsia" w:ascii="仿宋" w:hAnsi="仿宋" w:eastAsia="仿宋" w:cs="仿宋"/>
          <w:b w:val="0"/>
          <w:bCs w:val="0"/>
          <w:w w:val="95"/>
          <w:sz w:val="32"/>
          <w:szCs w:val="32"/>
        </w:rPr>
        <w:t>主要内容。</w:t>
      </w:r>
    </w:p>
    <w:p w14:paraId="2598819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70" w:line="360" w:lineRule="auto"/>
        <w:ind w:left="0" w:leftChars="0" w:right="0" w:firstLine="534" w:firstLineChars="200"/>
        <w:jc w:val="both"/>
        <w:textAlignment w:val="auto"/>
        <w:rPr>
          <w:w w:val="95"/>
        </w:rPr>
      </w:pPr>
      <w:bookmarkStart w:id="1" w:name="一、规划期限"/>
      <w:bookmarkEnd w:id="1"/>
      <w:r>
        <w:rPr>
          <w:w w:val="95"/>
        </w:rPr>
        <w:t>一、规划期限</w:t>
      </w:r>
    </w:p>
    <w:p w14:paraId="4AB4EF1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0" w:firstLineChars="200"/>
        <w:textAlignment w:val="auto"/>
      </w:pPr>
      <w:r>
        <w:t>本次规划期限为2021-2035年。</w:t>
      </w:r>
    </w:p>
    <w:p w14:paraId="2FD82C5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70" w:line="360" w:lineRule="auto"/>
        <w:ind w:left="0" w:leftChars="0" w:right="0" w:firstLine="534" w:firstLineChars="200"/>
        <w:jc w:val="both"/>
        <w:textAlignment w:val="auto"/>
        <w:rPr>
          <w:w w:val="95"/>
        </w:rPr>
      </w:pPr>
      <w:bookmarkStart w:id="2" w:name="二、规划范围"/>
      <w:bookmarkEnd w:id="2"/>
      <w:r>
        <w:rPr>
          <w:w w:val="95"/>
        </w:rPr>
        <w:t>二、规划范围</w:t>
      </w:r>
    </w:p>
    <w:p w14:paraId="2362DC2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0" w:firstLineChars="200"/>
        <w:textAlignment w:val="auto"/>
      </w:pPr>
      <w:r>
        <w:t>规划范围为</w:t>
      </w:r>
      <w:r>
        <w:rPr>
          <w:rFonts w:hint="eastAsia"/>
          <w:lang w:eastAsia="zh-CN"/>
        </w:rPr>
        <w:t>太平庄</w:t>
      </w:r>
      <w:r>
        <w:t>村村域全部国土空间。</w:t>
      </w:r>
    </w:p>
    <w:p w14:paraId="6471E29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70" w:line="360" w:lineRule="auto"/>
        <w:ind w:left="0" w:leftChars="0" w:right="0" w:firstLine="534" w:firstLineChars="200"/>
        <w:jc w:val="both"/>
        <w:textAlignment w:val="auto"/>
        <w:rPr>
          <w:w w:val="95"/>
        </w:rPr>
      </w:pPr>
      <w:bookmarkStart w:id="3" w:name=" 三、功能定位"/>
      <w:bookmarkEnd w:id="3"/>
      <w:r>
        <w:rPr>
          <w:w w:val="95"/>
        </w:rPr>
        <w:t>三、功能定位</w:t>
      </w:r>
    </w:p>
    <w:p w14:paraId="60AEC0D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28" w:firstLineChars="200"/>
        <w:textAlignment w:val="auto"/>
      </w:pPr>
      <w:r>
        <w:rPr>
          <w:rFonts w:hint="eastAsia"/>
          <w:spacing w:val="-8"/>
        </w:rPr>
        <w:t>根据发展现状和相关规划引导，以麻核桃种植交易、文化旅游、户外运动、休闲度假等为主，打造：麻核桃种植示范村；生态旅游特色村。</w:t>
      </w:r>
    </w:p>
    <w:p w14:paraId="6A5B99C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70" w:line="360" w:lineRule="auto"/>
        <w:ind w:left="0" w:leftChars="0" w:right="0" w:firstLine="534" w:firstLineChars="200"/>
        <w:jc w:val="both"/>
        <w:textAlignment w:val="auto"/>
        <w:rPr>
          <w:w w:val="95"/>
        </w:rPr>
      </w:pPr>
      <w:bookmarkStart w:id="4" w:name="四、国土空间布局规划"/>
      <w:bookmarkEnd w:id="4"/>
      <w:r>
        <w:rPr>
          <w:w w:val="95"/>
        </w:rPr>
        <w:t>四、国土空间布局规划</w:t>
      </w:r>
    </w:p>
    <w:p w14:paraId="746F68B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96" w:firstLineChars="200"/>
        <w:textAlignment w:val="auto"/>
      </w:pPr>
      <w:r>
        <w:rPr>
          <w:spacing w:val="-16"/>
        </w:rPr>
        <w:t>落实涞水县国土空间总体规划和用途管制要求，依据相关法律法规，</w:t>
      </w:r>
      <w:r>
        <w:rPr>
          <w:spacing w:val="-21"/>
        </w:rPr>
        <w:t>确定生态空间、农业空间、建设空间相应的国土空间用途管控要求，引</w:t>
      </w:r>
      <w:r>
        <w:rPr>
          <w:spacing w:val="-10"/>
        </w:rPr>
        <w:t>导各类土地合理保护和开发利用。</w:t>
      </w:r>
    </w:p>
    <w:p w14:paraId="1D26B9F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0" w:firstLineChars="200"/>
        <w:textAlignment w:val="auto"/>
        <w:rPr>
          <w:rFonts w:hint="eastAsia" w:eastAsia="仿宋"/>
          <w:lang w:val="en-US" w:eastAsia="zh-CN"/>
        </w:rPr>
      </w:pPr>
      <w:r>
        <w:t>（一）农业空间</w:t>
      </w:r>
    </w:p>
    <w:p w14:paraId="3EF7BBD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8" w:firstLineChars="200"/>
        <w:textAlignment w:val="auto"/>
      </w:pPr>
      <w:r>
        <w:rPr>
          <w:spacing w:val="-18"/>
        </w:rPr>
        <w:t>落实上位规划确定的永久基本农田，永久基本农田保护红线范围外</w:t>
      </w:r>
      <w:r>
        <w:rPr>
          <w:spacing w:val="-9"/>
        </w:rPr>
        <w:t>为一般农业空间。</w:t>
      </w:r>
    </w:p>
    <w:p w14:paraId="28F22CB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4" w:firstLineChars="200"/>
        <w:jc w:val="both"/>
        <w:textAlignment w:val="auto"/>
      </w:pPr>
      <w:r>
        <w:rPr>
          <w:spacing w:val="-19"/>
        </w:rPr>
        <w:t>永久基本农田按照《中华人民共和国土地管理法》、《基本农田保</w:t>
      </w:r>
      <w:r>
        <w:rPr>
          <w:spacing w:val="-20"/>
        </w:rPr>
        <w:t>护条例》、《关于加强和改进永久基本农田保护工作的通知》等文件要</w:t>
      </w:r>
      <w:r>
        <w:rPr>
          <w:spacing w:val="-9"/>
        </w:rPr>
        <w:t>求进行管控。</w:t>
      </w:r>
    </w:p>
    <w:p w14:paraId="5CF6AA0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72" w:firstLineChars="200"/>
        <w:textAlignment w:val="auto"/>
      </w:pPr>
      <w:r>
        <w:rPr>
          <w:spacing w:val="-22"/>
        </w:rPr>
        <w:t>耕地按照《</w:t>
      </w:r>
      <w:r>
        <w:rPr>
          <w:rFonts w:hint="eastAsia"/>
          <w:spacing w:val="-22"/>
          <w:lang w:eastAsia="zh-CN"/>
        </w:rPr>
        <w:t>中华人民共和国</w:t>
      </w:r>
      <w:r>
        <w:rPr>
          <w:spacing w:val="-22"/>
        </w:rPr>
        <w:t>土地管理法》、《</w:t>
      </w:r>
      <w:r>
        <w:rPr>
          <w:rFonts w:hint="eastAsia"/>
          <w:spacing w:val="-22"/>
          <w:lang w:eastAsia="zh-CN"/>
        </w:rPr>
        <w:t>中华人民共和国</w:t>
      </w:r>
      <w:bookmarkStart w:id="15" w:name="_GoBack"/>
      <w:bookmarkEnd w:id="15"/>
      <w:r>
        <w:rPr>
          <w:spacing w:val="-22"/>
        </w:rPr>
        <w:t>土地管理法实施条例》、《关于坚决</w:t>
      </w:r>
      <w:r>
        <w:rPr>
          <w:spacing w:val="-21"/>
        </w:rPr>
        <w:t>制止耕地“非农化”防止耕地“非粮化”稳定发展粮食生产的意见》等</w:t>
      </w:r>
      <w:r>
        <w:rPr>
          <w:spacing w:val="-20"/>
        </w:rPr>
        <w:t>文件要求进行管控。严格控制一般农业空间内的农用地转用，对质量等</w:t>
      </w:r>
      <w:r>
        <w:rPr>
          <w:spacing w:val="-10"/>
        </w:rPr>
        <w:t>级较高的耕地、园地等农用地实行优先保护。</w:t>
      </w:r>
    </w:p>
    <w:p w14:paraId="29902AE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0" w:firstLineChars="200"/>
        <w:textAlignment w:val="auto"/>
      </w:pPr>
      <w:r>
        <w:t>（二）生态空间</w:t>
      </w:r>
    </w:p>
    <w:p w14:paraId="3BA43E2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96" w:firstLineChars="200"/>
        <w:textAlignment w:val="auto"/>
      </w:pPr>
      <w:r>
        <w:rPr>
          <w:rFonts w:hint="eastAsia"/>
          <w:spacing w:val="-16"/>
        </w:rPr>
        <w:t>落实上位规划确定的</w:t>
      </w:r>
      <w:r>
        <w:rPr>
          <w:spacing w:val="-16"/>
        </w:rPr>
        <w:t>生态保护红线，生态保护红线</w:t>
      </w:r>
      <w:r>
        <w:rPr>
          <w:rFonts w:hint="eastAsia"/>
          <w:spacing w:val="-16"/>
        </w:rPr>
        <w:t>范围外</w:t>
      </w:r>
      <w:r>
        <w:rPr>
          <w:spacing w:val="-10"/>
        </w:rPr>
        <w:t>为一般生态空间。</w:t>
      </w:r>
    </w:p>
    <w:p w14:paraId="1E6DF11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4" w:firstLineChars="200"/>
        <w:textAlignment w:val="auto"/>
        <w:rPr>
          <w:spacing w:val="-19"/>
        </w:rPr>
      </w:pPr>
      <w:r>
        <w:rPr>
          <w:rFonts w:hint="eastAsia"/>
          <w:spacing w:val="-19"/>
        </w:rPr>
        <w:t>生态保护红线内，自然保护地核心保护区原则上禁止人为活动。生态保护红线内自然保护地核心保护区外，禁止开发性、生产性建设活动，在符合法律法规的前提下，仅允许对生态功能不造成破坏的有限人为活动。生态保护红线内自然保护区、风景名胜区、饮用水水源保护区等区域，依照相应法律法规执行。</w:t>
      </w:r>
    </w:p>
    <w:p w14:paraId="38D61BF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4" w:firstLineChars="200"/>
        <w:textAlignment w:val="auto"/>
      </w:pPr>
      <w:r>
        <w:rPr>
          <w:spacing w:val="-19"/>
        </w:rPr>
        <w:t>生态空间以生态保护修复为主，经评价在对生态环境不产生破坏的</w:t>
      </w:r>
      <w:r>
        <w:rPr>
          <w:spacing w:val="-21"/>
        </w:rPr>
        <w:t>前提下，对原住居民，在保证其生产生活必要需求的基础上，可对其生产生活设施进行有限改造，原则上严格限制各类开发建设行为以及种植、</w:t>
      </w:r>
      <w:r>
        <w:rPr>
          <w:spacing w:val="-8"/>
        </w:rPr>
        <w:t>养殖活动。</w:t>
      </w:r>
    </w:p>
    <w:p w14:paraId="26859FE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76" w:firstLineChars="200"/>
        <w:textAlignment w:val="auto"/>
      </w:pPr>
      <w:r>
        <w:rPr>
          <w:spacing w:val="-21"/>
        </w:rPr>
        <w:t>禁止违规毁林开荒；禁止新、改、扩建对生态环境安全有影响的矿</w:t>
      </w:r>
      <w:r>
        <w:rPr>
          <w:spacing w:val="-9"/>
        </w:rPr>
        <w:t>产资源开发项目。</w:t>
      </w:r>
    </w:p>
    <w:p w14:paraId="3AC12C1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0" w:firstLineChars="200"/>
        <w:textAlignment w:val="auto"/>
      </w:pPr>
      <w:r>
        <w:t>（三）建设空间</w:t>
      </w:r>
    </w:p>
    <w:p w14:paraId="17A8E4C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88" w:firstLineChars="200"/>
        <w:textAlignment w:val="auto"/>
        <w:rPr>
          <w:spacing w:val="-10"/>
        </w:rPr>
      </w:pPr>
      <w:r>
        <w:rPr>
          <w:spacing w:val="-18"/>
        </w:rPr>
        <w:t>建设空间主要包括城镇建设用地、村庄建设用地、区域基础设施建</w:t>
      </w:r>
      <w:r>
        <w:rPr>
          <w:spacing w:val="-10"/>
        </w:rPr>
        <w:t>设用地以及其他建设用地。</w:t>
      </w:r>
    </w:p>
    <w:p w14:paraId="75A6FFF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20" w:firstLineChars="200"/>
        <w:textAlignment w:val="auto"/>
      </w:pPr>
      <w:r>
        <w:rPr>
          <w:spacing w:val="-10"/>
        </w:rPr>
        <w:t>落实城镇开发边界。</w:t>
      </w:r>
      <w:r>
        <w:rPr>
          <w:spacing w:val="-20"/>
        </w:rPr>
        <w:t>合理安排农村建设用地，优先满足农村基本公共服务设施用地需求；</w:t>
      </w:r>
      <w:r>
        <w:rPr>
          <w:spacing w:val="-16"/>
        </w:rPr>
        <w:t>规划期内村庄建设边界原则上不得调整，如需调整按规划修改处理，严</w:t>
      </w:r>
      <w:r>
        <w:rPr>
          <w:spacing w:val="-10"/>
        </w:rPr>
        <w:t>格论证，报规划审批机关批准。</w:t>
      </w:r>
    </w:p>
    <w:p w14:paraId="3DB4611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70" w:line="360" w:lineRule="auto"/>
        <w:ind w:left="0" w:leftChars="0" w:right="0" w:firstLine="534" w:firstLineChars="200"/>
        <w:jc w:val="both"/>
        <w:textAlignment w:val="auto"/>
        <w:rPr>
          <w:w w:val="95"/>
        </w:rPr>
      </w:pPr>
      <w:bookmarkStart w:id="5" w:name="五、产业总体布局"/>
      <w:bookmarkEnd w:id="5"/>
      <w:r>
        <w:rPr>
          <w:w w:val="95"/>
        </w:rPr>
        <w:t>五、产业总体布局</w:t>
      </w:r>
    </w:p>
    <w:p w14:paraId="4C57141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20" w:firstLineChars="200"/>
        <w:textAlignment w:val="auto"/>
      </w:pPr>
      <w:r>
        <w:rPr>
          <w:spacing w:val="-10"/>
        </w:rPr>
        <w:t>结合村庄发展实际，规划确定村域产业布局形成“</w:t>
      </w:r>
      <w:r>
        <w:rPr>
          <w:rFonts w:hint="eastAsia"/>
          <w:spacing w:val="-10"/>
        </w:rPr>
        <w:t>一心、多点、两片区</w:t>
      </w:r>
      <w:r>
        <w:rPr>
          <w:spacing w:val="-10"/>
        </w:rPr>
        <w:t>”</w:t>
      </w:r>
      <w:r>
        <w:rPr>
          <w:spacing w:val="-9"/>
        </w:rPr>
        <w:t>的产业布局结构。</w:t>
      </w:r>
    </w:p>
    <w:p w14:paraId="3D420D6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20" w:firstLineChars="200"/>
        <w:textAlignment w:val="auto"/>
      </w:pPr>
      <w:r>
        <w:rPr>
          <w:spacing w:val="-10"/>
        </w:rPr>
        <w:t>“</w:t>
      </w:r>
      <w:r>
        <w:rPr>
          <w:rFonts w:hint="eastAsia"/>
          <w:spacing w:val="-10"/>
          <w:lang w:eastAsia="zh-CN"/>
        </w:rPr>
        <w:t>一心</w:t>
      </w:r>
      <w:r>
        <w:rPr>
          <w:spacing w:val="-10"/>
        </w:rPr>
        <w:t>”为</w:t>
      </w:r>
      <w:r>
        <w:rPr>
          <w:rFonts w:hint="eastAsia"/>
          <w:spacing w:val="-10"/>
        </w:rPr>
        <w:t>以村委会为中心，统筹全域产业发展，形成村庄服务中心</w:t>
      </w:r>
      <w:r>
        <w:rPr>
          <w:spacing w:val="-6"/>
        </w:rPr>
        <w:t>。</w:t>
      </w:r>
    </w:p>
    <w:p w14:paraId="283FAEA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76" w:firstLineChars="200"/>
        <w:textAlignment w:val="auto"/>
        <w:rPr>
          <w:spacing w:val="-9"/>
        </w:rPr>
      </w:pPr>
      <w:r>
        <w:rPr>
          <w:spacing w:val="-21"/>
        </w:rPr>
        <w:t>“</w:t>
      </w:r>
      <w:r>
        <w:rPr>
          <w:rFonts w:hint="eastAsia"/>
          <w:spacing w:val="-21"/>
          <w:lang w:eastAsia="zh-CN"/>
        </w:rPr>
        <w:t>多点</w:t>
      </w:r>
      <w:r>
        <w:rPr>
          <w:spacing w:val="-21"/>
        </w:rPr>
        <w:t>”为</w:t>
      </w:r>
      <w:r>
        <w:rPr>
          <w:rFonts w:hint="eastAsia"/>
          <w:spacing w:val="-21"/>
        </w:rPr>
        <w:t>结合村域内部旅游业形成村庄产业集中点，包括星空露营产业点、峡谷漂流产业点、特色民宿产业点、越野竞赛产业点</w:t>
      </w:r>
      <w:r>
        <w:rPr>
          <w:spacing w:val="-9"/>
        </w:rPr>
        <w:t>。</w:t>
      </w:r>
    </w:p>
    <w:p w14:paraId="26E87D3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76" w:firstLineChars="200"/>
        <w:textAlignment w:val="auto"/>
        <w:rPr>
          <w:spacing w:val="-9"/>
        </w:rPr>
      </w:pPr>
      <w:r>
        <w:rPr>
          <w:spacing w:val="-21"/>
        </w:rPr>
        <w:t>“</w:t>
      </w:r>
      <w:r>
        <w:rPr>
          <w:rFonts w:hint="eastAsia"/>
          <w:spacing w:val="-21"/>
          <w:lang w:eastAsia="zh-CN"/>
        </w:rPr>
        <w:t>两片区</w:t>
      </w:r>
      <w:r>
        <w:rPr>
          <w:spacing w:val="-21"/>
        </w:rPr>
        <w:t>”为</w:t>
      </w:r>
      <w:r>
        <w:rPr>
          <w:rFonts w:hint="eastAsia"/>
          <w:spacing w:val="-21"/>
        </w:rPr>
        <w:t>麻核桃种植区、林果采摘区</w:t>
      </w:r>
      <w:r>
        <w:rPr>
          <w:spacing w:val="-9"/>
        </w:rPr>
        <w:t>。</w:t>
      </w:r>
    </w:p>
    <w:p w14:paraId="61CF4E1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70" w:line="360" w:lineRule="auto"/>
        <w:ind w:left="0" w:leftChars="0" w:right="0" w:firstLine="534" w:firstLineChars="200"/>
        <w:jc w:val="both"/>
        <w:textAlignment w:val="auto"/>
        <w:rPr>
          <w:w w:val="95"/>
        </w:rPr>
      </w:pPr>
      <w:bookmarkStart w:id="6" w:name="六、公共服务设施规划"/>
      <w:bookmarkEnd w:id="6"/>
      <w:r>
        <w:rPr>
          <w:w w:val="95"/>
        </w:rPr>
        <w:t>六、公共服务设施规划</w:t>
      </w:r>
    </w:p>
    <w:p w14:paraId="68EB570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20" w:firstLineChars="200"/>
        <w:jc w:val="both"/>
        <w:textAlignment w:val="auto"/>
      </w:pPr>
      <w:r>
        <w:rPr>
          <w:spacing w:val="-10"/>
        </w:rPr>
        <w:t>村庄根据《村庄规划技术规范》</w:t>
      </w:r>
      <w:r>
        <w:rPr>
          <w:spacing w:val="-6"/>
        </w:rPr>
        <w:t>（DB/T5557-2022）</w:t>
      </w:r>
      <w:r>
        <w:rPr>
          <w:spacing w:val="-9"/>
        </w:rPr>
        <w:t>和《社区生活</w:t>
      </w:r>
      <w:r>
        <w:rPr>
          <w:spacing w:val="-10"/>
        </w:rPr>
        <w:t>圈规划技术指南》</w:t>
      </w:r>
      <w:r>
        <w:rPr>
          <w:spacing w:val="-6"/>
        </w:rPr>
        <w:t>（TD/T1062-2021）</w:t>
      </w:r>
      <w:r>
        <w:rPr>
          <w:spacing w:val="-10"/>
        </w:rPr>
        <w:t>配置村庄公共服务设施，以村庄公共服务设施分类及配置标准为基础，统筹布局村庄公共服务设施。</w:t>
      </w:r>
    </w:p>
    <w:p w14:paraId="14CEA3D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70" w:line="360" w:lineRule="auto"/>
        <w:ind w:left="0" w:leftChars="0" w:right="0" w:firstLine="534" w:firstLineChars="200"/>
        <w:jc w:val="both"/>
        <w:textAlignment w:val="auto"/>
        <w:rPr>
          <w:rFonts w:hint="eastAsia"/>
          <w:w w:val="95"/>
          <w:lang w:eastAsia="zh-CN"/>
        </w:rPr>
      </w:pPr>
      <w:bookmarkStart w:id="7" w:name="七、道路交通贵啊胡"/>
      <w:bookmarkEnd w:id="7"/>
      <w:r>
        <w:rPr>
          <w:w w:val="95"/>
        </w:rPr>
        <w:t>七、道路交通</w:t>
      </w:r>
      <w:r>
        <w:rPr>
          <w:rFonts w:hint="eastAsia"/>
          <w:w w:val="95"/>
          <w:lang w:eastAsia="zh-CN"/>
        </w:rPr>
        <w:t>规划</w:t>
      </w:r>
    </w:p>
    <w:p w14:paraId="07CB60D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0" w:firstLineChars="200"/>
        <w:textAlignment w:val="auto"/>
      </w:pPr>
      <w:r>
        <w:t>优化村庄内部道路系统，加强村庄道路与过境公路的衔接。</w:t>
      </w:r>
    </w:p>
    <w:p w14:paraId="3FF58D2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20" w:firstLineChars="200"/>
        <w:textAlignment w:val="auto"/>
      </w:pPr>
      <w:r>
        <w:rPr>
          <w:rFonts w:hint="eastAsia"/>
          <w:spacing w:val="-10"/>
        </w:rPr>
        <w:t>落实上位规划确定的区域交通设施</w:t>
      </w:r>
      <w:r>
        <w:rPr>
          <w:rFonts w:hint="eastAsia"/>
          <w:spacing w:val="-10"/>
          <w:lang w:eastAsia="zh-CN"/>
        </w:rPr>
        <w:t>：</w:t>
      </w:r>
      <w:r>
        <w:rPr>
          <w:rFonts w:hint="eastAsia"/>
          <w:spacing w:val="-10"/>
        </w:rPr>
        <w:t>首都环线高速西太路互通</w:t>
      </w:r>
      <w:r>
        <w:rPr>
          <w:spacing w:val="-10"/>
        </w:rPr>
        <w:t>。</w:t>
      </w:r>
    </w:p>
    <w:p w14:paraId="36AB6FA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70" w:line="360" w:lineRule="auto"/>
        <w:ind w:left="0" w:leftChars="0" w:right="0" w:firstLine="534" w:firstLineChars="200"/>
        <w:jc w:val="both"/>
        <w:textAlignment w:val="auto"/>
        <w:rPr>
          <w:w w:val="95"/>
        </w:rPr>
      </w:pPr>
      <w:bookmarkStart w:id="8" w:name=" 八、公用设施规划"/>
      <w:bookmarkEnd w:id="8"/>
      <w:r>
        <w:rPr>
          <w:w w:val="95"/>
        </w:rPr>
        <w:t>八、公用设施规划</w:t>
      </w:r>
    </w:p>
    <w:p w14:paraId="5E01B50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0" w:firstLineChars="200"/>
        <w:textAlignment w:val="auto"/>
      </w:pPr>
      <w:r>
        <w:t>（一）给水工程</w:t>
      </w:r>
    </w:p>
    <w:p w14:paraId="4E7590D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0" w:firstLineChars="200"/>
        <w:textAlignment w:val="auto"/>
      </w:pPr>
      <w:r>
        <w:t>规划村庄采用集中供水方式。</w:t>
      </w:r>
    </w:p>
    <w:p w14:paraId="6097B33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0" w:firstLineChars="200"/>
        <w:textAlignment w:val="auto"/>
      </w:pPr>
      <w:r>
        <w:t>（二）污水工程规划</w:t>
      </w:r>
    </w:p>
    <w:p w14:paraId="05465AD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0" w:firstLineChars="200"/>
        <w:textAlignment w:val="auto"/>
      </w:pPr>
      <w:r>
        <w:t>规划村庄设置小型污水处理设施，采用生态处理方式。</w:t>
      </w:r>
    </w:p>
    <w:p w14:paraId="37C3E8E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0" w:firstLineChars="200"/>
        <w:textAlignment w:val="auto"/>
      </w:pPr>
      <w:r>
        <w:t>（三）电力工程规划</w:t>
      </w:r>
    </w:p>
    <w:p w14:paraId="5E7FE46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0" w:firstLineChars="200"/>
        <w:textAlignment w:val="auto"/>
      </w:pPr>
      <w:r>
        <w:t>村庄用电从</w:t>
      </w:r>
      <w:r>
        <w:rPr>
          <w:rFonts w:hint="eastAsia"/>
        </w:rPr>
        <w:t>三坡镇</w:t>
      </w:r>
      <w:r>
        <w:t>变电站接入，保留村内现有变压器。</w:t>
      </w:r>
    </w:p>
    <w:p w14:paraId="4DF62EC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0" w:firstLineChars="200"/>
        <w:textAlignment w:val="auto"/>
      </w:pPr>
      <w:r>
        <w:t>（四）通信工程规划</w:t>
      </w:r>
    </w:p>
    <w:p w14:paraId="4FB58AB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0" w:firstLineChars="200"/>
        <w:textAlignment w:val="auto"/>
        <w:rPr>
          <w:rFonts w:hint="eastAsia"/>
          <w:lang w:eastAsia="zh-CN"/>
        </w:rPr>
      </w:pPr>
      <w:r>
        <w:t>村庄电信线路引至娄村镇电信支局</w:t>
      </w:r>
      <w:r>
        <w:rPr>
          <w:rFonts w:hint="eastAsia"/>
          <w:lang w:eastAsia="zh-CN"/>
        </w:rPr>
        <w:t>。</w:t>
      </w:r>
    </w:p>
    <w:p w14:paraId="56EE3C7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0" w:firstLineChars="200"/>
        <w:textAlignment w:val="auto"/>
      </w:pPr>
      <w:r>
        <w:t>（</w:t>
      </w:r>
      <w:r>
        <w:rPr>
          <w:rFonts w:hint="eastAsia"/>
          <w:lang w:eastAsia="zh-CN"/>
        </w:rPr>
        <w:t>五</w:t>
      </w:r>
      <w:r>
        <w:t>）</w:t>
      </w:r>
      <w:r>
        <w:rPr>
          <w:rFonts w:hint="eastAsia"/>
          <w:lang w:eastAsia="zh-CN"/>
        </w:rPr>
        <w:t>燃气工程</w:t>
      </w:r>
      <w:r>
        <w:t>规划</w:t>
      </w:r>
    </w:p>
    <w:p w14:paraId="7A5EAD7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0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采用“电代煤”或洁净煤的形式进行供暖，满足生活取暖及做饭的需要，推广清洁能源。</w:t>
      </w:r>
    </w:p>
    <w:p w14:paraId="2F93E53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70" w:line="360" w:lineRule="auto"/>
        <w:ind w:left="0" w:leftChars="0" w:right="0" w:firstLine="534" w:firstLineChars="200"/>
        <w:jc w:val="both"/>
        <w:textAlignment w:val="auto"/>
        <w:rPr>
          <w:w w:val="95"/>
        </w:rPr>
      </w:pPr>
      <w:bookmarkStart w:id="9" w:name="九、全域用地管控规划"/>
      <w:bookmarkEnd w:id="9"/>
      <w:r>
        <w:rPr>
          <w:w w:val="95"/>
        </w:rPr>
        <w:t>九、全域用地管控规划</w:t>
      </w:r>
    </w:p>
    <w:p w14:paraId="08FED72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20" w:firstLineChars="200"/>
        <w:textAlignment w:val="auto"/>
      </w:pPr>
      <w:r>
        <w:rPr>
          <w:spacing w:val="-10"/>
        </w:rPr>
        <w:t>为适应村庄的建设需求，规划对村内的</w:t>
      </w:r>
      <w:r>
        <w:rPr>
          <w:rFonts w:hint="eastAsia"/>
          <w:spacing w:val="-10"/>
          <w:lang w:eastAsia="zh-CN"/>
        </w:rPr>
        <w:t>公共服务设施用地</w:t>
      </w:r>
      <w:r>
        <w:rPr>
          <w:spacing w:val="-10"/>
        </w:rPr>
        <w:t>、</w:t>
      </w:r>
      <w:r>
        <w:rPr>
          <w:spacing w:val="-18"/>
        </w:rPr>
        <w:t>集体经营性建设用地等提出控制要求，为土地管理和规划建设管理提供</w:t>
      </w:r>
      <w:r>
        <w:rPr>
          <w:spacing w:val="-8"/>
        </w:rPr>
        <w:t>直接依据。</w:t>
      </w:r>
    </w:p>
    <w:p w14:paraId="4002225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70" w:line="360" w:lineRule="auto"/>
        <w:ind w:left="0" w:leftChars="0" w:right="0" w:firstLine="534" w:firstLineChars="200"/>
        <w:jc w:val="both"/>
        <w:textAlignment w:val="auto"/>
        <w:rPr>
          <w:w w:val="95"/>
        </w:rPr>
      </w:pPr>
      <w:bookmarkStart w:id="10" w:name="十、近期建设规划"/>
      <w:bookmarkEnd w:id="10"/>
      <w:r>
        <w:rPr>
          <w:w w:val="95"/>
        </w:rPr>
        <w:t>十、近期建设规划</w:t>
      </w:r>
    </w:p>
    <w:p w14:paraId="5153F09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492" w:firstLineChars="200"/>
        <w:textAlignment w:val="auto"/>
      </w:pPr>
      <w:r>
        <w:rPr>
          <w:spacing w:val="-17"/>
        </w:rPr>
        <w:t>近期建设规划主要对</w:t>
      </w:r>
      <w:r>
        <w:rPr>
          <w:spacing w:val="-10"/>
        </w:rPr>
        <w:t>人居环境整治、</w:t>
      </w:r>
      <w:r>
        <w:rPr>
          <w:rFonts w:hint="eastAsia"/>
          <w:spacing w:val="-10"/>
          <w:lang w:eastAsia="zh-CN"/>
        </w:rPr>
        <w:t>道路交通、</w:t>
      </w:r>
      <w:r>
        <w:rPr>
          <w:spacing w:val="-17"/>
        </w:rPr>
        <w:t>产业发展</w:t>
      </w:r>
      <w:r>
        <w:rPr>
          <w:spacing w:val="-10"/>
        </w:rPr>
        <w:t>等方面，优先进行安排建设。</w:t>
      </w:r>
    </w:p>
    <w:p w14:paraId="2BF8D699">
      <w:pPr>
        <w:spacing w:after="0" w:line="357" w:lineRule="auto"/>
        <w:sectPr>
          <w:footerReference r:id="rId5" w:type="default"/>
          <w:pgSz w:w="11910" w:h="16840"/>
          <w:pgMar w:top="1380" w:right="1400" w:bottom="1160" w:left="1680" w:header="0" w:footer="970" w:gutter="0"/>
          <w:cols w:space="720" w:num="1"/>
        </w:sectPr>
      </w:pPr>
    </w:p>
    <w:p w14:paraId="63F601AB">
      <w:pPr>
        <w:pStyle w:val="4"/>
        <w:rPr>
          <w:sz w:val="20"/>
        </w:rPr>
      </w:pPr>
      <w:bookmarkStart w:id="11" w:name="03村域国土空间控制线规划图-Model"/>
      <w:bookmarkEnd w:id="11"/>
      <w:r>
        <w:rPr>
          <w:rFonts w:hint="eastAsia" w:eastAsia="仿宋"/>
          <w:sz w:val="20"/>
          <w:lang w:eastAsia="zh-CN"/>
        </w:rPr>
        <w:drawing>
          <wp:inline distT="0" distB="0" distL="114300" distR="114300">
            <wp:extent cx="14882495" cy="10524490"/>
            <wp:effectExtent l="0" t="0" r="6985" b="6350"/>
            <wp:docPr id="2" name="图片 2" descr="03国土空间控制线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3国土空间控制线规划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882495" cy="1052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BA142">
      <w:pPr>
        <w:spacing w:after="0"/>
        <w:rPr>
          <w:sz w:val="20"/>
        </w:rPr>
      </w:pPr>
      <w:bookmarkStart w:id="12" w:name="04村域国土空间规划图-Model"/>
      <w:bookmarkEnd w:id="12"/>
      <w:r>
        <w:rPr>
          <w:rFonts w:hint="eastAsia" w:eastAsia="仿宋"/>
          <w:sz w:val="20"/>
          <w:lang w:eastAsia="zh-CN"/>
        </w:rPr>
        <w:drawing>
          <wp:inline distT="0" distB="0" distL="114300" distR="114300">
            <wp:extent cx="15096490" cy="10674985"/>
            <wp:effectExtent l="0" t="0" r="6350" b="8255"/>
            <wp:docPr id="3" name="图片 3" descr="04国土空间规划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4国土空间规划图 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096490" cy="1067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3" w:name="11村庄居民点用地布局规划图-Model"/>
      <w:bookmarkEnd w:id="13"/>
    </w:p>
    <w:p w14:paraId="01972421">
      <w:pPr>
        <w:spacing w:after="0"/>
        <w:rPr>
          <w:rFonts w:hint="eastAsia" w:eastAsia="仿宋"/>
          <w:sz w:val="20"/>
          <w:lang w:eastAsia="zh-CN"/>
        </w:rPr>
      </w:pPr>
      <w:r>
        <w:rPr>
          <w:rFonts w:hint="eastAsia" w:eastAsia="仿宋"/>
          <w:sz w:val="20"/>
          <w:lang w:eastAsia="zh-CN"/>
        </w:rPr>
        <w:drawing>
          <wp:inline distT="0" distB="0" distL="114300" distR="114300">
            <wp:extent cx="14793595" cy="10460355"/>
            <wp:effectExtent l="0" t="0" r="4445" b="9525"/>
            <wp:docPr id="4" name="图片 4" descr="09居民点用地布局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9居民点用地布局规划图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793595" cy="1046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4" w:name="12村庄居民点规划总平面图-Model"/>
      <w:bookmarkEnd w:id="14"/>
      <w:r>
        <w:rPr>
          <w:rFonts w:hint="eastAsia" w:eastAsia="仿宋"/>
          <w:sz w:val="20"/>
          <w:lang w:eastAsia="zh-CN"/>
        </w:rPr>
        <w:drawing>
          <wp:inline distT="0" distB="0" distL="114300" distR="114300">
            <wp:extent cx="15113635" cy="10687050"/>
            <wp:effectExtent l="0" t="0" r="4445" b="11430"/>
            <wp:docPr id="5" name="图片 5" descr="10规划总平面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0规划总平面图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11363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6" w:type="default"/>
      <w:pgSz w:w="23811" w:h="16838" w:orient="landscape"/>
      <w:pgMar w:top="0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89EE5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3724910</wp:posOffset>
              </wp:positionH>
              <wp:positionV relativeFrom="page">
                <wp:posOffset>9935845</wp:posOffset>
              </wp:positionV>
              <wp:extent cx="109220" cy="139700"/>
              <wp:effectExtent l="0" t="0" r="0" b="0"/>
              <wp:wrapNone/>
              <wp:docPr id="6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366E50">
                          <w:pPr>
                            <w:spacing w:before="0" w:line="203" w:lineRule="exact"/>
                            <w:ind w:left="40" w:right="0" w:firstLine="0"/>
                            <w:jc w:val="left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293.3pt;margin-top:782.35pt;height:11pt;width:8.6pt;mso-position-horizontal-relative:page;mso-position-vertical-relative:page;z-index:-251657216;mso-width-relative:page;mso-height-relative:page;" filled="f" stroked="f" coordsize="21600,21600" o:gfxdata="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952H22gAAAA0BAAAPAAAAAAAAAAEAIAAAACIAAABkcnMvZG93bnJldi54bWxQSwEC&#10;FAAUAAAACACHTuJAV9z/i7kBAABxAwAADgAAAAAAAAABACAAAAAp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8366E50">
                    <w:pPr>
                      <w:spacing w:before="0" w:line="203" w:lineRule="exact"/>
                      <w:ind w:left="4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1D8B25">
    <w:pPr>
      <w:pStyle w:val="4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7D7D25"/>
    <w:rsid w:val="1E6652AE"/>
    <w:rsid w:val="2A5818A3"/>
    <w:rsid w:val="695B64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20"/>
      <w:outlineLvl w:val="1"/>
    </w:pPr>
    <w:rPr>
      <w:rFonts w:ascii="仿宋" w:hAnsi="仿宋" w:eastAsia="仿宋" w:cs="仿宋"/>
      <w:sz w:val="32"/>
      <w:szCs w:val="32"/>
    </w:rPr>
  </w:style>
  <w:style w:type="paragraph" w:styleId="3">
    <w:name w:val="heading 2"/>
    <w:basedOn w:val="1"/>
    <w:qFormat/>
    <w:uiPriority w:val="1"/>
    <w:pPr>
      <w:spacing w:before="1"/>
      <w:ind w:left="660"/>
      <w:outlineLvl w:val="2"/>
    </w:pPr>
    <w:rPr>
      <w:rFonts w:ascii="宋体" w:hAnsi="宋体" w:eastAsia="宋体" w:cs="宋体"/>
      <w:b/>
      <w:bCs/>
      <w:sz w:val="28"/>
      <w:szCs w:val="2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仿宋" w:hAnsi="仿宋" w:eastAsia="仿宋" w:cs="仿宋"/>
      <w:sz w:val="28"/>
      <w:szCs w:val="2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1481</Words>
  <Characters>1521</Characters>
  <TotalTime>7</TotalTime>
  <ScaleCrop>false</ScaleCrop>
  <LinksUpToDate>false</LinksUpToDate>
  <CharactersWithSpaces>1521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2025-01-02T19:58:00Z</dcterms:created>
  <dc:creator>Gong</dc:creator>
  <cp:lastModifiedBy>八爪小鱼</cp:lastModifiedBy>
  <dcterms:modified xsi:type="dcterms:W3CDTF">2025-04-23T03:11:07Z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2024-11-25T00:00:00Z</vt:filetime>
  </property>
  <property fmtid="{D5CDD505-2E9C-101B-9397-08002B2CF9AE}" pid="3" name="Creator">
    <vt:lpwstr>Adobe Acrobat Pro 10.1.0</vt:lpwstr>
  </property>
  <property fmtid="{D5CDD505-2E9C-101B-9397-08002B2CF9AE}" pid="4" name="LastSaved">
    <vt:filetime>2025-01-02T00:00:00Z</vt:filetime>
  </property>
  <property fmtid="{D5CDD505-2E9C-101B-9397-08002B2CF9AE}" pid="5" name="KSOTemplateDocerSaveRecord">
    <vt:lpwstr>eyJoZGlkIjoiNTY3NzU0NDM5MWFkMmY4ZmZmZjJjODBjMzI2N2ZmYWUiLCJ1c2VySWQiOiI0MDE5OTQ3MTgifQ==</vt:lpwstr>
  </property>
  <property fmtid="{D5CDD505-2E9C-101B-9397-08002B2CF9AE}" pid="6" name="KSOProductBuildVer">
    <vt:lpwstr>2052-12.1.0.20784</vt:lpwstr>
  </property>
  <property fmtid="{D5CDD505-2E9C-101B-9397-08002B2CF9AE}" pid="7" name="ICV">
    <vt:lpwstr>A77361D99E3F4574BF32A61D91CF1D30_13</vt:lpwstr>
  </property>
</Properties>
</file>