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A33506">
      <w:pPr>
        <w:widowControl/>
        <w:spacing w:line="560" w:lineRule="exact"/>
        <w:jc w:val="center"/>
        <w:rPr>
          <w:rFonts w:ascii="仿宋" w:hAnsi="仿宋" w:eastAsia="仿宋" w:cs="仿宋"/>
          <w:b/>
          <w:kern w:val="0"/>
          <w:sz w:val="44"/>
          <w:szCs w:val="44"/>
        </w:rPr>
      </w:pPr>
      <w:r>
        <w:rPr>
          <w:rFonts w:hint="eastAsia" w:ascii="仿宋" w:hAnsi="仿宋" w:eastAsia="仿宋" w:cs="仿宋"/>
          <w:b/>
          <w:kern w:val="0"/>
          <w:sz w:val="44"/>
          <w:szCs w:val="44"/>
        </w:rPr>
        <w:t>中国共产党涞水县直属机关工作委员会</w:t>
      </w:r>
    </w:p>
    <w:p w14:paraId="33DFF75D">
      <w:pPr>
        <w:widowControl/>
        <w:spacing w:line="560" w:lineRule="exact"/>
        <w:jc w:val="center"/>
        <w:rPr>
          <w:rFonts w:ascii="仿宋" w:hAnsi="仿宋" w:eastAsia="仿宋" w:cs="仿宋"/>
          <w:b/>
          <w:kern w:val="0"/>
          <w:sz w:val="44"/>
          <w:szCs w:val="44"/>
        </w:rPr>
      </w:pPr>
      <w:r>
        <w:rPr>
          <w:rFonts w:hint="eastAsia" w:ascii="仿宋" w:hAnsi="仿宋" w:eastAsia="仿宋" w:cs="仿宋"/>
          <w:b/>
          <w:kern w:val="0"/>
          <w:sz w:val="44"/>
          <w:szCs w:val="44"/>
        </w:rPr>
        <w:t>部门预算公开有关事项的说明</w:t>
      </w:r>
    </w:p>
    <w:p w14:paraId="2EB90B20">
      <w:pPr>
        <w:widowControl/>
        <w:spacing w:line="560" w:lineRule="exact"/>
        <w:jc w:val="center"/>
        <w:rPr>
          <w:rFonts w:ascii="仿宋" w:hAnsi="仿宋" w:eastAsia="仿宋" w:cs="仿宋"/>
          <w:b/>
          <w:kern w:val="0"/>
          <w:sz w:val="44"/>
          <w:szCs w:val="44"/>
        </w:rPr>
      </w:pPr>
    </w:p>
    <w:p w14:paraId="7FD43BBD">
      <w:pPr>
        <w:widowControl/>
        <w:spacing w:line="560" w:lineRule="exact"/>
        <w:rPr>
          <w:rFonts w:ascii="仿宋" w:hAnsi="仿宋" w:eastAsia="仿宋" w:cs="仿宋"/>
          <w:bCs/>
          <w:kern w:val="0"/>
          <w:sz w:val="32"/>
          <w:szCs w:val="32"/>
        </w:rPr>
      </w:pPr>
      <w:r>
        <w:rPr>
          <w:rFonts w:ascii="仿宋" w:hAnsi="仿宋" w:eastAsia="仿宋" w:cs="仿宋"/>
          <w:kern w:val="0"/>
          <w:sz w:val="32"/>
          <w:szCs w:val="32"/>
        </w:rPr>
        <w:t xml:space="preserve">  </w:t>
      </w:r>
      <w:r>
        <w:rPr>
          <w:rFonts w:ascii="仿宋" w:hAnsi="仿宋" w:eastAsia="仿宋" w:cs="仿宋"/>
          <w:b/>
          <w:bCs/>
          <w:kern w:val="0"/>
          <w:sz w:val="32"/>
          <w:szCs w:val="32"/>
        </w:rPr>
        <w:t xml:space="preserve">  </w:t>
      </w:r>
      <w:r>
        <w:rPr>
          <w:rFonts w:hint="eastAsia" w:ascii="仿宋" w:hAnsi="仿宋" w:eastAsia="仿宋" w:cs="仿宋"/>
          <w:b/>
          <w:bCs/>
          <w:kern w:val="0"/>
          <w:sz w:val="32"/>
          <w:szCs w:val="32"/>
        </w:rPr>
        <w:t>一、部门职责、机构设置等基本情况</w:t>
      </w:r>
    </w:p>
    <w:p w14:paraId="2C111B30">
      <w:pPr>
        <w:widowControl/>
        <w:spacing w:line="560" w:lineRule="exact"/>
        <w:ind w:firstLine="482"/>
        <w:jc w:val="left"/>
        <w:rPr>
          <w:rFonts w:ascii="仿宋" w:hAnsi="仿宋" w:eastAsia="仿宋" w:cs="仿宋"/>
          <w:b/>
          <w:kern w:val="0"/>
          <w:sz w:val="32"/>
          <w:szCs w:val="32"/>
        </w:rPr>
      </w:pPr>
      <w:r>
        <w:rPr>
          <w:rFonts w:ascii="仿宋" w:hAnsi="仿宋" w:eastAsia="仿宋" w:cs="仿宋"/>
          <w:kern w:val="0"/>
          <w:sz w:val="32"/>
          <w:szCs w:val="32"/>
        </w:rPr>
        <w:t xml:space="preserve"> </w:t>
      </w:r>
      <w:r>
        <w:rPr>
          <w:rFonts w:hint="eastAsia" w:ascii="仿宋" w:hAnsi="仿宋" w:eastAsia="仿宋" w:cs="仿宋"/>
          <w:kern w:val="0"/>
          <w:sz w:val="32"/>
          <w:szCs w:val="32"/>
        </w:rPr>
        <w:t>涞办字</w:t>
      </w:r>
      <w:r>
        <w:rPr>
          <w:rFonts w:ascii="仿宋" w:hAnsi="仿宋" w:eastAsia="仿宋" w:cs="仿宋"/>
          <w:kern w:val="0"/>
          <w:sz w:val="32"/>
          <w:szCs w:val="32"/>
        </w:rPr>
        <w:t>[2002]41</w:t>
      </w:r>
      <w:r>
        <w:rPr>
          <w:rFonts w:hint="eastAsia" w:ascii="仿宋" w:hAnsi="仿宋" w:eastAsia="仿宋" w:cs="仿宋"/>
          <w:kern w:val="0"/>
          <w:sz w:val="32"/>
          <w:szCs w:val="32"/>
        </w:rPr>
        <w:t>号，根据保定市委、保定人民政府《关于印发涞水县机构改革方案的通知》（保字</w:t>
      </w:r>
      <w:r>
        <w:rPr>
          <w:rFonts w:ascii="仿宋" w:hAnsi="仿宋" w:eastAsia="仿宋" w:cs="仿宋"/>
          <w:kern w:val="0"/>
          <w:sz w:val="32"/>
          <w:szCs w:val="32"/>
        </w:rPr>
        <w:t>[2002]39</w:t>
      </w:r>
      <w:r>
        <w:rPr>
          <w:rFonts w:hint="eastAsia" w:ascii="仿宋" w:hAnsi="仿宋" w:eastAsia="仿宋" w:cs="仿宋"/>
          <w:kern w:val="0"/>
          <w:sz w:val="32"/>
          <w:szCs w:val="32"/>
        </w:rPr>
        <w:t>号）精神，结合我县机关工作实际，确定成立“中国共产党涞水县直属机关工作委员会”。</w:t>
      </w:r>
    </w:p>
    <w:p w14:paraId="1F22BBAD">
      <w:pPr>
        <w:widowControl/>
        <w:spacing w:line="560" w:lineRule="exact"/>
        <w:ind w:firstLine="482"/>
        <w:jc w:val="left"/>
        <w:rPr>
          <w:rFonts w:ascii="仿宋" w:hAnsi="仿宋" w:eastAsia="仿宋" w:cs="仿宋"/>
          <w:color w:val="333333"/>
          <w:kern w:val="0"/>
          <w:sz w:val="32"/>
          <w:szCs w:val="32"/>
        </w:rPr>
      </w:pPr>
      <w:r>
        <w:rPr>
          <w:rFonts w:hint="eastAsia" w:ascii="仿宋" w:hAnsi="仿宋" w:eastAsia="仿宋" w:cs="仿宋"/>
          <w:b/>
          <w:kern w:val="0"/>
          <w:sz w:val="32"/>
          <w:szCs w:val="32"/>
        </w:rPr>
        <w:t>（一）部门职责。</w:t>
      </w:r>
      <w:r>
        <w:rPr>
          <w:rFonts w:hint="eastAsia" w:ascii="仿宋" w:hAnsi="仿宋" w:eastAsia="仿宋" w:cs="仿宋"/>
          <w:color w:val="333333"/>
          <w:kern w:val="0"/>
          <w:sz w:val="32"/>
          <w:szCs w:val="32"/>
        </w:rPr>
        <w:t>县直机关工委为县委的派出机构，领导县直党政机关党的工作，其主要职责是：提出县直机关党的建设规划，指导基层党组织搞好党的思想建设、做好对党员的管理教育工作；负责审批县直部门总支、支部和纪委的书记、副书记、委员；指导县直各级党组织实施对党员特别是党员干部的监督；负责审批县直各部门党组织发展党员计划；负责直属机关党总支、支部发展党员的审批工作；负责直属机关党总支、支部的党费收缴、党刊征订及组织关系转移工作；审理有关党员领导干部的违纪案件；完成县委交办的其它任务。</w:t>
      </w:r>
    </w:p>
    <w:p w14:paraId="3C200D17">
      <w:pPr>
        <w:widowControl/>
        <w:spacing w:line="560" w:lineRule="exact"/>
        <w:ind w:firstLine="645"/>
        <w:rPr>
          <w:rFonts w:ascii="仿宋" w:hAnsi="仿宋" w:eastAsia="仿宋" w:cs="仿宋"/>
          <w:kern w:val="0"/>
          <w:sz w:val="32"/>
          <w:szCs w:val="32"/>
        </w:rPr>
      </w:pPr>
      <w:r>
        <w:rPr>
          <w:rFonts w:hint="eastAsia" w:ascii="仿宋" w:hAnsi="仿宋" w:eastAsia="仿宋" w:cs="仿宋"/>
          <w:b/>
          <w:kern w:val="0"/>
          <w:sz w:val="32"/>
          <w:szCs w:val="32"/>
        </w:rPr>
        <w:t>（二）机构设置。</w:t>
      </w:r>
      <w:r>
        <w:rPr>
          <w:rFonts w:hint="eastAsia" w:ascii="仿宋" w:hAnsi="仿宋" w:eastAsia="仿宋" w:cs="仿宋"/>
          <w:kern w:val="0"/>
          <w:sz w:val="32"/>
          <w:szCs w:val="32"/>
        </w:rPr>
        <w:t>人员编制和领导职数：县直机关工委机关行政编制</w:t>
      </w:r>
      <w:r>
        <w:rPr>
          <w:rFonts w:ascii="仿宋" w:hAnsi="仿宋" w:eastAsia="仿宋" w:cs="仿宋"/>
          <w:kern w:val="0"/>
          <w:sz w:val="32"/>
          <w:szCs w:val="32"/>
        </w:rPr>
        <w:t>4</w:t>
      </w:r>
      <w:r>
        <w:rPr>
          <w:rFonts w:hint="eastAsia" w:ascii="仿宋" w:hAnsi="仿宋" w:eastAsia="仿宋" w:cs="仿宋"/>
          <w:kern w:val="0"/>
          <w:sz w:val="32"/>
          <w:szCs w:val="32"/>
        </w:rPr>
        <w:t>名。其中常务副书记</w:t>
      </w:r>
      <w:r>
        <w:rPr>
          <w:rFonts w:ascii="仿宋" w:hAnsi="仿宋" w:eastAsia="仿宋" w:cs="仿宋"/>
          <w:kern w:val="0"/>
          <w:sz w:val="32"/>
          <w:szCs w:val="32"/>
        </w:rPr>
        <w:t>1</w:t>
      </w:r>
      <w:r>
        <w:rPr>
          <w:rFonts w:hint="eastAsia" w:ascii="仿宋" w:hAnsi="仿宋" w:eastAsia="仿宋" w:cs="仿宋"/>
          <w:kern w:val="0"/>
          <w:sz w:val="32"/>
          <w:szCs w:val="32"/>
        </w:rPr>
        <w:t>名，副书记</w:t>
      </w:r>
      <w:r>
        <w:rPr>
          <w:rFonts w:ascii="仿宋" w:hAnsi="仿宋" w:eastAsia="仿宋" w:cs="仿宋"/>
          <w:kern w:val="0"/>
          <w:sz w:val="32"/>
          <w:szCs w:val="32"/>
        </w:rPr>
        <w:t>1</w:t>
      </w:r>
      <w:r>
        <w:rPr>
          <w:rFonts w:hint="eastAsia" w:ascii="仿宋" w:hAnsi="仿宋" w:eastAsia="仿宋" w:cs="仿宋"/>
          <w:kern w:val="0"/>
          <w:sz w:val="32"/>
          <w:szCs w:val="32"/>
        </w:rPr>
        <w:t>名，纪委书记</w:t>
      </w:r>
      <w:r>
        <w:rPr>
          <w:rFonts w:ascii="仿宋" w:hAnsi="仿宋" w:eastAsia="仿宋" w:cs="仿宋"/>
          <w:kern w:val="0"/>
          <w:sz w:val="32"/>
          <w:szCs w:val="32"/>
        </w:rPr>
        <w:t>1</w:t>
      </w:r>
      <w:r>
        <w:rPr>
          <w:rFonts w:hint="eastAsia" w:ascii="仿宋" w:hAnsi="仿宋" w:eastAsia="仿宋" w:cs="仿宋"/>
          <w:kern w:val="0"/>
          <w:sz w:val="32"/>
          <w:szCs w:val="32"/>
        </w:rPr>
        <w:t>名，股级职数</w:t>
      </w:r>
      <w:r>
        <w:rPr>
          <w:rFonts w:ascii="仿宋" w:hAnsi="仿宋" w:eastAsia="仿宋" w:cs="仿宋"/>
          <w:kern w:val="0"/>
          <w:sz w:val="32"/>
          <w:szCs w:val="32"/>
        </w:rPr>
        <w:t>1</w:t>
      </w:r>
      <w:r>
        <w:rPr>
          <w:rFonts w:hint="eastAsia" w:ascii="仿宋" w:hAnsi="仿宋" w:eastAsia="仿宋" w:cs="仿宋"/>
          <w:kern w:val="0"/>
          <w:sz w:val="32"/>
          <w:szCs w:val="32"/>
        </w:rPr>
        <w:t>名。</w:t>
      </w:r>
    </w:p>
    <w:p w14:paraId="67BA7491">
      <w:pPr>
        <w:spacing w:line="560" w:lineRule="exact"/>
        <w:rPr>
          <w:rFonts w:ascii="仿宋" w:hAnsi="仿宋" w:eastAsia="仿宋" w:cs="仿宋"/>
          <w:color w:val="000000"/>
          <w:kern w:val="0"/>
          <w:sz w:val="32"/>
          <w:szCs w:val="32"/>
        </w:rPr>
      </w:pPr>
      <w:r>
        <w:rPr>
          <w:rFonts w:ascii="仿宋" w:hAnsi="仿宋" w:eastAsia="仿宋" w:cs="仿宋"/>
          <w:color w:val="000000"/>
          <w:kern w:val="0"/>
          <w:sz w:val="32"/>
          <w:szCs w:val="32"/>
        </w:rPr>
        <w:t xml:space="preserve">                    </w:t>
      </w:r>
      <w:r>
        <w:rPr>
          <w:rFonts w:hint="eastAsia" w:ascii="仿宋" w:hAnsi="仿宋" w:eastAsia="仿宋" w:cs="仿宋"/>
          <w:color w:val="000000"/>
          <w:kern w:val="0"/>
          <w:sz w:val="32"/>
          <w:szCs w:val="32"/>
        </w:rPr>
        <w:t>部门机构设置情况</w:t>
      </w:r>
    </w:p>
    <w:tbl>
      <w:tblPr>
        <w:tblStyle w:val="5"/>
        <w:tblW w:w="87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2"/>
        <w:gridCol w:w="1692"/>
        <w:gridCol w:w="1692"/>
        <w:gridCol w:w="1692"/>
        <w:gridCol w:w="2022"/>
      </w:tblGrid>
      <w:tr w14:paraId="51CFD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692" w:type="dxa"/>
            <w:vAlign w:val="center"/>
          </w:tcPr>
          <w:p w14:paraId="62B7C86C">
            <w:pPr>
              <w:widowControl/>
              <w:spacing w:line="560" w:lineRule="exact"/>
              <w:jc w:val="center"/>
              <w:rPr>
                <w:rFonts w:ascii="宋体" w:cs="宋体"/>
                <w:color w:val="000000"/>
                <w:kern w:val="0"/>
                <w:sz w:val="32"/>
                <w:szCs w:val="32"/>
              </w:rPr>
            </w:pPr>
            <w:r>
              <w:rPr>
                <w:rFonts w:hint="eastAsia" w:ascii="宋体" w:hAnsi="宋体" w:cs="宋体"/>
                <w:color w:val="000000"/>
                <w:kern w:val="0"/>
                <w:sz w:val="32"/>
                <w:szCs w:val="32"/>
              </w:rPr>
              <w:t>序号</w:t>
            </w:r>
          </w:p>
        </w:tc>
        <w:tc>
          <w:tcPr>
            <w:tcW w:w="1692" w:type="dxa"/>
            <w:vAlign w:val="center"/>
          </w:tcPr>
          <w:p w14:paraId="43D67734">
            <w:pPr>
              <w:widowControl/>
              <w:spacing w:line="560" w:lineRule="exact"/>
              <w:jc w:val="center"/>
              <w:rPr>
                <w:rFonts w:ascii="宋体" w:cs="宋体"/>
                <w:color w:val="000000"/>
                <w:kern w:val="0"/>
                <w:sz w:val="32"/>
                <w:szCs w:val="32"/>
              </w:rPr>
            </w:pPr>
            <w:r>
              <w:rPr>
                <w:rFonts w:hint="eastAsia" w:ascii="宋体" w:hAnsi="宋体" w:cs="宋体"/>
                <w:color w:val="000000"/>
                <w:kern w:val="0"/>
                <w:sz w:val="32"/>
                <w:szCs w:val="32"/>
              </w:rPr>
              <w:t>单位名称</w:t>
            </w:r>
          </w:p>
        </w:tc>
        <w:tc>
          <w:tcPr>
            <w:tcW w:w="1692" w:type="dxa"/>
            <w:vAlign w:val="center"/>
          </w:tcPr>
          <w:p w14:paraId="4E0F1C13">
            <w:pPr>
              <w:widowControl/>
              <w:spacing w:line="560" w:lineRule="exact"/>
              <w:jc w:val="center"/>
              <w:rPr>
                <w:rFonts w:ascii="宋体" w:cs="宋体"/>
                <w:color w:val="000000"/>
                <w:kern w:val="0"/>
                <w:sz w:val="32"/>
                <w:szCs w:val="32"/>
              </w:rPr>
            </w:pPr>
            <w:r>
              <w:rPr>
                <w:rFonts w:hint="eastAsia" w:ascii="宋体" w:hAnsi="宋体" w:cs="宋体"/>
                <w:color w:val="000000"/>
                <w:kern w:val="0"/>
                <w:sz w:val="32"/>
                <w:szCs w:val="32"/>
              </w:rPr>
              <w:t>单位性质</w:t>
            </w:r>
          </w:p>
        </w:tc>
        <w:tc>
          <w:tcPr>
            <w:tcW w:w="1692" w:type="dxa"/>
            <w:vAlign w:val="center"/>
          </w:tcPr>
          <w:p w14:paraId="6B069D3D">
            <w:pPr>
              <w:widowControl/>
              <w:spacing w:line="560" w:lineRule="exact"/>
              <w:jc w:val="center"/>
              <w:rPr>
                <w:rFonts w:ascii="宋体" w:cs="宋体"/>
                <w:color w:val="000000"/>
                <w:kern w:val="0"/>
                <w:sz w:val="32"/>
                <w:szCs w:val="32"/>
              </w:rPr>
            </w:pPr>
            <w:r>
              <w:rPr>
                <w:rFonts w:hint="eastAsia" w:ascii="宋体" w:hAnsi="宋体" w:cs="宋体"/>
                <w:color w:val="000000"/>
                <w:kern w:val="0"/>
                <w:sz w:val="32"/>
                <w:szCs w:val="32"/>
              </w:rPr>
              <w:t>单位规格</w:t>
            </w:r>
          </w:p>
        </w:tc>
        <w:tc>
          <w:tcPr>
            <w:tcW w:w="2022" w:type="dxa"/>
            <w:vAlign w:val="center"/>
          </w:tcPr>
          <w:p w14:paraId="3A86D869">
            <w:pPr>
              <w:widowControl/>
              <w:spacing w:line="560" w:lineRule="exact"/>
              <w:jc w:val="center"/>
              <w:rPr>
                <w:rFonts w:ascii="宋体" w:cs="宋体"/>
                <w:color w:val="000000"/>
                <w:kern w:val="0"/>
                <w:sz w:val="32"/>
                <w:szCs w:val="32"/>
              </w:rPr>
            </w:pPr>
            <w:r>
              <w:rPr>
                <w:rFonts w:hint="eastAsia" w:ascii="宋体" w:hAnsi="宋体" w:cs="宋体"/>
                <w:color w:val="000000"/>
                <w:kern w:val="0"/>
                <w:sz w:val="32"/>
                <w:szCs w:val="32"/>
              </w:rPr>
              <w:t>经费保障形式</w:t>
            </w:r>
          </w:p>
        </w:tc>
      </w:tr>
      <w:tr w14:paraId="61BF4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2" w:hRule="atLeast"/>
        </w:trPr>
        <w:tc>
          <w:tcPr>
            <w:tcW w:w="1692" w:type="dxa"/>
            <w:vAlign w:val="center"/>
          </w:tcPr>
          <w:p w14:paraId="77AFE4DA">
            <w:pPr>
              <w:widowControl/>
              <w:spacing w:line="560" w:lineRule="exact"/>
              <w:jc w:val="center"/>
              <w:rPr>
                <w:rFonts w:ascii="宋体" w:hAnsi="宋体" w:cs="宋体"/>
                <w:color w:val="000000"/>
                <w:kern w:val="0"/>
                <w:sz w:val="32"/>
                <w:szCs w:val="32"/>
              </w:rPr>
            </w:pPr>
            <w:r>
              <w:rPr>
                <w:rFonts w:ascii="宋体" w:hAnsi="宋体" w:cs="宋体"/>
                <w:color w:val="000000"/>
                <w:kern w:val="0"/>
                <w:sz w:val="32"/>
                <w:szCs w:val="32"/>
              </w:rPr>
              <w:t>1</w:t>
            </w:r>
          </w:p>
        </w:tc>
        <w:tc>
          <w:tcPr>
            <w:tcW w:w="1692" w:type="dxa"/>
            <w:vAlign w:val="center"/>
          </w:tcPr>
          <w:p w14:paraId="2B24F694">
            <w:pPr>
              <w:widowControl/>
              <w:spacing w:line="560" w:lineRule="exact"/>
              <w:rPr>
                <w:rFonts w:ascii="宋体" w:cs="宋体"/>
                <w:color w:val="000000"/>
                <w:kern w:val="0"/>
                <w:sz w:val="32"/>
                <w:szCs w:val="32"/>
              </w:rPr>
            </w:pPr>
            <w:r>
              <w:rPr>
                <w:rFonts w:hint="eastAsia" w:ascii="宋体" w:hAnsi="宋体" w:cs="宋体"/>
                <w:color w:val="000000"/>
                <w:kern w:val="0"/>
                <w:sz w:val="32"/>
                <w:szCs w:val="32"/>
              </w:rPr>
              <w:t>中国共产党涞水县直属机关工作委员会</w:t>
            </w:r>
          </w:p>
        </w:tc>
        <w:tc>
          <w:tcPr>
            <w:tcW w:w="1692" w:type="dxa"/>
            <w:vAlign w:val="center"/>
          </w:tcPr>
          <w:p w14:paraId="0E928609">
            <w:pPr>
              <w:widowControl/>
              <w:spacing w:line="560" w:lineRule="exact"/>
              <w:jc w:val="center"/>
              <w:rPr>
                <w:rFonts w:ascii="宋体" w:cs="宋体"/>
                <w:color w:val="000000"/>
                <w:kern w:val="0"/>
                <w:sz w:val="32"/>
                <w:szCs w:val="32"/>
              </w:rPr>
            </w:pPr>
            <w:r>
              <w:rPr>
                <w:rFonts w:hint="eastAsia" w:ascii="宋体" w:hAnsi="宋体" w:cs="宋体"/>
                <w:color w:val="000000"/>
                <w:kern w:val="0"/>
                <w:sz w:val="32"/>
                <w:szCs w:val="32"/>
              </w:rPr>
              <w:t>行政</w:t>
            </w:r>
          </w:p>
        </w:tc>
        <w:tc>
          <w:tcPr>
            <w:tcW w:w="1692" w:type="dxa"/>
            <w:vAlign w:val="center"/>
          </w:tcPr>
          <w:p w14:paraId="31ECE061">
            <w:pPr>
              <w:widowControl/>
              <w:spacing w:line="560" w:lineRule="exact"/>
              <w:jc w:val="center"/>
              <w:rPr>
                <w:rFonts w:ascii="宋体" w:cs="宋体"/>
                <w:color w:val="000000"/>
                <w:kern w:val="0"/>
                <w:sz w:val="32"/>
                <w:szCs w:val="32"/>
              </w:rPr>
            </w:pPr>
            <w:r>
              <w:rPr>
                <w:rFonts w:hint="eastAsia" w:ascii="宋体" w:hAnsi="宋体" w:cs="宋体"/>
                <w:color w:val="000000"/>
                <w:kern w:val="0"/>
                <w:sz w:val="32"/>
                <w:szCs w:val="32"/>
              </w:rPr>
              <w:t>正科级</w:t>
            </w:r>
          </w:p>
        </w:tc>
        <w:tc>
          <w:tcPr>
            <w:tcW w:w="2022" w:type="dxa"/>
            <w:vAlign w:val="center"/>
          </w:tcPr>
          <w:p w14:paraId="23980CDD">
            <w:pPr>
              <w:widowControl/>
              <w:spacing w:line="560" w:lineRule="exact"/>
              <w:jc w:val="center"/>
              <w:rPr>
                <w:rFonts w:ascii="宋体" w:cs="宋体"/>
                <w:color w:val="000000"/>
                <w:kern w:val="0"/>
                <w:sz w:val="32"/>
                <w:szCs w:val="32"/>
              </w:rPr>
            </w:pPr>
            <w:r>
              <w:rPr>
                <w:rFonts w:hint="eastAsia" w:ascii="宋体" w:hAnsi="宋体" w:cs="宋体"/>
                <w:color w:val="000000"/>
                <w:kern w:val="0"/>
                <w:sz w:val="32"/>
                <w:szCs w:val="32"/>
              </w:rPr>
              <w:t>财政拨款</w:t>
            </w:r>
          </w:p>
        </w:tc>
      </w:tr>
    </w:tbl>
    <w:p w14:paraId="25E202B7">
      <w:pPr>
        <w:widowControl/>
        <w:spacing w:line="560" w:lineRule="exact"/>
        <w:rPr>
          <w:rFonts w:ascii="仿宋" w:hAnsi="仿宋" w:eastAsia="仿宋" w:cs="仿宋"/>
          <w:kern w:val="0"/>
          <w:sz w:val="32"/>
          <w:szCs w:val="32"/>
        </w:rPr>
      </w:pPr>
      <w:r>
        <w:rPr>
          <w:rFonts w:ascii="仿宋" w:hAnsi="仿宋" w:eastAsia="仿宋" w:cs="仿宋"/>
          <w:kern w:val="0"/>
          <w:sz w:val="32"/>
          <w:szCs w:val="32"/>
        </w:rPr>
        <w:t xml:space="preserve">    </w:t>
      </w:r>
      <w:r>
        <w:rPr>
          <w:rFonts w:hint="eastAsia" w:ascii="仿宋" w:hAnsi="仿宋" w:eastAsia="仿宋" w:cs="仿宋"/>
          <w:kern w:val="0"/>
          <w:sz w:val="32"/>
          <w:szCs w:val="32"/>
        </w:rPr>
        <w:t>内设机构及职责：</w:t>
      </w:r>
    </w:p>
    <w:p w14:paraId="78440F99">
      <w:pPr>
        <w:widowControl/>
        <w:spacing w:line="560" w:lineRule="exact"/>
        <w:ind w:firstLine="645"/>
        <w:rPr>
          <w:rFonts w:ascii="仿宋" w:hAnsi="仿宋" w:eastAsia="仿宋" w:cs="仿宋"/>
          <w:kern w:val="0"/>
          <w:sz w:val="32"/>
          <w:szCs w:val="32"/>
        </w:rPr>
      </w:pPr>
      <w:r>
        <w:rPr>
          <w:rFonts w:ascii="仿宋" w:hAnsi="仿宋" w:eastAsia="仿宋" w:cs="仿宋"/>
          <w:kern w:val="0"/>
          <w:sz w:val="32"/>
          <w:szCs w:val="32"/>
        </w:rPr>
        <w:t>1.</w:t>
      </w:r>
      <w:r>
        <w:rPr>
          <w:rFonts w:hint="eastAsia" w:ascii="仿宋" w:hAnsi="仿宋" w:eastAsia="仿宋" w:cs="仿宋"/>
          <w:kern w:val="0"/>
          <w:sz w:val="32"/>
          <w:szCs w:val="32"/>
        </w:rPr>
        <w:t>办公室：负责上报下达、关系协调、材料撰写、档案资料管理、组织关系转移；负责机关民兵的编队、训练，战时动员，负责完成征兵工作。负责县直机关党政部门的妇女工作、儿少工作；负责县直机关党政部门的计划生育工作。</w:t>
      </w:r>
    </w:p>
    <w:p w14:paraId="45B6CC15">
      <w:pPr>
        <w:widowControl/>
        <w:spacing w:line="560" w:lineRule="exact"/>
        <w:ind w:firstLine="645"/>
        <w:rPr>
          <w:rFonts w:ascii="仿宋" w:hAnsi="仿宋" w:eastAsia="仿宋" w:cs="仿宋"/>
          <w:kern w:val="0"/>
          <w:sz w:val="32"/>
          <w:szCs w:val="32"/>
        </w:rPr>
      </w:pPr>
      <w:r>
        <w:rPr>
          <w:rFonts w:ascii="仿宋" w:hAnsi="仿宋" w:eastAsia="仿宋" w:cs="仿宋"/>
          <w:kern w:val="0"/>
          <w:sz w:val="32"/>
          <w:szCs w:val="32"/>
        </w:rPr>
        <w:t>2.</w:t>
      </w:r>
      <w:r>
        <w:rPr>
          <w:rFonts w:hint="eastAsia" w:ascii="仿宋" w:hAnsi="仿宋" w:eastAsia="仿宋" w:cs="仿宋"/>
          <w:kern w:val="0"/>
          <w:sz w:val="32"/>
          <w:szCs w:val="32"/>
        </w:rPr>
        <w:t>直属机关纪律检查工作委员会：作为县纪委的派出机构，受县纪律检查委员会和县直工委的双重领导。以县直工委为主，领导县直机关各部门的纪律检查工作。负责县直机关党员干部的思想作风建设和廉政建设，协助县纪律检查委员会查处有关党员领导干部的违纪案件。</w:t>
      </w:r>
    </w:p>
    <w:p w14:paraId="2AC23628">
      <w:pPr>
        <w:widowControl/>
        <w:spacing w:line="560" w:lineRule="exact"/>
        <w:rPr>
          <w:rFonts w:ascii="仿宋" w:hAnsi="仿宋" w:eastAsia="仿宋" w:cs="仿宋"/>
          <w:b/>
          <w:bCs/>
          <w:kern w:val="0"/>
          <w:sz w:val="32"/>
          <w:szCs w:val="32"/>
        </w:rPr>
      </w:pPr>
      <w:r>
        <w:rPr>
          <w:rFonts w:ascii="仿宋" w:hAnsi="仿宋" w:eastAsia="仿宋" w:cs="仿宋"/>
          <w:b/>
          <w:bCs/>
          <w:kern w:val="0"/>
          <w:sz w:val="32"/>
          <w:szCs w:val="32"/>
        </w:rPr>
        <w:t xml:space="preserve">    </w:t>
      </w:r>
      <w:r>
        <w:rPr>
          <w:rFonts w:hint="eastAsia" w:ascii="仿宋" w:hAnsi="仿宋" w:eastAsia="仿宋" w:cs="仿宋"/>
          <w:b/>
          <w:bCs/>
          <w:kern w:val="0"/>
          <w:sz w:val="32"/>
          <w:szCs w:val="32"/>
        </w:rPr>
        <w:t>二、部门预算安排总体情况</w:t>
      </w:r>
    </w:p>
    <w:p w14:paraId="1CF68C0C">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机关工委行政编制</w:t>
      </w:r>
      <w:r>
        <w:rPr>
          <w:rFonts w:ascii="仿宋" w:hAnsi="仿宋" w:eastAsia="仿宋" w:cs="仿宋"/>
          <w:sz w:val="32"/>
          <w:szCs w:val="32"/>
        </w:rPr>
        <w:t>4</w:t>
      </w:r>
      <w:r>
        <w:rPr>
          <w:rFonts w:hint="eastAsia" w:ascii="仿宋" w:hAnsi="仿宋" w:eastAsia="仿宋" w:cs="仿宋"/>
          <w:sz w:val="32"/>
          <w:szCs w:val="32"/>
        </w:rPr>
        <w:t>名，实有行政在职人数</w:t>
      </w:r>
      <w:r>
        <w:rPr>
          <w:rFonts w:ascii="仿宋" w:hAnsi="仿宋" w:eastAsia="仿宋" w:cs="仿宋"/>
          <w:sz w:val="32"/>
          <w:szCs w:val="32"/>
        </w:rPr>
        <w:t>5</w:t>
      </w:r>
      <w:r>
        <w:rPr>
          <w:rFonts w:hint="eastAsia" w:ascii="仿宋" w:hAnsi="仿宋" w:eastAsia="仿宋" w:cs="仿宋"/>
          <w:sz w:val="32"/>
          <w:szCs w:val="32"/>
        </w:rPr>
        <w:t>人，退休人数</w:t>
      </w:r>
      <w:r>
        <w:rPr>
          <w:rFonts w:ascii="仿宋" w:hAnsi="仿宋" w:eastAsia="仿宋" w:cs="仿宋"/>
          <w:sz w:val="32"/>
          <w:szCs w:val="32"/>
        </w:rPr>
        <w:t>7</w:t>
      </w:r>
      <w:r>
        <w:rPr>
          <w:rFonts w:hint="eastAsia" w:ascii="仿宋" w:hAnsi="仿宋" w:eastAsia="仿宋" w:cs="仿宋"/>
          <w:sz w:val="32"/>
          <w:szCs w:val="32"/>
        </w:rPr>
        <w:t>人。我单位一般预算拨款收入</w:t>
      </w:r>
      <w:r>
        <w:rPr>
          <w:rFonts w:ascii="仿宋" w:hAnsi="仿宋" w:eastAsia="仿宋" w:cs="仿宋"/>
          <w:sz w:val="32"/>
          <w:szCs w:val="32"/>
        </w:rPr>
        <w:t>50.74</w:t>
      </w:r>
      <w:r>
        <w:rPr>
          <w:rFonts w:hint="eastAsia" w:ascii="仿宋" w:hAnsi="仿宋" w:eastAsia="仿宋" w:cs="仿宋"/>
          <w:sz w:val="32"/>
          <w:szCs w:val="32"/>
        </w:rPr>
        <w:t>万元，部门预算支出</w:t>
      </w:r>
      <w:r>
        <w:rPr>
          <w:rFonts w:ascii="仿宋" w:hAnsi="仿宋" w:eastAsia="仿宋" w:cs="仿宋"/>
          <w:sz w:val="32"/>
          <w:szCs w:val="32"/>
        </w:rPr>
        <w:t>50.74</w:t>
      </w:r>
      <w:r>
        <w:rPr>
          <w:rFonts w:hint="eastAsia" w:ascii="仿宋" w:hAnsi="仿宋" w:eastAsia="仿宋" w:cs="仿宋"/>
          <w:sz w:val="32"/>
          <w:szCs w:val="32"/>
        </w:rPr>
        <w:t>万元（基本支出</w:t>
      </w:r>
      <w:r>
        <w:rPr>
          <w:rFonts w:ascii="仿宋" w:hAnsi="仿宋" w:eastAsia="仿宋" w:cs="仿宋"/>
          <w:sz w:val="32"/>
          <w:szCs w:val="32"/>
        </w:rPr>
        <w:t>46.44</w:t>
      </w:r>
      <w:r>
        <w:rPr>
          <w:rFonts w:hint="eastAsia" w:ascii="仿宋" w:hAnsi="仿宋" w:eastAsia="仿宋" w:cs="仿宋"/>
          <w:sz w:val="32"/>
          <w:szCs w:val="32"/>
        </w:rPr>
        <w:t>万元</w:t>
      </w:r>
      <w:r>
        <w:rPr>
          <w:rFonts w:ascii="仿宋" w:hAnsi="仿宋" w:eastAsia="仿宋" w:cs="仿宋"/>
          <w:sz w:val="32"/>
          <w:szCs w:val="32"/>
        </w:rPr>
        <w:t>,</w:t>
      </w:r>
      <w:r>
        <w:rPr>
          <w:rFonts w:hint="eastAsia" w:ascii="仿宋" w:hAnsi="仿宋" w:eastAsia="仿宋" w:cs="仿宋"/>
          <w:sz w:val="32"/>
          <w:szCs w:val="32"/>
        </w:rPr>
        <w:t>项目支出</w:t>
      </w:r>
      <w:r>
        <w:rPr>
          <w:rFonts w:ascii="仿宋" w:hAnsi="仿宋" w:eastAsia="仿宋" w:cs="仿宋"/>
          <w:sz w:val="32"/>
          <w:szCs w:val="32"/>
        </w:rPr>
        <w:t>4.3</w:t>
      </w:r>
      <w:r>
        <w:rPr>
          <w:rFonts w:hint="eastAsia" w:ascii="仿宋" w:hAnsi="仿宋" w:eastAsia="仿宋" w:cs="仿宋"/>
          <w:sz w:val="32"/>
          <w:szCs w:val="32"/>
        </w:rPr>
        <w:t>万元）。</w:t>
      </w:r>
    </w:p>
    <w:p w14:paraId="43D940D1">
      <w:pPr>
        <w:spacing w:line="560" w:lineRule="exact"/>
        <w:ind w:left="640"/>
        <w:rPr>
          <w:rFonts w:ascii="仿宋" w:hAnsi="仿宋" w:eastAsia="仿宋" w:cs="仿宋"/>
          <w:bCs/>
          <w:sz w:val="32"/>
          <w:szCs w:val="32"/>
        </w:rPr>
      </w:pPr>
      <w:r>
        <w:rPr>
          <w:rFonts w:ascii="仿宋" w:hAnsi="仿宋" w:eastAsia="仿宋" w:cs="仿宋"/>
          <w:b/>
          <w:sz w:val="32"/>
          <w:szCs w:val="32"/>
        </w:rPr>
        <w:t>(</w:t>
      </w:r>
      <w:r>
        <w:rPr>
          <w:rFonts w:hint="eastAsia" w:ascii="仿宋" w:hAnsi="仿宋" w:eastAsia="仿宋" w:cs="仿宋"/>
          <w:b/>
          <w:sz w:val="32"/>
          <w:szCs w:val="32"/>
        </w:rPr>
        <w:t>一</w:t>
      </w:r>
      <w:r>
        <w:rPr>
          <w:rFonts w:ascii="仿宋" w:hAnsi="仿宋" w:eastAsia="仿宋" w:cs="仿宋"/>
          <w:b/>
          <w:sz w:val="32"/>
          <w:szCs w:val="32"/>
        </w:rPr>
        <w:t>)</w:t>
      </w:r>
      <w:r>
        <w:rPr>
          <w:rFonts w:hint="eastAsia" w:ascii="仿宋" w:hAnsi="仿宋" w:eastAsia="仿宋" w:cs="仿宋"/>
          <w:b/>
          <w:sz w:val="32"/>
          <w:szCs w:val="32"/>
        </w:rPr>
        <w:t>部门基本支出预算</w:t>
      </w:r>
      <w:r>
        <w:rPr>
          <w:rFonts w:ascii="仿宋" w:hAnsi="仿宋" w:eastAsia="仿宋" w:cs="仿宋"/>
          <w:b/>
          <w:sz w:val="32"/>
          <w:szCs w:val="32"/>
        </w:rPr>
        <w:t>46.44</w:t>
      </w:r>
      <w:r>
        <w:rPr>
          <w:rFonts w:hint="eastAsia" w:ascii="仿宋" w:hAnsi="仿宋" w:eastAsia="仿宋" w:cs="仿宋"/>
          <w:b/>
          <w:sz w:val="32"/>
          <w:szCs w:val="32"/>
        </w:rPr>
        <w:t>万元</w:t>
      </w:r>
      <w:r>
        <w:rPr>
          <w:rFonts w:hint="eastAsia" w:ascii="仿宋" w:hAnsi="仿宋" w:eastAsia="仿宋" w:cs="仿宋"/>
          <w:bCs/>
          <w:sz w:val="32"/>
          <w:szCs w:val="32"/>
        </w:rPr>
        <w:t>。</w:t>
      </w:r>
    </w:p>
    <w:p w14:paraId="56A805DE">
      <w:pPr>
        <w:spacing w:line="560" w:lineRule="exact"/>
        <w:ind w:left="640"/>
        <w:rPr>
          <w:rFonts w:ascii="仿宋" w:hAnsi="仿宋" w:eastAsia="仿宋" w:cs="仿宋"/>
          <w:sz w:val="32"/>
          <w:szCs w:val="32"/>
        </w:rPr>
      </w:pPr>
      <w:r>
        <w:rPr>
          <w:rFonts w:ascii="仿宋" w:hAnsi="仿宋" w:eastAsia="仿宋" w:cs="仿宋"/>
          <w:sz w:val="32"/>
          <w:szCs w:val="32"/>
        </w:rPr>
        <w:t>1.</w:t>
      </w:r>
      <w:r>
        <w:rPr>
          <w:rFonts w:hint="eastAsia" w:ascii="仿宋" w:hAnsi="仿宋" w:eastAsia="仿宋" w:cs="仿宋"/>
          <w:sz w:val="32"/>
          <w:szCs w:val="32"/>
        </w:rPr>
        <w:t>人员经费支出</w:t>
      </w:r>
      <w:r>
        <w:rPr>
          <w:rFonts w:ascii="仿宋" w:hAnsi="仿宋" w:eastAsia="仿宋" w:cs="仿宋"/>
          <w:sz w:val="32"/>
          <w:szCs w:val="32"/>
        </w:rPr>
        <w:t>44.43</w:t>
      </w:r>
      <w:r>
        <w:rPr>
          <w:rFonts w:hint="eastAsia" w:ascii="仿宋" w:hAnsi="仿宋" w:eastAsia="仿宋" w:cs="仿宋"/>
          <w:sz w:val="32"/>
          <w:szCs w:val="32"/>
        </w:rPr>
        <w:t>万元。</w:t>
      </w:r>
    </w:p>
    <w:p w14:paraId="7A435FD7">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工资福利支出</w:t>
      </w:r>
      <w:r>
        <w:rPr>
          <w:rFonts w:ascii="仿宋" w:hAnsi="仿宋" w:eastAsia="仿宋" w:cs="仿宋"/>
          <w:sz w:val="32"/>
          <w:szCs w:val="32"/>
        </w:rPr>
        <w:t>39.26</w:t>
      </w:r>
      <w:r>
        <w:rPr>
          <w:rFonts w:hint="eastAsia" w:ascii="仿宋" w:hAnsi="仿宋" w:eastAsia="仿宋" w:cs="仿宋"/>
          <w:sz w:val="32"/>
          <w:szCs w:val="32"/>
        </w:rPr>
        <w:t>万元。其中，基本工资</w:t>
      </w:r>
      <w:r>
        <w:rPr>
          <w:rFonts w:ascii="仿宋" w:hAnsi="仿宋" w:eastAsia="仿宋" w:cs="仿宋"/>
          <w:sz w:val="32"/>
          <w:szCs w:val="32"/>
        </w:rPr>
        <w:t>18.74</w:t>
      </w:r>
      <w:r>
        <w:rPr>
          <w:rFonts w:hint="eastAsia" w:ascii="仿宋" w:hAnsi="仿宋" w:eastAsia="仿宋" w:cs="仿宋"/>
          <w:sz w:val="32"/>
          <w:szCs w:val="32"/>
        </w:rPr>
        <w:t>万元，津贴补贴</w:t>
      </w:r>
      <w:r>
        <w:rPr>
          <w:rFonts w:ascii="仿宋" w:hAnsi="仿宋" w:eastAsia="仿宋" w:cs="仿宋"/>
          <w:sz w:val="32"/>
          <w:szCs w:val="32"/>
        </w:rPr>
        <w:t>8.57</w:t>
      </w:r>
      <w:r>
        <w:rPr>
          <w:rFonts w:hint="eastAsia" w:ascii="仿宋" w:hAnsi="仿宋" w:eastAsia="仿宋" w:cs="仿宋"/>
          <w:sz w:val="32"/>
          <w:szCs w:val="32"/>
        </w:rPr>
        <w:t>万元，其他福利待遇</w:t>
      </w:r>
      <w:r>
        <w:rPr>
          <w:rFonts w:ascii="仿宋" w:hAnsi="仿宋" w:eastAsia="仿宋" w:cs="仿宋"/>
          <w:sz w:val="32"/>
          <w:szCs w:val="32"/>
        </w:rPr>
        <w:t>3.12</w:t>
      </w:r>
      <w:r>
        <w:rPr>
          <w:rFonts w:hint="eastAsia" w:ascii="仿宋" w:hAnsi="仿宋" w:eastAsia="仿宋" w:cs="仿宋"/>
          <w:sz w:val="32"/>
          <w:szCs w:val="32"/>
        </w:rPr>
        <w:t>万元，社会保障缴费</w:t>
      </w:r>
      <w:r>
        <w:rPr>
          <w:rFonts w:ascii="仿宋" w:hAnsi="仿宋" w:eastAsia="仿宋" w:cs="仿宋"/>
          <w:sz w:val="32"/>
          <w:szCs w:val="32"/>
        </w:rPr>
        <w:t>8.83</w:t>
      </w:r>
      <w:r>
        <w:rPr>
          <w:rFonts w:hint="eastAsia" w:ascii="仿宋" w:hAnsi="仿宋" w:eastAsia="仿宋" w:cs="仿宋"/>
          <w:sz w:val="32"/>
          <w:szCs w:val="32"/>
        </w:rPr>
        <w:t>万元（基本养老保险费</w:t>
      </w:r>
      <w:r>
        <w:rPr>
          <w:rFonts w:ascii="仿宋" w:hAnsi="仿宋" w:eastAsia="仿宋" w:cs="仿宋"/>
          <w:sz w:val="32"/>
          <w:szCs w:val="32"/>
        </w:rPr>
        <w:t>5.46</w:t>
      </w:r>
      <w:r>
        <w:rPr>
          <w:rFonts w:hint="eastAsia" w:ascii="仿宋" w:hAnsi="仿宋" w:eastAsia="仿宋" w:cs="仿宋"/>
          <w:sz w:val="32"/>
          <w:szCs w:val="32"/>
        </w:rPr>
        <w:t>万元</w:t>
      </w:r>
      <w:r>
        <w:rPr>
          <w:rFonts w:ascii="仿宋" w:hAnsi="仿宋" w:eastAsia="仿宋" w:cs="仿宋"/>
          <w:sz w:val="32"/>
          <w:szCs w:val="32"/>
        </w:rPr>
        <w:t>,</w:t>
      </w:r>
      <w:r>
        <w:rPr>
          <w:rFonts w:hint="eastAsia" w:ascii="仿宋" w:hAnsi="仿宋" w:eastAsia="仿宋" w:cs="仿宋"/>
          <w:sz w:val="32"/>
          <w:szCs w:val="32"/>
        </w:rPr>
        <w:t>基本医疗保险费</w:t>
      </w:r>
      <w:r>
        <w:rPr>
          <w:rFonts w:ascii="仿宋" w:hAnsi="仿宋" w:eastAsia="仿宋" w:cs="仿宋"/>
          <w:sz w:val="32"/>
          <w:szCs w:val="32"/>
        </w:rPr>
        <w:t>3.29</w:t>
      </w:r>
      <w:r>
        <w:rPr>
          <w:rFonts w:hint="eastAsia" w:ascii="仿宋" w:hAnsi="仿宋" w:eastAsia="仿宋" w:cs="仿宋"/>
          <w:sz w:val="32"/>
          <w:szCs w:val="32"/>
        </w:rPr>
        <w:t>万元</w:t>
      </w:r>
      <w:r>
        <w:rPr>
          <w:rFonts w:ascii="仿宋" w:hAnsi="仿宋" w:eastAsia="仿宋" w:cs="仿宋"/>
          <w:sz w:val="32"/>
          <w:szCs w:val="32"/>
        </w:rPr>
        <w:t>,</w:t>
      </w:r>
      <w:r>
        <w:rPr>
          <w:rFonts w:hint="eastAsia" w:ascii="仿宋" w:hAnsi="仿宋" w:eastAsia="仿宋" w:cs="仿宋"/>
          <w:sz w:val="32"/>
          <w:szCs w:val="32"/>
        </w:rPr>
        <w:t>生育保险金</w:t>
      </w:r>
      <w:r>
        <w:rPr>
          <w:rFonts w:ascii="仿宋" w:hAnsi="仿宋" w:eastAsia="仿宋" w:cs="仿宋"/>
          <w:sz w:val="32"/>
          <w:szCs w:val="32"/>
        </w:rPr>
        <w:t>0.08</w:t>
      </w:r>
      <w:r>
        <w:rPr>
          <w:rFonts w:hint="eastAsia" w:ascii="仿宋" w:hAnsi="仿宋" w:eastAsia="仿宋" w:cs="仿宋"/>
          <w:sz w:val="32"/>
          <w:szCs w:val="32"/>
        </w:rPr>
        <w:t>万元）。</w:t>
      </w:r>
    </w:p>
    <w:p w14:paraId="3A41480B">
      <w:pPr>
        <w:tabs>
          <w:tab w:val="left" w:pos="6645"/>
        </w:tabs>
        <w:spacing w:line="560" w:lineRule="exact"/>
        <w:ind w:firstLine="636" w:firstLineChars="199"/>
        <w:rPr>
          <w:rFonts w:ascii="仿宋" w:hAnsi="仿宋" w:eastAsia="仿宋" w:cs="仿宋"/>
          <w:sz w:val="32"/>
          <w:szCs w:val="32"/>
        </w:rPr>
      </w:pPr>
      <w:r>
        <w:rPr>
          <w:rFonts w:hint="eastAsia" w:ascii="仿宋" w:hAnsi="仿宋" w:eastAsia="仿宋" w:cs="仿宋"/>
          <w:sz w:val="32"/>
          <w:szCs w:val="32"/>
        </w:rPr>
        <w:t>对个人和家庭的补助支出</w:t>
      </w:r>
      <w:r>
        <w:rPr>
          <w:rFonts w:ascii="仿宋" w:hAnsi="仿宋" w:eastAsia="仿宋" w:cs="仿宋"/>
          <w:sz w:val="32"/>
          <w:szCs w:val="32"/>
        </w:rPr>
        <w:t>5.17</w:t>
      </w:r>
      <w:r>
        <w:rPr>
          <w:rFonts w:hint="eastAsia" w:ascii="仿宋" w:hAnsi="仿宋" w:eastAsia="仿宋" w:cs="仿宋"/>
          <w:sz w:val="32"/>
          <w:szCs w:val="32"/>
        </w:rPr>
        <w:t>万元。其中，生活补助</w:t>
      </w:r>
      <w:r>
        <w:rPr>
          <w:rFonts w:ascii="仿宋" w:hAnsi="仿宋" w:eastAsia="仿宋" w:cs="仿宋"/>
          <w:sz w:val="32"/>
          <w:szCs w:val="32"/>
        </w:rPr>
        <w:t>2.40</w:t>
      </w:r>
      <w:r>
        <w:rPr>
          <w:rFonts w:hint="eastAsia" w:ascii="仿宋" w:hAnsi="仿宋" w:eastAsia="仿宋" w:cs="仿宋"/>
          <w:sz w:val="32"/>
          <w:szCs w:val="32"/>
        </w:rPr>
        <w:t>万元，奖励金</w:t>
      </w:r>
      <w:r>
        <w:rPr>
          <w:rFonts w:ascii="仿宋" w:hAnsi="仿宋" w:eastAsia="仿宋" w:cs="仿宋"/>
          <w:sz w:val="32"/>
          <w:szCs w:val="32"/>
        </w:rPr>
        <w:t>0.04</w:t>
      </w:r>
      <w:r>
        <w:rPr>
          <w:rFonts w:hint="eastAsia" w:ascii="仿宋" w:hAnsi="仿宋" w:eastAsia="仿宋" w:cs="仿宋"/>
          <w:sz w:val="32"/>
          <w:szCs w:val="32"/>
        </w:rPr>
        <w:t>万元，住房公积金</w:t>
      </w:r>
      <w:r>
        <w:rPr>
          <w:rFonts w:ascii="仿宋" w:hAnsi="仿宋" w:eastAsia="仿宋" w:cs="仿宋"/>
          <w:sz w:val="32"/>
          <w:szCs w:val="32"/>
        </w:rPr>
        <w:t>2.73</w:t>
      </w:r>
      <w:r>
        <w:rPr>
          <w:rFonts w:hint="eastAsia" w:ascii="仿宋" w:hAnsi="仿宋" w:eastAsia="仿宋" w:cs="仿宋"/>
          <w:sz w:val="32"/>
          <w:szCs w:val="32"/>
        </w:rPr>
        <w:t>万元。</w:t>
      </w:r>
    </w:p>
    <w:p w14:paraId="240F48FD">
      <w:pPr>
        <w:tabs>
          <w:tab w:val="left" w:pos="6645"/>
        </w:tabs>
        <w:spacing w:line="560" w:lineRule="exact"/>
        <w:ind w:firstLine="640" w:firstLineChars="200"/>
        <w:rPr>
          <w:rFonts w:ascii="仿宋" w:hAnsi="仿宋" w:eastAsia="仿宋" w:cs="仿宋"/>
          <w:sz w:val="32"/>
          <w:szCs w:val="32"/>
        </w:rPr>
      </w:pPr>
      <w:r>
        <w:rPr>
          <w:rFonts w:ascii="仿宋" w:hAnsi="仿宋" w:eastAsia="仿宋" w:cs="仿宋"/>
          <w:sz w:val="32"/>
          <w:szCs w:val="32"/>
        </w:rPr>
        <w:t>2.</w:t>
      </w:r>
      <w:r>
        <w:rPr>
          <w:rFonts w:hint="eastAsia" w:ascii="仿宋" w:hAnsi="仿宋" w:eastAsia="仿宋" w:cs="仿宋"/>
          <w:sz w:val="32"/>
          <w:szCs w:val="32"/>
        </w:rPr>
        <w:t>日常公用经费支出</w:t>
      </w:r>
      <w:r>
        <w:rPr>
          <w:rFonts w:ascii="仿宋" w:hAnsi="仿宋" w:eastAsia="仿宋" w:cs="仿宋"/>
          <w:sz w:val="32"/>
          <w:szCs w:val="32"/>
        </w:rPr>
        <w:t>2.01</w:t>
      </w:r>
      <w:r>
        <w:rPr>
          <w:rFonts w:hint="eastAsia" w:ascii="仿宋" w:hAnsi="仿宋" w:eastAsia="仿宋" w:cs="仿宋"/>
          <w:sz w:val="32"/>
          <w:szCs w:val="32"/>
        </w:rPr>
        <w:t>万元。</w:t>
      </w:r>
    </w:p>
    <w:p w14:paraId="426D6A8C">
      <w:pPr>
        <w:tabs>
          <w:tab w:val="left" w:pos="6645"/>
        </w:tabs>
        <w:spacing w:line="560" w:lineRule="exact"/>
        <w:ind w:firstLine="636" w:firstLineChars="199"/>
        <w:rPr>
          <w:rFonts w:ascii="仿宋" w:hAnsi="仿宋" w:eastAsia="仿宋" w:cs="仿宋"/>
          <w:sz w:val="32"/>
          <w:szCs w:val="32"/>
        </w:rPr>
      </w:pPr>
      <w:r>
        <w:rPr>
          <w:rFonts w:hint="eastAsia" w:ascii="仿宋" w:hAnsi="仿宋" w:eastAsia="仿宋" w:cs="仿宋"/>
          <w:sz w:val="32"/>
          <w:szCs w:val="32"/>
        </w:rPr>
        <w:t>基础定额项目费</w:t>
      </w:r>
      <w:r>
        <w:rPr>
          <w:rFonts w:ascii="仿宋" w:hAnsi="仿宋" w:eastAsia="仿宋" w:cs="仿宋"/>
          <w:sz w:val="32"/>
          <w:szCs w:val="32"/>
        </w:rPr>
        <w:t>0.78</w:t>
      </w:r>
      <w:r>
        <w:rPr>
          <w:rFonts w:hint="eastAsia" w:ascii="仿宋" w:hAnsi="仿宋" w:eastAsia="仿宋" w:cs="仿宋"/>
          <w:sz w:val="32"/>
          <w:szCs w:val="32"/>
        </w:rPr>
        <w:t>万元。其中，部门办公费</w:t>
      </w:r>
      <w:r>
        <w:rPr>
          <w:rFonts w:ascii="仿宋" w:hAnsi="仿宋" w:eastAsia="仿宋" w:cs="仿宋"/>
          <w:sz w:val="32"/>
          <w:szCs w:val="32"/>
        </w:rPr>
        <w:t>0.6</w:t>
      </w:r>
      <w:r>
        <w:rPr>
          <w:rFonts w:hint="eastAsia" w:ascii="仿宋" w:hAnsi="仿宋" w:eastAsia="仿宋" w:cs="仿宋"/>
          <w:sz w:val="32"/>
          <w:szCs w:val="32"/>
        </w:rPr>
        <w:t>万元，邮电费</w:t>
      </w:r>
      <w:r>
        <w:rPr>
          <w:rFonts w:ascii="仿宋" w:hAnsi="仿宋" w:eastAsia="仿宋" w:cs="仿宋"/>
          <w:sz w:val="32"/>
          <w:szCs w:val="32"/>
        </w:rPr>
        <w:t>0.18</w:t>
      </w:r>
      <w:r>
        <w:rPr>
          <w:rFonts w:hint="eastAsia" w:ascii="仿宋" w:hAnsi="仿宋" w:eastAsia="仿宋" w:cs="仿宋"/>
          <w:sz w:val="32"/>
          <w:szCs w:val="32"/>
        </w:rPr>
        <w:t>万元。</w:t>
      </w:r>
    </w:p>
    <w:p w14:paraId="52B09EDC">
      <w:pPr>
        <w:tabs>
          <w:tab w:val="left" w:pos="6645"/>
        </w:tabs>
        <w:spacing w:line="560" w:lineRule="exact"/>
        <w:ind w:firstLine="636" w:firstLineChars="199"/>
        <w:rPr>
          <w:rFonts w:ascii="仿宋" w:hAnsi="仿宋" w:eastAsia="仿宋" w:cs="仿宋"/>
          <w:sz w:val="32"/>
          <w:szCs w:val="32"/>
        </w:rPr>
      </w:pPr>
      <w:r>
        <w:rPr>
          <w:rFonts w:hint="eastAsia" w:ascii="仿宋" w:hAnsi="仿宋" w:eastAsia="仿宋" w:cs="仿宋"/>
          <w:sz w:val="32"/>
          <w:szCs w:val="32"/>
        </w:rPr>
        <w:t>按规定比例计提项目费</w:t>
      </w:r>
      <w:r>
        <w:rPr>
          <w:rFonts w:ascii="仿宋" w:hAnsi="仿宋" w:eastAsia="仿宋" w:cs="仿宋"/>
          <w:sz w:val="32"/>
          <w:szCs w:val="32"/>
        </w:rPr>
        <w:t>1.23</w:t>
      </w:r>
      <w:r>
        <w:rPr>
          <w:rFonts w:hint="eastAsia" w:ascii="仿宋" w:hAnsi="仿宋" w:eastAsia="仿宋" w:cs="仿宋"/>
          <w:sz w:val="32"/>
          <w:szCs w:val="32"/>
        </w:rPr>
        <w:t>万元。其中</w:t>
      </w:r>
      <w:r>
        <w:rPr>
          <w:rFonts w:ascii="仿宋" w:hAnsi="仿宋" w:eastAsia="仿宋" w:cs="仿宋"/>
          <w:sz w:val="32"/>
          <w:szCs w:val="32"/>
        </w:rPr>
        <w:t>,</w:t>
      </w:r>
      <w:r>
        <w:rPr>
          <w:rFonts w:hint="eastAsia" w:ascii="仿宋" w:hAnsi="仿宋" w:eastAsia="仿宋" w:cs="仿宋"/>
          <w:sz w:val="32"/>
          <w:szCs w:val="32"/>
        </w:rPr>
        <w:t>工会经费</w:t>
      </w:r>
      <w:r>
        <w:rPr>
          <w:rFonts w:ascii="仿宋" w:hAnsi="仿宋" w:eastAsia="仿宋" w:cs="仿宋"/>
          <w:sz w:val="32"/>
          <w:szCs w:val="32"/>
        </w:rPr>
        <w:t>0.33</w:t>
      </w:r>
      <w:r>
        <w:rPr>
          <w:rFonts w:hint="eastAsia" w:ascii="仿宋" w:hAnsi="仿宋" w:eastAsia="仿宋" w:cs="仿宋"/>
          <w:sz w:val="32"/>
          <w:szCs w:val="32"/>
        </w:rPr>
        <w:t>万元，职工福利费</w:t>
      </w:r>
      <w:r>
        <w:rPr>
          <w:rFonts w:ascii="仿宋" w:hAnsi="仿宋" w:eastAsia="仿宋" w:cs="仿宋"/>
          <w:sz w:val="32"/>
          <w:szCs w:val="32"/>
        </w:rPr>
        <w:t>0.9</w:t>
      </w:r>
      <w:r>
        <w:rPr>
          <w:rFonts w:hint="eastAsia" w:ascii="仿宋" w:hAnsi="仿宋" w:eastAsia="仿宋" w:cs="仿宋"/>
          <w:sz w:val="32"/>
          <w:szCs w:val="32"/>
        </w:rPr>
        <w:t>万元。</w:t>
      </w:r>
    </w:p>
    <w:p w14:paraId="30124993">
      <w:pPr>
        <w:tabs>
          <w:tab w:val="left" w:pos="6645"/>
        </w:tabs>
        <w:spacing w:line="560" w:lineRule="exact"/>
        <w:rPr>
          <w:rFonts w:ascii="仿宋" w:hAnsi="仿宋" w:eastAsia="仿宋" w:cs="仿宋"/>
          <w:b/>
          <w:sz w:val="32"/>
          <w:szCs w:val="32"/>
        </w:rPr>
      </w:pPr>
      <w:r>
        <w:rPr>
          <w:rFonts w:ascii="仿宋" w:hAnsi="仿宋" w:eastAsia="仿宋" w:cs="仿宋"/>
          <w:b/>
          <w:sz w:val="32"/>
          <w:szCs w:val="32"/>
        </w:rPr>
        <w:t xml:space="preserve">  </w:t>
      </w:r>
      <w:r>
        <w:rPr>
          <w:rFonts w:hint="eastAsia" w:ascii="仿宋" w:hAnsi="仿宋" w:eastAsia="仿宋" w:cs="仿宋"/>
          <w:b/>
          <w:sz w:val="32"/>
          <w:szCs w:val="32"/>
        </w:rPr>
        <w:t>（二）部门项目支出预算</w:t>
      </w:r>
      <w:r>
        <w:rPr>
          <w:rFonts w:ascii="仿宋" w:hAnsi="仿宋" w:eastAsia="仿宋" w:cs="仿宋"/>
          <w:b/>
          <w:sz w:val="32"/>
          <w:szCs w:val="32"/>
        </w:rPr>
        <w:t>4.3</w:t>
      </w:r>
      <w:r>
        <w:rPr>
          <w:rFonts w:hint="eastAsia" w:ascii="仿宋" w:hAnsi="仿宋" w:eastAsia="仿宋" w:cs="仿宋"/>
          <w:b/>
          <w:sz w:val="32"/>
          <w:szCs w:val="32"/>
        </w:rPr>
        <w:t>万元。</w:t>
      </w:r>
    </w:p>
    <w:p w14:paraId="54DB4293">
      <w:pPr>
        <w:tabs>
          <w:tab w:val="left" w:pos="6645"/>
        </w:tabs>
        <w:spacing w:line="560" w:lineRule="exact"/>
        <w:ind w:left="798" w:leftChars="304" w:hanging="160" w:hangingChars="50"/>
        <w:rPr>
          <w:rFonts w:ascii="仿宋" w:hAnsi="仿宋" w:eastAsia="仿宋" w:cs="仿宋"/>
          <w:sz w:val="32"/>
          <w:szCs w:val="32"/>
        </w:rPr>
      </w:pPr>
      <w:r>
        <w:rPr>
          <w:rFonts w:ascii="仿宋" w:hAnsi="仿宋" w:eastAsia="仿宋" w:cs="仿宋"/>
          <w:sz w:val="32"/>
          <w:szCs w:val="32"/>
        </w:rPr>
        <w:t>1.</w:t>
      </w:r>
      <w:r>
        <w:rPr>
          <w:rFonts w:hint="eastAsia" w:ascii="仿宋" w:hAnsi="仿宋" w:eastAsia="仿宋" w:cs="仿宋"/>
          <w:sz w:val="32"/>
          <w:szCs w:val="32"/>
        </w:rPr>
        <w:t>县直机关党的建设情况</w:t>
      </w:r>
    </w:p>
    <w:p w14:paraId="0E5E48DA">
      <w:pPr>
        <w:tabs>
          <w:tab w:val="left" w:pos="6645"/>
        </w:tabs>
        <w:spacing w:line="560" w:lineRule="exact"/>
        <w:ind w:firstLine="537" w:firstLineChars="168"/>
        <w:rPr>
          <w:rFonts w:ascii="仿宋" w:hAnsi="仿宋" w:eastAsia="仿宋" w:cs="仿宋"/>
          <w:sz w:val="32"/>
          <w:szCs w:val="32"/>
        </w:rPr>
      </w:pPr>
      <w:r>
        <w:rPr>
          <w:rFonts w:hint="eastAsia" w:ascii="仿宋" w:hAnsi="仿宋" w:eastAsia="仿宋" w:cs="仿宋"/>
          <w:sz w:val="32"/>
          <w:szCs w:val="32"/>
        </w:rPr>
        <w:t>党建工作经费</w:t>
      </w:r>
      <w:r>
        <w:rPr>
          <w:rFonts w:ascii="仿宋" w:hAnsi="仿宋" w:eastAsia="仿宋" w:cs="仿宋"/>
          <w:sz w:val="32"/>
          <w:szCs w:val="32"/>
        </w:rPr>
        <w:t>4.00</w:t>
      </w:r>
      <w:r>
        <w:rPr>
          <w:rFonts w:hint="eastAsia" w:ascii="仿宋" w:hAnsi="仿宋" w:eastAsia="仿宋" w:cs="仿宋"/>
          <w:sz w:val="32"/>
          <w:szCs w:val="32"/>
        </w:rPr>
        <w:t>万元。主要用于，党员双育工程培训，“七一”慰问老党员、组织文体活动，党务干部培训，入党积极分子和发展对象培训，县委交办的其他工作及大项活动。</w:t>
      </w:r>
    </w:p>
    <w:p w14:paraId="5AB84A4E">
      <w:pPr>
        <w:tabs>
          <w:tab w:val="left" w:pos="6645"/>
        </w:tabs>
        <w:spacing w:line="560" w:lineRule="exact"/>
        <w:ind w:firstLine="537" w:firstLineChars="168"/>
        <w:rPr>
          <w:rFonts w:ascii="仿宋" w:hAnsi="仿宋" w:eastAsia="仿宋" w:cs="仿宋"/>
          <w:sz w:val="32"/>
          <w:szCs w:val="32"/>
        </w:rPr>
      </w:pPr>
      <w:r>
        <w:rPr>
          <w:rFonts w:ascii="仿宋" w:hAnsi="仿宋" w:eastAsia="仿宋" w:cs="仿宋"/>
          <w:sz w:val="32"/>
          <w:szCs w:val="32"/>
        </w:rPr>
        <w:t>2</w:t>
      </w:r>
      <w:r>
        <w:rPr>
          <w:rFonts w:hint="eastAsia" w:ascii="仿宋" w:hAnsi="仿宋" w:eastAsia="仿宋" w:cs="仿宋"/>
          <w:sz w:val="32"/>
          <w:szCs w:val="32"/>
        </w:rPr>
        <w:t>．工委事务管理情况</w:t>
      </w:r>
    </w:p>
    <w:p w14:paraId="215AC437">
      <w:pPr>
        <w:tabs>
          <w:tab w:val="left" w:pos="6645"/>
        </w:tabs>
        <w:spacing w:line="560" w:lineRule="exact"/>
        <w:ind w:firstLine="537" w:firstLineChars="168"/>
        <w:rPr>
          <w:rFonts w:ascii="仿宋" w:hAnsi="仿宋" w:eastAsia="仿宋" w:cs="仿宋"/>
          <w:sz w:val="32"/>
          <w:szCs w:val="32"/>
        </w:rPr>
      </w:pPr>
      <w:r>
        <w:rPr>
          <w:rFonts w:hint="eastAsia" w:ascii="仿宋" w:hAnsi="仿宋" w:eastAsia="仿宋" w:cs="仿宋"/>
          <w:sz w:val="32"/>
          <w:szCs w:val="32"/>
        </w:rPr>
        <w:t>财务工作经费</w:t>
      </w:r>
      <w:r>
        <w:rPr>
          <w:rFonts w:ascii="仿宋" w:hAnsi="仿宋" w:eastAsia="仿宋" w:cs="仿宋"/>
          <w:sz w:val="32"/>
          <w:szCs w:val="32"/>
        </w:rPr>
        <w:t>0.3</w:t>
      </w:r>
      <w:r>
        <w:rPr>
          <w:rFonts w:hint="eastAsia" w:ascii="仿宋" w:hAnsi="仿宋" w:eastAsia="仿宋" w:cs="仿宋"/>
          <w:sz w:val="32"/>
          <w:szCs w:val="32"/>
        </w:rPr>
        <w:t>万元。主要用于交付财务专网网络费及财务工作办公费。</w:t>
      </w:r>
    </w:p>
    <w:p w14:paraId="20D09336">
      <w:pPr>
        <w:tabs>
          <w:tab w:val="left" w:pos="916"/>
        </w:tabs>
        <w:spacing w:line="560" w:lineRule="exact"/>
        <w:ind w:firstLine="643" w:firstLineChars="200"/>
        <w:jc w:val="left"/>
        <w:rPr>
          <w:rFonts w:ascii="仿宋" w:hAnsi="仿宋" w:eastAsia="仿宋"/>
          <w:b/>
          <w:sz w:val="32"/>
          <w:szCs w:val="32"/>
        </w:rPr>
      </w:pPr>
      <w:r>
        <w:rPr>
          <w:rFonts w:hint="eastAsia" w:ascii="仿宋" w:hAnsi="仿宋" w:eastAsia="仿宋" w:cs="仿宋"/>
          <w:b/>
          <w:sz w:val="32"/>
          <w:szCs w:val="32"/>
        </w:rPr>
        <w:t>（三）</w:t>
      </w:r>
      <w:r>
        <w:rPr>
          <w:rFonts w:hint="eastAsia" w:ascii="仿宋" w:hAnsi="仿宋" w:eastAsia="仿宋"/>
          <w:b/>
          <w:sz w:val="32"/>
          <w:szCs w:val="32"/>
        </w:rPr>
        <w:t>比上年增减情况。</w:t>
      </w:r>
    </w:p>
    <w:p w14:paraId="38224F53">
      <w:pPr>
        <w:tabs>
          <w:tab w:val="left" w:pos="6645"/>
        </w:tabs>
        <w:spacing w:line="560" w:lineRule="exact"/>
        <w:ind w:firstLine="640" w:firstLineChars="200"/>
        <w:rPr>
          <w:rFonts w:ascii="仿宋" w:hAnsi="仿宋" w:eastAsia="仿宋" w:cs="仿宋"/>
          <w:sz w:val="32"/>
          <w:szCs w:val="32"/>
        </w:rPr>
      </w:pPr>
      <w:r>
        <w:rPr>
          <w:rFonts w:hint="eastAsia" w:ascii="仿宋" w:hAnsi="仿宋" w:eastAsia="仿宋"/>
          <w:sz w:val="32"/>
          <w:szCs w:val="32"/>
        </w:rPr>
        <w:t>本年度预算收支安排</w:t>
      </w:r>
      <w:r>
        <w:rPr>
          <w:rFonts w:ascii="仿宋" w:hAnsi="仿宋" w:eastAsia="仿宋" w:cs="仿宋"/>
          <w:sz w:val="32"/>
          <w:szCs w:val="32"/>
        </w:rPr>
        <w:t>50.74</w:t>
      </w:r>
      <w:r>
        <w:rPr>
          <w:rFonts w:hint="eastAsia" w:ascii="仿宋" w:hAnsi="仿宋" w:eastAsia="仿宋"/>
          <w:sz w:val="32"/>
          <w:szCs w:val="32"/>
        </w:rPr>
        <w:t>万元，较上年减少</w:t>
      </w:r>
      <w:r>
        <w:rPr>
          <w:rFonts w:ascii="仿宋" w:hAnsi="仿宋" w:eastAsia="仿宋"/>
          <w:sz w:val="32"/>
          <w:szCs w:val="32"/>
        </w:rPr>
        <w:t>33.53</w:t>
      </w:r>
      <w:r>
        <w:rPr>
          <w:rFonts w:hint="eastAsia" w:ascii="仿宋" w:hAnsi="仿宋" w:eastAsia="仿宋"/>
          <w:sz w:val="32"/>
          <w:szCs w:val="32"/>
        </w:rPr>
        <w:t>万元。其中</w:t>
      </w:r>
      <w:r>
        <w:rPr>
          <w:rFonts w:ascii="仿宋" w:hAnsi="仿宋" w:eastAsia="仿宋"/>
          <w:sz w:val="32"/>
          <w:szCs w:val="32"/>
        </w:rPr>
        <w:t>:</w:t>
      </w:r>
      <w:r>
        <w:rPr>
          <w:rFonts w:hint="eastAsia" w:ascii="仿宋" w:hAnsi="仿宋" w:eastAsia="仿宋"/>
          <w:sz w:val="32"/>
          <w:szCs w:val="32"/>
        </w:rPr>
        <w:t>基本支出减少</w:t>
      </w:r>
      <w:r>
        <w:rPr>
          <w:rFonts w:ascii="仿宋" w:hAnsi="仿宋" w:eastAsia="仿宋"/>
          <w:sz w:val="32"/>
          <w:szCs w:val="32"/>
        </w:rPr>
        <w:t>31.83</w:t>
      </w:r>
      <w:r>
        <w:rPr>
          <w:rFonts w:hint="eastAsia" w:ascii="仿宋" w:hAnsi="仿宋" w:eastAsia="仿宋"/>
          <w:sz w:val="32"/>
          <w:szCs w:val="32"/>
        </w:rPr>
        <w:t>万元，主要因</w:t>
      </w:r>
      <w:r>
        <w:rPr>
          <w:rFonts w:ascii="仿宋" w:hAnsi="仿宋" w:eastAsia="仿宋"/>
          <w:sz w:val="32"/>
          <w:szCs w:val="32"/>
        </w:rPr>
        <w:t>2017</w:t>
      </w:r>
      <w:r>
        <w:rPr>
          <w:rFonts w:hint="eastAsia" w:ascii="仿宋" w:hAnsi="仿宋" w:eastAsia="仿宋"/>
          <w:sz w:val="32"/>
          <w:szCs w:val="32"/>
        </w:rPr>
        <w:t>年退休人员经费由财政统一预算，没有在我单位预算，人员经费减少；项目支出减少</w:t>
      </w:r>
      <w:r>
        <w:rPr>
          <w:rFonts w:ascii="仿宋" w:hAnsi="仿宋" w:eastAsia="仿宋"/>
          <w:sz w:val="32"/>
          <w:szCs w:val="32"/>
        </w:rPr>
        <w:t>1.7</w:t>
      </w:r>
      <w:r>
        <w:rPr>
          <w:rFonts w:hint="eastAsia" w:ascii="仿宋" w:hAnsi="仿宋" w:eastAsia="仿宋"/>
          <w:sz w:val="32"/>
          <w:szCs w:val="32"/>
        </w:rPr>
        <w:t>万元，严格执行中央八项规定，压缩</w:t>
      </w:r>
      <w:r>
        <w:rPr>
          <w:rFonts w:hint="eastAsia" w:ascii="仿宋" w:hAnsi="仿宋" w:eastAsia="仿宋" w:cs="仿宋"/>
          <w:sz w:val="32"/>
          <w:szCs w:val="32"/>
        </w:rPr>
        <w:t>党务干部培训，入党积极分子和发展对象</w:t>
      </w:r>
      <w:r>
        <w:rPr>
          <w:rFonts w:hint="eastAsia" w:ascii="仿宋" w:hAnsi="仿宋" w:eastAsia="仿宋"/>
          <w:sz w:val="32"/>
          <w:szCs w:val="32"/>
        </w:rPr>
        <w:t>培训支出。</w:t>
      </w:r>
    </w:p>
    <w:p w14:paraId="27C5E4D9">
      <w:pPr>
        <w:widowControl/>
        <w:spacing w:line="560" w:lineRule="exact"/>
        <w:rPr>
          <w:rFonts w:ascii="仿宋" w:hAnsi="仿宋" w:eastAsia="仿宋" w:cs="仿宋"/>
          <w:bCs/>
          <w:kern w:val="0"/>
          <w:sz w:val="32"/>
          <w:szCs w:val="32"/>
        </w:rPr>
      </w:pPr>
      <w:r>
        <w:rPr>
          <w:rFonts w:ascii="仿宋" w:hAnsi="仿宋" w:eastAsia="仿宋" w:cs="仿宋"/>
          <w:kern w:val="0"/>
          <w:sz w:val="32"/>
          <w:szCs w:val="32"/>
        </w:rPr>
        <w:t xml:space="preserve">   </w:t>
      </w:r>
      <w:r>
        <w:rPr>
          <w:rFonts w:hint="eastAsia" w:ascii="仿宋" w:hAnsi="仿宋" w:eastAsia="仿宋" w:cs="仿宋"/>
          <w:b/>
          <w:kern w:val="0"/>
          <w:sz w:val="32"/>
          <w:szCs w:val="32"/>
        </w:rPr>
        <w:t>三、机关运行经费安排情况</w:t>
      </w:r>
    </w:p>
    <w:p w14:paraId="7D03059A">
      <w:pPr>
        <w:tabs>
          <w:tab w:val="left" w:pos="6645"/>
        </w:tabs>
        <w:spacing w:line="560" w:lineRule="exact"/>
        <w:ind w:firstLine="640" w:firstLineChars="200"/>
        <w:rPr>
          <w:rFonts w:ascii="仿宋" w:hAnsi="仿宋" w:eastAsia="仿宋" w:cs="仿宋"/>
          <w:sz w:val="32"/>
          <w:szCs w:val="32"/>
        </w:rPr>
      </w:pPr>
      <w:r>
        <w:rPr>
          <w:rFonts w:hint="eastAsia" w:ascii="仿宋" w:hAnsi="仿宋" w:eastAsia="仿宋" w:cs="仿宋"/>
          <w:kern w:val="0"/>
          <w:sz w:val="32"/>
          <w:szCs w:val="32"/>
        </w:rPr>
        <w:t>日常公用经费总体安排情况。机关工委</w:t>
      </w:r>
      <w:r>
        <w:rPr>
          <w:rFonts w:hint="eastAsia" w:ascii="仿宋" w:hAnsi="仿宋" w:eastAsia="仿宋" w:cs="仿宋"/>
          <w:sz w:val="32"/>
          <w:szCs w:val="32"/>
        </w:rPr>
        <w:t>日常公用经费预算支出</w:t>
      </w:r>
      <w:r>
        <w:rPr>
          <w:rFonts w:ascii="仿宋" w:hAnsi="仿宋" w:eastAsia="仿宋" w:cs="仿宋"/>
          <w:sz w:val="32"/>
          <w:szCs w:val="32"/>
        </w:rPr>
        <w:t>2.01</w:t>
      </w:r>
      <w:r>
        <w:rPr>
          <w:rFonts w:hint="eastAsia" w:ascii="仿宋" w:hAnsi="仿宋" w:eastAsia="仿宋" w:cs="仿宋"/>
          <w:sz w:val="32"/>
          <w:szCs w:val="32"/>
        </w:rPr>
        <w:t>万元。</w:t>
      </w:r>
    </w:p>
    <w:p w14:paraId="564B5A97">
      <w:pPr>
        <w:tabs>
          <w:tab w:val="left" w:pos="6645"/>
        </w:tabs>
        <w:spacing w:line="560" w:lineRule="exact"/>
        <w:ind w:firstLine="636" w:firstLineChars="199"/>
        <w:rPr>
          <w:rFonts w:ascii="仿宋" w:hAnsi="仿宋" w:eastAsia="仿宋" w:cs="仿宋"/>
          <w:sz w:val="32"/>
          <w:szCs w:val="32"/>
        </w:rPr>
      </w:pPr>
      <w:r>
        <w:rPr>
          <w:rFonts w:ascii="仿宋" w:hAnsi="仿宋" w:eastAsia="仿宋" w:cs="仿宋"/>
          <w:sz w:val="32"/>
          <w:szCs w:val="32"/>
        </w:rPr>
        <w:t>1.</w:t>
      </w:r>
      <w:r>
        <w:rPr>
          <w:rFonts w:hint="eastAsia" w:ascii="仿宋" w:hAnsi="仿宋" w:eastAsia="仿宋" w:cs="仿宋"/>
          <w:sz w:val="32"/>
          <w:szCs w:val="32"/>
        </w:rPr>
        <w:t>基础定额项目费</w:t>
      </w:r>
      <w:r>
        <w:rPr>
          <w:rFonts w:ascii="仿宋" w:hAnsi="仿宋" w:eastAsia="仿宋" w:cs="仿宋"/>
          <w:sz w:val="32"/>
          <w:szCs w:val="32"/>
        </w:rPr>
        <w:t>0.78</w:t>
      </w:r>
      <w:r>
        <w:rPr>
          <w:rFonts w:hint="eastAsia" w:ascii="仿宋" w:hAnsi="仿宋" w:eastAsia="仿宋" w:cs="仿宋"/>
          <w:sz w:val="32"/>
          <w:szCs w:val="32"/>
        </w:rPr>
        <w:t>万元。包括部门办公费</w:t>
      </w:r>
      <w:r>
        <w:rPr>
          <w:rFonts w:ascii="仿宋" w:hAnsi="仿宋" w:eastAsia="仿宋" w:cs="仿宋"/>
          <w:sz w:val="32"/>
          <w:szCs w:val="32"/>
        </w:rPr>
        <w:t>0.6</w:t>
      </w:r>
      <w:r>
        <w:rPr>
          <w:rFonts w:hint="eastAsia" w:ascii="仿宋" w:hAnsi="仿宋" w:eastAsia="仿宋" w:cs="仿宋"/>
          <w:sz w:val="32"/>
          <w:szCs w:val="32"/>
        </w:rPr>
        <w:t>万元，邮电费</w:t>
      </w:r>
      <w:r>
        <w:rPr>
          <w:rFonts w:ascii="仿宋" w:hAnsi="仿宋" w:eastAsia="仿宋" w:cs="仿宋"/>
          <w:sz w:val="32"/>
          <w:szCs w:val="32"/>
        </w:rPr>
        <w:t>0.18</w:t>
      </w:r>
      <w:r>
        <w:rPr>
          <w:rFonts w:hint="eastAsia" w:ascii="仿宋" w:hAnsi="仿宋" w:eastAsia="仿宋" w:cs="仿宋"/>
          <w:sz w:val="32"/>
          <w:szCs w:val="32"/>
        </w:rPr>
        <w:t>万元。</w:t>
      </w:r>
    </w:p>
    <w:p w14:paraId="7C3FCBAB">
      <w:pPr>
        <w:tabs>
          <w:tab w:val="left" w:pos="6645"/>
        </w:tabs>
        <w:spacing w:line="560" w:lineRule="exact"/>
        <w:ind w:firstLine="636" w:firstLineChars="199"/>
        <w:rPr>
          <w:rFonts w:ascii="仿宋" w:hAnsi="仿宋" w:eastAsia="仿宋" w:cs="仿宋"/>
          <w:sz w:val="32"/>
          <w:szCs w:val="32"/>
        </w:rPr>
      </w:pPr>
      <w:r>
        <w:rPr>
          <w:rFonts w:ascii="仿宋" w:hAnsi="仿宋" w:eastAsia="仿宋" w:cs="仿宋"/>
          <w:sz w:val="32"/>
          <w:szCs w:val="32"/>
        </w:rPr>
        <w:t>2.</w:t>
      </w:r>
      <w:r>
        <w:rPr>
          <w:rFonts w:hint="eastAsia" w:ascii="仿宋" w:hAnsi="仿宋" w:eastAsia="仿宋" w:cs="仿宋"/>
          <w:sz w:val="32"/>
          <w:szCs w:val="32"/>
        </w:rPr>
        <w:t>按规定比例计提项目费</w:t>
      </w:r>
      <w:r>
        <w:rPr>
          <w:rFonts w:ascii="仿宋" w:hAnsi="仿宋" w:eastAsia="仿宋" w:cs="仿宋"/>
          <w:sz w:val="32"/>
          <w:szCs w:val="32"/>
        </w:rPr>
        <w:t>1.23</w:t>
      </w:r>
      <w:r>
        <w:rPr>
          <w:rFonts w:hint="eastAsia" w:ascii="仿宋" w:hAnsi="仿宋" w:eastAsia="仿宋" w:cs="仿宋"/>
          <w:sz w:val="32"/>
          <w:szCs w:val="32"/>
        </w:rPr>
        <w:t>万元。包括工会经费</w:t>
      </w:r>
      <w:r>
        <w:rPr>
          <w:rFonts w:ascii="仿宋" w:hAnsi="仿宋" w:eastAsia="仿宋" w:cs="仿宋"/>
          <w:sz w:val="32"/>
          <w:szCs w:val="32"/>
        </w:rPr>
        <w:t>0.33</w:t>
      </w:r>
      <w:r>
        <w:rPr>
          <w:rFonts w:hint="eastAsia" w:ascii="仿宋" w:hAnsi="仿宋" w:eastAsia="仿宋" w:cs="仿宋"/>
          <w:sz w:val="32"/>
          <w:szCs w:val="32"/>
        </w:rPr>
        <w:t>万元，职工福利费</w:t>
      </w:r>
      <w:r>
        <w:rPr>
          <w:rFonts w:ascii="仿宋" w:hAnsi="仿宋" w:eastAsia="仿宋" w:cs="仿宋"/>
          <w:sz w:val="32"/>
          <w:szCs w:val="32"/>
        </w:rPr>
        <w:t>0.9</w:t>
      </w:r>
      <w:r>
        <w:rPr>
          <w:rFonts w:hint="eastAsia" w:ascii="仿宋" w:hAnsi="仿宋" w:eastAsia="仿宋" w:cs="仿宋"/>
          <w:sz w:val="32"/>
          <w:szCs w:val="32"/>
        </w:rPr>
        <w:t>万元。</w:t>
      </w:r>
    </w:p>
    <w:p w14:paraId="1E7E90DB">
      <w:pPr>
        <w:widowControl/>
        <w:spacing w:line="560" w:lineRule="exact"/>
        <w:rPr>
          <w:rFonts w:ascii="仿宋" w:hAnsi="仿宋" w:eastAsia="仿宋" w:cs="仿宋"/>
          <w:kern w:val="0"/>
          <w:sz w:val="32"/>
          <w:szCs w:val="32"/>
        </w:rPr>
      </w:pPr>
      <w:r>
        <w:rPr>
          <w:rFonts w:ascii="仿宋" w:hAnsi="仿宋" w:eastAsia="仿宋" w:cs="仿宋"/>
          <w:kern w:val="0"/>
          <w:sz w:val="32"/>
          <w:szCs w:val="32"/>
        </w:rPr>
        <w:t xml:space="preserve">    </w:t>
      </w:r>
      <w:r>
        <w:rPr>
          <w:rFonts w:hint="eastAsia" w:ascii="仿宋" w:hAnsi="仿宋" w:eastAsia="仿宋" w:cs="仿宋"/>
          <w:b/>
          <w:kern w:val="0"/>
          <w:sz w:val="32"/>
          <w:szCs w:val="32"/>
        </w:rPr>
        <w:t>四、财政拨款“三公”经费预算情况</w:t>
      </w:r>
    </w:p>
    <w:p w14:paraId="2E2D249F">
      <w:pPr>
        <w:spacing w:line="560" w:lineRule="exact"/>
        <w:ind w:firstLine="480" w:firstLineChars="150"/>
        <w:rPr>
          <w:rFonts w:ascii="仿宋" w:hAnsi="仿宋" w:eastAsia="仿宋" w:cs="仿宋"/>
          <w:sz w:val="32"/>
          <w:szCs w:val="32"/>
        </w:rPr>
      </w:pPr>
      <w:r>
        <w:rPr>
          <w:rFonts w:ascii="仿宋" w:hAnsi="仿宋" w:eastAsia="仿宋" w:cs="仿宋"/>
          <w:kern w:val="0"/>
          <w:sz w:val="32"/>
          <w:szCs w:val="32"/>
        </w:rPr>
        <w:t xml:space="preserve"> </w:t>
      </w:r>
      <w:r>
        <w:rPr>
          <w:rFonts w:ascii="仿宋" w:hAnsi="仿宋" w:eastAsia="仿宋" w:cs="仿宋"/>
          <w:sz w:val="32"/>
          <w:szCs w:val="32"/>
        </w:rPr>
        <w:t>2016</w:t>
      </w:r>
      <w:r>
        <w:rPr>
          <w:rFonts w:hint="eastAsia" w:ascii="仿宋" w:hAnsi="仿宋" w:eastAsia="仿宋" w:cs="仿宋"/>
          <w:sz w:val="32"/>
          <w:szCs w:val="32"/>
        </w:rPr>
        <w:t>年机关工委“三公”经费开支</w:t>
      </w:r>
      <w:r>
        <w:rPr>
          <w:rFonts w:ascii="仿宋" w:hAnsi="仿宋" w:eastAsia="仿宋" w:cs="仿宋"/>
          <w:sz w:val="32"/>
          <w:szCs w:val="32"/>
        </w:rPr>
        <w:t>0.92</w:t>
      </w:r>
      <w:r>
        <w:rPr>
          <w:rFonts w:hint="eastAsia" w:ascii="仿宋" w:hAnsi="仿宋" w:eastAsia="仿宋" w:cs="仿宋"/>
          <w:sz w:val="32"/>
          <w:szCs w:val="32"/>
        </w:rPr>
        <w:t>万元。其中因公出国（境）费没有、公务接待费没有、公务用车运行维护费</w:t>
      </w:r>
      <w:r>
        <w:rPr>
          <w:rFonts w:ascii="仿宋" w:hAnsi="仿宋" w:eastAsia="仿宋" w:cs="仿宋"/>
          <w:sz w:val="32"/>
          <w:szCs w:val="32"/>
        </w:rPr>
        <w:t>0.92</w:t>
      </w:r>
      <w:r>
        <w:rPr>
          <w:rFonts w:hint="eastAsia" w:ascii="仿宋" w:hAnsi="仿宋" w:eastAsia="仿宋" w:cs="仿宋"/>
          <w:sz w:val="32"/>
          <w:szCs w:val="32"/>
        </w:rPr>
        <w:t>万元。</w:t>
      </w:r>
      <w:r>
        <w:rPr>
          <w:rFonts w:ascii="仿宋" w:hAnsi="仿宋" w:eastAsia="仿宋" w:cs="仿宋"/>
          <w:sz w:val="32"/>
          <w:szCs w:val="32"/>
        </w:rPr>
        <w:t>2017</w:t>
      </w:r>
      <w:r>
        <w:rPr>
          <w:rFonts w:hint="eastAsia" w:ascii="仿宋" w:hAnsi="仿宋" w:eastAsia="仿宋" w:cs="仿宋"/>
          <w:sz w:val="32"/>
          <w:szCs w:val="32"/>
        </w:rPr>
        <w:t>年机关工委按照上级文件精神要求，厉行勤俭节约，压缩开支的原则，“三公”经费没有计划安排；与</w:t>
      </w:r>
      <w:r>
        <w:rPr>
          <w:rFonts w:ascii="仿宋" w:hAnsi="仿宋" w:eastAsia="仿宋" w:cs="仿宋"/>
          <w:sz w:val="32"/>
          <w:szCs w:val="32"/>
        </w:rPr>
        <w:t>2016</w:t>
      </w:r>
      <w:r>
        <w:rPr>
          <w:rFonts w:hint="eastAsia" w:ascii="仿宋" w:hAnsi="仿宋" w:eastAsia="仿宋" w:cs="仿宋"/>
          <w:sz w:val="32"/>
          <w:szCs w:val="32"/>
        </w:rPr>
        <w:t>年相比“三公”经费减少。</w:t>
      </w:r>
    </w:p>
    <w:tbl>
      <w:tblPr>
        <w:tblStyle w:val="5"/>
        <w:tblW w:w="5000" w:type="pct"/>
        <w:tblInd w:w="0" w:type="dxa"/>
        <w:tblLayout w:type="autofit"/>
        <w:tblCellMar>
          <w:top w:w="0" w:type="dxa"/>
          <w:left w:w="108" w:type="dxa"/>
          <w:bottom w:w="0" w:type="dxa"/>
          <w:right w:w="108" w:type="dxa"/>
        </w:tblCellMar>
      </w:tblPr>
      <w:tblGrid>
        <w:gridCol w:w="2136"/>
        <w:gridCol w:w="1716"/>
        <w:gridCol w:w="1716"/>
        <w:gridCol w:w="1176"/>
        <w:gridCol w:w="1728"/>
      </w:tblGrid>
      <w:tr w14:paraId="2A927D94">
        <w:tblPrEx>
          <w:tblCellMar>
            <w:top w:w="0" w:type="dxa"/>
            <w:left w:w="108" w:type="dxa"/>
            <w:bottom w:w="0" w:type="dxa"/>
            <w:right w:w="108" w:type="dxa"/>
          </w:tblCellMar>
        </w:tblPrEx>
        <w:trPr>
          <w:trHeight w:val="405" w:hRule="atLeast"/>
        </w:trPr>
        <w:tc>
          <w:tcPr>
            <w:tcW w:w="5000" w:type="pct"/>
            <w:gridSpan w:val="5"/>
            <w:tcBorders>
              <w:top w:val="nil"/>
              <w:left w:val="nil"/>
              <w:bottom w:val="nil"/>
              <w:right w:val="nil"/>
            </w:tcBorders>
            <w:noWrap/>
            <w:vAlign w:val="center"/>
          </w:tcPr>
          <w:p w14:paraId="5716FC55">
            <w:pPr>
              <w:widowControl/>
              <w:spacing w:line="520" w:lineRule="exact"/>
              <w:jc w:val="center"/>
              <w:rPr>
                <w:rFonts w:hint="eastAsia" w:ascii="宋体" w:eastAsia="宋体" w:cs="宋体"/>
                <w:kern w:val="0"/>
                <w:sz w:val="32"/>
                <w:szCs w:val="32"/>
                <w:lang w:eastAsia="zh-CN"/>
              </w:rPr>
            </w:pPr>
            <w:r>
              <w:rPr>
                <w:rFonts w:hint="eastAsia" w:ascii="宋体" w:hAnsi="宋体"/>
                <w:sz w:val="32"/>
                <w:szCs w:val="32"/>
              </w:rPr>
              <w:t>“三公”经费预算情况及增减</w:t>
            </w:r>
            <w:r>
              <w:rPr>
                <w:rFonts w:hint="eastAsia" w:ascii="宋体" w:hAnsi="宋体"/>
                <w:sz w:val="32"/>
                <w:szCs w:val="32"/>
                <w:lang w:eastAsia="zh-CN"/>
              </w:rPr>
              <w:t>变化情况</w:t>
            </w:r>
          </w:p>
        </w:tc>
      </w:tr>
      <w:tr w14:paraId="04965718">
        <w:tblPrEx>
          <w:tblCellMar>
            <w:top w:w="0" w:type="dxa"/>
            <w:left w:w="108" w:type="dxa"/>
            <w:bottom w:w="0" w:type="dxa"/>
            <w:right w:w="108" w:type="dxa"/>
          </w:tblCellMar>
        </w:tblPrEx>
        <w:trPr>
          <w:trHeight w:val="221" w:hRule="atLeast"/>
        </w:trPr>
        <w:tc>
          <w:tcPr>
            <w:tcW w:w="1084" w:type="pct"/>
            <w:tcBorders>
              <w:top w:val="nil"/>
              <w:left w:val="nil"/>
              <w:bottom w:val="nil"/>
              <w:right w:val="nil"/>
            </w:tcBorders>
            <w:noWrap/>
            <w:vAlign w:val="center"/>
          </w:tcPr>
          <w:p w14:paraId="3C8D0F81">
            <w:pPr>
              <w:widowControl/>
              <w:jc w:val="left"/>
              <w:rPr>
                <w:rFonts w:ascii="宋体" w:cs="宋体"/>
                <w:kern w:val="0"/>
                <w:sz w:val="24"/>
              </w:rPr>
            </w:pPr>
          </w:p>
        </w:tc>
        <w:tc>
          <w:tcPr>
            <w:tcW w:w="871" w:type="pct"/>
            <w:tcBorders>
              <w:top w:val="nil"/>
              <w:left w:val="nil"/>
              <w:bottom w:val="nil"/>
              <w:right w:val="nil"/>
            </w:tcBorders>
            <w:noWrap/>
            <w:vAlign w:val="center"/>
          </w:tcPr>
          <w:p w14:paraId="503CC428">
            <w:pPr>
              <w:widowControl/>
              <w:jc w:val="left"/>
              <w:rPr>
                <w:rFonts w:ascii="宋体" w:cs="宋体"/>
                <w:kern w:val="0"/>
                <w:sz w:val="24"/>
              </w:rPr>
            </w:pPr>
          </w:p>
        </w:tc>
        <w:tc>
          <w:tcPr>
            <w:tcW w:w="871" w:type="pct"/>
            <w:tcBorders>
              <w:top w:val="nil"/>
              <w:left w:val="nil"/>
              <w:bottom w:val="nil"/>
              <w:right w:val="nil"/>
            </w:tcBorders>
            <w:noWrap/>
            <w:vAlign w:val="center"/>
          </w:tcPr>
          <w:p w14:paraId="59165645">
            <w:pPr>
              <w:widowControl/>
              <w:jc w:val="left"/>
              <w:rPr>
                <w:rFonts w:ascii="宋体" w:cs="宋体"/>
                <w:kern w:val="0"/>
                <w:sz w:val="24"/>
              </w:rPr>
            </w:pPr>
          </w:p>
        </w:tc>
        <w:tc>
          <w:tcPr>
            <w:tcW w:w="597" w:type="pct"/>
            <w:tcBorders>
              <w:top w:val="nil"/>
              <w:left w:val="nil"/>
              <w:bottom w:val="nil"/>
              <w:right w:val="nil"/>
            </w:tcBorders>
            <w:noWrap/>
            <w:vAlign w:val="center"/>
          </w:tcPr>
          <w:p w14:paraId="6EFD10DB">
            <w:pPr>
              <w:widowControl/>
              <w:jc w:val="left"/>
              <w:rPr>
                <w:rFonts w:ascii="宋体" w:cs="宋体"/>
                <w:kern w:val="0"/>
                <w:sz w:val="24"/>
              </w:rPr>
            </w:pPr>
          </w:p>
        </w:tc>
        <w:tc>
          <w:tcPr>
            <w:tcW w:w="1578" w:type="pct"/>
            <w:tcBorders>
              <w:top w:val="nil"/>
              <w:left w:val="nil"/>
              <w:bottom w:val="nil"/>
              <w:right w:val="nil"/>
            </w:tcBorders>
            <w:noWrap/>
            <w:vAlign w:val="center"/>
          </w:tcPr>
          <w:p w14:paraId="19B4E714">
            <w:pPr>
              <w:widowControl/>
              <w:jc w:val="right"/>
              <w:rPr>
                <w:rFonts w:ascii="宋体" w:cs="宋体"/>
                <w:kern w:val="0"/>
                <w:sz w:val="24"/>
              </w:rPr>
            </w:pPr>
            <w:r>
              <w:rPr>
                <w:rFonts w:hint="eastAsia" w:ascii="宋体" w:hAnsi="宋体" w:cs="宋体"/>
                <w:kern w:val="0"/>
                <w:sz w:val="24"/>
              </w:rPr>
              <w:t>单位：万元</w:t>
            </w:r>
          </w:p>
        </w:tc>
      </w:tr>
      <w:tr w14:paraId="48E3C414">
        <w:tblPrEx>
          <w:tblCellMar>
            <w:top w:w="0" w:type="dxa"/>
            <w:left w:w="108" w:type="dxa"/>
            <w:bottom w:w="0" w:type="dxa"/>
            <w:right w:w="108" w:type="dxa"/>
          </w:tblCellMar>
        </w:tblPrEx>
        <w:trPr>
          <w:trHeight w:val="285" w:hRule="atLeast"/>
        </w:trPr>
        <w:tc>
          <w:tcPr>
            <w:tcW w:w="1084" w:type="pct"/>
            <w:tcBorders>
              <w:top w:val="single" w:color="auto" w:sz="4" w:space="0"/>
              <w:left w:val="single" w:color="auto" w:sz="4" w:space="0"/>
              <w:bottom w:val="single" w:color="auto" w:sz="4" w:space="0"/>
              <w:right w:val="single" w:color="auto" w:sz="4" w:space="0"/>
            </w:tcBorders>
            <w:noWrap/>
            <w:vAlign w:val="center"/>
          </w:tcPr>
          <w:p w14:paraId="4BB3620C">
            <w:pPr>
              <w:widowControl/>
              <w:jc w:val="center"/>
              <w:rPr>
                <w:rFonts w:ascii="宋体" w:cs="宋体"/>
                <w:kern w:val="0"/>
                <w:sz w:val="24"/>
              </w:rPr>
            </w:pPr>
            <w:r>
              <w:rPr>
                <w:rFonts w:hint="eastAsia" w:ascii="宋体" w:hAnsi="宋体" w:cs="宋体"/>
                <w:kern w:val="0"/>
                <w:sz w:val="24"/>
              </w:rPr>
              <w:t>项目名称</w:t>
            </w:r>
          </w:p>
        </w:tc>
        <w:tc>
          <w:tcPr>
            <w:tcW w:w="871" w:type="pct"/>
            <w:tcBorders>
              <w:top w:val="single" w:color="auto" w:sz="4" w:space="0"/>
              <w:left w:val="nil"/>
              <w:bottom w:val="single" w:color="auto" w:sz="4" w:space="0"/>
              <w:right w:val="single" w:color="auto" w:sz="4" w:space="0"/>
            </w:tcBorders>
            <w:noWrap/>
            <w:vAlign w:val="center"/>
          </w:tcPr>
          <w:p w14:paraId="344A95D7">
            <w:pPr>
              <w:widowControl/>
              <w:jc w:val="center"/>
              <w:rPr>
                <w:rFonts w:ascii="宋体" w:cs="宋体"/>
                <w:kern w:val="0"/>
                <w:sz w:val="24"/>
              </w:rPr>
            </w:pPr>
            <w:r>
              <w:rPr>
                <w:rFonts w:ascii="宋体" w:hAnsi="宋体" w:cs="宋体"/>
                <w:kern w:val="0"/>
                <w:sz w:val="24"/>
              </w:rPr>
              <w:t>2016</w:t>
            </w:r>
            <w:r>
              <w:rPr>
                <w:rFonts w:hint="eastAsia" w:ascii="宋体" w:hAnsi="宋体" w:cs="宋体"/>
                <w:kern w:val="0"/>
                <w:sz w:val="24"/>
              </w:rPr>
              <w:t>年度预算</w:t>
            </w:r>
          </w:p>
        </w:tc>
        <w:tc>
          <w:tcPr>
            <w:tcW w:w="871" w:type="pct"/>
            <w:tcBorders>
              <w:top w:val="single" w:color="auto" w:sz="4" w:space="0"/>
              <w:left w:val="nil"/>
              <w:bottom w:val="single" w:color="auto" w:sz="4" w:space="0"/>
              <w:right w:val="single" w:color="auto" w:sz="4" w:space="0"/>
            </w:tcBorders>
            <w:noWrap/>
            <w:vAlign w:val="center"/>
          </w:tcPr>
          <w:p w14:paraId="096E1EA0">
            <w:pPr>
              <w:widowControl/>
              <w:jc w:val="center"/>
              <w:rPr>
                <w:rFonts w:ascii="宋体" w:cs="宋体"/>
                <w:kern w:val="0"/>
                <w:sz w:val="24"/>
              </w:rPr>
            </w:pPr>
            <w:r>
              <w:rPr>
                <w:rFonts w:ascii="宋体" w:hAnsi="宋体" w:cs="宋体"/>
                <w:kern w:val="0"/>
                <w:sz w:val="24"/>
              </w:rPr>
              <w:t>2017</w:t>
            </w:r>
            <w:r>
              <w:rPr>
                <w:rFonts w:hint="eastAsia" w:ascii="宋体" w:hAnsi="宋体" w:cs="宋体"/>
                <w:kern w:val="0"/>
                <w:sz w:val="24"/>
              </w:rPr>
              <w:t>年度预算</w:t>
            </w:r>
          </w:p>
        </w:tc>
        <w:tc>
          <w:tcPr>
            <w:tcW w:w="597" w:type="pct"/>
            <w:tcBorders>
              <w:top w:val="single" w:color="auto" w:sz="4" w:space="0"/>
              <w:left w:val="nil"/>
              <w:bottom w:val="single" w:color="auto" w:sz="4" w:space="0"/>
              <w:right w:val="single" w:color="auto" w:sz="4" w:space="0"/>
            </w:tcBorders>
            <w:noWrap/>
            <w:vAlign w:val="center"/>
          </w:tcPr>
          <w:p w14:paraId="4EDE08F0">
            <w:pPr>
              <w:widowControl/>
              <w:jc w:val="center"/>
              <w:rPr>
                <w:rFonts w:ascii="宋体" w:cs="宋体"/>
                <w:kern w:val="0"/>
                <w:sz w:val="24"/>
              </w:rPr>
            </w:pPr>
            <w:r>
              <w:rPr>
                <w:rFonts w:hint="eastAsia" w:ascii="宋体" w:hAnsi="宋体" w:cs="宋体"/>
                <w:kern w:val="0"/>
                <w:sz w:val="24"/>
              </w:rPr>
              <w:t>增减金额</w:t>
            </w:r>
          </w:p>
        </w:tc>
        <w:tc>
          <w:tcPr>
            <w:tcW w:w="1578" w:type="pct"/>
            <w:tcBorders>
              <w:top w:val="single" w:color="auto" w:sz="4" w:space="0"/>
              <w:left w:val="nil"/>
              <w:bottom w:val="single" w:color="auto" w:sz="4" w:space="0"/>
              <w:right w:val="single" w:color="auto" w:sz="4" w:space="0"/>
            </w:tcBorders>
            <w:noWrap/>
            <w:vAlign w:val="center"/>
          </w:tcPr>
          <w:p w14:paraId="0C0C3A29">
            <w:pPr>
              <w:widowControl/>
              <w:jc w:val="center"/>
              <w:rPr>
                <w:rFonts w:hint="eastAsia" w:ascii="宋体" w:eastAsia="宋体" w:cs="宋体"/>
                <w:kern w:val="0"/>
                <w:sz w:val="24"/>
                <w:lang w:eastAsia="zh-CN"/>
              </w:rPr>
            </w:pPr>
            <w:r>
              <w:rPr>
                <w:rFonts w:hint="eastAsia" w:ascii="宋体" w:hAnsi="宋体" w:cs="宋体"/>
                <w:kern w:val="0"/>
                <w:sz w:val="24"/>
                <w:lang w:eastAsia="zh-CN"/>
              </w:rPr>
              <w:t>变化情况</w:t>
            </w:r>
          </w:p>
        </w:tc>
      </w:tr>
      <w:tr w14:paraId="0752896B">
        <w:tblPrEx>
          <w:tblCellMar>
            <w:top w:w="0" w:type="dxa"/>
            <w:left w:w="108" w:type="dxa"/>
            <w:bottom w:w="0" w:type="dxa"/>
            <w:right w:w="108" w:type="dxa"/>
          </w:tblCellMar>
        </w:tblPrEx>
        <w:trPr>
          <w:trHeight w:val="285" w:hRule="atLeast"/>
        </w:trPr>
        <w:tc>
          <w:tcPr>
            <w:tcW w:w="1084" w:type="pct"/>
            <w:tcBorders>
              <w:top w:val="nil"/>
              <w:left w:val="single" w:color="auto" w:sz="4" w:space="0"/>
              <w:bottom w:val="single" w:color="auto" w:sz="4" w:space="0"/>
              <w:right w:val="single" w:color="auto" w:sz="4" w:space="0"/>
            </w:tcBorders>
            <w:noWrap/>
            <w:vAlign w:val="center"/>
          </w:tcPr>
          <w:p w14:paraId="0EDDCE07">
            <w:pPr>
              <w:widowControl/>
              <w:jc w:val="center"/>
              <w:rPr>
                <w:rFonts w:ascii="宋体" w:cs="宋体"/>
                <w:kern w:val="0"/>
                <w:sz w:val="24"/>
              </w:rPr>
            </w:pPr>
            <w:r>
              <w:rPr>
                <w:rFonts w:hint="eastAsia" w:ascii="宋体" w:hAnsi="宋体" w:cs="宋体"/>
                <w:kern w:val="0"/>
                <w:sz w:val="24"/>
              </w:rPr>
              <w:t>因公出国经费</w:t>
            </w:r>
          </w:p>
        </w:tc>
        <w:tc>
          <w:tcPr>
            <w:tcW w:w="871" w:type="pct"/>
            <w:tcBorders>
              <w:top w:val="nil"/>
              <w:left w:val="nil"/>
              <w:bottom w:val="single" w:color="auto" w:sz="4" w:space="0"/>
              <w:right w:val="single" w:color="auto" w:sz="4" w:space="0"/>
            </w:tcBorders>
            <w:noWrap/>
            <w:vAlign w:val="center"/>
          </w:tcPr>
          <w:p w14:paraId="5A269D5D">
            <w:pPr>
              <w:widowControl/>
              <w:jc w:val="center"/>
              <w:rPr>
                <w:rFonts w:ascii="宋体" w:hAnsi="宋体" w:cs="宋体"/>
                <w:kern w:val="0"/>
                <w:sz w:val="24"/>
              </w:rPr>
            </w:pPr>
            <w:r>
              <w:rPr>
                <w:rFonts w:ascii="宋体" w:hAnsi="宋体" w:cs="宋体"/>
                <w:kern w:val="0"/>
                <w:sz w:val="24"/>
              </w:rPr>
              <w:t>0</w:t>
            </w:r>
          </w:p>
        </w:tc>
        <w:tc>
          <w:tcPr>
            <w:tcW w:w="871" w:type="pct"/>
            <w:tcBorders>
              <w:top w:val="nil"/>
              <w:left w:val="nil"/>
              <w:bottom w:val="single" w:color="auto" w:sz="4" w:space="0"/>
              <w:right w:val="single" w:color="auto" w:sz="4" w:space="0"/>
            </w:tcBorders>
            <w:noWrap/>
            <w:vAlign w:val="center"/>
          </w:tcPr>
          <w:p w14:paraId="541C32AE">
            <w:pPr>
              <w:widowControl/>
              <w:jc w:val="center"/>
              <w:rPr>
                <w:rFonts w:ascii="宋体" w:hAnsi="宋体" w:cs="宋体"/>
                <w:kern w:val="0"/>
                <w:sz w:val="24"/>
              </w:rPr>
            </w:pPr>
            <w:r>
              <w:rPr>
                <w:rFonts w:ascii="宋体" w:hAnsi="宋体" w:cs="宋体"/>
                <w:kern w:val="0"/>
                <w:sz w:val="24"/>
              </w:rPr>
              <w:t>0</w:t>
            </w:r>
          </w:p>
        </w:tc>
        <w:tc>
          <w:tcPr>
            <w:tcW w:w="597" w:type="pct"/>
            <w:tcBorders>
              <w:top w:val="nil"/>
              <w:left w:val="nil"/>
              <w:bottom w:val="single" w:color="auto" w:sz="4" w:space="0"/>
              <w:right w:val="single" w:color="auto" w:sz="4" w:space="0"/>
            </w:tcBorders>
            <w:noWrap/>
            <w:vAlign w:val="center"/>
          </w:tcPr>
          <w:p w14:paraId="0DDEDFFC">
            <w:pPr>
              <w:widowControl/>
              <w:jc w:val="center"/>
              <w:rPr>
                <w:rFonts w:ascii="宋体" w:hAnsi="宋体" w:cs="宋体"/>
                <w:kern w:val="0"/>
                <w:sz w:val="24"/>
              </w:rPr>
            </w:pPr>
            <w:r>
              <w:rPr>
                <w:rFonts w:ascii="宋体" w:hAnsi="宋体" w:cs="宋体"/>
                <w:kern w:val="0"/>
                <w:sz w:val="24"/>
              </w:rPr>
              <w:t>0</w:t>
            </w:r>
          </w:p>
        </w:tc>
        <w:tc>
          <w:tcPr>
            <w:tcW w:w="1578" w:type="pct"/>
            <w:tcBorders>
              <w:top w:val="nil"/>
              <w:left w:val="nil"/>
              <w:bottom w:val="single" w:color="auto" w:sz="4" w:space="0"/>
              <w:right w:val="single" w:color="auto" w:sz="4" w:space="0"/>
            </w:tcBorders>
            <w:vAlign w:val="center"/>
          </w:tcPr>
          <w:p w14:paraId="15936ADF">
            <w:pPr>
              <w:widowControl/>
              <w:jc w:val="left"/>
              <w:rPr>
                <w:rFonts w:ascii="宋体" w:cs="宋体"/>
                <w:kern w:val="0"/>
                <w:sz w:val="24"/>
              </w:rPr>
            </w:pPr>
            <w:r>
              <w:rPr>
                <w:rFonts w:hint="eastAsia" w:ascii="宋体" w:hAnsi="宋体" w:cs="宋体"/>
                <w:kern w:val="0"/>
                <w:sz w:val="24"/>
              </w:rPr>
              <w:t>无增减变化</w:t>
            </w:r>
          </w:p>
        </w:tc>
      </w:tr>
      <w:tr w14:paraId="16868EEB">
        <w:tblPrEx>
          <w:tblCellMar>
            <w:top w:w="0" w:type="dxa"/>
            <w:left w:w="108" w:type="dxa"/>
            <w:bottom w:w="0" w:type="dxa"/>
            <w:right w:w="108" w:type="dxa"/>
          </w:tblCellMar>
        </w:tblPrEx>
        <w:trPr>
          <w:trHeight w:val="285" w:hRule="atLeast"/>
        </w:trPr>
        <w:tc>
          <w:tcPr>
            <w:tcW w:w="1084" w:type="pct"/>
            <w:tcBorders>
              <w:top w:val="nil"/>
              <w:left w:val="single" w:color="auto" w:sz="4" w:space="0"/>
              <w:bottom w:val="single" w:color="auto" w:sz="4" w:space="0"/>
              <w:right w:val="single" w:color="auto" w:sz="4" w:space="0"/>
            </w:tcBorders>
            <w:noWrap/>
            <w:vAlign w:val="center"/>
          </w:tcPr>
          <w:p w14:paraId="7ABA84BE">
            <w:pPr>
              <w:widowControl/>
              <w:jc w:val="center"/>
              <w:rPr>
                <w:rFonts w:ascii="宋体" w:cs="宋体"/>
                <w:kern w:val="0"/>
                <w:sz w:val="24"/>
              </w:rPr>
            </w:pPr>
            <w:r>
              <w:rPr>
                <w:rFonts w:hint="eastAsia" w:ascii="宋体" w:hAnsi="宋体" w:cs="宋体"/>
                <w:kern w:val="0"/>
                <w:sz w:val="24"/>
              </w:rPr>
              <w:t>公务用车购置经费</w:t>
            </w:r>
          </w:p>
        </w:tc>
        <w:tc>
          <w:tcPr>
            <w:tcW w:w="871" w:type="pct"/>
            <w:tcBorders>
              <w:top w:val="nil"/>
              <w:left w:val="nil"/>
              <w:bottom w:val="single" w:color="auto" w:sz="4" w:space="0"/>
              <w:right w:val="single" w:color="auto" w:sz="4" w:space="0"/>
            </w:tcBorders>
            <w:noWrap/>
            <w:vAlign w:val="center"/>
          </w:tcPr>
          <w:p w14:paraId="792187CE">
            <w:pPr>
              <w:widowControl/>
              <w:jc w:val="center"/>
              <w:rPr>
                <w:rFonts w:ascii="宋体" w:hAnsi="宋体" w:cs="宋体"/>
                <w:kern w:val="0"/>
                <w:sz w:val="24"/>
              </w:rPr>
            </w:pPr>
            <w:r>
              <w:rPr>
                <w:rFonts w:ascii="宋体" w:hAnsi="宋体" w:cs="宋体"/>
                <w:kern w:val="0"/>
                <w:sz w:val="24"/>
              </w:rPr>
              <w:t>0</w:t>
            </w:r>
          </w:p>
        </w:tc>
        <w:tc>
          <w:tcPr>
            <w:tcW w:w="871" w:type="pct"/>
            <w:tcBorders>
              <w:top w:val="nil"/>
              <w:left w:val="nil"/>
              <w:bottom w:val="single" w:color="auto" w:sz="4" w:space="0"/>
              <w:right w:val="single" w:color="auto" w:sz="4" w:space="0"/>
            </w:tcBorders>
            <w:noWrap/>
            <w:vAlign w:val="center"/>
          </w:tcPr>
          <w:p w14:paraId="3C14B549">
            <w:pPr>
              <w:widowControl/>
              <w:jc w:val="center"/>
              <w:rPr>
                <w:rFonts w:ascii="宋体" w:hAnsi="宋体" w:cs="宋体"/>
                <w:kern w:val="0"/>
                <w:sz w:val="24"/>
              </w:rPr>
            </w:pPr>
            <w:r>
              <w:rPr>
                <w:rFonts w:ascii="宋体" w:hAnsi="宋体" w:cs="宋体"/>
                <w:kern w:val="0"/>
                <w:sz w:val="24"/>
              </w:rPr>
              <w:t>0</w:t>
            </w:r>
          </w:p>
        </w:tc>
        <w:tc>
          <w:tcPr>
            <w:tcW w:w="597" w:type="pct"/>
            <w:tcBorders>
              <w:top w:val="nil"/>
              <w:left w:val="nil"/>
              <w:bottom w:val="single" w:color="auto" w:sz="4" w:space="0"/>
              <w:right w:val="single" w:color="auto" w:sz="4" w:space="0"/>
            </w:tcBorders>
            <w:noWrap/>
            <w:vAlign w:val="center"/>
          </w:tcPr>
          <w:p w14:paraId="79197E35">
            <w:pPr>
              <w:widowControl/>
              <w:jc w:val="center"/>
              <w:rPr>
                <w:rFonts w:ascii="宋体" w:hAnsi="宋体" w:cs="宋体"/>
                <w:kern w:val="0"/>
                <w:sz w:val="24"/>
              </w:rPr>
            </w:pPr>
            <w:r>
              <w:rPr>
                <w:rFonts w:ascii="宋体" w:hAnsi="宋体" w:cs="宋体"/>
                <w:kern w:val="0"/>
                <w:sz w:val="24"/>
              </w:rPr>
              <w:t>0</w:t>
            </w:r>
          </w:p>
        </w:tc>
        <w:tc>
          <w:tcPr>
            <w:tcW w:w="1578" w:type="pct"/>
            <w:tcBorders>
              <w:top w:val="nil"/>
              <w:left w:val="nil"/>
              <w:bottom w:val="single" w:color="auto" w:sz="4" w:space="0"/>
              <w:right w:val="single" w:color="auto" w:sz="4" w:space="0"/>
            </w:tcBorders>
            <w:vAlign w:val="center"/>
          </w:tcPr>
          <w:p w14:paraId="46F13DD5">
            <w:pPr>
              <w:widowControl/>
              <w:jc w:val="left"/>
              <w:rPr>
                <w:rFonts w:ascii="宋体" w:cs="宋体"/>
                <w:kern w:val="0"/>
                <w:sz w:val="24"/>
              </w:rPr>
            </w:pPr>
            <w:r>
              <w:rPr>
                <w:rFonts w:hint="eastAsia" w:ascii="宋体" w:hAnsi="宋体" w:cs="宋体"/>
                <w:kern w:val="0"/>
                <w:sz w:val="24"/>
              </w:rPr>
              <w:t>无增减变化</w:t>
            </w:r>
          </w:p>
        </w:tc>
      </w:tr>
      <w:tr w14:paraId="5562BABA">
        <w:tblPrEx>
          <w:tblCellMar>
            <w:top w:w="0" w:type="dxa"/>
            <w:left w:w="108" w:type="dxa"/>
            <w:bottom w:w="0" w:type="dxa"/>
            <w:right w:w="108" w:type="dxa"/>
          </w:tblCellMar>
        </w:tblPrEx>
        <w:trPr>
          <w:trHeight w:val="570" w:hRule="atLeast"/>
        </w:trPr>
        <w:tc>
          <w:tcPr>
            <w:tcW w:w="1084" w:type="pct"/>
            <w:tcBorders>
              <w:top w:val="nil"/>
              <w:left w:val="single" w:color="auto" w:sz="4" w:space="0"/>
              <w:bottom w:val="single" w:color="auto" w:sz="4" w:space="0"/>
              <w:right w:val="single" w:color="auto" w:sz="4" w:space="0"/>
            </w:tcBorders>
            <w:noWrap/>
            <w:vAlign w:val="center"/>
          </w:tcPr>
          <w:p w14:paraId="1751E551">
            <w:pPr>
              <w:widowControl/>
              <w:jc w:val="center"/>
              <w:rPr>
                <w:rFonts w:ascii="宋体" w:cs="宋体"/>
                <w:kern w:val="0"/>
                <w:sz w:val="24"/>
              </w:rPr>
            </w:pPr>
            <w:r>
              <w:rPr>
                <w:rFonts w:hint="eastAsia" w:ascii="宋体" w:hAnsi="宋体" w:cs="宋体"/>
                <w:kern w:val="0"/>
                <w:sz w:val="24"/>
              </w:rPr>
              <w:t>公务用车运行经费</w:t>
            </w:r>
          </w:p>
        </w:tc>
        <w:tc>
          <w:tcPr>
            <w:tcW w:w="871" w:type="pct"/>
            <w:tcBorders>
              <w:top w:val="nil"/>
              <w:left w:val="nil"/>
              <w:bottom w:val="single" w:color="auto" w:sz="4" w:space="0"/>
              <w:right w:val="single" w:color="auto" w:sz="4" w:space="0"/>
            </w:tcBorders>
            <w:noWrap/>
            <w:vAlign w:val="center"/>
          </w:tcPr>
          <w:p w14:paraId="23F7D8B0">
            <w:pPr>
              <w:widowControl/>
              <w:jc w:val="center"/>
              <w:rPr>
                <w:rFonts w:ascii="宋体" w:hAnsi="宋体" w:cs="宋体"/>
                <w:kern w:val="0"/>
                <w:sz w:val="24"/>
              </w:rPr>
            </w:pPr>
            <w:r>
              <w:rPr>
                <w:rFonts w:ascii="宋体" w:hAnsi="宋体" w:cs="宋体"/>
                <w:kern w:val="0"/>
                <w:sz w:val="24"/>
              </w:rPr>
              <w:t>1</w:t>
            </w:r>
          </w:p>
        </w:tc>
        <w:tc>
          <w:tcPr>
            <w:tcW w:w="871" w:type="pct"/>
            <w:tcBorders>
              <w:top w:val="nil"/>
              <w:left w:val="nil"/>
              <w:bottom w:val="single" w:color="auto" w:sz="4" w:space="0"/>
              <w:right w:val="single" w:color="auto" w:sz="4" w:space="0"/>
            </w:tcBorders>
            <w:noWrap/>
            <w:vAlign w:val="center"/>
          </w:tcPr>
          <w:p w14:paraId="1F85FE4C">
            <w:pPr>
              <w:widowControl/>
              <w:jc w:val="center"/>
              <w:rPr>
                <w:rFonts w:ascii="宋体" w:hAnsi="宋体" w:cs="宋体"/>
                <w:kern w:val="0"/>
                <w:sz w:val="24"/>
              </w:rPr>
            </w:pPr>
            <w:r>
              <w:rPr>
                <w:rFonts w:ascii="宋体" w:hAnsi="宋体" w:cs="宋体"/>
                <w:kern w:val="0"/>
                <w:sz w:val="24"/>
              </w:rPr>
              <w:t>0</w:t>
            </w:r>
          </w:p>
        </w:tc>
        <w:tc>
          <w:tcPr>
            <w:tcW w:w="597" w:type="pct"/>
            <w:tcBorders>
              <w:top w:val="nil"/>
              <w:left w:val="nil"/>
              <w:bottom w:val="single" w:color="auto" w:sz="4" w:space="0"/>
              <w:right w:val="single" w:color="auto" w:sz="4" w:space="0"/>
            </w:tcBorders>
            <w:noWrap/>
            <w:vAlign w:val="center"/>
          </w:tcPr>
          <w:p w14:paraId="1C177200">
            <w:pPr>
              <w:widowControl/>
              <w:jc w:val="center"/>
              <w:rPr>
                <w:rFonts w:ascii="宋体" w:hAnsi="宋体" w:cs="宋体"/>
                <w:kern w:val="0"/>
                <w:sz w:val="24"/>
              </w:rPr>
            </w:pPr>
            <w:r>
              <w:rPr>
                <w:rFonts w:ascii="宋体" w:hAnsi="宋体" w:cs="宋体"/>
                <w:kern w:val="0"/>
                <w:sz w:val="24"/>
              </w:rPr>
              <w:t>1</w:t>
            </w:r>
          </w:p>
        </w:tc>
        <w:tc>
          <w:tcPr>
            <w:tcW w:w="1578" w:type="pct"/>
            <w:tcBorders>
              <w:top w:val="nil"/>
              <w:left w:val="nil"/>
              <w:bottom w:val="single" w:color="auto" w:sz="4" w:space="0"/>
              <w:right w:val="single" w:color="auto" w:sz="4" w:space="0"/>
            </w:tcBorders>
            <w:vAlign w:val="center"/>
          </w:tcPr>
          <w:p w14:paraId="008D115C">
            <w:pPr>
              <w:widowControl/>
              <w:jc w:val="left"/>
              <w:rPr>
                <w:rFonts w:ascii="宋体" w:cs="宋体"/>
                <w:kern w:val="0"/>
                <w:sz w:val="24"/>
              </w:rPr>
            </w:pPr>
            <w:r>
              <w:rPr>
                <w:rFonts w:hint="eastAsia" w:ascii="宋体" w:hAnsi="宋体" w:cs="宋体"/>
                <w:kern w:val="0"/>
                <w:sz w:val="24"/>
              </w:rPr>
              <w:t>公务用车改革核减公务用车。</w:t>
            </w:r>
          </w:p>
        </w:tc>
      </w:tr>
      <w:tr w14:paraId="54EF4D20">
        <w:tblPrEx>
          <w:tblCellMar>
            <w:top w:w="0" w:type="dxa"/>
            <w:left w:w="108" w:type="dxa"/>
            <w:bottom w:w="0" w:type="dxa"/>
            <w:right w:w="108" w:type="dxa"/>
          </w:tblCellMar>
        </w:tblPrEx>
        <w:trPr>
          <w:trHeight w:val="855" w:hRule="atLeast"/>
        </w:trPr>
        <w:tc>
          <w:tcPr>
            <w:tcW w:w="1084" w:type="pct"/>
            <w:tcBorders>
              <w:top w:val="nil"/>
              <w:left w:val="single" w:color="auto" w:sz="4" w:space="0"/>
              <w:bottom w:val="single" w:color="auto" w:sz="4" w:space="0"/>
              <w:right w:val="single" w:color="auto" w:sz="4" w:space="0"/>
            </w:tcBorders>
            <w:noWrap/>
            <w:vAlign w:val="center"/>
          </w:tcPr>
          <w:p w14:paraId="360139FC">
            <w:pPr>
              <w:widowControl/>
              <w:jc w:val="center"/>
              <w:rPr>
                <w:rFonts w:ascii="宋体" w:cs="宋体"/>
                <w:kern w:val="0"/>
                <w:sz w:val="24"/>
              </w:rPr>
            </w:pPr>
            <w:r>
              <w:rPr>
                <w:rFonts w:hint="eastAsia" w:ascii="宋体" w:hAnsi="宋体" w:cs="宋体"/>
                <w:kern w:val="0"/>
                <w:sz w:val="24"/>
              </w:rPr>
              <w:t>公务接待费支出</w:t>
            </w:r>
          </w:p>
        </w:tc>
        <w:tc>
          <w:tcPr>
            <w:tcW w:w="871" w:type="pct"/>
            <w:tcBorders>
              <w:top w:val="nil"/>
              <w:left w:val="nil"/>
              <w:bottom w:val="single" w:color="auto" w:sz="4" w:space="0"/>
              <w:right w:val="single" w:color="auto" w:sz="4" w:space="0"/>
            </w:tcBorders>
            <w:noWrap/>
            <w:vAlign w:val="center"/>
          </w:tcPr>
          <w:p w14:paraId="4E046A7E">
            <w:pPr>
              <w:widowControl/>
              <w:jc w:val="center"/>
              <w:rPr>
                <w:rFonts w:ascii="宋体" w:hAnsi="宋体" w:cs="宋体"/>
                <w:kern w:val="0"/>
                <w:sz w:val="24"/>
              </w:rPr>
            </w:pPr>
            <w:r>
              <w:rPr>
                <w:rFonts w:ascii="宋体" w:hAnsi="宋体" w:cs="宋体"/>
                <w:kern w:val="0"/>
                <w:sz w:val="24"/>
              </w:rPr>
              <w:t>0</w:t>
            </w:r>
          </w:p>
        </w:tc>
        <w:tc>
          <w:tcPr>
            <w:tcW w:w="871" w:type="pct"/>
            <w:tcBorders>
              <w:top w:val="nil"/>
              <w:left w:val="nil"/>
              <w:bottom w:val="single" w:color="auto" w:sz="4" w:space="0"/>
              <w:right w:val="single" w:color="auto" w:sz="4" w:space="0"/>
            </w:tcBorders>
            <w:noWrap/>
            <w:vAlign w:val="center"/>
          </w:tcPr>
          <w:p w14:paraId="0129306D">
            <w:pPr>
              <w:widowControl/>
              <w:jc w:val="center"/>
              <w:rPr>
                <w:rFonts w:ascii="宋体" w:hAnsi="宋体" w:cs="宋体"/>
                <w:kern w:val="0"/>
                <w:sz w:val="24"/>
              </w:rPr>
            </w:pPr>
            <w:r>
              <w:rPr>
                <w:rFonts w:ascii="宋体" w:hAnsi="宋体" w:cs="宋体"/>
                <w:kern w:val="0"/>
                <w:sz w:val="24"/>
              </w:rPr>
              <w:t>0</w:t>
            </w:r>
          </w:p>
        </w:tc>
        <w:tc>
          <w:tcPr>
            <w:tcW w:w="597" w:type="pct"/>
            <w:tcBorders>
              <w:top w:val="nil"/>
              <w:left w:val="nil"/>
              <w:bottom w:val="single" w:color="auto" w:sz="4" w:space="0"/>
              <w:right w:val="single" w:color="auto" w:sz="4" w:space="0"/>
            </w:tcBorders>
            <w:noWrap/>
            <w:vAlign w:val="center"/>
          </w:tcPr>
          <w:p w14:paraId="0897E447">
            <w:pPr>
              <w:widowControl/>
              <w:jc w:val="center"/>
              <w:rPr>
                <w:rFonts w:ascii="宋体" w:hAnsi="宋体" w:cs="宋体"/>
                <w:kern w:val="0"/>
                <w:sz w:val="24"/>
              </w:rPr>
            </w:pPr>
            <w:r>
              <w:rPr>
                <w:rFonts w:ascii="宋体" w:hAnsi="宋体" w:cs="宋体"/>
                <w:kern w:val="0"/>
                <w:sz w:val="24"/>
              </w:rPr>
              <w:t>0</w:t>
            </w:r>
          </w:p>
        </w:tc>
        <w:tc>
          <w:tcPr>
            <w:tcW w:w="1578" w:type="pct"/>
            <w:tcBorders>
              <w:top w:val="nil"/>
              <w:left w:val="nil"/>
              <w:bottom w:val="single" w:color="auto" w:sz="4" w:space="0"/>
              <w:right w:val="single" w:color="auto" w:sz="4" w:space="0"/>
            </w:tcBorders>
            <w:vAlign w:val="center"/>
          </w:tcPr>
          <w:p w14:paraId="6B137FF9">
            <w:pPr>
              <w:widowControl/>
              <w:jc w:val="left"/>
              <w:rPr>
                <w:rFonts w:ascii="宋体" w:cs="宋体"/>
                <w:kern w:val="0"/>
                <w:sz w:val="24"/>
              </w:rPr>
            </w:pPr>
            <w:r>
              <w:rPr>
                <w:rFonts w:hint="eastAsia" w:ascii="宋体" w:hAnsi="宋体" w:cs="宋体"/>
                <w:kern w:val="0"/>
                <w:sz w:val="24"/>
              </w:rPr>
              <w:t>无增减变化</w:t>
            </w:r>
          </w:p>
        </w:tc>
      </w:tr>
      <w:tr w14:paraId="0B1B49CB">
        <w:tblPrEx>
          <w:tblCellMar>
            <w:top w:w="0" w:type="dxa"/>
            <w:left w:w="108" w:type="dxa"/>
            <w:bottom w:w="0" w:type="dxa"/>
            <w:right w:w="108" w:type="dxa"/>
          </w:tblCellMar>
        </w:tblPrEx>
        <w:trPr>
          <w:trHeight w:val="1140" w:hRule="atLeast"/>
        </w:trPr>
        <w:tc>
          <w:tcPr>
            <w:tcW w:w="1084" w:type="pct"/>
            <w:tcBorders>
              <w:top w:val="nil"/>
              <w:left w:val="single" w:color="auto" w:sz="4" w:space="0"/>
              <w:bottom w:val="single" w:color="auto" w:sz="4" w:space="0"/>
              <w:right w:val="single" w:color="auto" w:sz="4" w:space="0"/>
            </w:tcBorders>
            <w:noWrap/>
            <w:vAlign w:val="center"/>
          </w:tcPr>
          <w:p w14:paraId="42D25BDB">
            <w:pPr>
              <w:widowControl/>
              <w:jc w:val="center"/>
              <w:rPr>
                <w:rFonts w:ascii="宋体" w:cs="宋体"/>
                <w:kern w:val="0"/>
                <w:sz w:val="24"/>
              </w:rPr>
            </w:pPr>
            <w:r>
              <w:rPr>
                <w:rFonts w:hint="eastAsia" w:ascii="宋体" w:hAnsi="宋体" w:cs="宋体"/>
                <w:kern w:val="0"/>
                <w:sz w:val="24"/>
              </w:rPr>
              <w:t>合计</w:t>
            </w:r>
          </w:p>
        </w:tc>
        <w:tc>
          <w:tcPr>
            <w:tcW w:w="871" w:type="pct"/>
            <w:tcBorders>
              <w:top w:val="nil"/>
              <w:left w:val="nil"/>
              <w:bottom w:val="single" w:color="auto" w:sz="4" w:space="0"/>
              <w:right w:val="single" w:color="auto" w:sz="4" w:space="0"/>
            </w:tcBorders>
            <w:noWrap/>
            <w:vAlign w:val="center"/>
          </w:tcPr>
          <w:p w14:paraId="153A5971">
            <w:pPr>
              <w:widowControl/>
              <w:jc w:val="center"/>
              <w:rPr>
                <w:rFonts w:ascii="宋体" w:hAnsi="宋体" w:cs="宋体"/>
                <w:kern w:val="0"/>
                <w:sz w:val="24"/>
              </w:rPr>
            </w:pPr>
            <w:r>
              <w:rPr>
                <w:rFonts w:ascii="宋体" w:hAnsi="宋体" w:cs="宋体"/>
                <w:kern w:val="0"/>
                <w:sz w:val="24"/>
              </w:rPr>
              <w:t>1</w:t>
            </w:r>
          </w:p>
        </w:tc>
        <w:tc>
          <w:tcPr>
            <w:tcW w:w="871" w:type="pct"/>
            <w:tcBorders>
              <w:top w:val="nil"/>
              <w:left w:val="nil"/>
              <w:bottom w:val="single" w:color="auto" w:sz="4" w:space="0"/>
              <w:right w:val="single" w:color="auto" w:sz="4" w:space="0"/>
            </w:tcBorders>
            <w:noWrap/>
            <w:vAlign w:val="center"/>
          </w:tcPr>
          <w:p w14:paraId="70050298">
            <w:pPr>
              <w:widowControl/>
              <w:jc w:val="center"/>
              <w:rPr>
                <w:rFonts w:ascii="宋体" w:hAnsi="宋体" w:cs="宋体"/>
                <w:kern w:val="0"/>
                <w:sz w:val="24"/>
              </w:rPr>
            </w:pPr>
            <w:r>
              <w:rPr>
                <w:rFonts w:ascii="宋体" w:hAnsi="宋体" w:cs="宋体"/>
                <w:kern w:val="0"/>
                <w:sz w:val="24"/>
              </w:rPr>
              <w:t>0</w:t>
            </w:r>
          </w:p>
        </w:tc>
        <w:tc>
          <w:tcPr>
            <w:tcW w:w="597" w:type="pct"/>
            <w:tcBorders>
              <w:top w:val="nil"/>
              <w:left w:val="nil"/>
              <w:bottom w:val="single" w:color="auto" w:sz="4" w:space="0"/>
              <w:right w:val="single" w:color="auto" w:sz="4" w:space="0"/>
            </w:tcBorders>
            <w:noWrap/>
            <w:vAlign w:val="center"/>
          </w:tcPr>
          <w:p w14:paraId="18611F75">
            <w:pPr>
              <w:widowControl/>
              <w:jc w:val="center"/>
              <w:rPr>
                <w:rFonts w:ascii="宋体" w:hAnsi="宋体" w:cs="宋体"/>
                <w:kern w:val="0"/>
                <w:sz w:val="24"/>
              </w:rPr>
            </w:pPr>
            <w:r>
              <w:rPr>
                <w:rFonts w:ascii="宋体" w:hAnsi="宋体" w:cs="宋体"/>
                <w:kern w:val="0"/>
                <w:sz w:val="24"/>
              </w:rPr>
              <w:t>1</w:t>
            </w:r>
          </w:p>
        </w:tc>
        <w:tc>
          <w:tcPr>
            <w:tcW w:w="1578" w:type="pct"/>
            <w:tcBorders>
              <w:top w:val="nil"/>
              <w:left w:val="nil"/>
              <w:bottom w:val="single" w:color="auto" w:sz="4" w:space="0"/>
              <w:right w:val="single" w:color="auto" w:sz="4" w:space="0"/>
            </w:tcBorders>
            <w:vAlign w:val="center"/>
          </w:tcPr>
          <w:p w14:paraId="14DA5EED">
            <w:pPr>
              <w:widowControl/>
              <w:jc w:val="left"/>
              <w:rPr>
                <w:rFonts w:ascii="宋体" w:cs="宋体"/>
                <w:kern w:val="0"/>
                <w:sz w:val="24"/>
              </w:rPr>
            </w:pPr>
            <w:r>
              <w:rPr>
                <w:rFonts w:ascii="宋体" w:hAnsi="宋体" w:cs="宋体"/>
                <w:kern w:val="0"/>
                <w:sz w:val="24"/>
              </w:rPr>
              <w:t>2017</w:t>
            </w:r>
            <w:r>
              <w:rPr>
                <w:rFonts w:hint="eastAsia" w:ascii="宋体" w:hAnsi="宋体" w:cs="宋体"/>
                <w:kern w:val="0"/>
                <w:sz w:val="24"/>
              </w:rPr>
              <w:t>年，机关工委认真执行中央八项规定，厉行节约，杜绝浪费。没有预算安排</w:t>
            </w:r>
            <w:r>
              <w:rPr>
                <w:rFonts w:hint="eastAsia" w:ascii="宋体" w:hAnsi="宋体" w:cs="宋体"/>
                <w:kern w:val="0"/>
                <w:sz w:val="24"/>
                <w:lang w:eastAsia="zh-CN"/>
              </w:rPr>
              <w:t>“</w:t>
            </w:r>
            <w:r>
              <w:rPr>
                <w:rFonts w:hint="eastAsia" w:ascii="宋体" w:hAnsi="宋体" w:cs="宋体"/>
                <w:kern w:val="0"/>
                <w:sz w:val="24"/>
              </w:rPr>
              <w:t>三公</w:t>
            </w:r>
            <w:r>
              <w:rPr>
                <w:rFonts w:hint="eastAsia" w:ascii="宋体" w:hAnsi="宋体" w:cs="宋体"/>
                <w:kern w:val="0"/>
                <w:sz w:val="24"/>
                <w:lang w:eastAsia="zh-CN"/>
              </w:rPr>
              <w:t>”</w:t>
            </w:r>
            <w:r>
              <w:rPr>
                <w:rFonts w:hint="eastAsia" w:ascii="宋体" w:hAnsi="宋体" w:cs="宋体"/>
                <w:kern w:val="0"/>
                <w:sz w:val="24"/>
              </w:rPr>
              <w:t>经费。与</w:t>
            </w:r>
            <w:r>
              <w:rPr>
                <w:rFonts w:ascii="宋体" w:hAnsi="宋体" w:cs="宋体"/>
                <w:kern w:val="0"/>
                <w:sz w:val="24"/>
              </w:rPr>
              <w:t>2016</w:t>
            </w:r>
            <w:r>
              <w:rPr>
                <w:rFonts w:hint="eastAsia" w:ascii="宋体" w:hAnsi="宋体" w:cs="宋体"/>
                <w:kern w:val="0"/>
                <w:sz w:val="24"/>
              </w:rPr>
              <w:t>年相比减少了</w:t>
            </w:r>
            <w:r>
              <w:rPr>
                <w:rFonts w:ascii="宋体" w:hAnsi="宋体" w:cs="宋体"/>
                <w:kern w:val="0"/>
                <w:sz w:val="24"/>
              </w:rPr>
              <w:t>1</w:t>
            </w:r>
            <w:r>
              <w:rPr>
                <w:rFonts w:hint="eastAsia" w:ascii="宋体" w:hAnsi="宋体" w:cs="宋体"/>
                <w:kern w:val="0"/>
                <w:sz w:val="24"/>
              </w:rPr>
              <w:t>万元。</w:t>
            </w:r>
          </w:p>
        </w:tc>
      </w:tr>
      <w:tr w14:paraId="24977122">
        <w:tblPrEx>
          <w:tblCellMar>
            <w:top w:w="0" w:type="dxa"/>
            <w:left w:w="108" w:type="dxa"/>
            <w:bottom w:w="0" w:type="dxa"/>
            <w:right w:w="108" w:type="dxa"/>
          </w:tblCellMar>
        </w:tblPrEx>
        <w:trPr>
          <w:trHeight w:val="285" w:hRule="atLeast"/>
        </w:trPr>
        <w:tc>
          <w:tcPr>
            <w:tcW w:w="1084" w:type="pct"/>
            <w:tcBorders>
              <w:top w:val="nil"/>
              <w:left w:val="nil"/>
              <w:bottom w:val="nil"/>
              <w:right w:val="nil"/>
            </w:tcBorders>
            <w:noWrap/>
            <w:vAlign w:val="center"/>
          </w:tcPr>
          <w:p w14:paraId="58C5797D">
            <w:pPr>
              <w:widowControl/>
              <w:jc w:val="left"/>
              <w:rPr>
                <w:rFonts w:ascii="宋体" w:cs="宋体"/>
                <w:kern w:val="0"/>
                <w:sz w:val="24"/>
              </w:rPr>
            </w:pPr>
          </w:p>
        </w:tc>
        <w:tc>
          <w:tcPr>
            <w:tcW w:w="871" w:type="pct"/>
            <w:tcBorders>
              <w:top w:val="nil"/>
              <w:left w:val="nil"/>
              <w:bottom w:val="nil"/>
              <w:right w:val="nil"/>
            </w:tcBorders>
            <w:noWrap/>
            <w:vAlign w:val="center"/>
          </w:tcPr>
          <w:p w14:paraId="59AD01A5">
            <w:pPr>
              <w:widowControl/>
              <w:jc w:val="left"/>
              <w:rPr>
                <w:rFonts w:ascii="宋体" w:cs="宋体"/>
                <w:kern w:val="0"/>
                <w:sz w:val="24"/>
              </w:rPr>
            </w:pPr>
          </w:p>
        </w:tc>
        <w:tc>
          <w:tcPr>
            <w:tcW w:w="871" w:type="pct"/>
            <w:tcBorders>
              <w:top w:val="nil"/>
              <w:left w:val="nil"/>
              <w:bottom w:val="nil"/>
              <w:right w:val="nil"/>
            </w:tcBorders>
            <w:noWrap/>
            <w:vAlign w:val="center"/>
          </w:tcPr>
          <w:p w14:paraId="7503DE2A">
            <w:pPr>
              <w:widowControl/>
              <w:jc w:val="left"/>
              <w:rPr>
                <w:rFonts w:ascii="宋体" w:cs="宋体"/>
                <w:kern w:val="0"/>
                <w:sz w:val="24"/>
              </w:rPr>
            </w:pPr>
          </w:p>
        </w:tc>
        <w:tc>
          <w:tcPr>
            <w:tcW w:w="597" w:type="pct"/>
            <w:tcBorders>
              <w:top w:val="nil"/>
              <w:left w:val="nil"/>
              <w:bottom w:val="nil"/>
              <w:right w:val="nil"/>
            </w:tcBorders>
            <w:noWrap/>
            <w:vAlign w:val="center"/>
          </w:tcPr>
          <w:p w14:paraId="208CC7F2">
            <w:pPr>
              <w:widowControl/>
              <w:jc w:val="left"/>
              <w:rPr>
                <w:rFonts w:ascii="宋体" w:cs="宋体"/>
                <w:kern w:val="0"/>
                <w:sz w:val="24"/>
              </w:rPr>
            </w:pPr>
          </w:p>
        </w:tc>
        <w:tc>
          <w:tcPr>
            <w:tcW w:w="1578" w:type="pct"/>
            <w:tcBorders>
              <w:top w:val="nil"/>
              <w:left w:val="nil"/>
              <w:bottom w:val="nil"/>
              <w:right w:val="nil"/>
            </w:tcBorders>
            <w:noWrap/>
            <w:vAlign w:val="center"/>
          </w:tcPr>
          <w:p w14:paraId="6DBBC6DA">
            <w:pPr>
              <w:widowControl/>
              <w:jc w:val="left"/>
              <w:rPr>
                <w:rFonts w:ascii="宋体" w:cs="宋体"/>
                <w:kern w:val="0"/>
                <w:sz w:val="24"/>
              </w:rPr>
            </w:pPr>
          </w:p>
        </w:tc>
      </w:tr>
    </w:tbl>
    <w:p w14:paraId="73569683">
      <w:pPr>
        <w:spacing w:line="560" w:lineRule="exact"/>
        <w:ind w:firstLine="480" w:firstLineChars="150"/>
        <w:rPr>
          <w:rFonts w:ascii="仿宋" w:hAnsi="仿宋" w:eastAsia="仿宋" w:cs="仿宋"/>
          <w:sz w:val="32"/>
          <w:szCs w:val="32"/>
        </w:rPr>
      </w:pPr>
    </w:p>
    <w:p w14:paraId="2F050F6A">
      <w:pPr>
        <w:numPr>
          <w:ilvl w:val="0"/>
          <w:numId w:val="1"/>
        </w:numPr>
        <w:spacing w:line="560" w:lineRule="exact"/>
        <w:ind w:firstLine="560"/>
        <w:rPr>
          <w:rFonts w:ascii="仿宋" w:hAnsi="仿宋" w:eastAsia="仿宋" w:cs="仿宋"/>
          <w:b/>
          <w:sz w:val="32"/>
          <w:szCs w:val="32"/>
        </w:rPr>
      </w:pPr>
      <w:r>
        <w:rPr>
          <w:rFonts w:hint="eastAsia" w:ascii="仿宋" w:hAnsi="仿宋" w:eastAsia="仿宋" w:cs="仿宋"/>
          <w:b/>
          <w:sz w:val="32"/>
          <w:szCs w:val="32"/>
        </w:rPr>
        <w:t>绩效预算信息</w:t>
      </w:r>
    </w:p>
    <w:p w14:paraId="1A257683">
      <w:pPr>
        <w:spacing w:line="560" w:lineRule="exact"/>
        <w:ind w:firstLine="562"/>
        <w:rPr>
          <w:rFonts w:ascii="仿宋" w:hAnsi="仿宋" w:eastAsia="仿宋" w:cs="仿宋"/>
          <w:sz w:val="32"/>
          <w:szCs w:val="32"/>
        </w:rPr>
        <w:sectPr>
          <w:pgSz w:w="11850" w:h="16783"/>
          <w:pgMar w:top="1440" w:right="1797" w:bottom="1361" w:left="1797" w:header="851" w:footer="992" w:gutter="0"/>
          <w:cols w:space="720" w:num="1"/>
          <w:docGrid w:type="lines" w:linePitch="312" w:charSpace="0"/>
        </w:sectPr>
      </w:pPr>
      <w:r>
        <w:rPr>
          <w:rFonts w:ascii="仿宋" w:hAnsi="仿宋" w:eastAsia="仿宋" w:cs="仿宋"/>
          <w:b/>
          <w:sz w:val="32"/>
          <w:szCs w:val="32"/>
        </w:rPr>
        <w:t>1</w:t>
      </w:r>
      <w:r>
        <w:rPr>
          <w:rFonts w:hint="eastAsia" w:ascii="仿宋" w:hAnsi="仿宋" w:eastAsia="仿宋" w:cs="仿宋"/>
          <w:b/>
          <w:sz w:val="32"/>
          <w:szCs w:val="32"/>
        </w:rPr>
        <w:t>、</w:t>
      </w:r>
      <w:r>
        <w:rPr>
          <w:rFonts w:hint="eastAsia" w:ascii="仿宋" w:hAnsi="仿宋" w:eastAsia="仿宋" w:cs="仿宋"/>
          <w:bCs/>
          <w:sz w:val="32"/>
          <w:szCs w:val="32"/>
        </w:rPr>
        <w:t>总体目标：</w:t>
      </w:r>
      <w:r>
        <w:rPr>
          <w:rFonts w:ascii="仿宋" w:hAnsi="仿宋" w:eastAsia="仿宋" w:cs="仿宋"/>
          <w:bCs/>
          <w:sz w:val="32"/>
          <w:szCs w:val="32"/>
        </w:rPr>
        <w:t>2</w:t>
      </w:r>
      <w:r>
        <w:rPr>
          <w:rFonts w:ascii="仿宋" w:hAnsi="仿宋" w:eastAsia="仿宋" w:cs="仿宋"/>
          <w:sz w:val="32"/>
          <w:szCs w:val="32"/>
        </w:rPr>
        <w:t>017</w:t>
      </w:r>
      <w:r>
        <w:rPr>
          <w:rFonts w:hint="eastAsia" w:ascii="仿宋" w:hAnsi="仿宋" w:eastAsia="仿宋" w:cs="仿宋"/>
          <w:sz w:val="32"/>
          <w:szCs w:val="32"/>
        </w:rPr>
        <w:t>年机关工委发展规划目标的总体思路是：认真贯彻落实党的十八大和十八届全会精神，深入学习贯彻习近平总书记系列重要讲话精神，贯彻省、市、县委全会精神，突出全面从严治党主线，坚持思想建党、制度治党，树立法治思维。以机关党建活动为载体，求真务实、改革创新，扎实推进县直机关党的思想、组织、作风、反腐倡廉和制度建设，积极营造机关党建新常态，有效增强“服务中心、建设队伍”能力，为建设京畿强县、善美涞水，打造环京津增长极提供坚强保障。</w:t>
      </w:r>
    </w:p>
    <w:p w14:paraId="27166F6E">
      <w:pPr>
        <w:spacing w:line="560" w:lineRule="exact"/>
        <w:outlineLvl w:val="0"/>
        <w:rPr>
          <w:rFonts w:ascii="宋体" w:cs="宋体"/>
          <w:b/>
          <w:bCs/>
          <w:sz w:val="24"/>
        </w:rPr>
      </w:pPr>
      <w:r>
        <w:rPr>
          <w:rFonts w:ascii="宋体" w:hAnsi="宋体" w:cs="宋体"/>
          <w:b/>
          <w:bCs/>
          <w:sz w:val="24"/>
        </w:rPr>
        <w:t>2</w:t>
      </w:r>
      <w:r>
        <w:rPr>
          <w:rFonts w:hint="eastAsia" w:ascii="宋体" w:hAnsi="宋体" w:cs="宋体"/>
          <w:b/>
          <w:bCs/>
          <w:sz w:val="24"/>
        </w:rPr>
        <w:t>、部门职责</w:t>
      </w:r>
      <w:r>
        <w:rPr>
          <w:rFonts w:ascii="宋体" w:cs="宋体"/>
          <w:b/>
          <w:bCs/>
          <w:sz w:val="24"/>
        </w:rPr>
        <w:t>-</w:t>
      </w:r>
      <w:r>
        <w:rPr>
          <w:rFonts w:hint="eastAsia" w:ascii="宋体" w:hAnsi="宋体" w:cs="宋体"/>
          <w:b/>
          <w:bCs/>
          <w:sz w:val="24"/>
        </w:rPr>
        <w:t>工作活动绩效目标</w:t>
      </w:r>
    </w:p>
    <w:tbl>
      <w:tblPr>
        <w:tblStyle w:val="5"/>
        <w:tblW w:w="1393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952"/>
        <w:gridCol w:w="1665"/>
        <w:gridCol w:w="2976"/>
        <w:gridCol w:w="2976"/>
        <w:gridCol w:w="1417"/>
        <w:gridCol w:w="737"/>
        <w:gridCol w:w="737"/>
        <w:gridCol w:w="737"/>
        <w:gridCol w:w="737"/>
      </w:tblGrid>
      <w:tr w14:paraId="5E77B12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tblHeader/>
          <w:jc w:val="center"/>
        </w:trPr>
        <w:tc>
          <w:tcPr>
            <w:tcW w:w="10986" w:type="dxa"/>
            <w:gridSpan w:val="5"/>
            <w:tcBorders>
              <w:top w:val="single" w:color="FFFFFF" w:sz="6" w:space="0"/>
              <w:left w:val="single" w:color="FFFFFF" w:sz="6" w:space="0"/>
              <w:right w:val="single" w:color="FFFFFF" w:sz="6" w:space="0"/>
            </w:tcBorders>
            <w:vAlign w:val="center"/>
          </w:tcPr>
          <w:p w14:paraId="3F82F902">
            <w:pPr>
              <w:spacing w:line="560" w:lineRule="exact"/>
              <w:jc w:val="left"/>
              <w:rPr>
                <w:rFonts w:ascii="宋体" w:cs="宋体"/>
                <w:sz w:val="24"/>
              </w:rPr>
            </w:pPr>
            <w:r>
              <w:rPr>
                <w:rFonts w:ascii="宋体" w:hAnsi="宋体" w:cs="宋体"/>
                <w:sz w:val="24"/>
              </w:rPr>
              <w:t>286</w:t>
            </w:r>
            <w:r>
              <w:rPr>
                <w:rFonts w:hint="eastAsia" w:ascii="宋体" w:hAnsi="宋体" w:cs="宋体"/>
                <w:sz w:val="24"/>
              </w:rPr>
              <w:t>中国共产党涞水县直属机关工作委员会</w:t>
            </w:r>
          </w:p>
        </w:tc>
        <w:tc>
          <w:tcPr>
            <w:tcW w:w="2948" w:type="dxa"/>
            <w:gridSpan w:val="4"/>
            <w:tcBorders>
              <w:top w:val="single" w:color="FFFFFF" w:sz="6" w:space="0"/>
              <w:left w:val="single" w:color="FFFFFF" w:sz="6" w:space="0"/>
              <w:right w:val="single" w:color="FFFFFF" w:sz="6" w:space="0"/>
            </w:tcBorders>
            <w:vAlign w:val="center"/>
          </w:tcPr>
          <w:p w14:paraId="1FF4F54F">
            <w:pPr>
              <w:spacing w:line="560" w:lineRule="exact"/>
              <w:jc w:val="right"/>
              <w:rPr>
                <w:rFonts w:ascii="宋体" w:cs="宋体"/>
                <w:sz w:val="24"/>
              </w:rPr>
            </w:pPr>
            <w:r>
              <w:rPr>
                <w:rFonts w:hint="eastAsia" w:ascii="宋体" w:hAnsi="宋体" w:cs="宋体"/>
                <w:sz w:val="24"/>
              </w:rPr>
              <w:t>单位：万元</w:t>
            </w:r>
          </w:p>
        </w:tc>
      </w:tr>
      <w:tr w14:paraId="17F4328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tblHeader/>
          <w:jc w:val="center"/>
        </w:trPr>
        <w:tc>
          <w:tcPr>
            <w:tcW w:w="1952" w:type="dxa"/>
            <w:vMerge w:val="restart"/>
            <w:vAlign w:val="center"/>
          </w:tcPr>
          <w:p w14:paraId="23655477">
            <w:pPr>
              <w:spacing w:line="560" w:lineRule="exact"/>
              <w:jc w:val="center"/>
              <w:rPr>
                <w:rFonts w:ascii="宋体" w:cs="宋体"/>
                <w:b/>
                <w:sz w:val="24"/>
              </w:rPr>
            </w:pPr>
            <w:r>
              <w:rPr>
                <w:rFonts w:hint="eastAsia" w:ascii="宋体" w:hAnsi="宋体" w:cs="宋体"/>
                <w:b/>
                <w:sz w:val="24"/>
              </w:rPr>
              <w:t>职责活动</w:t>
            </w:r>
          </w:p>
        </w:tc>
        <w:tc>
          <w:tcPr>
            <w:tcW w:w="1665" w:type="dxa"/>
            <w:vMerge w:val="restart"/>
            <w:vAlign w:val="center"/>
          </w:tcPr>
          <w:p w14:paraId="3EF85995">
            <w:pPr>
              <w:spacing w:line="560" w:lineRule="exact"/>
              <w:jc w:val="center"/>
              <w:rPr>
                <w:rFonts w:ascii="宋体" w:cs="宋体"/>
                <w:b/>
                <w:sz w:val="24"/>
              </w:rPr>
            </w:pPr>
            <w:r>
              <w:rPr>
                <w:rFonts w:hint="eastAsia" w:ascii="宋体" w:hAnsi="宋体" w:cs="宋体"/>
                <w:b/>
                <w:sz w:val="24"/>
              </w:rPr>
              <w:t>年度预算数</w:t>
            </w:r>
          </w:p>
        </w:tc>
        <w:tc>
          <w:tcPr>
            <w:tcW w:w="2976" w:type="dxa"/>
            <w:vMerge w:val="restart"/>
            <w:vAlign w:val="center"/>
          </w:tcPr>
          <w:p w14:paraId="754A3150">
            <w:pPr>
              <w:spacing w:line="560" w:lineRule="exact"/>
              <w:jc w:val="center"/>
              <w:rPr>
                <w:rFonts w:ascii="宋体" w:cs="宋体"/>
                <w:b/>
                <w:sz w:val="24"/>
              </w:rPr>
            </w:pPr>
            <w:r>
              <w:rPr>
                <w:rFonts w:hint="eastAsia" w:ascii="宋体" w:hAnsi="宋体" w:cs="宋体"/>
                <w:b/>
                <w:sz w:val="24"/>
              </w:rPr>
              <w:t>内容描述</w:t>
            </w:r>
          </w:p>
        </w:tc>
        <w:tc>
          <w:tcPr>
            <w:tcW w:w="2976" w:type="dxa"/>
            <w:vMerge w:val="restart"/>
            <w:vAlign w:val="center"/>
          </w:tcPr>
          <w:p w14:paraId="0399E97B">
            <w:pPr>
              <w:spacing w:line="560" w:lineRule="exact"/>
              <w:jc w:val="center"/>
              <w:rPr>
                <w:rFonts w:ascii="宋体" w:cs="宋体"/>
                <w:b/>
                <w:sz w:val="24"/>
              </w:rPr>
            </w:pPr>
            <w:r>
              <w:rPr>
                <w:rFonts w:hint="eastAsia" w:ascii="宋体" w:hAnsi="宋体" w:cs="宋体"/>
                <w:b/>
                <w:sz w:val="24"/>
              </w:rPr>
              <w:t>绩效目标</w:t>
            </w:r>
          </w:p>
        </w:tc>
        <w:tc>
          <w:tcPr>
            <w:tcW w:w="1417" w:type="dxa"/>
            <w:vMerge w:val="restart"/>
            <w:vAlign w:val="center"/>
          </w:tcPr>
          <w:p w14:paraId="714978F1">
            <w:pPr>
              <w:spacing w:line="560" w:lineRule="exact"/>
              <w:jc w:val="center"/>
              <w:rPr>
                <w:rFonts w:ascii="宋体" w:cs="宋体"/>
                <w:b/>
                <w:sz w:val="24"/>
              </w:rPr>
            </w:pPr>
            <w:r>
              <w:rPr>
                <w:rFonts w:hint="eastAsia" w:ascii="宋体" w:hAnsi="宋体" w:cs="宋体"/>
                <w:b/>
                <w:sz w:val="24"/>
              </w:rPr>
              <w:t>绩效指标</w:t>
            </w:r>
          </w:p>
        </w:tc>
        <w:tc>
          <w:tcPr>
            <w:tcW w:w="2948" w:type="dxa"/>
            <w:gridSpan w:val="4"/>
            <w:vAlign w:val="center"/>
          </w:tcPr>
          <w:p w14:paraId="0925D4E7">
            <w:pPr>
              <w:spacing w:line="560" w:lineRule="exact"/>
              <w:jc w:val="center"/>
              <w:rPr>
                <w:rFonts w:ascii="宋体" w:cs="宋体"/>
                <w:b/>
                <w:sz w:val="24"/>
              </w:rPr>
            </w:pPr>
            <w:r>
              <w:rPr>
                <w:rFonts w:hint="eastAsia" w:ascii="宋体" w:hAnsi="宋体" w:cs="宋体"/>
                <w:b/>
                <w:sz w:val="24"/>
              </w:rPr>
              <w:t>评价标准</w:t>
            </w:r>
          </w:p>
        </w:tc>
      </w:tr>
      <w:tr w14:paraId="67C3773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tblHeader/>
          <w:jc w:val="center"/>
        </w:trPr>
        <w:tc>
          <w:tcPr>
            <w:tcW w:w="1952" w:type="dxa"/>
            <w:vMerge w:val="continue"/>
            <w:vAlign w:val="center"/>
          </w:tcPr>
          <w:p w14:paraId="3460EEE5">
            <w:pPr>
              <w:spacing w:line="560" w:lineRule="exact"/>
              <w:jc w:val="left"/>
              <w:outlineLvl w:val="0"/>
              <w:rPr>
                <w:rFonts w:ascii="宋体" w:cs="宋体"/>
                <w:sz w:val="24"/>
              </w:rPr>
            </w:pPr>
          </w:p>
        </w:tc>
        <w:tc>
          <w:tcPr>
            <w:tcW w:w="1665" w:type="dxa"/>
            <w:vMerge w:val="continue"/>
            <w:vAlign w:val="center"/>
          </w:tcPr>
          <w:p w14:paraId="00CDD7E8">
            <w:pPr>
              <w:spacing w:line="560" w:lineRule="exact"/>
              <w:jc w:val="left"/>
              <w:outlineLvl w:val="0"/>
              <w:rPr>
                <w:rFonts w:ascii="宋体" w:cs="宋体"/>
                <w:sz w:val="24"/>
              </w:rPr>
            </w:pPr>
          </w:p>
        </w:tc>
        <w:tc>
          <w:tcPr>
            <w:tcW w:w="2976" w:type="dxa"/>
            <w:vMerge w:val="continue"/>
            <w:vAlign w:val="center"/>
          </w:tcPr>
          <w:p w14:paraId="5EE9CDA9">
            <w:pPr>
              <w:spacing w:line="560" w:lineRule="exact"/>
              <w:jc w:val="left"/>
              <w:outlineLvl w:val="0"/>
              <w:rPr>
                <w:rFonts w:ascii="宋体" w:cs="宋体"/>
                <w:sz w:val="24"/>
              </w:rPr>
            </w:pPr>
          </w:p>
        </w:tc>
        <w:tc>
          <w:tcPr>
            <w:tcW w:w="2976" w:type="dxa"/>
            <w:vMerge w:val="continue"/>
            <w:vAlign w:val="center"/>
          </w:tcPr>
          <w:p w14:paraId="53074FCF">
            <w:pPr>
              <w:spacing w:line="560" w:lineRule="exact"/>
              <w:jc w:val="left"/>
              <w:outlineLvl w:val="0"/>
              <w:rPr>
                <w:rFonts w:ascii="宋体" w:cs="宋体"/>
                <w:sz w:val="24"/>
              </w:rPr>
            </w:pPr>
          </w:p>
        </w:tc>
        <w:tc>
          <w:tcPr>
            <w:tcW w:w="1417" w:type="dxa"/>
            <w:vMerge w:val="continue"/>
            <w:vAlign w:val="center"/>
          </w:tcPr>
          <w:p w14:paraId="13201557">
            <w:pPr>
              <w:spacing w:line="560" w:lineRule="exact"/>
              <w:jc w:val="left"/>
              <w:outlineLvl w:val="0"/>
              <w:rPr>
                <w:rFonts w:ascii="宋体" w:cs="宋体"/>
                <w:sz w:val="24"/>
              </w:rPr>
            </w:pPr>
          </w:p>
        </w:tc>
        <w:tc>
          <w:tcPr>
            <w:tcW w:w="737" w:type="dxa"/>
            <w:vAlign w:val="center"/>
          </w:tcPr>
          <w:p w14:paraId="3D1C998A">
            <w:pPr>
              <w:spacing w:line="560" w:lineRule="exact"/>
              <w:jc w:val="center"/>
              <w:rPr>
                <w:rFonts w:ascii="宋体" w:cs="宋体"/>
                <w:b/>
                <w:sz w:val="24"/>
              </w:rPr>
            </w:pPr>
            <w:r>
              <w:rPr>
                <w:rFonts w:hint="eastAsia" w:ascii="宋体" w:hAnsi="宋体" w:cs="宋体"/>
                <w:b/>
                <w:sz w:val="24"/>
              </w:rPr>
              <w:t>优</w:t>
            </w:r>
          </w:p>
        </w:tc>
        <w:tc>
          <w:tcPr>
            <w:tcW w:w="737" w:type="dxa"/>
            <w:vAlign w:val="center"/>
          </w:tcPr>
          <w:p w14:paraId="7FD42B29">
            <w:pPr>
              <w:spacing w:line="560" w:lineRule="exact"/>
              <w:jc w:val="center"/>
              <w:rPr>
                <w:rFonts w:ascii="宋体" w:cs="宋体"/>
                <w:b/>
                <w:sz w:val="24"/>
              </w:rPr>
            </w:pPr>
            <w:r>
              <w:rPr>
                <w:rFonts w:hint="eastAsia" w:ascii="宋体" w:hAnsi="宋体" w:cs="宋体"/>
                <w:b/>
                <w:sz w:val="24"/>
              </w:rPr>
              <w:t>良</w:t>
            </w:r>
          </w:p>
        </w:tc>
        <w:tc>
          <w:tcPr>
            <w:tcW w:w="737" w:type="dxa"/>
            <w:vAlign w:val="center"/>
          </w:tcPr>
          <w:p w14:paraId="311BEFD9">
            <w:pPr>
              <w:spacing w:line="560" w:lineRule="exact"/>
              <w:jc w:val="center"/>
              <w:rPr>
                <w:rFonts w:ascii="宋体" w:cs="宋体"/>
                <w:b/>
                <w:sz w:val="24"/>
              </w:rPr>
            </w:pPr>
            <w:r>
              <w:rPr>
                <w:rFonts w:hint="eastAsia" w:ascii="宋体" w:hAnsi="宋体" w:cs="宋体"/>
                <w:b/>
                <w:sz w:val="24"/>
              </w:rPr>
              <w:t>中</w:t>
            </w:r>
          </w:p>
        </w:tc>
        <w:tc>
          <w:tcPr>
            <w:tcW w:w="737" w:type="dxa"/>
            <w:vAlign w:val="center"/>
          </w:tcPr>
          <w:p w14:paraId="6D24283C">
            <w:pPr>
              <w:spacing w:line="560" w:lineRule="exact"/>
              <w:jc w:val="center"/>
              <w:rPr>
                <w:rFonts w:ascii="宋体" w:cs="宋体"/>
                <w:b/>
                <w:sz w:val="24"/>
              </w:rPr>
            </w:pPr>
            <w:r>
              <w:rPr>
                <w:rFonts w:hint="eastAsia" w:ascii="宋体" w:hAnsi="宋体" w:cs="宋体"/>
                <w:b/>
                <w:sz w:val="24"/>
              </w:rPr>
              <w:t>差</w:t>
            </w:r>
          </w:p>
        </w:tc>
      </w:tr>
      <w:tr w14:paraId="0B3EF67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1952" w:type="dxa"/>
            <w:vAlign w:val="center"/>
          </w:tcPr>
          <w:p w14:paraId="7CF53691">
            <w:pPr>
              <w:spacing w:line="560" w:lineRule="exact"/>
              <w:jc w:val="left"/>
              <w:rPr>
                <w:rFonts w:ascii="宋体" w:cs="宋体"/>
                <w:b/>
                <w:sz w:val="24"/>
              </w:rPr>
            </w:pPr>
            <w:r>
              <w:rPr>
                <w:rFonts w:hint="eastAsia" w:ascii="宋体" w:hAnsi="宋体" w:cs="宋体"/>
                <w:b/>
                <w:sz w:val="24"/>
              </w:rPr>
              <w:t>一、县直机关党的建设</w:t>
            </w:r>
          </w:p>
        </w:tc>
        <w:tc>
          <w:tcPr>
            <w:tcW w:w="1665" w:type="dxa"/>
            <w:vAlign w:val="center"/>
          </w:tcPr>
          <w:p w14:paraId="256AFE32">
            <w:pPr>
              <w:spacing w:line="560" w:lineRule="exact"/>
              <w:jc w:val="left"/>
              <w:rPr>
                <w:rFonts w:ascii="宋体" w:hAnsi="宋体" w:cs="宋体"/>
                <w:sz w:val="24"/>
              </w:rPr>
            </w:pPr>
            <w:r>
              <w:rPr>
                <w:rFonts w:ascii="宋体" w:hAnsi="宋体" w:cs="宋体"/>
                <w:sz w:val="24"/>
              </w:rPr>
              <w:t>4.00</w:t>
            </w:r>
          </w:p>
        </w:tc>
        <w:tc>
          <w:tcPr>
            <w:tcW w:w="2976" w:type="dxa"/>
            <w:vAlign w:val="center"/>
          </w:tcPr>
          <w:p w14:paraId="1585F7FA">
            <w:pPr>
              <w:spacing w:line="560" w:lineRule="exact"/>
              <w:jc w:val="left"/>
              <w:rPr>
                <w:rFonts w:ascii="宋体" w:cs="宋体"/>
                <w:sz w:val="24"/>
              </w:rPr>
            </w:pPr>
            <w:r>
              <w:rPr>
                <w:rFonts w:hint="eastAsia" w:ascii="宋体" w:hAnsi="宋体" w:cs="宋体"/>
                <w:sz w:val="24"/>
              </w:rPr>
              <w:t>加强县直机关党的思想政治建设、组织建设、作风建设、制度建设和反腐倡廉建设，做好县直机关其他党建工作。</w:t>
            </w:r>
          </w:p>
        </w:tc>
        <w:tc>
          <w:tcPr>
            <w:tcW w:w="2976" w:type="dxa"/>
            <w:vAlign w:val="center"/>
          </w:tcPr>
          <w:p w14:paraId="6BAF9076">
            <w:pPr>
              <w:spacing w:line="560" w:lineRule="exact"/>
              <w:jc w:val="left"/>
              <w:rPr>
                <w:rFonts w:ascii="宋体" w:cs="宋体"/>
                <w:sz w:val="24"/>
              </w:rPr>
            </w:pPr>
            <w:r>
              <w:rPr>
                <w:rFonts w:hint="eastAsia" w:ascii="宋体" w:hAnsi="宋体" w:cs="宋体"/>
                <w:sz w:val="24"/>
              </w:rPr>
              <w:t>政治觉悟和思想道德素质明显提高；党组织战斗堡垒作用和党员先锋模范作用进一步增强；其他党建工作得到有效落实。</w:t>
            </w:r>
          </w:p>
        </w:tc>
        <w:tc>
          <w:tcPr>
            <w:tcW w:w="1417" w:type="dxa"/>
            <w:vAlign w:val="center"/>
          </w:tcPr>
          <w:p w14:paraId="21117E91">
            <w:pPr>
              <w:spacing w:line="560" w:lineRule="exact"/>
              <w:jc w:val="left"/>
              <w:rPr>
                <w:rFonts w:ascii="宋体" w:cs="宋体"/>
                <w:sz w:val="24"/>
              </w:rPr>
            </w:pPr>
          </w:p>
        </w:tc>
        <w:tc>
          <w:tcPr>
            <w:tcW w:w="737" w:type="dxa"/>
            <w:vAlign w:val="center"/>
          </w:tcPr>
          <w:p w14:paraId="1AE5DECB">
            <w:pPr>
              <w:spacing w:line="560" w:lineRule="exact"/>
              <w:jc w:val="center"/>
              <w:rPr>
                <w:rFonts w:ascii="宋体" w:cs="宋体"/>
                <w:sz w:val="24"/>
              </w:rPr>
            </w:pPr>
          </w:p>
        </w:tc>
        <w:tc>
          <w:tcPr>
            <w:tcW w:w="737" w:type="dxa"/>
            <w:vAlign w:val="center"/>
          </w:tcPr>
          <w:p w14:paraId="0AD408BE">
            <w:pPr>
              <w:spacing w:line="560" w:lineRule="exact"/>
              <w:jc w:val="center"/>
              <w:rPr>
                <w:rFonts w:ascii="宋体" w:cs="宋体"/>
                <w:sz w:val="24"/>
              </w:rPr>
            </w:pPr>
          </w:p>
        </w:tc>
        <w:tc>
          <w:tcPr>
            <w:tcW w:w="737" w:type="dxa"/>
            <w:vAlign w:val="center"/>
          </w:tcPr>
          <w:p w14:paraId="3CB057F1">
            <w:pPr>
              <w:spacing w:line="560" w:lineRule="exact"/>
              <w:jc w:val="center"/>
              <w:rPr>
                <w:rFonts w:ascii="宋体" w:cs="宋体"/>
                <w:sz w:val="24"/>
              </w:rPr>
            </w:pPr>
          </w:p>
        </w:tc>
        <w:tc>
          <w:tcPr>
            <w:tcW w:w="737" w:type="dxa"/>
            <w:vAlign w:val="center"/>
          </w:tcPr>
          <w:p w14:paraId="463BC4A2">
            <w:pPr>
              <w:spacing w:line="560" w:lineRule="exact"/>
              <w:jc w:val="center"/>
              <w:rPr>
                <w:rFonts w:ascii="宋体" w:cs="宋体"/>
                <w:sz w:val="24"/>
              </w:rPr>
            </w:pPr>
          </w:p>
        </w:tc>
      </w:tr>
      <w:tr w14:paraId="599A571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1952" w:type="dxa"/>
            <w:vMerge w:val="restart"/>
            <w:vAlign w:val="center"/>
          </w:tcPr>
          <w:p w14:paraId="4623F20E">
            <w:pPr>
              <w:spacing w:line="560" w:lineRule="exact"/>
              <w:jc w:val="left"/>
              <w:rPr>
                <w:rFonts w:ascii="宋体" w:cs="宋体"/>
                <w:b/>
                <w:sz w:val="24"/>
              </w:rPr>
            </w:pPr>
            <w:r>
              <w:rPr>
                <w:rFonts w:hint="eastAsia" w:ascii="宋体" w:hAnsi="宋体" w:cs="宋体"/>
                <w:b/>
                <w:sz w:val="24"/>
              </w:rPr>
              <w:t>　　思想政治建设</w:t>
            </w:r>
          </w:p>
        </w:tc>
        <w:tc>
          <w:tcPr>
            <w:tcW w:w="1665" w:type="dxa"/>
            <w:vMerge w:val="restart"/>
            <w:vAlign w:val="center"/>
          </w:tcPr>
          <w:p w14:paraId="7631260D">
            <w:pPr>
              <w:spacing w:line="560" w:lineRule="exact"/>
              <w:jc w:val="left"/>
              <w:rPr>
                <w:rFonts w:ascii="宋体" w:cs="宋体"/>
                <w:sz w:val="24"/>
              </w:rPr>
            </w:pPr>
          </w:p>
        </w:tc>
        <w:tc>
          <w:tcPr>
            <w:tcW w:w="2976" w:type="dxa"/>
            <w:vMerge w:val="restart"/>
            <w:vAlign w:val="center"/>
          </w:tcPr>
          <w:p w14:paraId="699F1B54">
            <w:pPr>
              <w:spacing w:line="560" w:lineRule="exact"/>
              <w:jc w:val="left"/>
              <w:rPr>
                <w:rFonts w:ascii="宋体" w:cs="宋体"/>
                <w:sz w:val="24"/>
              </w:rPr>
            </w:pPr>
            <w:r>
              <w:rPr>
                <w:rFonts w:hint="eastAsia" w:ascii="宋体" w:hAnsi="宋体" w:cs="宋体"/>
                <w:sz w:val="24"/>
              </w:rPr>
              <w:t>指导县直机关各级党组织用马克思主义中国化的最新理论成果，教育县直党员干部树立正确的世界观、人生观和价值观；指导县直加强学习型党组织建设和中心组理论学习。负责县直精神文明建设及普法工作。</w:t>
            </w:r>
          </w:p>
        </w:tc>
        <w:tc>
          <w:tcPr>
            <w:tcW w:w="2976" w:type="dxa"/>
            <w:vMerge w:val="restart"/>
            <w:vAlign w:val="center"/>
          </w:tcPr>
          <w:p w14:paraId="208C3AAA">
            <w:pPr>
              <w:spacing w:line="560" w:lineRule="exact"/>
              <w:jc w:val="left"/>
              <w:rPr>
                <w:rFonts w:ascii="宋体" w:cs="宋体"/>
                <w:sz w:val="24"/>
              </w:rPr>
            </w:pPr>
            <w:r>
              <w:rPr>
                <w:rFonts w:hint="eastAsia" w:ascii="宋体" w:hAnsi="宋体" w:cs="宋体"/>
                <w:sz w:val="24"/>
              </w:rPr>
              <w:t>利用各种有效载体开展宣传教育活动</w:t>
            </w:r>
            <w:r>
              <w:rPr>
                <w:rFonts w:ascii="宋体" w:cs="宋体"/>
                <w:sz w:val="24"/>
              </w:rPr>
              <w:t>,</w:t>
            </w:r>
            <w:r>
              <w:rPr>
                <w:rFonts w:hint="eastAsia" w:ascii="宋体" w:hAnsi="宋体" w:cs="宋体"/>
                <w:sz w:val="24"/>
              </w:rPr>
              <w:t>效果明显</w:t>
            </w:r>
            <w:r>
              <w:rPr>
                <w:rFonts w:ascii="宋体" w:hAnsi="宋体" w:cs="宋体"/>
                <w:sz w:val="24"/>
              </w:rPr>
              <w:t>;</w:t>
            </w:r>
            <w:r>
              <w:rPr>
                <w:rFonts w:hint="eastAsia" w:ascii="宋体" w:hAnsi="宋体" w:cs="宋体"/>
                <w:sz w:val="24"/>
              </w:rPr>
              <w:t>学习制度得到普遍落实，各项活动普遍参加</w:t>
            </w:r>
            <w:r>
              <w:rPr>
                <w:rFonts w:ascii="宋体" w:hAnsi="宋体" w:cs="宋体"/>
                <w:sz w:val="24"/>
              </w:rPr>
              <w:t>;</w:t>
            </w:r>
            <w:r>
              <w:rPr>
                <w:rFonts w:hint="eastAsia" w:ascii="宋体" w:hAnsi="宋体" w:cs="宋体"/>
                <w:sz w:val="24"/>
              </w:rPr>
              <w:t>精神文明创建活动参与广泛，公民道德素质、各项活动满意率明显提高。</w:t>
            </w:r>
          </w:p>
        </w:tc>
        <w:tc>
          <w:tcPr>
            <w:tcW w:w="1417" w:type="dxa"/>
            <w:vAlign w:val="center"/>
          </w:tcPr>
          <w:p w14:paraId="6F8966FD">
            <w:pPr>
              <w:spacing w:line="560" w:lineRule="exact"/>
              <w:jc w:val="left"/>
              <w:rPr>
                <w:rFonts w:ascii="宋体" w:cs="宋体"/>
                <w:sz w:val="24"/>
              </w:rPr>
            </w:pPr>
            <w:r>
              <w:rPr>
                <w:rFonts w:hint="eastAsia" w:ascii="宋体" w:hAnsi="宋体" w:cs="宋体"/>
                <w:sz w:val="24"/>
              </w:rPr>
              <w:t>领导干部参与率</w:t>
            </w:r>
          </w:p>
        </w:tc>
        <w:tc>
          <w:tcPr>
            <w:tcW w:w="737" w:type="dxa"/>
            <w:vAlign w:val="center"/>
          </w:tcPr>
          <w:p w14:paraId="557893CD">
            <w:pPr>
              <w:spacing w:line="560" w:lineRule="exact"/>
              <w:jc w:val="center"/>
              <w:rPr>
                <w:rFonts w:ascii="宋体" w:hAnsi="宋体" w:cs="宋体"/>
                <w:sz w:val="24"/>
              </w:rPr>
            </w:pPr>
            <w:r>
              <w:rPr>
                <w:rFonts w:ascii="宋体" w:hAnsi="宋体" w:cs="宋体"/>
                <w:sz w:val="24"/>
              </w:rPr>
              <w:t>100%</w:t>
            </w:r>
          </w:p>
        </w:tc>
        <w:tc>
          <w:tcPr>
            <w:tcW w:w="737" w:type="dxa"/>
            <w:vAlign w:val="center"/>
          </w:tcPr>
          <w:p w14:paraId="17FA509A">
            <w:pPr>
              <w:spacing w:line="560" w:lineRule="exact"/>
              <w:jc w:val="center"/>
              <w:rPr>
                <w:rFonts w:ascii="宋体" w:hAnsi="宋体" w:cs="宋体"/>
                <w:sz w:val="24"/>
              </w:rPr>
            </w:pPr>
            <w:r>
              <w:rPr>
                <w:rFonts w:hint="eastAsia" w:ascii="宋体" w:hAnsi="宋体" w:cs="宋体"/>
                <w:sz w:val="24"/>
              </w:rPr>
              <w:t>≥</w:t>
            </w:r>
            <w:r>
              <w:rPr>
                <w:rFonts w:ascii="宋体" w:hAnsi="宋体" w:cs="宋体"/>
                <w:sz w:val="24"/>
              </w:rPr>
              <w:t>95%</w:t>
            </w:r>
          </w:p>
        </w:tc>
        <w:tc>
          <w:tcPr>
            <w:tcW w:w="737" w:type="dxa"/>
            <w:vAlign w:val="center"/>
          </w:tcPr>
          <w:p w14:paraId="3FB2AEE5">
            <w:pPr>
              <w:spacing w:line="560" w:lineRule="exact"/>
              <w:jc w:val="center"/>
              <w:rPr>
                <w:rFonts w:ascii="宋体" w:hAnsi="宋体" w:cs="宋体"/>
                <w:sz w:val="24"/>
              </w:rPr>
            </w:pPr>
            <w:r>
              <w:rPr>
                <w:rFonts w:hint="eastAsia" w:ascii="宋体" w:hAnsi="宋体" w:cs="宋体"/>
                <w:sz w:val="24"/>
              </w:rPr>
              <w:t>≥</w:t>
            </w:r>
            <w:r>
              <w:rPr>
                <w:rFonts w:ascii="宋体" w:hAnsi="宋体" w:cs="宋体"/>
                <w:sz w:val="24"/>
              </w:rPr>
              <w:t>90%</w:t>
            </w:r>
          </w:p>
        </w:tc>
        <w:tc>
          <w:tcPr>
            <w:tcW w:w="737" w:type="dxa"/>
            <w:vAlign w:val="center"/>
          </w:tcPr>
          <w:p w14:paraId="745CF006">
            <w:pPr>
              <w:spacing w:line="560" w:lineRule="exact"/>
              <w:jc w:val="center"/>
              <w:rPr>
                <w:rFonts w:ascii="宋体" w:hAnsi="宋体" w:cs="宋体"/>
                <w:sz w:val="24"/>
              </w:rPr>
            </w:pPr>
            <w:r>
              <w:rPr>
                <w:rFonts w:ascii="宋体" w:hAnsi="宋体" w:cs="宋体"/>
                <w:sz w:val="24"/>
              </w:rPr>
              <w:t>&lt;90%</w:t>
            </w:r>
          </w:p>
        </w:tc>
      </w:tr>
      <w:tr w14:paraId="6932DAD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1952" w:type="dxa"/>
            <w:vMerge w:val="continue"/>
            <w:vAlign w:val="center"/>
          </w:tcPr>
          <w:p w14:paraId="1EA1459E">
            <w:pPr>
              <w:spacing w:line="560" w:lineRule="exact"/>
              <w:jc w:val="left"/>
              <w:rPr>
                <w:rFonts w:ascii="宋体" w:cs="宋体"/>
                <w:b/>
                <w:sz w:val="24"/>
              </w:rPr>
            </w:pPr>
          </w:p>
        </w:tc>
        <w:tc>
          <w:tcPr>
            <w:tcW w:w="1665" w:type="dxa"/>
            <w:vMerge w:val="continue"/>
            <w:vAlign w:val="center"/>
          </w:tcPr>
          <w:p w14:paraId="03F9A038">
            <w:pPr>
              <w:spacing w:line="560" w:lineRule="exact"/>
              <w:jc w:val="left"/>
              <w:rPr>
                <w:rFonts w:ascii="宋体" w:cs="宋体"/>
                <w:sz w:val="24"/>
              </w:rPr>
            </w:pPr>
          </w:p>
        </w:tc>
        <w:tc>
          <w:tcPr>
            <w:tcW w:w="2976" w:type="dxa"/>
            <w:vMerge w:val="continue"/>
            <w:vAlign w:val="center"/>
          </w:tcPr>
          <w:p w14:paraId="2A5EDF5C">
            <w:pPr>
              <w:spacing w:line="560" w:lineRule="exact"/>
              <w:jc w:val="left"/>
              <w:rPr>
                <w:rFonts w:ascii="宋体" w:cs="宋体"/>
                <w:sz w:val="24"/>
              </w:rPr>
            </w:pPr>
          </w:p>
        </w:tc>
        <w:tc>
          <w:tcPr>
            <w:tcW w:w="2976" w:type="dxa"/>
            <w:vMerge w:val="continue"/>
            <w:vAlign w:val="center"/>
          </w:tcPr>
          <w:p w14:paraId="414A4ED6">
            <w:pPr>
              <w:spacing w:line="560" w:lineRule="exact"/>
              <w:jc w:val="left"/>
              <w:rPr>
                <w:rFonts w:ascii="宋体" w:cs="宋体"/>
                <w:sz w:val="24"/>
              </w:rPr>
            </w:pPr>
          </w:p>
        </w:tc>
        <w:tc>
          <w:tcPr>
            <w:tcW w:w="1417" w:type="dxa"/>
            <w:vAlign w:val="center"/>
          </w:tcPr>
          <w:p w14:paraId="60B77F87">
            <w:pPr>
              <w:spacing w:line="560" w:lineRule="exact"/>
              <w:jc w:val="left"/>
              <w:rPr>
                <w:rFonts w:ascii="宋体" w:cs="宋体"/>
                <w:sz w:val="24"/>
              </w:rPr>
            </w:pPr>
            <w:r>
              <w:rPr>
                <w:rFonts w:hint="eastAsia" w:ascii="宋体" w:hAnsi="宋体" w:cs="宋体"/>
                <w:sz w:val="24"/>
              </w:rPr>
              <w:t>干部职工参与率</w:t>
            </w:r>
          </w:p>
        </w:tc>
        <w:tc>
          <w:tcPr>
            <w:tcW w:w="737" w:type="dxa"/>
            <w:vAlign w:val="center"/>
          </w:tcPr>
          <w:p w14:paraId="64D1F99D">
            <w:pPr>
              <w:spacing w:line="560" w:lineRule="exact"/>
              <w:jc w:val="center"/>
              <w:rPr>
                <w:rFonts w:ascii="宋体" w:hAnsi="宋体" w:cs="宋体"/>
                <w:sz w:val="24"/>
              </w:rPr>
            </w:pPr>
            <w:r>
              <w:rPr>
                <w:rFonts w:ascii="宋体" w:hAnsi="宋体" w:cs="宋体"/>
                <w:sz w:val="24"/>
              </w:rPr>
              <w:t>100%</w:t>
            </w:r>
          </w:p>
        </w:tc>
        <w:tc>
          <w:tcPr>
            <w:tcW w:w="737" w:type="dxa"/>
            <w:vAlign w:val="center"/>
          </w:tcPr>
          <w:p w14:paraId="4D597893">
            <w:pPr>
              <w:spacing w:line="560" w:lineRule="exact"/>
              <w:jc w:val="center"/>
              <w:rPr>
                <w:rFonts w:ascii="宋体" w:hAnsi="宋体" w:cs="宋体"/>
                <w:sz w:val="24"/>
              </w:rPr>
            </w:pPr>
            <w:r>
              <w:rPr>
                <w:rFonts w:hint="eastAsia" w:ascii="宋体" w:hAnsi="宋体" w:cs="宋体"/>
                <w:sz w:val="24"/>
              </w:rPr>
              <w:t>≥</w:t>
            </w:r>
            <w:r>
              <w:rPr>
                <w:rFonts w:ascii="宋体" w:hAnsi="宋体" w:cs="宋体"/>
                <w:sz w:val="24"/>
              </w:rPr>
              <w:t>95%</w:t>
            </w:r>
          </w:p>
        </w:tc>
        <w:tc>
          <w:tcPr>
            <w:tcW w:w="737" w:type="dxa"/>
            <w:vAlign w:val="center"/>
          </w:tcPr>
          <w:p w14:paraId="0FE5F962">
            <w:pPr>
              <w:spacing w:line="560" w:lineRule="exact"/>
              <w:jc w:val="center"/>
              <w:rPr>
                <w:rFonts w:ascii="宋体" w:hAnsi="宋体" w:cs="宋体"/>
                <w:sz w:val="24"/>
              </w:rPr>
            </w:pPr>
            <w:r>
              <w:rPr>
                <w:rFonts w:hint="eastAsia" w:ascii="宋体" w:hAnsi="宋体" w:cs="宋体"/>
                <w:sz w:val="24"/>
              </w:rPr>
              <w:t>≥</w:t>
            </w:r>
            <w:r>
              <w:rPr>
                <w:rFonts w:ascii="宋体" w:hAnsi="宋体" w:cs="宋体"/>
                <w:sz w:val="24"/>
              </w:rPr>
              <w:t>90%</w:t>
            </w:r>
          </w:p>
        </w:tc>
        <w:tc>
          <w:tcPr>
            <w:tcW w:w="737" w:type="dxa"/>
            <w:vAlign w:val="center"/>
          </w:tcPr>
          <w:p w14:paraId="4A75F4B2">
            <w:pPr>
              <w:spacing w:line="560" w:lineRule="exact"/>
              <w:jc w:val="center"/>
              <w:rPr>
                <w:rFonts w:ascii="宋体" w:hAnsi="宋体" w:cs="宋体"/>
                <w:sz w:val="24"/>
              </w:rPr>
            </w:pPr>
            <w:r>
              <w:rPr>
                <w:rFonts w:ascii="宋体" w:hAnsi="宋体" w:cs="宋体"/>
                <w:sz w:val="24"/>
              </w:rPr>
              <w:t>&lt;90%</w:t>
            </w:r>
          </w:p>
        </w:tc>
      </w:tr>
      <w:tr w14:paraId="1DFF659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1952" w:type="dxa"/>
            <w:vMerge w:val="continue"/>
            <w:vAlign w:val="center"/>
          </w:tcPr>
          <w:p w14:paraId="247DA330">
            <w:pPr>
              <w:spacing w:line="560" w:lineRule="exact"/>
              <w:jc w:val="left"/>
              <w:rPr>
                <w:rFonts w:ascii="宋体" w:cs="宋体"/>
                <w:b/>
                <w:sz w:val="24"/>
              </w:rPr>
            </w:pPr>
          </w:p>
        </w:tc>
        <w:tc>
          <w:tcPr>
            <w:tcW w:w="1665" w:type="dxa"/>
            <w:vMerge w:val="continue"/>
            <w:vAlign w:val="center"/>
          </w:tcPr>
          <w:p w14:paraId="54EC09FF">
            <w:pPr>
              <w:spacing w:line="560" w:lineRule="exact"/>
              <w:jc w:val="left"/>
              <w:rPr>
                <w:rFonts w:ascii="宋体" w:cs="宋体"/>
                <w:sz w:val="24"/>
              </w:rPr>
            </w:pPr>
          </w:p>
        </w:tc>
        <w:tc>
          <w:tcPr>
            <w:tcW w:w="2976" w:type="dxa"/>
            <w:vMerge w:val="continue"/>
            <w:vAlign w:val="center"/>
          </w:tcPr>
          <w:p w14:paraId="38B4D7F9">
            <w:pPr>
              <w:spacing w:line="560" w:lineRule="exact"/>
              <w:jc w:val="left"/>
              <w:rPr>
                <w:rFonts w:ascii="宋体" w:cs="宋体"/>
                <w:sz w:val="24"/>
              </w:rPr>
            </w:pPr>
          </w:p>
        </w:tc>
        <w:tc>
          <w:tcPr>
            <w:tcW w:w="2976" w:type="dxa"/>
            <w:vMerge w:val="continue"/>
            <w:vAlign w:val="center"/>
          </w:tcPr>
          <w:p w14:paraId="00C62925">
            <w:pPr>
              <w:spacing w:line="560" w:lineRule="exact"/>
              <w:jc w:val="left"/>
              <w:rPr>
                <w:rFonts w:ascii="宋体" w:cs="宋体"/>
                <w:sz w:val="24"/>
              </w:rPr>
            </w:pPr>
          </w:p>
        </w:tc>
        <w:tc>
          <w:tcPr>
            <w:tcW w:w="1417" w:type="dxa"/>
            <w:vAlign w:val="center"/>
          </w:tcPr>
          <w:p w14:paraId="0A3ADB0F">
            <w:pPr>
              <w:spacing w:line="560" w:lineRule="exact"/>
              <w:jc w:val="left"/>
              <w:rPr>
                <w:rFonts w:ascii="宋体" w:cs="宋体"/>
                <w:sz w:val="24"/>
              </w:rPr>
            </w:pPr>
            <w:r>
              <w:rPr>
                <w:rFonts w:hint="eastAsia" w:ascii="宋体" w:hAnsi="宋体" w:cs="宋体"/>
                <w:sz w:val="24"/>
              </w:rPr>
              <w:t>党员干部教育覆盖率</w:t>
            </w:r>
          </w:p>
        </w:tc>
        <w:tc>
          <w:tcPr>
            <w:tcW w:w="737" w:type="dxa"/>
            <w:vAlign w:val="center"/>
          </w:tcPr>
          <w:p w14:paraId="1EC4F7D5">
            <w:pPr>
              <w:spacing w:line="560" w:lineRule="exact"/>
              <w:jc w:val="center"/>
              <w:rPr>
                <w:rFonts w:ascii="宋体" w:hAnsi="宋体" w:cs="宋体"/>
                <w:sz w:val="24"/>
              </w:rPr>
            </w:pPr>
            <w:r>
              <w:rPr>
                <w:rFonts w:ascii="宋体" w:hAnsi="宋体" w:cs="宋体"/>
                <w:sz w:val="24"/>
              </w:rPr>
              <w:t>100%</w:t>
            </w:r>
          </w:p>
        </w:tc>
        <w:tc>
          <w:tcPr>
            <w:tcW w:w="737" w:type="dxa"/>
            <w:vAlign w:val="center"/>
          </w:tcPr>
          <w:p w14:paraId="61D6B689">
            <w:pPr>
              <w:spacing w:line="560" w:lineRule="exact"/>
              <w:jc w:val="center"/>
              <w:rPr>
                <w:rFonts w:ascii="宋体" w:hAnsi="宋体" w:cs="宋体"/>
                <w:sz w:val="24"/>
              </w:rPr>
            </w:pPr>
            <w:r>
              <w:rPr>
                <w:rFonts w:hint="eastAsia" w:ascii="宋体" w:hAnsi="宋体" w:cs="宋体"/>
                <w:sz w:val="24"/>
              </w:rPr>
              <w:t>≥</w:t>
            </w:r>
            <w:r>
              <w:rPr>
                <w:rFonts w:ascii="宋体" w:hAnsi="宋体" w:cs="宋体"/>
                <w:sz w:val="24"/>
              </w:rPr>
              <w:t>90%</w:t>
            </w:r>
          </w:p>
        </w:tc>
        <w:tc>
          <w:tcPr>
            <w:tcW w:w="737" w:type="dxa"/>
            <w:vAlign w:val="center"/>
          </w:tcPr>
          <w:p w14:paraId="3536BABD">
            <w:pPr>
              <w:spacing w:line="560" w:lineRule="exact"/>
              <w:jc w:val="center"/>
              <w:rPr>
                <w:rFonts w:ascii="宋体" w:hAnsi="宋体" w:cs="宋体"/>
                <w:sz w:val="24"/>
              </w:rPr>
            </w:pPr>
            <w:r>
              <w:rPr>
                <w:rFonts w:hint="eastAsia" w:ascii="宋体" w:hAnsi="宋体" w:cs="宋体"/>
                <w:sz w:val="24"/>
              </w:rPr>
              <w:t>≥</w:t>
            </w:r>
            <w:r>
              <w:rPr>
                <w:rFonts w:ascii="宋体" w:hAnsi="宋体" w:cs="宋体"/>
                <w:sz w:val="24"/>
              </w:rPr>
              <w:t>80%</w:t>
            </w:r>
          </w:p>
        </w:tc>
        <w:tc>
          <w:tcPr>
            <w:tcW w:w="737" w:type="dxa"/>
            <w:vAlign w:val="center"/>
          </w:tcPr>
          <w:p w14:paraId="213D0DD2">
            <w:pPr>
              <w:spacing w:line="560" w:lineRule="exact"/>
              <w:jc w:val="center"/>
              <w:rPr>
                <w:rFonts w:ascii="宋体" w:hAnsi="宋体" w:cs="宋体"/>
                <w:sz w:val="24"/>
              </w:rPr>
            </w:pPr>
            <w:r>
              <w:rPr>
                <w:rFonts w:ascii="宋体" w:hAnsi="宋体" w:cs="宋体"/>
                <w:sz w:val="24"/>
              </w:rPr>
              <w:t>&lt;80%</w:t>
            </w:r>
          </w:p>
        </w:tc>
      </w:tr>
      <w:tr w14:paraId="130B9C5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1952" w:type="dxa"/>
            <w:vMerge w:val="continue"/>
            <w:vAlign w:val="center"/>
          </w:tcPr>
          <w:p w14:paraId="62F5296B">
            <w:pPr>
              <w:spacing w:line="560" w:lineRule="exact"/>
              <w:jc w:val="left"/>
              <w:rPr>
                <w:rFonts w:ascii="宋体" w:cs="宋体"/>
                <w:b/>
                <w:sz w:val="24"/>
              </w:rPr>
            </w:pPr>
          </w:p>
        </w:tc>
        <w:tc>
          <w:tcPr>
            <w:tcW w:w="1665" w:type="dxa"/>
            <w:vMerge w:val="continue"/>
            <w:vAlign w:val="center"/>
          </w:tcPr>
          <w:p w14:paraId="270CE521">
            <w:pPr>
              <w:spacing w:line="560" w:lineRule="exact"/>
              <w:jc w:val="left"/>
              <w:rPr>
                <w:rFonts w:ascii="宋体" w:cs="宋体"/>
                <w:sz w:val="24"/>
              </w:rPr>
            </w:pPr>
          </w:p>
        </w:tc>
        <w:tc>
          <w:tcPr>
            <w:tcW w:w="2976" w:type="dxa"/>
            <w:vMerge w:val="continue"/>
            <w:vAlign w:val="center"/>
          </w:tcPr>
          <w:p w14:paraId="5ED4A237">
            <w:pPr>
              <w:spacing w:line="560" w:lineRule="exact"/>
              <w:jc w:val="left"/>
              <w:rPr>
                <w:rFonts w:ascii="宋体" w:cs="宋体"/>
                <w:sz w:val="24"/>
              </w:rPr>
            </w:pPr>
          </w:p>
        </w:tc>
        <w:tc>
          <w:tcPr>
            <w:tcW w:w="2976" w:type="dxa"/>
            <w:vMerge w:val="continue"/>
            <w:vAlign w:val="center"/>
          </w:tcPr>
          <w:p w14:paraId="36A51A44">
            <w:pPr>
              <w:spacing w:line="560" w:lineRule="exact"/>
              <w:jc w:val="left"/>
              <w:rPr>
                <w:rFonts w:ascii="宋体" w:cs="宋体"/>
                <w:sz w:val="24"/>
              </w:rPr>
            </w:pPr>
          </w:p>
        </w:tc>
        <w:tc>
          <w:tcPr>
            <w:tcW w:w="1417" w:type="dxa"/>
            <w:vAlign w:val="center"/>
          </w:tcPr>
          <w:p w14:paraId="6CD7B904">
            <w:pPr>
              <w:spacing w:line="560" w:lineRule="exact"/>
              <w:jc w:val="left"/>
              <w:rPr>
                <w:rFonts w:ascii="宋体" w:cs="宋体"/>
                <w:sz w:val="24"/>
              </w:rPr>
            </w:pPr>
            <w:r>
              <w:rPr>
                <w:rFonts w:hint="eastAsia" w:ascii="宋体" w:hAnsi="宋体" w:cs="宋体"/>
                <w:sz w:val="24"/>
              </w:rPr>
              <w:t>思想教育活动完成率</w:t>
            </w:r>
          </w:p>
        </w:tc>
        <w:tc>
          <w:tcPr>
            <w:tcW w:w="737" w:type="dxa"/>
            <w:vAlign w:val="center"/>
          </w:tcPr>
          <w:p w14:paraId="705FA50F">
            <w:pPr>
              <w:spacing w:line="560" w:lineRule="exact"/>
              <w:jc w:val="center"/>
              <w:rPr>
                <w:rFonts w:ascii="宋体" w:hAnsi="宋体" w:cs="宋体"/>
                <w:sz w:val="24"/>
              </w:rPr>
            </w:pPr>
            <w:r>
              <w:rPr>
                <w:rFonts w:ascii="宋体" w:hAnsi="宋体" w:cs="宋体"/>
                <w:sz w:val="24"/>
              </w:rPr>
              <w:t>100%</w:t>
            </w:r>
          </w:p>
        </w:tc>
        <w:tc>
          <w:tcPr>
            <w:tcW w:w="737" w:type="dxa"/>
            <w:vAlign w:val="center"/>
          </w:tcPr>
          <w:p w14:paraId="1481B46D">
            <w:pPr>
              <w:spacing w:line="560" w:lineRule="exact"/>
              <w:jc w:val="center"/>
              <w:rPr>
                <w:rFonts w:ascii="宋体" w:hAnsi="宋体" w:cs="宋体"/>
                <w:sz w:val="24"/>
              </w:rPr>
            </w:pPr>
            <w:r>
              <w:rPr>
                <w:rFonts w:hint="eastAsia" w:ascii="宋体" w:hAnsi="宋体" w:cs="宋体"/>
                <w:sz w:val="24"/>
              </w:rPr>
              <w:t>≥</w:t>
            </w:r>
            <w:r>
              <w:rPr>
                <w:rFonts w:ascii="宋体" w:hAnsi="宋体" w:cs="宋体"/>
                <w:sz w:val="24"/>
              </w:rPr>
              <w:t>90%</w:t>
            </w:r>
          </w:p>
        </w:tc>
        <w:tc>
          <w:tcPr>
            <w:tcW w:w="737" w:type="dxa"/>
            <w:vAlign w:val="center"/>
          </w:tcPr>
          <w:p w14:paraId="741266BD">
            <w:pPr>
              <w:spacing w:line="560" w:lineRule="exact"/>
              <w:jc w:val="center"/>
              <w:rPr>
                <w:rFonts w:ascii="宋体" w:hAnsi="宋体" w:cs="宋体"/>
                <w:sz w:val="24"/>
              </w:rPr>
            </w:pPr>
            <w:r>
              <w:rPr>
                <w:rFonts w:hint="eastAsia" w:ascii="宋体" w:hAnsi="宋体" w:cs="宋体"/>
                <w:sz w:val="24"/>
              </w:rPr>
              <w:t>≥</w:t>
            </w:r>
            <w:r>
              <w:rPr>
                <w:rFonts w:ascii="宋体" w:hAnsi="宋体" w:cs="宋体"/>
                <w:sz w:val="24"/>
              </w:rPr>
              <w:t>80%</w:t>
            </w:r>
          </w:p>
        </w:tc>
        <w:tc>
          <w:tcPr>
            <w:tcW w:w="737" w:type="dxa"/>
            <w:vAlign w:val="center"/>
          </w:tcPr>
          <w:p w14:paraId="115D8443">
            <w:pPr>
              <w:spacing w:line="560" w:lineRule="exact"/>
              <w:jc w:val="center"/>
              <w:rPr>
                <w:rFonts w:ascii="宋体" w:hAnsi="宋体" w:cs="宋体"/>
                <w:sz w:val="24"/>
              </w:rPr>
            </w:pPr>
            <w:r>
              <w:rPr>
                <w:rFonts w:ascii="宋体" w:hAnsi="宋体" w:cs="宋体"/>
                <w:sz w:val="24"/>
              </w:rPr>
              <w:t>&lt;80%</w:t>
            </w:r>
          </w:p>
        </w:tc>
      </w:tr>
      <w:tr w14:paraId="4AE498F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1952" w:type="dxa"/>
            <w:vMerge w:val="restart"/>
            <w:vAlign w:val="center"/>
          </w:tcPr>
          <w:p w14:paraId="393B896C">
            <w:pPr>
              <w:spacing w:line="560" w:lineRule="exact"/>
              <w:jc w:val="left"/>
              <w:rPr>
                <w:rFonts w:ascii="宋体" w:cs="宋体"/>
                <w:b/>
                <w:sz w:val="24"/>
              </w:rPr>
            </w:pPr>
            <w:r>
              <w:rPr>
                <w:rFonts w:hint="eastAsia" w:ascii="宋体" w:hAnsi="宋体" w:cs="宋体"/>
                <w:b/>
                <w:sz w:val="24"/>
              </w:rPr>
              <w:t>　　组织建设</w:t>
            </w:r>
          </w:p>
        </w:tc>
        <w:tc>
          <w:tcPr>
            <w:tcW w:w="1665" w:type="dxa"/>
            <w:vMerge w:val="restart"/>
            <w:vAlign w:val="center"/>
          </w:tcPr>
          <w:p w14:paraId="03E0231B">
            <w:pPr>
              <w:spacing w:line="560" w:lineRule="exact"/>
              <w:jc w:val="left"/>
              <w:rPr>
                <w:rFonts w:ascii="宋体" w:hAnsi="宋体" w:cs="宋体"/>
                <w:sz w:val="24"/>
              </w:rPr>
            </w:pPr>
            <w:r>
              <w:rPr>
                <w:rFonts w:ascii="宋体" w:hAnsi="宋体" w:cs="宋体"/>
                <w:sz w:val="24"/>
              </w:rPr>
              <w:t>4.00</w:t>
            </w:r>
          </w:p>
        </w:tc>
        <w:tc>
          <w:tcPr>
            <w:tcW w:w="2976" w:type="dxa"/>
            <w:vMerge w:val="restart"/>
            <w:vAlign w:val="center"/>
          </w:tcPr>
          <w:p w14:paraId="0719A6C4">
            <w:pPr>
              <w:spacing w:line="560" w:lineRule="exact"/>
              <w:jc w:val="left"/>
              <w:rPr>
                <w:rFonts w:ascii="宋体" w:cs="宋体"/>
                <w:sz w:val="24"/>
              </w:rPr>
            </w:pPr>
            <w:r>
              <w:rPr>
                <w:rFonts w:hint="eastAsia" w:ascii="宋体" w:hAnsi="宋体" w:cs="宋体"/>
                <w:sz w:val="24"/>
              </w:rPr>
              <w:t>指导县直机关认真落实《</w:t>
            </w:r>
            <w:r>
              <w:rPr>
                <w:rFonts w:hint="eastAsia" w:ascii="宋体" w:hAnsi="宋体" w:cs="宋体"/>
                <w:sz w:val="24"/>
                <w:lang w:eastAsia="zh-CN"/>
              </w:rPr>
              <w:t>中国共产党</w:t>
            </w:r>
            <w:r>
              <w:rPr>
                <w:rFonts w:hint="eastAsia" w:ascii="宋体" w:hAnsi="宋体" w:cs="宋体"/>
                <w:sz w:val="24"/>
              </w:rPr>
              <w:t>章</w:t>
            </w:r>
            <w:r>
              <w:rPr>
                <w:rFonts w:hint="eastAsia" w:ascii="宋体" w:hAnsi="宋体" w:cs="宋体"/>
                <w:sz w:val="24"/>
                <w:lang w:eastAsia="zh-CN"/>
              </w:rPr>
              <w:t>程</w:t>
            </w:r>
            <w:bookmarkStart w:id="0" w:name="_GoBack"/>
            <w:bookmarkEnd w:id="0"/>
            <w:r>
              <w:rPr>
                <w:rFonts w:hint="eastAsia" w:ascii="宋体" w:hAnsi="宋体" w:cs="宋体"/>
                <w:sz w:val="24"/>
              </w:rPr>
              <w:t>》，加强基层党组织建设，严格组织生活制度，丰富党建活动内容，做好党员发展、教育、管理、服务和党务干部的教育培训工作，充分发挥党组织的战斗堡垒作用和党员的先锋模范作用。</w:t>
            </w:r>
          </w:p>
        </w:tc>
        <w:tc>
          <w:tcPr>
            <w:tcW w:w="2976" w:type="dxa"/>
            <w:vMerge w:val="restart"/>
            <w:vAlign w:val="center"/>
          </w:tcPr>
          <w:p w14:paraId="7DB82EA8">
            <w:pPr>
              <w:spacing w:line="560" w:lineRule="exact"/>
              <w:jc w:val="left"/>
              <w:rPr>
                <w:rFonts w:ascii="宋体" w:cs="宋体"/>
                <w:sz w:val="24"/>
              </w:rPr>
            </w:pPr>
            <w:r>
              <w:rPr>
                <w:rFonts w:hint="eastAsia" w:ascii="宋体" w:hAnsi="宋体" w:cs="宋体"/>
                <w:sz w:val="24"/>
              </w:rPr>
              <w:t>党组织、党员作用突出。</w:t>
            </w:r>
          </w:p>
        </w:tc>
        <w:tc>
          <w:tcPr>
            <w:tcW w:w="1417" w:type="dxa"/>
            <w:vAlign w:val="center"/>
          </w:tcPr>
          <w:p w14:paraId="49B77AD5">
            <w:pPr>
              <w:spacing w:line="560" w:lineRule="exact"/>
              <w:jc w:val="left"/>
              <w:rPr>
                <w:rFonts w:ascii="宋体" w:cs="宋体"/>
                <w:sz w:val="24"/>
              </w:rPr>
            </w:pPr>
            <w:r>
              <w:rPr>
                <w:rFonts w:hint="eastAsia" w:ascii="宋体" w:hAnsi="宋体" w:cs="宋体"/>
                <w:sz w:val="24"/>
              </w:rPr>
              <w:t>党务干部党务工作考核优秀率</w:t>
            </w:r>
          </w:p>
        </w:tc>
        <w:tc>
          <w:tcPr>
            <w:tcW w:w="737" w:type="dxa"/>
            <w:vAlign w:val="center"/>
          </w:tcPr>
          <w:p w14:paraId="29C3C6C4">
            <w:pPr>
              <w:spacing w:line="560" w:lineRule="exact"/>
              <w:jc w:val="center"/>
              <w:rPr>
                <w:rFonts w:ascii="宋体" w:hAnsi="宋体" w:cs="宋体"/>
                <w:sz w:val="24"/>
              </w:rPr>
            </w:pPr>
            <w:r>
              <w:rPr>
                <w:rFonts w:hint="eastAsia" w:ascii="宋体" w:hAnsi="宋体" w:cs="宋体"/>
                <w:sz w:val="24"/>
              </w:rPr>
              <w:t>≥</w:t>
            </w:r>
            <w:r>
              <w:rPr>
                <w:rFonts w:ascii="宋体" w:hAnsi="宋体" w:cs="宋体"/>
                <w:sz w:val="24"/>
              </w:rPr>
              <w:t>90%</w:t>
            </w:r>
          </w:p>
        </w:tc>
        <w:tc>
          <w:tcPr>
            <w:tcW w:w="737" w:type="dxa"/>
            <w:vAlign w:val="center"/>
          </w:tcPr>
          <w:p w14:paraId="1FB7300E">
            <w:pPr>
              <w:spacing w:line="560" w:lineRule="exact"/>
              <w:jc w:val="center"/>
              <w:rPr>
                <w:rFonts w:ascii="宋体" w:hAnsi="宋体" w:cs="宋体"/>
                <w:sz w:val="24"/>
              </w:rPr>
            </w:pPr>
            <w:r>
              <w:rPr>
                <w:rFonts w:hint="eastAsia" w:ascii="宋体" w:hAnsi="宋体" w:cs="宋体"/>
                <w:sz w:val="24"/>
              </w:rPr>
              <w:t>≥</w:t>
            </w:r>
            <w:r>
              <w:rPr>
                <w:rFonts w:ascii="宋体" w:hAnsi="宋体" w:cs="宋体"/>
                <w:sz w:val="24"/>
              </w:rPr>
              <w:t>80%</w:t>
            </w:r>
          </w:p>
        </w:tc>
        <w:tc>
          <w:tcPr>
            <w:tcW w:w="737" w:type="dxa"/>
            <w:vAlign w:val="center"/>
          </w:tcPr>
          <w:p w14:paraId="5B2C4064">
            <w:pPr>
              <w:spacing w:line="560" w:lineRule="exact"/>
              <w:jc w:val="center"/>
              <w:rPr>
                <w:rFonts w:ascii="宋体" w:hAnsi="宋体" w:cs="宋体"/>
                <w:sz w:val="24"/>
              </w:rPr>
            </w:pPr>
            <w:r>
              <w:rPr>
                <w:rFonts w:hint="eastAsia" w:ascii="宋体" w:hAnsi="宋体" w:cs="宋体"/>
                <w:sz w:val="24"/>
              </w:rPr>
              <w:t>≥</w:t>
            </w:r>
            <w:r>
              <w:rPr>
                <w:rFonts w:ascii="宋体" w:hAnsi="宋体" w:cs="宋体"/>
                <w:sz w:val="24"/>
              </w:rPr>
              <w:t>70%</w:t>
            </w:r>
          </w:p>
        </w:tc>
        <w:tc>
          <w:tcPr>
            <w:tcW w:w="737" w:type="dxa"/>
            <w:vAlign w:val="center"/>
          </w:tcPr>
          <w:p w14:paraId="4D2F54CB">
            <w:pPr>
              <w:spacing w:line="560" w:lineRule="exact"/>
              <w:jc w:val="center"/>
              <w:rPr>
                <w:rFonts w:ascii="宋体" w:hAnsi="宋体" w:cs="宋体"/>
                <w:sz w:val="24"/>
              </w:rPr>
            </w:pPr>
            <w:r>
              <w:rPr>
                <w:rFonts w:ascii="宋体" w:hAnsi="宋体" w:cs="宋体"/>
                <w:sz w:val="24"/>
              </w:rPr>
              <w:t>&lt;70%</w:t>
            </w:r>
          </w:p>
        </w:tc>
      </w:tr>
      <w:tr w14:paraId="2876DF6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1952" w:type="dxa"/>
            <w:vMerge w:val="continue"/>
            <w:vAlign w:val="center"/>
          </w:tcPr>
          <w:p w14:paraId="4D694295">
            <w:pPr>
              <w:spacing w:line="560" w:lineRule="exact"/>
              <w:jc w:val="left"/>
              <w:rPr>
                <w:rFonts w:ascii="宋体" w:cs="宋体"/>
                <w:b/>
                <w:sz w:val="24"/>
              </w:rPr>
            </w:pPr>
          </w:p>
        </w:tc>
        <w:tc>
          <w:tcPr>
            <w:tcW w:w="1665" w:type="dxa"/>
            <w:vMerge w:val="continue"/>
            <w:vAlign w:val="center"/>
          </w:tcPr>
          <w:p w14:paraId="4A2CEF57">
            <w:pPr>
              <w:spacing w:line="560" w:lineRule="exact"/>
              <w:jc w:val="left"/>
              <w:rPr>
                <w:rFonts w:ascii="宋体" w:cs="宋体"/>
                <w:sz w:val="24"/>
              </w:rPr>
            </w:pPr>
          </w:p>
        </w:tc>
        <w:tc>
          <w:tcPr>
            <w:tcW w:w="2976" w:type="dxa"/>
            <w:vMerge w:val="continue"/>
            <w:vAlign w:val="center"/>
          </w:tcPr>
          <w:p w14:paraId="6B928F5B">
            <w:pPr>
              <w:spacing w:line="560" w:lineRule="exact"/>
              <w:jc w:val="left"/>
              <w:rPr>
                <w:rFonts w:ascii="宋体" w:cs="宋体"/>
                <w:sz w:val="24"/>
              </w:rPr>
            </w:pPr>
          </w:p>
        </w:tc>
        <w:tc>
          <w:tcPr>
            <w:tcW w:w="2976" w:type="dxa"/>
            <w:vMerge w:val="continue"/>
            <w:vAlign w:val="center"/>
          </w:tcPr>
          <w:p w14:paraId="0025CDF3">
            <w:pPr>
              <w:spacing w:line="560" w:lineRule="exact"/>
              <w:jc w:val="left"/>
              <w:rPr>
                <w:rFonts w:ascii="宋体" w:cs="宋体"/>
                <w:sz w:val="24"/>
              </w:rPr>
            </w:pPr>
          </w:p>
        </w:tc>
        <w:tc>
          <w:tcPr>
            <w:tcW w:w="1417" w:type="dxa"/>
            <w:vAlign w:val="center"/>
          </w:tcPr>
          <w:p w14:paraId="63188509">
            <w:pPr>
              <w:spacing w:line="560" w:lineRule="exact"/>
              <w:jc w:val="left"/>
              <w:rPr>
                <w:rFonts w:ascii="宋体" w:cs="宋体"/>
                <w:sz w:val="24"/>
              </w:rPr>
            </w:pPr>
            <w:r>
              <w:rPr>
                <w:rFonts w:hint="eastAsia" w:ascii="宋体" w:hAnsi="宋体" w:cs="宋体"/>
                <w:sz w:val="24"/>
              </w:rPr>
              <w:t>基层党组织建设工作完成率</w:t>
            </w:r>
          </w:p>
        </w:tc>
        <w:tc>
          <w:tcPr>
            <w:tcW w:w="737" w:type="dxa"/>
            <w:vAlign w:val="center"/>
          </w:tcPr>
          <w:p w14:paraId="277B815A">
            <w:pPr>
              <w:spacing w:line="560" w:lineRule="exact"/>
              <w:jc w:val="center"/>
              <w:rPr>
                <w:rFonts w:ascii="宋体" w:hAnsi="宋体" w:cs="宋体"/>
                <w:sz w:val="24"/>
              </w:rPr>
            </w:pPr>
            <w:r>
              <w:rPr>
                <w:rFonts w:ascii="宋体" w:hAnsi="宋体" w:cs="宋体"/>
                <w:sz w:val="24"/>
              </w:rPr>
              <w:t>100%</w:t>
            </w:r>
          </w:p>
        </w:tc>
        <w:tc>
          <w:tcPr>
            <w:tcW w:w="737" w:type="dxa"/>
            <w:vAlign w:val="center"/>
          </w:tcPr>
          <w:p w14:paraId="0CCFDC13">
            <w:pPr>
              <w:spacing w:line="560" w:lineRule="exact"/>
              <w:jc w:val="center"/>
              <w:rPr>
                <w:rFonts w:ascii="宋体" w:hAnsi="宋体" w:cs="宋体"/>
                <w:sz w:val="24"/>
              </w:rPr>
            </w:pPr>
            <w:r>
              <w:rPr>
                <w:rFonts w:hint="eastAsia" w:ascii="宋体" w:hAnsi="宋体" w:cs="宋体"/>
                <w:sz w:val="24"/>
              </w:rPr>
              <w:t>≥</w:t>
            </w:r>
            <w:r>
              <w:rPr>
                <w:rFonts w:ascii="宋体" w:hAnsi="宋体" w:cs="宋体"/>
                <w:sz w:val="24"/>
              </w:rPr>
              <w:t>95%</w:t>
            </w:r>
          </w:p>
        </w:tc>
        <w:tc>
          <w:tcPr>
            <w:tcW w:w="737" w:type="dxa"/>
            <w:vAlign w:val="center"/>
          </w:tcPr>
          <w:p w14:paraId="489FCBA4">
            <w:pPr>
              <w:spacing w:line="560" w:lineRule="exact"/>
              <w:jc w:val="center"/>
              <w:rPr>
                <w:rFonts w:ascii="宋体" w:hAnsi="宋体" w:cs="宋体"/>
                <w:sz w:val="24"/>
              </w:rPr>
            </w:pPr>
            <w:r>
              <w:rPr>
                <w:rFonts w:hint="eastAsia" w:ascii="宋体" w:hAnsi="宋体" w:cs="宋体"/>
                <w:sz w:val="24"/>
              </w:rPr>
              <w:t>≥</w:t>
            </w:r>
            <w:r>
              <w:rPr>
                <w:rFonts w:ascii="宋体" w:hAnsi="宋体" w:cs="宋体"/>
                <w:sz w:val="24"/>
              </w:rPr>
              <w:t>90%</w:t>
            </w:r>
          </w:p>
        </w:tc>
        <w:tc>
          <w:tcPr>
            <w:tcW w:w="737" w:type="dxa"/>
            <w:vAlign w:val="center"/>
          </w:tcPr>
          <w:p w14:paraId="20DD8CFB">
            <w:pPr>
              <w:spacing w:line="560" w:lineRule="exact"/>
              <w:jc w:val="center"/>
              <w:rPr>
                <w:rFonts w:ascii="宋体" w:hAnsi="宋体" w:cs="宋体"/>
                <w:sz w:val="24"/>
              </w:rPr>
            </w:pPr>
            <w:r>
              <w:rPr>
                <w:rFonts w:ascii="宋体" w:hAnsi="宋体" w:cs="宋体"/>
                <w:sz w:val="24"/>
              </w:rPr>
              <w:t>&lt;90%</w:t>
            </w:r>
          </w:p>
        </w:tc>
      </w:tr>
      <w:tr w14:paraId="7FB7855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1952" w:type="dxa"/>
            <w:vMerge w:val="restart"/>
            <w:vAlign w:val="center"/>
          </w:tcPr>
          <w:p w14:paraId="66FF4A24">
            <w:pPr>
              <w:spacing w:line="560" w:lineRule="exact"/>
              <w:jc w:val="left"/>
              <w:rPr>
                <w:rFonts w:ascii="宋体" w:cs="宋体"/>
                <w:b/>
                <w:sz w:val="24"/>
              </w:rPr>
            </w:pPr>
            <w:r>
              <w:rPr>
                <w:rFonts w:hint="eastAsia" w:ascii="宋体" w:hAnsi="宋体" w:cs="宋体"/>
                <w:b/>
                <w:sz w:val="24"/>
              </w:rPr>
              <w:t>　　县直机关党风廉政建设</w:t>
            </w:r>
          </w:p>
        </w:tc>
        <w:tc>
          <w:tcPr>
            <w:tcW w:w="1665" w:type="dxa"/>
            <w:vMerge w:val="restart"/>
            <w:vAlign w:val="center"/>
          </w:tcPr>
          <w:p w14:paraId="4DB70A30">
            <w:pPr>
              <w:spacing w:line="560" w:lineRule="exact"/>
              <w:jc w:val="left"/>
              <w:rPr>
                <w:rFonts w:ascii="宋体" w:cs="宋体"/>
                <w:sz w:val="24"/>
              </w:rPr>
            </w:pPr>
          </w:p>
        </w:tc>
        <w:tc>
          <w:tcPr>
            <w:tcW w:w="2976" w:type="dxa"/>
            <w:vMerge w:val="restart"/>
            <w:vAlign w:val="center"/>
          </w:tcPr>
          <w:p w14:paraId="749E96B3">
            <w:pPr>
              <w:spacing w:line="560" w:lineRule="exact"/>
              <w:jc w:val="left"/>
              <w:rPr>
                <w:rFonts w:ascii="宋体" w:cs="宋体"/>
                <w:sz w:val="24"/>
              </w:rPr>
            </w:pPr>
            <w:r>
              <w:rPr>
                <w:rFonts w:hint="eastAsia" w:ascii="宋体" w:hAnsi="宋体" w:cs="宋体"/>
                <w:sz w:val="24"/>
              </w:rPr>
              <w:t>开展县直各部门机关党委的纪律检查工作，审议县直党员干部违反党纪问题，审批县直党员干部违反党纪处理决定</w:t>
            </w:r>
            <w:r>
              <w:rPr>
                <w:rFonts w:ascii="宋体" w:hAnsi="宋体" w:cs="宋体"/>
                <w:sz w:val="24"/>
              </w:rPr>
              <w:t>;</w:t>
            </w:r>
            <w:r>
              <w:rPr>
                <w:rFonts w:hint="eastAsia" w:ascii="宋体" w:hAnsi="宋体" w:cs="宋体"/>
                <w:sz w:val="24"/>
              </w:rPr>
              <w:t>核查县直党员干部的违纪问题，负责县直机关行政监察职能绩效目标考核等工作。</w:t>
            </w:r>
          </w:p>
        </w:tc>
        <w:tc>
          <w:tcPr>
            <w:tcW w:w="2976" w:type="dxa"/>
            <w:vMerge w:val="restart"/>
            <w:vAlign w:val="center"/>
          </w:tcPr>
          <w:p w14:paraId="2EECAC25">
            <w:pPr>
              <w:spacing w:line="560" w:lineRule="exact"/>
              <w:jc w:val="left"/>
              <w:rPr>
                <w:rFonts w:ascii="宋体" w:cs="宋体"/>
                <w:sz w:val="24"/>
              </w:rPr>
            </w:pPr>
            <w:r>
              <w:rPr>
                <w:rFonts w:hint="eastAsia" w:ascii="宋体" w:hAnsi="宋体" w:cs="宋体"/>
                <w:sz w:val="24"/>
              </w:rPr>
              <w:t>违纪案件明显减少，作风进一步好转。</w:t>
            </w:r>
          </w:p>
        </w:tc>
        <w:tc>
          <w:tcPr>
            <w:tcW w:w="1417" w:type="dxa"/>
            <w:vAlign w:val="center"/>
          </w:tcPr>
          <w:p w14:paraId="24F19619">
            <w:pPr>
              <w:spacing w:line="560" w:lineRule="exact"/>
              <w:jc w:val="left"/>
              <w:rPr>
                <w:rFonts w:ascii="宋体" w:cs="宋体"/>
                <w:sz w:val="24"/>
              </w:rPr>
            </w:pPr>
            <w:r>
              <w:rPr>
                <w:rFonts w:hint="eastAsia" w:ascii="宋体" w:hAnsi="宋体" w:cs="宋体"/>
                <w:sz w:val="24"/>
              </w:rPr>
              <w:t>党员干部违纪核查工作完成率</w:t>
            </w:r>
          </w:p>
        </w:tc>
        <w:tc>
          <w:tcPr>
            <w:tcW w:w="737" w:type="dxa"/>
            <w:vAlign w:val="center"/>
          </w:tcPr>
          <w:p w14:paraId="0E645F51">
            <w:pPr>
              <w:spacing w:line="560" w:lineRule="exact"/>
              <w:jc w:val="center"/>
              <w:rPr>
                <w:rFonts w:ascii="宋体" w:hAnsi="宋体" w:cs="宋体"/>
                <w:sz w:val="24"/>
              </w:rPr>
            </w:pPr>
            <w:r>
              <w:rPr>
                <w:rFonts w:ascii="宋体" w:hAnsi="宋体" w:cs="宋体"/>
                <w:sz w:val="24"/>
              </w:rPr>
              <w:t>100%</w:t>
            </w:r>
          </w:p>
        </w:tc>
        <w:tc>
          <w:tcPr>
            <w:tcW w:w="737" w:type="dxa"/>
            <w:vAlign w:val="center"/>
          </w:tcPr>
          <w:p w14:paraId="157F3B34">
            <w:pPr>
              <w:spacing w:line="560" w:lineRule="exact"/>
              <w:jc w:val="center"/>
              <w:rPr>
                <w:rFonts w:ascii="宋体" w:hAnsi="宋体" w:cs="宋体"/>
                <w:sz w:val="24"/>
              </w:rPr>
            </w:pPr>
            <w:r>
              <w:rPr>
                <w:rFonts w:hint="eastAsia" w:ascii="宋体" w:hAnsi="宋体" w:cs="宋体"/>
                <w:sz w:val="24"/>
              </w:rPr>
              <w:t>≥</w:t>
            </w:r>
            <w:r>
              <w:rPr>
                <w:rFonts w:ascii="宋体" w:hAnsi="宋体" w:cs="宋体"/>
                <w:sz w:val="24"/>
              </w:rPr>
              <w:t>95%</w:t>
            </w:r>
          </w:p>
        </w:tc>
        <w:tc>
          <w:tcPr>
            <w:tcW w:w="737" w:type="dxa"/>
            <w:vAlign w:val="center"/>
          </w:tcPr>
          <w:p w14:paraId="29492534">
            <w:pPr>
              <w:spacing w:line="560" w:lineRule="exact"/>
              <w:jc w:val="center"/>
              <w:rPr>
                <w:rFonts w:ascii="宋体" w:hAnsi="宋体" w:cs="宋体"/>
                <w:sz w:val="24"/>
              </w:rPr>
            </w:pPr>
            <w:r>
              <w:rPr>
                <w:rFonts w:hint="eastAsia" w:ascii="宋体" w:hAnsi="宋体" w:cs="宋体"/>
                <w:sz w:val="24"/>
              </w:rPr>
              <w:t>≥</w:t>
            </w:r>
            <w:r>
              <w:rPr>
                <w:rFonts w:ascii="宋体" w:hAnsi="宋体" w:cs="宋体"/>
                <w:sz w:val="24"/>
              </w:rPr>
              <w:t>90%</w:t>
            </w:r>
          </w:p>
        </w:tc>
        <w:tc>
          <w:tcPr>
            <w:tcW w:w="737" w:type="dxa"/>
            <w:vAlign w:val="center"/>
          </w:tcPr>
          <w:p w14:paraId="6BB14ADB">
            <w:pPr>
              <w:spacing w:line="560" w:lineRule="exact"/>
              <w:jc w:val="center"/>
              <w:rPr>
                <w:rFonts w:ascii="宋体" w:hAnsi="宋体" w:cs="宋体"/>
                <w:sz w:val="24"/>
              </w:rPr>
            </w:pPr>
            <w:r>
              <w:rPr>
                <w:rFonts w:ascii="宋体" w:hAnsi="宋体" w:cs="宋体"/>
                <w:sz w:val="24"/>
              </w:rPr>
              <w:t>&lt;90%</w:t>
            </w:r>
          </w:p>
        </w:tc>
      </w:tr>
      <w:tr w14:paraId="3B43F23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1952" w:type="dxa"/>
            <w:vMerge w:val="continue"/>
            <w:vAlign w:val="center"/>
          </w:tcPr>
          <w:p w14:paraId="2F266C02">
            <w:pPr>
              <w:spacing w:line="560" w:lineRule="exact"/>
              <w:jc w:val="left"/>
              <w:rPr>
                <w:rFonts w:ascii="宋体" w:cs="宋体"/>
                <w:b/>
                <w:sz w:val="24"/>
              </w:rPr>
            </w:pPr>
          </w:p>
        </w:tc>
        <w:tc>
          <w:tcPr>
            <w:tcW w:w="1665" w:type="dxa"/>
            <w:vMerge w:val="continue"/>
            <w:vAlign w:val="center"/>
          </w:tcPr>
          <w:p w14:paraId="172DE8FC">
            <w:pPr>
              <w:spacing w:line="560" w:lineRule="exact"/>
              <w:jc w:val="left"/>
              <w:rPr>
                <w:rFonts w:ascii="宋体" w:cs="宋体"/>
                <w:sz w:val="24"/>
              </w:rPr>
            </w:pPr>
          </w:p>
        </w:tc>
        <w:tc>
          <w:tcPr>
            <w:tcW w:w="2976" w:type="dxa"/>
            <w:vMerge w:val="continue"/>
            <w:vAlign w:val="center"/>
          </w:tcPr>
          <w:p w14:paraId="76F5FEF3">
            <w:pPr>
              <w:spacing w:line="560" w:lineRule="exact"/>
              <w:jc w:val="left"/>
              <w:rPr>
                <w:rFonts w:ascii="宋体" w:cs="宋体"/>
                <w:sz w:val="24"/>
              </w:rPr>
            </w:pPr>
          </w:p>
        </w:tc>
        <w:tc>
          <w:tcPr>
            <w:tcW w:w="2976" w:type="dxa"/>
            <w:vMerge w:val="continue"/>
            <w:vAlign w:val="center"/>
          </w:tcPr>
          <w:p w14:paraId="163A7C17">
            <w:pPr>
              <w:spacing w:line="560" w:lineRule="exact"/>
              <w:jc w:val="left"/>
              <w:rPr>
                <w:rFonts w:ascii="宋体" w:cs="宋体"/>
                <w:sz w:val="24"/>
              </w:rPr>
            </w:pPr>
          </w:p>
        </w:tc>
        <w:tc>
          <w:tcPr>
            <w:tcW w:w="1417" w:type="dxa"/>
            <w:vAlign w:val="center"/>
          </w:tcPr>
          <w:p w14:paraId="1437B53F">
            <w:pPr>
              <w:spacing w:line="560" w:lineRule="exact"/>
              <w:jc w:val="left"/>
              <w:rPr>
                <w:rFonts w:ascii="宋体" w:cs="宋体"/>
                <w:sz w:val="24"/>
              </w:rPr>
            </w:pPr>
            <w:r>
              <w:rPr>
                <w:rFonts w:hint="eastAsia" w:ascii="宋体" w:hAnsi="宋体" w:cs="宋体"/>
                <w:sz w:val="24"/>
              </w:rPr>
              <w:t>党风廉政建设宣传工作完成率</w:t>
            </w:r>
          </w:p>
        </w:tc>
        <w:tc>
          <w:tcPr>
            <w:tcW w:w="737" w:type="dxa"/>
            <w:vAlign w:val="center"/>
          </w:tcPr>
          <w:p w14:paraId="0DDAE0BA">
            <w:pPr>
              <w:spacing w:line="560" w:lineRule="exact"/>
              <w:jc w:val="center"/>
              <w:rPr>
                <w:rFonts w:ascii="宋体" w:hAnsi="宋体" w:cs="宋体"/>
                <w:sz w:val="24"/>
              </w:rPr>
            </w:pPr>
            <w:r>
              <w:rPr>
                <w:rFonts w:ascii="宋体" w:hAnsi="宋体" w:cs="宋体"/>
                <w:sz w:val="24"/>
              </w:rPr>
              <w:t>100%</w:t>
            </w:r>
          </w:p>
        </w:tc>
        <w:tc>
          <w:tcPr>
            <w:tcW w:w="737" w:type="dxa"/>
            <w:vAlign w:val="center"/>
          </w:tcPr>
          <w:p w14:paraId="14AECD46">
            <w:pPr>
              <w:spacing w:line="560" w:lineRule="exact"/>
              <w:jc w:val="center"/>
              <w:rPr>
                <w:rFonts w:ascii="宋体" w:hAnsi="宋体" w:cs="宋体"/>
                <w:sz w:val="24"/>
              </w:rPr>
            </w:pPr>
            <w:r>
              <w:rPr>
                <w:rFonts w:hint="eastAsia" w:ascii="宋体" w:hAnsi="宋体" w:cs="宋体"/>
                <w:sz w:val="24"/>
              </w:rPr>
              <w:t>≥</w:t>
            </w:r>
            <w:r>
              <w:rPr>
                <w:rFonts w:ascii="宋体" w:hAnsi="宋体" w:cs="宋体"/>
                <w:sz w:val="24"/>
              </w:rPr>
              <w:t>95%</w:t>
            </w:r>
          </w:p>
        </w:tc>
        <w:tc>
          <w:tcPr>
            <w:tcW w:w="737" w:type="dxa"/>
            <w:vAlign w:val="center"/>
          </w:tcPr>
          <w:p w14:paraId="44585D7A">
            <w:pPr>
              <w:spacing w:line="560" w:lineRule="exact"/>
              <w:jc w:val="center"/>
              <w:rPr>
                <w:rFonts w:ascii="宋体" w:hAnsi="宋体" w:cs="宋体"/>
                <w:sz w:val="24"/>
              </w:rPr>
            </w:pPr>
            <w:r>
              <w:rPr>
                <w:rFonts w:hint="eastAsia" w:ascii="宋体" w:hAnsi="宋体" w:cs="宋体"/>
                <w:sz w:val="24"/>
              </w:rPr>
              <w:t>≥</w:t>
            </w:r>
            <w:r>
              <w:rPr>
                <w:rFonts w:ascii="宋体" w:hAnsi="宋体" w:cs="宋体"/>
                <w:sz w:val="24"/>
              </w:rPr>
              <w:t>80%</w:t>
            </w:r>
          </w:p>
        </w:tc>
        <w:tc>
          <w:tcPr>
            <w:tcW w:w="737" w:type="dxa"/>
            <w:vAlign w:val="center"/>
          </w:tcPr>
          <w:p w14:paraId="5436C2C7">
            <w:pPr>
              <w:spacing w:line="560" w:lineRule="exact"/>
              <w:jc w:val="center"/>
              <w:rPr>
                <w:rFonts w:ascii="宋体" w:hAnsi="宋体" w:cs="宋体"/>
                <w:sz w:val="24"/>
              </w:rPr>
            </w:pPr>
            <w:r>
              <w:rPr>
                <w:rFonts w:ascii="宋体" w:hAnsi="宋体" w:cs="宋体"/>
                <w:sz w:val="24"/>
              </w:rPr>
              <w:t>&lt;80%</w:t>
            </w:r>
          </w:p>
        </w:tc>
      </w:tr>
      <w:tr w14:paraId="33D0D50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1952" w:type="dxa"/>
            <w:vAlign w:val="center"/>
          </w:tcPr>
          <w:p w14:paraId="529BDF9D">
            <w:pPr>
              <w:spacing w:line="560" w:lineRule="exact"/>
              <w:jc w:val="left"/>
              <w:rPr>
                <w:rFonts w:ascii="宋体" w:cs="宋体"/>
                <w:b/>
                <w:sz w:val="24"/>
              </w:rPr>
            </w:pPr>
            <w:r>
              <w:rPr>
                <w:rFonts w:hint="eastAsia" w:ascii="宋体" w:hAnsi="宋体" w:cs="宋体"/>
                <w:b/>
                <w:sz w:val="24"/>
              </w:rPr>
              <w:t>二、县直机关统战、群团和县直人民武装工作</w:t>
            </w:r>
          </w:p>
        </w:tc>
        <w:tc>
          <w:tcPr>
            <w:tcW w:w="1665" w:type="dxa"/>
            <w:vAlign w:val="center"/>
          </w:tcPr>
          <w:p w14:paraId="5B170D02">
            <w:pPr>
              <w:spacing w:line="560" w:lineRule="exact"/>
              <w:jc w:val="left"/>
              <w:rPr>
                <w:rFonts w:ascii="宋体" w:cs="宋体"/>
                <w:sz w:val="24"/>
              </w:rPr>
            </w:pPr>
          </w:p>
        </w:tc>
        <w:tc>
          <w:tcPr>
            <w:tcW w:w="2976" w:type="dxa"/>
            <w:vAlign w:val="center"/>
          </w:tcPr>
          <w:p w14:paraId="4C6A085E">
            <w:pPr>
              <w:spacing w:line="560" w:lineRule="exact"/>
              <w:jc w:val="left"/>
              <w:rPr>
                <w:rFonts w:ascii="宋体" w:cs="宋体"/>
                <w:sz w:val="24"/>
              </w:rPr>
            </w:pPr>
            <w:r>
              <w:rPr>
                <w:rFonts w:hint="eastAsia" w:ascii="宋体" w:hAnsi="宋体" w:cs="宋体"/>
                <w:sz w:val="24"/>
              </w:rPr>
              <w:t>指导县直机关动员组织党外人士、群众团体积极开展活动，做好全民国防教育和人民武装工作，发挥各自职能作用，服务中心工作。</w:t>
            </w:r>
          </w:p>
        </w:tc>
        <w:tc>
          <w:tcPr>
            <w:tcW w:w="2976" w:type="dxa"/>
            <w:vAlign w:val="center"/>
          </w:tcPr>
          <w:p w14:paraId="1E21296E">
            <w:pPr>
              <w:spacing w:line="560" w:lineRule="exact"/>
              <w:jc w:val="left"/>
              <w:rPr>
                <w:rFonts w:ascii="宋体" w:cs="宋体"/>
                <w:sz w:val="24"/>
              </w:rPr>
            </w:pPr>
            <w:r>
              <w:rPr>
                <w:rFonts w:hint="eastAsia" w:ascii="宋体" w:hAnsi="宋体" w:cs="宋体"/>
                <w:sz w:val="24"/>
              </w:rPr>
              <w:t>统战、群团工作得到落实，作用发挥明显，受到公众好评；组织健全，工作落实，县直干部职工国防观念和县直民兵战斗力进一步增强。</w:t>
            </w:r>
          </w:p>
        </w:tc>
        <w:tc>
          <w:tcPr>
            <w:tcW w:w="1417" w:type="dxa"/>
            <w:vAlign w:val="center"/>
          </w:tcPr>
          <w:p w14:paraId="540E1545">
            <w:pPr>
              <w:spacing w:line="560" w:lineRule="exact"/>
              <w:jc w:val="left"/>
              <w:rPr>
                <w:rFonts w:ascii="宋体" w:cs="宋体"/>
                <w:sz w:val="24"/>
              </w:rPr>
            </w:pPr>
          </w:p>
        </w:tc>
        <w:tc>
          <w:tcPr>
            <w:tcW w:w="737" w:type="dxa"/>
            <w:vAlign w:val="center"/>
          </w:tcPr>
          <w:p w14:paraId="01D48D20">
            <w:pPr>
              <w:spacing w:line="560" w:lineRule="exact"/>
              <w:jc w:val="center"/>
              <w:rPr>
                <w:rFonts w:ascii="宋体" w:cs="宋体"/>
                <w:sz w:val="24"/>
              </w:rPr>
            </w:pPr>
          </w:p>
        </w:tc>
        <w:tc>
          <w:tcPr>
            <w:tcW w:w="737" w:type="dxa"/>
            <w:vAlign w:val="center"/>
          </w:tcPr>
          <w:p w14:paraId="18F17B20">
            <w:pPr>
              <w:spacing w:line="560" w:lineRule="exact"/>
              <w:jc w:val="center"/>
              <w:rPr>
                <w:rFonts w:ascii="宋体" w:cs="宋体"/>
                <w:sz w:val="24"/>
              </w:rPr>
            </w:pPr>
          </w:p>
        </w:tc>
        <w:tc>
          <w:tcPr>
            <w:tcW w:w="737" w:type="dxa"/>
            <w:vAlign w:val="center"/>
          </w:tcPr>
          <w:p w14:paraId="0FF5936B">
            <w:pPr>
              <w:spacing w:line="560" w:lineRule="exact"/>
              <w:jc w:val="center"/>
              <w:rPr>
                <w:rFonts w:ascii="宋体" w:cs="宋体"/>
                <w:sz w:val="24"/>
              </w:rPr>
            </w:pPr>
          </w:p>
        </w:tc>
        <w:tc>
          <w:tcPr>
            <w:tcW w:w="737" w:type="dxa"/>
            <w:vAlign w:val="center"/>
          </w:tcPr>
          <w:p w14:paraId="7E89B2C5">
            <w:pPr>
              <w:spacing w:line="560" w:lineRule="exact"/>
              <w:jc w:val="center"/>
              <w:rPr>
                <w:rFonts w:ascii="宋体" w:cs="宋体"/>
                <w:sz w:val="24"/>
              </w:rPr>
            </w:pPr>
          </w:p>
        </w:tc>
      </w:tr>
      <w:tr w14:paraId="3926591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1952" w:type="dxa"/>
            <w:vAlign w:val="center"/>
          </w:tcPr>
          <w:p w14:paraId="4C428C4F">
            <w:pPr>
              <w:spacing w:line="560" w:lineRule="exact"/>
              <w:jc w:val="left"/>
              <w:rPr>
                <w:rFonts w:ascii="宋体" w:cs="宋体"/>
                <w:b/>
                <w:sz w:val="24"/>
              </w:rPr>
            </w:pPr>
            <w:r>
              <w:rPr>
                <w:rFonts w:hint="eastAsia" w:ascii="宋体" w:hAnsi="宋体" w:cs="宋体"/>
                <w:b/>
                <w:sz w:val="24"/>
              </w:rPr>
              <w:t>　　统战工作</w:t>
            </w:r>
          </w:p>
        </w:tc>
        <w:tc>
          <w:tcPr>
            <w:tcW w:w="1665" w:type="dxa"/>
            <w:vAlign w:val="center"/>
          </w:tcPr>
          <w:p w14:paraId="108611C0">
            <w:pPr>
              <w:spacing w:line="560" w:lineRule="exact"/>
              <w:jc w:val="left"/>
              <w:rPr>
                <w:rFonts w:ascii="宋体" w:cs="宋体"/>
                <w:sz w:val="24"/>
              </w:rPr>
            </w:pPr>
          </w:p>
        </w:tc>
        <w:tc>
          <w:tcPr>
            <w:tcW w:w="2976" w:type="dxa"/>
            <w:vAlign w:val="center"/>
          </w:tcPr>
          <w:p w14:paraId="25537FE9">
            <w:pPr>
              <w:spacing w:line="560" w:lineRule="exact"/>
              <w:jc w:val="left"/>
              <w:rPr>
                <w:rFonts w:ascii="宋体" w:cs="宋体"/>
                <w:sz w:val="24"/>
              </w:rPr>
            </w:pPr>
            <w:r>
              <w:rPr>
                <w:rFonts w:hint="eastAsia" w:ascii="宋体" w:hAnsi="宋体" w:cs="宋体"/>
                <w:sz w:val="24"/>
              </w:rPr>
              <w:t>指导县直机关各部门统战工作；组织各界人士积极发挥参政议政、民主监督作用，为县域政治、经济、社会发展献计献策。</w:t>
            </w:r>
          </w:p>
        </w:tc>
        <w:tc>
          <w:tcPr>
            <w:tcW w:w="2976" w:type="dxa"/>
            <w:vAlign w:val="center"/>
          </w:tcPr>
          <w:p w14:paraId="618D9CA8">
            <w:pPr>
              <w:spacing w:line="560" w:lineRule="exact"/>
              <w:jc w:val="left"/>
              <w:rPr>
                <w:rFonts w:ascii="宋体" w:cs="宋体"/>
                <w:sz w:val="24"/>
              </w:rPr>
            </w:pPr>
            <w:r>
              <w:rPr>
                <w:rFonts w:hint="eastAsia" w:ascii="宋体" w:hAnsi="宋体" w:cs="宋体"/>
                <w:sz w:val="24"/>
              </w:rPr>
              <w:t>统战工作受到公众好评。</w:t>
            </w:r>
          </w:p>
        </w:tc>
        <w:tc>
          <w:tcPr>
            <w:tcW w:w="1417" w:type="dxa"/>
            <w:vAlign w:val="center"/>
          </w:tcPr>
          <w:p w14:paraId="33A13E51">
            <w:pPr>
              <w:spacing w:line="560" w:lineRule="exact"/>
              <w:jc w:val="left"/>
              <w:rPr>
                <w:rFonts w:ascii="宋体" w:cs="宋体"/>
                <w:sz w:val="24"/>
              </w:rPr>
            </w:pPr>
            <w:r>
              <w:rPr>
                <w:rFonts w:hint="eastAsia" w:ascii="宋体" w:hAnsi="宋体" w:cs="宋体"/>
                <w:sz w:val="24"/>
              </w:rPr>
              <w:t>县直机关各部门统战工作的指导任务完成率</w:t>
            </w:r>
          </w:p>
        </w:tc>
        <w:tc>
          <w:tcPr>
            <w:tcW w:w="737" w:type="dxa"/>
            <w:vAlign w:val="center"/>
          </w:tcPr>
          <w:p w14:paraId="5EEC2133">
            <w:pPr>
              <w:spacing w:line="560" w:lineRule="exact"/>
              <w:jc w:val="center"/>
              <w:rPr>
                <w:rFonts w:ascii="宋体" w:hAnsi="宋体" w:cs="宋体"/>
                <w:sz w:val="24"/>
              </w:rPr>
            </w:pPr>
            <w:r>
              <w:rPr>
                <w:rFonts w:hint="eastAsia" w:ascii="宋体" w:hAnsi="宋体" w:cs="宋体"/>
                <w:sz w:val="24"/>
              </w:rPr>
              <w:t>≥</w:t>
            </w:r>
            <w:r>
              <w:rPr>
                <w:rFonts w:ascii="宋体" w:hAnsi="宋体" w:cs="宋体"/>
                <w:sz w:val="24"/>
              </w:rPr>
              <w:t>95%</w:t>
            </w:r>
          </w:p>
        </w:tc>
        <w:tc>
          <w:tcPr>
            <w:tcW w:w="737" w:type="dxa"/>
            <w:vAlign w:val="center"/>
          </w:tcPr>
          <w:p w14:paraId="34602CAE">
            <w:pPr>
              <w:spacing w:line="560" w:lineRule="exact"/>
              <w:jc w:val="center"/>
              <w:rPr>
                <w:rFonts w:ascii="宋体" w:hAnsi="宋体" w:cs="宋体"/>
                <w:sz w:val="24"/>
              </w:rPr>
            </w:pPr>
            <w:r>
              <w:rPr>
                <w:rFonts w:hint="eastAsia" w:ascii="宋体" w:hAnsi="宋体" w:cs="宋体"/>
                <w:sz w:val="24"/>
              </w:rPr>
              <w:t>≥</w:t>
            </w:r>
            <w:r>
              <w:rPr>
                <w:rFonts w:ascii="宋体" w:hAnsi="宋体" w:cs="宋体"/>
                <w:sz w:val="24"/>
              </w:rPr>
              <w:t>90%</w:t>
            </w:r>
          </w:p>
        </w:tc>
        <w:tc>
          <w:tcPr>
            <w:tcW w:w="737" w:type="dxa"/>
            <w:vAlign w:val="center"/>
          </w:tcPr>
          <w:p w14:paraId="52E971CD">
            <w:pPr>
              <w:spacing w:line="560" w:lineRule="exact"/>
              <w:jc w:val="center"/>
              <w:rPr>
                <w:rFonts w:ascii="宋体" w:hAnsi="宋体" w:cs="宋体"/>
                <w:sz w:val="24"/>
              </w:rPr>
            </w:pPr>
            <w:r>
              <w:rPr>
                <w:rFonts w:hint="eastAsia" w:ascii="宋体" w:hAnsi="宋体" w:cs="宋体"/>
                <w:sz w:val="24"/>
              </w:rPr>
              <w:t>≥</w:t>
            </w:r>
            <w:r>
              <w:rPr>
                <w:rFonts w:ascii="宋体" w:hAnsi="宋体" w:cs="宋体"/>
                <w:sz w:val="24"/>
              </w:rPr>
              <w:t>85%</w:t>
            </w:r>
          </w:p>
        </w:tc>
        <w:tc>
          <w:tcPr>
            <w:tcW w:w="737" w:type="dxa"/>
            <w:vAlign w:val="center"/>
          </w:tcPr>
          <w:p w14:paraId="74AB2DF2">
            <w:pPr>
              <w:spacing w:line="560" w:lineRule="exact"/>
              <w:jc w:val="center"/>
              <w:rPr>
                <w:rFonts w:ascii="宋体" w:hAnsi="宋体" w:cs="宋体"/>
                <w:sz w:val="24"/>
              </w:rPr>
            </w:pPr>
            <w:r>
              <w:rPr>
                <w:rFonts w:ascii="宋体" w:hAnsi="宋体" w:cs="宋体"/>
                <w:sz w:val="24"/>
              </w:rPr>
              <w:t>&lt;85%</w:t>
            </w:r>
          </w:p>
        </w:tc>
      </w:tr>
      <w:tr w14:paraId="4ECC3B1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1952" w:type="dxa"/>
            <w:vMerge w:val="restart"/>
            <w:vAlign w:val="center"/>
          </w:tcPr>
          <w:p w14:paraId="0F6ADC94">
            <w:pPr>
              <w:spacing w:line="560" w:lineRule="exact"/>
              <w:jc w:val="left"/>
              <w:rPr>
                <w:rFonts w:ascii="宋体" w:cs="宋体"/>
                <w:b/>
                <w:sz w:val="24"/>
              </w:rPr>
            </w:pPr>
            <w:r>
              <w:rPr>
                <w:rFonts w:hint="eastAsia" w:ascii="宋体" w:hAnsi="宋体" w:cs="宋体"/>
                <w:b/>
                <w:sz w:val="24"/>
              </w:rPr>
              <w:t>　　群团工作</w:t>
            </w:r>
          </w:p>
        </w:tc>
        <w:tc>
          <w:tcPr>
            <w:tcW w:w="1665" w:type="dxa"/>
            <w:vMerge w:val="restart"/>
            <w:vAlign w:val="center"/>
          </w:tcPr>
          <w:p w14:paraId="54AAE376">
            <w:pPr>
              <w:spacing w:line="560" w:lineRule="exact"/>
              <w:jc w:val="left"/>
              <w:rPr>
                <w:rFonts w:ascii="宋体" w:cs="宋体"/>
                <w:sz w:val="24"/>
              </w:rPr>
            </w:pPr>
          </w:p>
        </w:tc>
        <w:tc>
          <w:tcPr>
            <w:tcW w:w="2976" w:type="dxa"/>
            <w:vMerge w:val="restart"/>
            <w:vAlign w:val="center"/>
          </w:tcPr>
          <w:p w14:paraId="3696D114">
            <w:pPr>
              <w:spacing w:line="560" w:lineRule="exact"/>
              <w:jc w:val="left"/>
              <w:rPr>
                <w:rFonts w:ascii="宋体" w:cs="宋体"/>
                <w:sz w:val="24"/>
              </w:rPr>
            </w:pPr>
            <w:r>
              <w:rPr>
                <w:rFonts w:hint="eastAsia" w:ascii="宋体" w:hAnsi="宋体" w:cs="宋体"/>
                <w:sz w:val="24"/>
              </w:rPr>
              <w:t>指导县直机关共青团组织和妇联组织加强队伍建设，积极开展活动，做好换届工作，充分发挥青年和妇女在经济社会发展及机关党建工作中的作用。</w:t>
            </w:r>
          </w:p>
        </w:tc>
        <w:tc>
          <w:tcPr>
            <w:tcW w:w="2976" w:type="dxa"/>
            <w:vMerge w:val="restart"/>
            <w:vAlign w:val="center"/>
          </w:tcPr>
          <w:p w14:paraId="11258AF7">
            <w:pPr>
              <w:spacing w:line="560" w:lineRule="exact"/>
              <w:jc w:val="left"/>
              <w:rPr>
                <w:rFonts w:ascii="宋体" w:cs="宋体"/>
                <w:sz w:val="24"/>
              </w:rPr>
            </w:pPr>
            <w:r>
              <w:rPr>
                <w:rFonts w:hint="eastAsia" w:ascii="宋体" w:hAnsi="宋体" w:cs="宋体"/>
                <w:sz w:val="24"/>
              </w:rPr>
              <w:t>开展活动公众满意度高。</w:t>
            </w:r>
          </w:p>
        </w:tc>
        <w:tc>
          <w:tcPr>
            <w:tcW w:w="1417" w:type="dxa"/>
            <w:vAlign w:val="center"/>
          </w:tcPr>
          <w:p w14:paraId="539D03A2">
            <w:pPr>
              <w:spacing w:line="560" w:lineRule="exact"/>
              <w:jc w:val="left"/>
              <w:rPr>
                <w:rFonts w:ascii="宋体" w:cs="宋体"/>
                <w:sz w:val="24"/>
              </w:rPr>
            </w:pPr>
            <w:r>
              <w:rPr>
                <w:rFonts w:hint="eastAsia" w:ascii="宋体" w:hAnsi="宋体" w:cs="宋体"/>
                <w:sz w:val="24"/>
              </w:rPr>
              <w:t>换届工作完成率</w:t>
            </w:r>
          </w:p>
        </w:tc>
        <w:tc>
          <w:tcPr>
            <w:tcW w:w="737" w:type="dxa"/>
            <w:vAlign w:val="center"/>
          </w:tcPr>
          <w:p w14:paraId="1C4E8B32">
            <w:pPr>
              <w:spacing w:line="560" w:lineRule="exact"/>
              <w:jc w:val="center"/>
              <w:rPr>
                <w:rFonts w:ascii="宋体" w:hAnsi="宋体" w:cs="宋体"/>
                <w:sz w:val="24"/>
              </w:rPr>
            </w:pPr>
            <w:r>
              <w:rPr>
                <w:rFonts w:hint="eastAsia" w:ascii="宋体" w:hAnsi="宋体" w:cs="宋体"/>
                <w:sz w:val="24"/>
              </w:rPr>
              <w:t>≥</w:t>
            </w:r>
            <w:r>
              <w:rPr>
                <w:rFonts w:ascii="宋体" w:hAnsi="宋体" w:cs="宋体"/>
                <w:sz w:val="24"/>
              </w:rPr>
              <w:t>95%</w:t>
            </w:r>
          </w:p>
        </w:tc>
        <w:tc>
          <w:tcPr>
            <w:tcW w:w="737" w:type="dxa"/>
            <w:vAlign w:val="center"/>
          </w:tcPr>
          <w:p w14:paraId="550BA70E">
            <w:pPr>
              <w:spacing w:line="560" w:lineRule="exact"/>
              <w:jc w:val="center"/>
              <w:rPr>
                <w:rFonts w:ascii="宋体" w:hAnsi="宋体" w:cs="宋体"/>
                <w:sz w:val="24"/>
              </w:rPr>
            </w:pPr>
            <w:r>
              <w:rPr>
                <w:rFonts w:hint="eastAsia" w:ascii="宋体" w:hAnsi="宋体" w:cs="宋体"/>
                <w:sz w:val="24"/>
              </w:rPr>
              <w:t>≥</w:t>
            </w:r>
            <w:r>
              <w:rPr>
                <w:rFonts w:ascii="宋体" w:hAnsi="宋体" w:cs="宋体"/>
                <w:sz w:val="24"/>
              </w:rPr>
              <w:t>90%</w:t>
            </w:r>
          </w:p>
        </w:tc>
        <w:tc>
          <w:tcPr>
            <w:tcW w:w="737" w:type="dxa"/>
            <w:vAlign w:val="center"/>
          </w:tcPr>
          <w:p w14:paraId="7A219F52">
            <w:pPr>
              <w:spacing w:line="560" w:lineRule="exact"/>
              <w:jc w:val="center"/>
              <w:rPr>
                <w:rFonts w:ascii="宋体" w:hAnsi="宋体" w:cs="宋体"/>
                <w:sz w:val="24"/>
              </w:rPr>
            </w:pPr>
            <w:r>
              <w:rPr>
                <w:rFonts w:hint="eastAsia" w:ascii="宋体" w:hAnsi="宋体" w:cs="宋体"/>
                <w:sz w:val="24"/>
              </w:rPr>
              <w:t>≥</w:t>
            </w:r>
            <w:r>
              <w:rPr>
                <w:rFonts w:ascii="宋体" w:hAnsi="宋体" w:cs="宋体"/>
                <w:sz w:val="24"/>
              </w:rPr>
              <w:t>85%</w:t>
            </w:r>
          </w:p>
        </w:tc>
        <w:tc>
          <w:tcPr>
            <w:tcW w:w="737" w:type="dxa"/>
            <w:vAlign w:val="center"/>
          </w:tcPr>
          <w:p w14:paraId="75C80ADB">
            <w:pPr>
              <w:spacing w:line="560" w:lineRule="exact"/>
              <w:jc w:val="center"/>
              <w:rPr>
                <w:rFonts w:ascii="宋体" w:hAnsi="宋体" w:cs="宋体"/>
                <w:sz w:val="24"/>
              </w:rPr>
            </w:pPr>
            <w:r>
              <w:rPr>
                <w:rFonts w:ascii="宋体" w:hAnsi="宋体" w:cs="宋体"/>
                <w:sz w:val="24"/>
              </w:rPr>
              <w:t>&lt;85%</w:t>
            </w:r>
          </w:p>
        </w:tc>
      </w:tr>
      <w:tr w14:paraId="4FC631E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1952" w:type="dxa"/>
            <w:vMerge w:val="continue"/>
            <w:vAlign w:val="center"/>
          </w:tcPr>
          <w:p w14:paraId="0DFEEA0B">
            <w:pPr>
              <w:spacing w:line="560" w:lineRule="exact"/>
              <w:jc w:val="left"/>
              <w:rPr>
                <w:rFonts w:ascii="宋体" w:cs="宋体"/>
                <w:b/>
                <w:sz w:val="24"/>
              </w:rPr>
            </w:pPr>
          </w:p>
        </w:tc>
        <w:tc>
          <w:tcPr>
            <w:tcW w:w="1665" w:type="dxa"/>
            <w:vMerge w:val="continue"/>
            <w:vAlign w:val="center"/>
          </w:tcPr>
          <w:p w14:paraId="31605375">
            <w:pPr>
              <w:spacing w:line="560" w:lineRule="exact"/>
              <w:jc w:val="left"/>
              <w:rPr>
                <w:rFonts w:ascii="宋体" w:cs="宋体"/>
                <w:sz w:val="24"/>
              </w:rPr>
            </w:pPr>
          </w:p>
        </w:tc>
        <w:tc>
          <w:tcPr>
            <w:tcW w:w="2976" w:type="dxa"/>
            <w:vMerge w:val="continue"/>
            <w:vAlign w:val="center"/>
          </w:tcPr>
          <w:p w14:paraId="31293696">
            <w:pPr>
              <w:spacing w:line="560" w:lineRule="exact"/>
              <w:jc w:val="left"/>
              <w:rPr>
                <w:rFonts w:ascii="宋体" w:cs="宋体"/>
                <w:sz w:val="24"/>
              </w:rPr>
            </w:pPr>
          </w:p>
        </w:tc>
        <w:tc>
          <w:tcPr>
            <w:tcW w:w="2976" w:type="dxa"/>
            <w:vMerge w:val="continue"/>
            <w:vAlign w:val="center"/>
          </w:tcPr>
          <w:p w14:paraId="54205616">
            <w:pPr>
              <w:spacing w:line="560" w:lineRule="exact"/>
              <w:jc w:val="left"/>
              <w:rPr>
                <w:rFonts w:ascii="宋体" w:cs="宋体"/>
                <w:sz w:val="24"/>
              </w:rPr>
            </w:pPr>
          </w:p>
        </w:tc>
        <w:tc>
          <w:tcPr>
            <w:tcW w:w="1417" w:type="dxa"/>
            <w:vAlign w:val="center"/>
          </w:tcPr>
          <w:p w14:paraId="2F2D39EA">
            <w:pPr>
              <w:spacing w:line="560" w:lineRule="exact"/>
              <w:jc w:val="left"/>
              <w:rPr>
                <w:rFonts w:ascii="宋体" w:cs="宋体"/>
                <w:sz w:val="24"/>
              </w:rPr>
            </w:pPr>
            <w:r>
              <w:rPr>
                <w:rFonts w:hint="eastAsia" w:ascii="宋体" w:hAnsi="宋体" w:cs="宋体"/>
                <w:sz w:val="24"/>
              </w:rPr>
              <w:t>县直机关共青团组织和妇联组织队伍建设的指导工作完成率</w:t>
            </w:r>
          </w:p>
        </w:tc>
        <w:tc>
          <w:tcPr>
            <w:tcW w:w="737" w:type="dxa"/>
            <w:vAlign w:val="center"/>
          </w:tcPr>
          <w:p w14:paraId="3B92D1CD">
            <w:pPr>
              <w:spacing w:line="560" w:lineRule="exact"/>
              <w:jc w:val="center"/>
              <w:rPr>
                <w:rFonts w:ascii="宋体" w:hAnsi="宋体" w:cs="宋体"/>
                <w:sz w:val="24"/>
              </w:rPr>
            </w:pPr>
            <w:r>
              <w:rPr>
                <w:rFonts w:ascii="宋体" w:hAnsi="宋体" w:cs="宋体"/>
                <w:sz w:val="24"/>
              </w:rPr>
              <w:t>100%</w:t>
            </w:r>
          </w:p>
        </w:tc>
        <w:tc>
          <w:tcPr>
            <w:tcW w:w="737" w:type="dxa"/>
            <w:vAlign w:val="center"/>
          </w:tcPr>
          <w:p w14:paraId="701E678E">
            <w:pPr>
              <w:spacing w:line="560" w:lineRule="exact"/>
              <w:jc w:val="center"/>
              <w:rPr>
                <w:rFonts w:ascii="宋体" w:hAnsi="宋体" w:cs="宋体"/>
                <w:sz w:val="24"/>
              </w:rPr>
            </w:pPr>
            <w:r>
              <w:rPr>
                <w:rFonts w:hint="eastAsia" w:ascii="宋体" w:hAnsi="宋体" w:cs="宋体"/>
                <w:sz w:val="24"/>
              </w:rPr>
              <w:t>≥</w:t>
            </w:r>
            <w:r>
              <w:rPr>
                <w:rFonts w:ascii="宋体" w:hAnsi="宋体" w:cs="宋体"/>
                <w:sz w:val="24"/>
              </w:rPr>
              <w:t>90%</w:t>
            </w:r>
          </w:p>
        </w:tc>
        <w:tc>
          <w:tcPr>
            <w:tcW w:w="737" w:type="dxa"/>
            <w:vAlign w:val="center"/>
          </w:tcPr>
          <w:p w14:paraId="477BF46C">
            <w:pPr>
              <w:spacing w:line="560" w:lineRule="exact"/>
              <w:jc w:val="center"/>
              <w:rPr>
                <w:rFonts w:ascii="宋体" w:hAnsi="宋体" w:cs="宋体"/>
                <w:sz w:val="24"/>
              </w:rPr>
            </w:pPr>
            <w:r>
              <w:rPr>
                <w:rFonts w:hint="eastAsia" w:ascii="宋体" w:hAnsi="宋体" w:cs="宋体"/>
                <w:sz w:val="24"/>
              </w:rPr>
              <w:t>≥</w:t>
            </w:r>
            <w:r>
              <w:rPr>
                <w:rFonts w:ascii="宋体" w:hAnsi="宋体" w:cs="宋体"/>
                <w:sz w:val="24"/>
              </w:rPr>
              <w:t>85%</w:t>
            </w:r>
          </w:p>
        </w:tc>
        <w:tc>
          <w:tcPr>
            <w:tcW w:w="737" w:type="dxa"/>
            <w:vAlign w:val="center"/>
          </w:tcPr>
          <w:p w14:paraId="19E87CB0">
            <w:pPr>
              <w:spacing w:line="560" w:lineRule="exact"/>
              <w:jc w:val="center"/>
              <w:rPr>
                <w:rFonts w:ascii="宋体" w:hAnsi="宋体" w:cs="宋体"/>
                <w:sz w:val="24"/>
              </w:rPr>
            </w:pPr>
            <w:r>
              <w:rPr>
                <w:rFonts w:ascii="宋体" w:hAnsi="宋体" w:cs="宋体"/>
                <w:sz w:val="24"/>
              </w:rPr>
              <w:t>&lt;85%</w:t>
            </w:r>
          </w:p>
        </w:tc>
      </w:tr>
      <w:tr w14:paraId="07657D9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1952" w:type="dxa"/>
            <w:vAlign w:val="center"/>
          </w:tcPr>
          <w:p w14:paraId="25F38011">
            <w:pPr>
              <w:spacing w:line="560" w:lineRule="exact"/>
              <w:jc w:val="left"/>
              <w:rPr>
                <w:rFonts w:ascii="宋体" w:cs="宋体"/>
                <w:b/>
                <w:sz w:val="24"/>
              </w:rPr>
            </w:pPr>
            <w:r>
              <w:rPr>
                <w:rFonts w:hint="eastAsia" w:ascii="宋体" w:hAnsi="宋体" w:cs="宋体"/>
                <w:b/>
                <w:sz w:val="24"/>
              </w:rPr>
              <w:t>　　国防教育和专武干部队伍、民兵组织建设</w:t>
            </w:r>
          </w:p>
        </w:tc>
        <w:tc>
          <w:tcPr>
            <w:tcW w:w="1665" w:type="dxa"/>
            <w:vAlign w:val="center"/>
          </w:tcPr>
          <w:p w14:paraId="77E15F51">
            <w:pPr>
              <w:spacing w:line="560" w:lineRule="exact"/>
              <w:jc w:val="left"/>
              <w:rPr>
                <w:rFonts w:ascii="宋体" w:cs="宋体"/>
                <w:sz w:val="24"/>
              </w:rPr>
            </w:pPr>
          </w:p>
        </w:tc>
        <w:tc>
          <w:tcPr>
            <w:tcW w:w="2976" w:type="dxa"/>
            <w:vAlign w:val="center"/>
          </w:tcPr>
          <w:p w14:paraId="4674ED23">
            <w:pPr>
              <w:spacing w:line="560" w:lineRule="exact"/>
              <w:jc w:val="left"/>
              <w:rPr>
                <w:rFonts w:ascii="宋体" w:cs="宋体"/>
                <w:sz w:val="24"/>
              </w:rPr>
            </w:pPr>
            <w:r>
              <w:rPr>
                <w:rFonts w:hint="eastAsia" w:ascii="宋体" w:hAnsi="宋体" w:cs="宋体"/>
                <w:sz w:val="24"/>
              </w:rPr>
              <w:t>教育引导县直干部职工学习国防知识，增强国防观念，支持国防建设，加强专武干部、国防教育宣传员培训和民兵组织建设，提高工作能力和民兵组织战斗力。</w:t>
            </w:r>
          </w:p>
        </w:tc>
        <w:tc>
          <w:tcPr>
            <w:tcW w:w="2976" w:type="dxa"/>
            <w:vAlign w:val="center"/>
          </w:tcPr>
          <w:p w14:paraId="6B5CEA2D">
            <w:pPr>
              <w:spacing w:line="560" w:lineRule="exact"/>
              <w:jc w:val="left"/>
              <w:rPr>
                <w:rFonts w:ascii="宋体" w:cs="宋体"/>
                <w:sz w:val="24"/>
              </w:rPr>
            </w:pPr>
            <w:r>
              <w:rPr>
                <w:rFonts w:hint="eastAsia" w:ascii="宋体" w:hAnsi="宋体" w:cs="宋体"/>
                <w:sz w:val="24"/>
              </w:rPr>
              <w:t>组织健全，工作落实。</w:t>
            </w:r>
          </w:p>
        </w:tc>
        <w:tc>
          <w:tcPr>
            <w:tcW w:w="1417" w:type="dxa"/>
            <w:vAlign w:val="center"/>
          </w:tcPr>
          <w:p w14:paraId="24DB796C">
            <w:pPr>
              <w:spacing w:line="560" w:lineRule="exact"/>
              <w:jc w:val="left"/>
              <w:rPr>
                <w:rFonts w:ascii="宋体" w:cs="宋体"/>
                <w:sz w:val="24"/>
              </w:rPr>
            </w:pPr>
            <w:r>
              <w:rPr>
                <w:rFonts w:hint="eastAsia" w:ascii="宋体" w:hAnsi="宋体" w:cs="宋体"/>
                <w:sz w:val="24"/>
              </w:rPr>
              <w:t>国防教育计划落实率</w:t>
            </w:r>
          </w:p>
        </w:tc>
        <w:tc>
          <w:tcPr>
            <w:tcW w:w="737" w:type="dxa"/>
            <w:vAlign w:val="center"/>
          </w:tcPr>
          <w:p w14:paraId="09491977">
            <w:pPr>
              <w:spacing w:line="560" w:lineRule="exact"/>
              <w:jc w:val="center"/>
              <w:rPr>
                <w:rFonts w:ascii="宋体" w:hAnsi="宋体" w:cs="宋体"/>
                <w:sz w:val="24"/>
              </w:rPr>
            </w:pPr>
            <w:r>
              <w:rPr>
                <w:rFonts w:ascii="宋体" w:hAnsi="宋体" w:cs="宋体"/>
                <w:sz w:val="24"/>
              </w:rPr>
              <w:t>100%</w:t>
            </w:r>
          </w:p>
        </w:tc>
        <w:tc>
          <w:tcPr>
            <w:tcW w:w="737" w:type="dxa"/>
            <w:vAlign w:val="center"/>
          </w:tcPr>
          <w:p w14:paraId="42AD5A78">
            <w:pPr>
              <w:spacing w:line="560" w:lineRule="exact"/>
              <w:jc w:val="center"/>
              <w:rPr>
                <w:rFonts w:ascii="宋体" w:hAnsi="宋体" w:cs="宋体"/>
                <w:sz w:val="24"/>
              </w:rPr>
            </w:pPr>
            <w:r>
              <w:rPr>
                <w:rFonts w:hint="eastAsia" w:ascii="宋体" w:hAnsi="宋体" w:cs="宋体"/>
                <w:sz w:val="24"/>
              </w:rPr>
              <w:t>≥</w:t>
            </w:r>
            <w:r>
              <w:rPr>
                <w:rFonts w:ascii="宋体" w:hAnsi="宋体" w:cs="宋体"/>
                <w:sz w:val="24"/>
              </w:rPr>
              <w:t>95%</w:t>
            </w:r>
          </w:p>
        </w:tc>
        <w:tc>
          <w:tcPr>
            <w:tcW w:w="737" w:type="dxa"/>
            <w:vAlign w:val="center"/>
          </w:tcPr>
          <w:p w14:paraId="64E5EFA7">
            <w:pPr>
              <w:spacing w:line="560" w:lineRule="exact"/>
              <w:jc w:val="center"/>
              <w:rPr>
                <w:rFonts w:ascii="宋体" w:hAnsi="宋体" w:cs="宋体"/>
                <w:sz w:val="24"/>
              </w:rPr>
            </w:pPr>
            <w:r>
              <w:rPr>
                <w:rFonts w:hint="eastAsia" w:ascii="宋体" w:hAnsi="宋体" w:cs="宋体"/>
                <w:sz w:val="24"/>
              </w:rPr>
              <w:t>≥</w:t>
            </w:r>
            <w:r>
              <w:rPr>
                <w:rFonts w:ascii="宋体" w:hAnsi="宋体" w:cs="宋体"/>
                <w:sz w:val="24"/>
              </w:rPr>
              <w:t>90%</w:t>
            </w:r>
          </w:p>
        </w:tc>
        <w:tc>
          <w:tcPr>
            <w:tcW w:w="737" w:type="dxa"/>
            <w:vAlign w:val="center"/>
          </w:tcPr>
          <w:p w14:paraId="0B6D76FD">
            <w:pPr>
              <w:spacing w:line="560" w:lineRule="exact"/>
              <w:jc w:val="center"/>
              <w:rPr>
                <w:rFonts w:ascii="宋体" w:hAnsi="宋体" w:cs="宋体"/>
                <w:sz w:val="24"/>
              </w:rPr>
            </w:pPr>
            <w:r>
              <w:rPr>
                <w:rFonts w:ascii="宋体" w:hAnsi="宋体" w:cs="宋体"/>
                <w:sz w:val="24"/>
              </w:rPr>
              <w:t>&lt;90%</w:t>
            </w:r>
          </w:p>
        </w:tc>
      </w:tr>
      <w:tr w14:paraId="4588BEB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1952" w:type="dxa"/>
            <w:vAlign w:val="center"/>
          </w:tcPr>
          <w:p w14:paraId="3FE69AEE">
            <w:pPr>
              <w:spacing w:line="560" w:lineRule="exact"/>
              <w:jc w:val="left"/>
              <w:rPr>
                <w:rFonts w:ascii="宋体" w:cs="宋体"/>
                <w:b/>
                <w:sz w:val="24"/>
              </w:rPr>
            </w:pPr>
            <w:r>
              <w:rPr>
                <w:rFonts w:hint="eastAsia" w:ascii="宋体" w:hAnsi="宋体" w:cs="宋体"/>
                <w:b/>
                <w:sz w:val="24"/>
              </w:rPr>
              <w:t>三、工委事务管理</w:t>
            </w:r>
          </w:p>
        </w:tc>
        <w:tc>
          <w:tcPr>
            <w:tcW w:w="1665" w:type="dxa"/>
            <w:vAlign w:val="center"/>
          </w:tcPr>
          <w:p w14:paraId="64F5E917">
            <w:pPr>
              <w:spacing w:line="560" w:lineRule="exact"/>
              <w:jc w:val="left"/>
              <w:rPr>
                <w:rFonts w:ascii="宋体" w:hAnsi="宋体" w:cs="宋体"/>
                <w:sz w:val="24"/>
              </w:rPr>
            </w:pPr>
            <w:r>
              <w:rPr>
                <w:rFonts w:ascii="宋体" w:hAnsi="宋体" w:cs="宋体"/>
                <w:sz w:val="24"/>
              </w:rPr>
              <w:t>0.30</w:t>
            </w:r>
          </w:p>
        </w:tc>
        <w:tc>
          <w:tcPr>
            <w:tcW w:w="2976" w:type="dxa"/>
            <w:vAlign w:val="center"/>
          </w:tcPr>
          <w:p w14:paraId="6E7547E2">
            <w:pPr>
              <w:spacing w:line="560" w:lineRule="exact"/>
              <w:jc w:val="left"/>
              <w:rPr>
                <w:rFonts w:ascii="宋体" w:cs="宋体"/>
                <w:sz w:val="24"/>
              </w:rPr>
            </w:pPr>
            <w:r>
              <w:rPr>
                <w:rFonts w:hint="eastAsia" w:ascii="宋体" w:hAnsi="宋体" w:cs="宋体"/>
                <w:sz w:val="24"/>
              </w:rPr>
              <w:t>完成好县直机关党委、纪委日常业务工作，机关党建网络建设、调研交流工作以及县直机关文化活动开展、反邪教和老龄工作。</w:t>
            </w:r>
          </w:p>
        </w:tc>
        <w:tc>
          <w:tcPr>
            <w:tcW w:w="2976" w:type="dxa"/>
            <w:vAlign w:val="center"/>
          </w:tcPr>
          <w:p w14:paraId="54AECA45">
            <w:pPr>
              <w:spacing w:line="560" w:lineRule="exact"/>
              <w:jc w:val="left"/>
              <w:rPr>
                <w:rFonts w:ascii="宋体" w:cs="宋体"/>
                <w:sz w:val="24"/>
              </w:rPr>
            </w:pPr>
            <w:r>
              <w:rPr>
                <w:rFonts w:hint="eastAsia" w:ascii="宋体" w:hAnsi="宋体" w:cs="宋体"/>
                <w:sz w:val="24"/>
              </w:rPr>
              <w:t>各项工作全部落实</w:t>
            </w:r>
          </w:p>
        </w:tc>
        <w:tc>
          <w:tcPr>
            <w:tcW w:w="1417" w:type="dxa"/>
            <w:vAlign w:val="center"/>
          </w:tcPr>
          <w:p w14:paraId="1B648B6B">
            <w:pPr>
              <w:spacing w:line="560" w:lineRule="exact"/>
              <w:jc w:val="left"/>
              <w:rPr>
                <w:rFonts w:ascii="宋体" w:cs="宋体"/>
                <w:sz w:val="24"/>
              </w:rPr>
            </w:pPr>
          </w:p>
        </w:tc>
        <w:tc>
          <w:tcPr>
            <w:tcW w:w="737" w:type="dxa"/>
            <w:vAlign w:val="center"/>
          </w:tcPr>
          <w:p w14:paraId="5F1A6B05">
            <w:pPr>
              <w:spacing w:line="560" w:lineRule="exact"/>
              <w:jc w:val="center"/>
              <w:rPr>
                <w:rFonts w:ascii="宋体" w:cs="宋体"/>
                <w:sz w:val="24"/>
              </w:rPr>
            </w:pPr>
          </w:p>
        </w:tc>
        <w:tc>
          <w:tcPr>
            <w:tcW w:w="737" w:type="dxa"/>
            <w:vAlign w:val="center"/>
          </w:tcPr>
          <w:p w14:paraId="3F4D0933">
            <w:pPr>
              <w:spacing w:line="560" w:lineRule="exact"/>
              <w:jc w:val="center"/>
              <w:rPr>
                <w:rFonts w:ascii="宋体" w:cs="宋体"/>
                <w:sz w:val="24"/>
              </w:rPr>
            </w:pPr>
          </w:p>
        </w:tc>
        <w:tc>
          <w:tcPr>
            <w:tcW w:w="737" w:type="dxa"/>
            <w:vAlign w:val="center"/>
          </w:tcPr>
          <w:p w14:paraId="0456E1CF">
            <w:pPr>
              <w:spacing w:line="560" w:lineRule="exact"/>
              <w:jc w:val="center"/>
              <w:rPr>
                <w:rFonts w:ascii="宋体" w:cs="宋体"/>
                <w:sz w:val="24"/>
              </w:rPr>
            </w:pPr>
          </w:p>
        </w:tc>
        <w:tc>
          <w:tcPr>
            <w:tcW w:w="737" w:type="dxa"/>
            <w:vAlign w:val="center"/>
          </w:tcPr>
          <w:p w14:paraId="157CE92D">
            <w:pPr>
              <w:spacing w:line="560" w:lineRule="exact"/>
              <w:jc w:val="center"/>
              <w:rPr>
                <w:rFonts w:ascii="宋体" w:cs="宋体"/>
                <w:sz w:val="24"/>
              </w:rPr>
            </w:pPr>
          </w:p>
        </w:tc>
      </w:tr>
      <w:tr w14:paraId="6B4F412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1952" w:type="dxa"/>
            <w:vAlign w:val="center"/>
          </w:tcPr>
          <w:p w14:paraId="5E5F4133">
            <w:pPr>
              <w:spacing w:line="560" w:lineRule="exact"/>
              <w:jc w:val="left"/>
              <w:rPr>
                <w:rFonts w:ascii="宋体" w:cs="宋体"/>
                <w:b/>
                <w:sz w:val="24"/>
              </w:rPr>
            </w:pPr>
            <w:r>
              <w:rPr>
                <w:rFonts w:hint="eastAsia" w:ascii="宋体" w:hAnsi="宋体" w:cs="宋体"/>
                <w:b/>
                <w:sz w:val="24"/>
              </w:rPr>
              <w:t>　　综合业务管理</w:t>
            </w:r>
          </w:p>
        </w:tc>
        <w:tc>
          <w:tcPr>
            <w:tcW w:w="1665" w:type="dxa"/>
            <w:vAlign w:val="center"/>
          </w:tcPr>
          <w:p w14:paraId="3D2712C3">
            <w:pPr>
              <w:spacing w:line="560" w:lineRule="exact"/>
              <w:jc w:val="left"/>
              <w:rPr>
                <w:rFonts w:ascii="宋体" w:hAnsi="宋体" w:cs="宋体"/>
                <w:sz w:val="24"/>
              </w:rPr>
            </w:pPr>
            <w:r>
              <w:rPr>
                <w:rFonts w:ascii="宋体" w:hAnsi="宋体" w:cs="宋体"/>
                <w:sz w:val="24"/>
              </w:rPr>
              <w:t>0.30</w:t>
            </w:r>
          </w:p>
        </w:tc>
        <w:tc>
          <w:tcPr>
            <w:tcW w:w="2976" w:type="dxa"/>
            <w:vAlign w:val="center"/>
          </w:tcPr>
          <w:p w14:paraId="05BA99AC">
            <w:pPr>
              <w:spacing w:line="560" w:lineRule="exact"/>
              <w:jc w:val="left"/>
              <w:rPr>
                <w:rFonts w:ascii="宋体" w:cs="宋体"/>
                <w:sz w:val="24"/>
              </w:rPr>
            </w:pPr>
            <w:r>
              <w:rPr>
                <w:rFonts w:hint="eastAsia" w:ascii="宋体" w:hAnsi="宋体" w:cs="宋体"/>
                <w:sz w:val="24"/>
              </w:rPr>
              <w:t>做好县直机关党委和纪委负责人任免、考核、培训工作；活跃县直机关文化生活，建好机关党建工作信息平台，加强全县机关党建工作调研交流，做好县直反邪教、维稳和老龄协调工作。</w:t>
            </w:r>
          </w:p>
        </w:tc>
        <w:tc>
          <w:tcPr>
            <w:tcW w:w="2976" w:type="dxa"/>
            <w:vAlign w:val="center"/>
          </w:tcPr>
          <w:p w14:paraId="3627E17A">
            <w:pPr>
              <w:spacing w:line="560" w:lineRule="exact"/>
              <w:jc w:val="left"/>
              <w:rPr>
                <w:rFonts w:ascii="宋体" w:cs="宋体"/>
                <w:sz w:val="24"/>
              </w:rPr>
            </w:pPr>
            <w:r>
              <w:rPr>
                <w:rFonts w:hint="eastAsia" w:ascii="宋体" w:hAnsi="宋体" w:cs="宋体"/>
                <w:sz w:val="24"/>
              </w:rPr>
              <w:t>各项工作全部落实。</w:t>
            </w:r>
          </w:p>
        </w:tc>
        <w:tc>
          <w:tcPr>
            <w:tcW w:w="1417" w:type="dxa"/>
            <w:vAlign w:val="center"/>
          </w:tcPr>
          <w:p w14:paraId="6EE75753">
            <w:pPr>
              <w:spacing w:line="560" w:lineRule="exact"/>
              <w:jc w:val="left"/>
              <w:rPr>
                <w:rFonts w:ascii="宋体" w:cs="宋体"/>
                <w:sz w:val="24"/>
              </w:rPr>
            </w:pPr>
            <w:r>
              <w:rPr>
                <w:rFonts w:hint="eastAsia" w:ascii="宋体" w:hAnsi="宋体" w:cs="宋体"/>
                <w:sz w:val="24"/>
              </w:rPr>
              <w:t>综合业务工作完成率</w:t>
            </w:r>
          </w:p>
        </w:tc>
        <w:tc>
          <w:tcPr>
            <w:tcW w:w="737" w:type="dxa"/>
            <w:vAlign w:val="center"/>
          </w:tcPr>
          <w:p w14:paraId="2E19319D">
            <w:pPr>
              <w:spacing w:line="560" w:lineRule="exact"/>
              <w:jc w:val="center"/>
              <w:rPr>
                <w:rFonts w:ascii="宋体" w:hAnsi="宋体" w:cs="宋体"/>
                <w:sz w:val="24"/>
              </w:rPr>
            </w:pPr>
            <w:r>
              <w:rPr>
                <w:rFonts w:ascii="宋体" w:hAnsi="宋体" w:cs="宋体"/>
                <w:sz w:val="24"/>
              </w:rPr>
              <w:t>100%</w:t>
            </w:r>
          </w:p>
        </w:tc>
        <w:tc>
          <w:tcPr>
            <w:tcW w:w="737" w:type="dxa"/>
            <w:vAlign w:val="center"/>
          </w:tcPr>
          <w:p w14:paraId="0E21249A">
            <w:pPr>
              <w:spacing w:line="560" w:lineRule="exact"/>
              <w:jc w:val="center"/>
              <w:rPr>
                <w:rFonts w:ascii="宋体" w:hAnsi="宋体" w:cs="宋体"/>
                <w:sz w:val="24"/>
              </w:rPr>
            </w:pPr>
            <w:r>
              <w:rPr>
                <w:rFonts w:hint="eastAsia" w:ascii="宋体" w:hAnsi="宋体" w:cs="宋体"/>
                <w:sz w:val="24"/>
              </w:rPr>
              <w:t>≥</w:t>
            </w:r>
            <w:r>
              <w:rPr>
                <w:rFonts w:ascii="宋体" w:hAnsi="宋体" w:cs="宋体"/>
                <w:sz w:val="24"/>
              </w:rPr>
              <w:t>95%</w:t>
            </w:r>
          </w:p>
        </w:tc>
        <w:tc>
          <w:tcPr>
            <w:tcW w:w="737" w:type="dxa"/>
            <w:vAlign w:val="center"/>
          </w:tcPr>
          <w:p w14:paraId="3631E7FA">
            <w:pPr>
              <w:spacing w:line="560" w:lineRule="exact"/>
              <w:jc w:val="center"/>
              <w:rPr>
                <w:rFonts w:ascii="宋体" w:hAnsi="宋体" w:cs="宋体"/>
                <w:sz w:val="24"/>
              </w:rPr>
            </w:pPr>
            <w:r>
              <w:rPr>
                <w:rFonts w:hint="eastAsia" w:ascii="宋体" w:hAnsi="宋体" w:cs="宋体"/>
                <w:sz w:val="24"/>
              </w:rPr>
              <w:t>≥</w:t>
            </w:r>
            <w:r>
              <w:rPr>
                <w:rFonts w:ascii="宋体" w:hAnsi="宋体" w:cs="宋体"/>
                <w:sz w:val="24"/>
              </w:rPr>
              <w:t>90%</w:t>
            </w:r>
          </w:p>
        </w:tc>
        <w:tc>
          <w:tcPr>
            <w:tcW w:w="737" w:type="dxa"/>
            <w:vAlign w:val="center"/>
          </w:tcPr>
          <w:p w14:paraId="5BAF49C8">
            <w:pPr>
              <w:spacing w:line="560" w:lineRule="exact"/>
              <w:jc w:val="center"/>
              <w:rPr>
                <w:rFonts w:ascii="宋体" w:hAnsi="宋体" w:cs="宋体"/>
                <w:sz w:val="24"/>
              </w:rPr>
            </w:pPr>
            <w:r>
              <w:rPr>
                <w:rFonts w:ascii="宋体" w:hAnsi="宋体" w:cs="宋体"/>
                <w:sz w:val="24"/>
              </w:rPr>
              <w:t>&lt;90%</w:t>
            </w:r>
          </w:p>
        </w:tc>
      </w:tr>
    </w:tbl>
    <w:p w14:paraId="52201058">
      <w:pPr>
        <w:spacing w:line="560" w:lineRule="exact"/>
        <w:rPr>
          <w:rFonts w:ascii="宋体" w:cs="宋体"/>
          <w:sz w:val="24"/>
        </w:rPr>
        <w:sectPr>
          <w:pgSz w:w="16783" w:h="11850" w:orient="landscape"/>
          <w:pgMar w:top="1797" w:right="1440" w:bottom="1797" w:left="1361" w:header="851" w:footer="992" w:gutter="0"/>
          <w:cols w:space="720" w:num="1"/>
          <w:docGrid w:type="lines" w:linePitch="312" w:charSpace="0"/>
        </w:sectPr>
      </w:pPr>
    </w:p>
    <w:p w14:paraId="51D2DDEA">
      <w:pPr>
        <w:widowControl/>
        <w:spacing w:line="560" w:lineRule="exact"/>
        <w:rPr>
          <w:rFonts w:ascii="仿宋" w:hAnsi="仿宋" w:eastAsia="仿宋" w:cs="仿宋"/>
          <w:kern w:val="0"/>
          <w:sz w:val="32"/>
          <w:szCs w:val="32"/>
        </w:rPr>
      </w:pPr>
      <w:r>
        <w:rPr>
          <w:rFonts w:ascii="仿宋" w:hAnsi="仿宋" w:eastAsia="仿宋" w:cs="仿宋"/>
          <w:bCs/>
          <w:kern w:val="0"/>
          <w:sz w:val="32"/>
          <w:szCs w:val="32"/>
        </w:rPr>
        <w:t xml:space="preserve">    </w:t>
      </w:r>
      <w:r>
        <w:rPr>
          <w:rFonts w:hint="eastAsia" w:ascii="仿宋" w:hAnsi="仿宋" w:eastAsia="仿宋" w:cs="仿宋"/>
          <w:bCs/>
          <w:kern w:val="0"/>
          <w:sz w:val="32"/>
          <w:szCs w:val="32"/>
        </w:rPr>
        <w:t>六、政府采购预算情况</w:t>
      </w:r>
      <w:r>
        <w:rPr>
          <w:rFonts w:ascii="仿宋" w:hAnsi="仿宋" w:eastAsia="仿宋" w:cs="仿宋"/>
          <w:bCs/>
          <w:kern w:val="0"/>
          <w:sz w:val="32"/>
          <w:szCs w:val="32"/>
        </w:rPr>
        <w:t xml:space="preserve"> </w:t>
      </w:r>
    </w:p>
    <w:p w14:paraId="36085133">
      <w:pPr>
        <w:widowControl/>
        <w:spacing w:line="560" w:lineRule="exact"/>
        <w:rPr>
          <w:rFonts w:ascii="仿宋" w:hAnsi="仿宋" w:eastAsia="仿宋" w:cs="仿宋"/>
          <w:kern w:val="0"/>
          <w:sz w:val="32"/>
          <w:szCs w:val="32"/>
        </w:rPr>
      </w:pPr>
      <w:r>
        <w:rPr>
          <w:rFonts w:ascii="仿宋" w:hAnsi="仿宋" w:eastAsia="仿宋" w:cs="仿宋"/>
          <w:kern w:val="0"/>
          <w:sz w:val="32"/>
          <w:szCs w:val="32"/>
        </w:rPr>
        <w:t xml:space="preserve">    2017</w:t>
      </w:r>
      <w:r>
        <w:rPr>
          <w:rFonts w:hint="eastAsia" w:ascii="仿宋" w:hAnsi="仿宋" w:eastAsia="仿宋" w:cs="仿宋"/>
          <w:kern w:val="0"/>
          <w:sz w:val="32"/>
          <w:szCs w:val="32"/>
        </w:rPr>
        <w:t>年我单位无政府采购预算。</w:t>
      </w:r>
    </w:p>
    <w:p w14:paraId="292753E8">
      <w:pPr>
        <w:widowControl/>
        <w:spacing w:line="560" w:lineRule="exact"/>
        <w:rPr>
          <w:rFonts w:ascii="仿宋" w:hAnsi="仿宋" w:eastAsia="仿宋" w:cs="仿宋"/>
          <w:kern w:val="0"/>
          <w:sz w:val="32"/>
          <w:szCs w:val="32"/>
        </w:rPr>
      </w:pPr>
      <w:r>
        <w:rPr>
          <w:rFonts w:ascii="仿宋" w:hAnsi="仿宋" w:eastAsia="仿宋" w:cs="仿宋"/>
          <w:kern w:val="0"/>
          <w:sz w:val="32"/>
          <w:szCs w:val="32"/>
        </w:rPr>
        <w:t xml:space="preserve">    </w:t>
      </w:r>
      <w:r>
        <w:rPr>
          <w:rFonts w:hint="eastAsia" w:ascii="仿宋" w:hAnsi="仿宋" w:eastAsia="仿宋" w:cs="仿宋"/>
          <w:kern w:val="0"/>
          <w:sz w:val="32"/>
          <w:szCs w:val="32"/>
        </w:rPr>
        <w:t>七</w:t>
      </w:r>
      <w:r>
        <w:rPr>
          <w:rFonts w:hint="eastAsia" w:ascii="仿宋" w:hAnsi="仿宋" w:eastAsia="仿宋" w:cs="仿宋"/>
          <w:bCs/>
          <w:kern w:val="0"/>
          <w:sz w:val="32"/>
          <w:szCs w:val="32"/>
        </w:rPr>
        <w:t>、国有资产信息情况</w:t>
      </w:r>
    </w:p>
    <w:p w14:paraId="01D1D5D2">
      <w:pPr>
        <w:pStyle w:val="4"/>
        <w:shd w:val="clear" w:color="auto" w:fill="FFFFFF"/>
        <w:spacing w:line="560" w:lineRule="exact"/>
        <w:ind w:firstLine="640"/>
        <w:rPr>
          <w:rFonts w:ascii="仿宋" w:hAnsi="仿宋" w:eastAsia="仿宋" w:cs="仿宋"/>
          <w:sz w:val="32"/>
          <w:szCs w:val="32"/>
        </w:rPr>
      </w:pPr>
      <w:r>
        <w:rPr>
          <w:rFonts w:hint="eastAsia" w:ascii="仿宋" w:hAnsi="仿宋" w:eastAsia="仿宋" w:cs="仿宋"/>
          <w:bCs/>
          <w:sz w:val="32"/>
          <w:szCs w:val="32"/>
        </w:rPr>
        <w:t>机关工委在县委大楼五楼办公，共占用三间房。上年</w:t>
      </w:r>
      <w:r>
        <w:rPr>
          <w:rFonts w:hint="eastAsia" w:ascii="仿宋" w:hAnsi="仿宋" w:eastAsia="仿宋" w:cs="仿宋"/>
          <w:sz w:val="32"/>
          <w:szCs w:val="32"/>
        </w:rPr>
        <w:t>末固定资产总额</w:t>
      </w:r>
      <w:r>
        <w:rPr>
          <w:rFonts w:ascii="仿宋" w:hAnsi="仿宋" w:eastAsia="仿宋" w:cs="仿宋"/>
          <w:sz w:val="32"/>
          <w:szCs w:val="32"/>
        </w:rPr>
        <w:t>2.01</w:t>
      </w:r>
      <w:r>
        <w:rPr>
          <w:rFonts w:hint="eastAsia" w:ascii="仿宋" w:hAnsi="仿宋" w:eastAsia="仿宋" w:cs="仿宋"/>
          <w:sz w:val="32"/>
          <w:szCs w:val="32"/>
        </w:rPr>
        <w:t>万元</w:t>
      </w:r>
      <w:r>
        <w:rPr>
          <w:rFonts w:ascii="仿宋" w:hAnsi="仿宋" w:eastAsia="仿宋" w:cs="仿宋"/>
          <w:sz w:val="32"/>
          <w:szCs w:val="32"/>
        </w:rPr>
        <w:t xml:space="preserve">, </w:t>
      </w:r>
      <w:r>
        <w:rPr>
          <w:rFonts w:hint="eastAsia" w:ascii="仿宋" w:hAnsi="仿宋" w:eastAsia="仿宋" w:cs="仿宋"/>
          <w:sz w:val="32"/>
          <w:szCs w:val="32"/>
        </w:rPr>
        <w:t>本年度拟购置办公电脑一台金额</w:t>
      </w:r>
      <w:r>
        <w:rPr>
          <w:rFonts w:ascii="仿宋" w:hAnsi="仿宋" w:eastAsia="仿宋" w:cs="仿宋"/>
          <w:sz w:val="32"/>
          <w:szCs w:val="32"/>
        </w:rPr>
        <w:t>0.44</w:t>
      </w:r>
      <w:r>
        <w:rPr>
          <w:rFonts w:hint="eastAsia" w:ascii="仿宋" w:hAnsi="仿宋" w:eastAsia="仿宋" w:cs="仿宋"/>
          <w:sz w:val="32"/>
          <w:szCs w:val="32"/>
        </w:rPr>
        <w:t>万元。</w:t>
      </w:r>
      <w:r>
        <w:rPr>
          <w:rFonts w:ascii="仿宋" w:hAnsi="仿宋" w:eastAsia="仿宋" w:cs="仿宋"/>
          <w:sz w:val="32"/>
          <w:szCs w:val="32"/>
        </w:rPr>
        <w:t xml:space="preserve">         </w:t>
      </w:r>
    </w:p>
    <w:p w14:paraId="2A4AA31D">
      <w:pPr>
        <w:pStyle w:val="4"/>
        <w:shd w:val="clear" w:color="auto" w:fill="FFFFFF"/>
        <w:spacing w:line="560" w:lineRule="exact"/>
        <w:ind w:firstLine="640"/>
        <w:rPr>
          <w:rFonts w:ascii="仿宋" w:hAnsi="仿宋" w:eastAsia="仿宋" w:cs="仿宋"/>
          <w:sz w:val="32"/>
          <w:szCs w:val="32"/>
        </w:rPr>
      </w:pPr>
      <w:r>
        <w:rPr>
          <w:rFonts w:ascii="仿宋" w:hAnsi="仿宋" w:eastAsia="仿宋" w:cs="仿宋"/>
          <w:sz w:val="32"/>
          <w:szCs w:val="32"/>
        </w:rPr>
        <w:t xml:space="preserve">            </w:t>
      </w:r>
      <w:r>
        <w:rPr>
          <w:rFonts w:hint="eastAsia" w:ascii="仿宋" w:hAnsi="仿宋" w:eastAsia="仿宋" w:cs="仿宋"/>
          <w:sz w:val="32"/>
          <w:szCs w:val="32"/>
        </w:rPr>
        <w:t>固定资产占用情况表</w:t>
      </w:r>
    </w:p>
    <w:p w14:paraId="0DF0D094">
      <w:pPr>
        <w:pStyle w:val="4"/>
        <w:shd w:val="clear" w:color="auto" w:fill="FFFFFF"/>
        <w:spacing w:line="560" w:lineRule="exact"/>
        <w:ind w:firstLine="640"/>
        <w:rPr>
          <w:rFonts w:ascii="仿宋" w:hAnsi="仿宋" w:eastAsia="仿宋" w:cs="仿宋"/>
          <w:sz w:val="32"/>
          <w:szCs w:val="32"/>
        </w:rPr>
      </w:pPr>
      <w:r>
        <w:rPr>
          <w:rFonts w:ascii="仿宋" w:hAnsi="仿宋" w:eastAsia="仿宋" w:cs="仿宋"/>
          <w:sz w:val="32"/>
          <w:szCs w:val="32"/>
        </w:rPr>
        <w:t xml:space="preserve">                     </w:t>
      </w:r>
      <w:r>
        <w:rPr>
          <w:rFonts w:hint="eastAsia" w:ascii="仿宋" w:hAnsi="仿宋" w:eastAsia="仿宋" w:cs="仿宋"/>
          <w:bCs/>
          <w:color w:val="000000"/>
          <w:sz w:val="32"/>
          <w:szCs w:val="32"/>
        </w:rPr>
        <w:t>截止时间：</w:t>
      </w:r>
      <w:r>
        <w:rPr>
          <w:rFonts w:ascii="仿宋" w:hAnsi="仿宋" w:eastAsia="仿宋" w:cs="仿宋"/>
          <w:bCs/>
          <w:color w:val="000000"/>
          <w:sz w:val="32"/>
          <w:szCs w:val="32"/>
        </w:rPr>
        <w:t>2016</w:t>
      </w:r>
      <w:r>
        <w:rPr>
          <w:rFonts w:hint="eastAsia" w:ascii="仿宋" w:hAnsi="仿宋" w:eastAsia="仿宋" w:cs="仿宋"/>
          <w:bCs/>
          <w:color w:val="000000"/>
          <w:sz w:val="32"/>
          <w:szCs w:val="32"/>
        </w:rPr>
        <w:t>年</w:t>
      </w:r>
      <w:r>
        <w:rPr>
          <w:rFonts w:ascii="仿宋" w:hAnsi="仿宋" w:eastAsia="仿宋" w:cs="仿宋"/>
          <w:bCs/>
          <w:color w:val="000000"/>
          <w:sz w:val="32"/>
          <w:szCs w:val="32"/>
        </w:rPr>
        <w:t>12</w:t>
      </w:r>
      <w:r>
        <w:rPr>
          <w:rFonts w:hint="eastAsia" w:ascii="仿宋" w:hAnsi="仿宋" w:eastAsia="仿宋" w:cs="仿宋"/>
          <w:bCs/>
          <w:color w:val="000000"/>
          <w:sz w:val="32"/>
          <w:szCs w:val="32"/>
        </w:rPr>
        <w:t>月</w:t>
      </w:r>
      <w:r>
        <w:rPr>
          <w:rFonts w:ascii="仿宋" w:hAnsi="仿宋" w:eastAsia="仿宋" w:cs="仿宋"/>
          <w:bCs/>
          <w:color w:val="000000"/>
          <w:sz w:val="32"/>
          <w:szCs w:val="32"/>
        </w:rPr>
        <w:t>31</w:t>
      </w:r>
      <w:r>
        <w:rPr>
          <w:rFonts w:hint="eastAsia" w:ascii="仿宋" w:hAnsi="仿宋" w:eastAsia="仿宋" w:cs="仿宋"/>
          <w:bCs/>
          <w:color w:val="000000"/>
          <w:sz w:val="32"/>
          <w:szCs w:val="32"/>
        </w:rPr>
        <w:t>日</w:t>
      </w:r>
      <w:r>
        <w:rPr>
          <w:rFonts w:ascii="仿宋" w:hAnsi="仿宋" w:eastAsia="仿宋" w:cs="仿宋"/>
          <w:sz w:val="32"/>
          <w:szCs w:val="32"/>
        </w:rPr>
        <w:t xml:space="preserve">   </w:t>
      </w:r>
    </w:p>
    <w:tbl>
      <w:tblPr>
        <w:tblStyle w:val="5"/>
        <w:tblW w:w="87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44"/>
        <w:gridCol w:w="1033"/>
        <w:gridCol w:w="3902"/>
      </w:tblGrid>
      <w:tr w14:paraId="0AA80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44" w:type="dxa"/>
            <w:vAlign w:val="center"/>
          </w:tcPr>
          <w:p w14:paraId="1562599F">
            <w:pPr>
              <w:widowControl/>
              <w:spacing w:line="560" w:lineRule="exact"/>
              <w:jc w:val="center"/>
              <w:rPr>
                <w:rFonts w:ascii="宋体" w:cs="宋体"/>
                <w:sz w:val="32"/>
                <w:szCs w:val="32"/>
              </w:rPr>
            </w:pPr>
            <w:r>
              <w:rPr>
                <w:rFonts w:hint="eastAsia" w:ascii="宋体" w:hAnsi="宋体" w:cs="宋体"/>
                <w:b/>
                <w:bCs/>
                <w:color w:val="000000"/>
                <w:kern w:val="0"/>
                <w:sz w:val="32"/>
                <w:szCs w:val="32"/>
              </w:rPr>
              <w:t>项　　目</w:t>
            </w:r>
          </w:p>
        </w:tc>
        <w:tc>
          <w:tcPr>
            <w:tcW w:w="1033" w:type="dxa"/>
            <w:vAlign w:val="center"/>
          </w:tcPr>
          <w:p w14:paraId="51705B67">
            <w:pPr>
              <w:widowControl/>
              <w:spacing w:line="560" w:lineRule="exact"/>
              <w:jc w:val="center"/>
              <w:rPr>
                <w:rFonts w:ascii="宋体" w:cs="宋体"/>
                <w:sz w:val="32"/>
                <w:szCs w:val="32"/>
              </w:rPr>
            </w:pPr>
            <w:r>
              <w:rPr>
                <w:rFonts w:hint="eastAsia" w:ascii="宋体" w:hAnsi="宋体" w:cs="宋体"/>
                <w:b/>
                <w:bCs/>
                <w:color w:val="000000"/>
                <w:kern w:val="0"/>
                <w:sz w:val="32"/>
                <w:szCs w:val="32"/>
              </w:rPr>
              <w:t>数量</w:t>
            </w:r>
          </w:p>
        </w:tc>
        <w:tc>
          <w:tcPr>
            <w:tcW w:w="3902" w:type="dxa"/>
            <w:vAlign w:val="center"/>
          </w:tcPr>
          <w:p w14:paraId="6BCAAC72">
            <w:pPr>
              <w:widowControl/>
              <w:spacing w:line="560" w:lineRule="exact"/>
              <w:jc w:val="center"/>
              <w:rPr>
                <w:rFonts w:ascii="宋体" w:cs="宋体"/>
                <w:sz w:val="32"/>
                <w:szCs w:val="32"/>
              </w:rPr>
            </w:pPr>
            <w:r>
              <w:rPr>
                <w:rFonts w:hint="eastAsia" w:ascii="宋体" w:hAnsi="宋体" w:cs="宋体"/>
                <w:b/>
                <w:bCs/>
                <w:color w:val="000000"/>
                <w:kern w:val="0"/>
                <w:sz w:val="32"/>
                <w:szCs w:val="32"/>
              </w:rPr>
              <w:t>价值（单位：万元）</w:t>
            </w:r>
          </w:p>
        </w:tc>
      </w:tr>
      <w:tr w14:paraId="329AF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44" w:type="dxa"/>
            <w:vAlign w:val="center"/>
          </w:tcPr>
          <w:p w14:paraId="43E4737F">
            <w:pPr>
              <w:widowControl/>
              <w:spacing w:line="560" w:lineRule="exact"/>
              <w:jc w:val="center"/>
              <w:rPr>
                <w:rFonts w:ascii="宋体" w:cs="宋体"/>
                <w:sz w:val="32"/>
                <w:szCs w:val="32"/>
              </w:rPr>
            </w:pPr>
            <w:r>
              <w:rPr>
                <w:rFonts w:hint="eastAsia" w:ascii="宋体" w:hAnsi="宋体" w:cs="宋体"/>
                <w:b/>
                <w:bCs/>
                <w:color w:val="000000"/>
                <w:kern w:val="0"/>
                <w:sz w:val="32"/>
                <w:szCs w:val="32"/>
              </w:rPr>
              <w:t>固定资产总额</w:t>
            </w:r>
          </w:p>
        </w:tc>
        <w:tc>
          <w:tcPr>
            <w:tcW w:w="1033" w:type="dxa"/>
            <w:vAlign w:val="center"/>
          </w:tcPr>
          <w:p w14:paraId="71365735">
            <w:pPr>
              <w:widowControl/>
              <w:spacing w:line="560" w:lineRule="exact"/>
              <w:jc w:val="center"/>
              <w:rPr>
                <w:rFonts w:ascii="宋体" w:cs="宋体"/>
                <w:sz w:val="32"/>
                <w:szCs w:val="32"/>
              </w:rPr>
            </w:pPr>
            <w:r>
              <w:rPr>
                <w:rFonts w:ascii="宋体" w:hAnsi="宋体" w:cs="宋体"/>
                <w:color w:val="000000"/>
                <w:kern w:val="0"/>
                <w:sz w:val="32"/>
                <w:szCs w:val="32"/>
              </w:rPr>
              <w:t>—</w:t>
            </w:r>
          </w:p>
        </w:tc>
        <w:tc>
          <w:tcPr>
            <w:tcW w:w="3902" w:type="dxa"/>
            <w:vAlign w:val="center"/>
          </w:tcPr>
          <w:p w14:paraId="69BAA3D1">
            <w:pPr>
              <w:spacing w:line="560" w:lineRule="exact"/>
              <w:jc w:val="center"/>
              <w:rPr>
                <w:rFonts w:ascii="宋体" w:hAnsi="宋体" w:cs="宋体"/>
                <w:color w:val="000000"/>
                <w:kern w:val="0"/>
                <w:sz w:val="32"/>
                <w:szCs w:val="32"/>
              </w:rPr>
            </w:pPr>
            <w:r>
              <w:rPr>
                <w:rFonts w:ascii="宋体" w:hAnsi="宋体" w:cs="宋体"/>
                <w:color w:val="000000"/>
                <w:kern w:val="0"/>
                <w:sz w:val="32"/>
                <w:szCs w:val="32"/>
              </w:rPr>
              <w:t>2.01</w:t>
            </w:r>
          </w:p>
        </w:tc>
      </w:tr>
      <w:tr w14:paraId="50908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44" w:type="dxa"/>
            <w:vAlign w:val="center"/>
          </w:tcPr>
          <w:p w14:paraId="0EB545FB">
            <w:pPr>
              <w:widowControl/>
              <w:spacing w:line="560" w:lineRule="exact"/>
              <w:jc w:val="left"/>
              <w:rPr>
                <w:rFonts w:ascii="宋体" w:cs="宋体"/>
                <w:sz w:val="32"/>
                <w:szCs w:val="32"/>
              </w:rPr>
            </w:pPr>
            <w:r>
              <w:rPr>
                <w:rFonts w:ascii="宋体" w:hAnsi="宋体" w:cs="宋体"/>
                <w:color w:val="000000"/>
                <w:kern w:val="0"/>
                <w:sz w:val="32"/>
                <w:szCs w:val="32"/>
              </w:rPr>
              <w:t xml:space="preserve">  1</w:t>
            </w:r>
            <w:r>
              <w:rPr>
                <w:rFonts w:hint="eastAsia" w:ascii="宋体" w:hAnsi="宋体" w:cs="宋体"/>
                <w:color w:val="000000"/>
                <w:kern w:val="0"/>
                <w:sz w:val="32"/>
                <w:szCs w:val="32"/>
              </w:rPr>
              <w:t>、房屋（平方米）</w:t>
            </w:r>
          </w:p>
        </w:tc>
        <w:tc>
          <w:tcPr>
            <w:tcW w:w="1033" w:type="dxa"/>
            <w:vAlign w:val="center"/>
          </w:tcPr>
          <w:p w14:paraId="47AA470B">
            <w:pPr>
              <w:widowControl/>
              <w:spacing w:line="560" w:lineRule="exact"/>
              <w:jc w:val="center"/>
              <w:rPr>
                <w:rFonts w:ascii="宋体" w:cs="宋体"/>
                <w:sz w:val="32"/>
                <w:szCs w:val="32"/>
              </w:rPr>
            </w:pPr>
          </w:p>
        </w:tc>
        <w:tc>
          <w:tcPr>
            <w:tcW w:w="3902" w:type="dxa"/>
            <w:vAlign w:val="center"/>
          </w:tcPr>
          <w:p w14:paraId="253BFA77">
            <w:pPr>
              <w:spacing w:line="560" w:lineRule="exact"/>
              <w:jc w:val="center"/>
              <w:rPr>
                <w:rFonts w:ascii="宋体" w:cs="宋体"/>
                <w:color w:val="000000"/>
                <w:kern w:val="0"/>
                <w:sz w:val="32"/>
                <w:szCs w:val="32"/>
              </w:rPr>
            </w:pPr>
          </w:p>
        </w:tc>
      </w:tr>
      <w:tr w14:paraId="73EB1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44" w:type="dxa"/>
            <w:vAlign w:val="center"/>
          </w:tcPr>
          <w:p w14:paraId="519AD114">
            <w:pPr>
              <w:spacing w:line="560" w:lineRule="exact"/>
              <w:jc w:val="left"/>
              <w:rPr>
                <w:rFonts w:ascii="宋体" w:cs="宋体"/>
                <w:sz w:val="32"/>
                <w:szCs w:val="32"/>
              </w:rPr>
            </w:pPr>
            <w:r>
              <w:rPr>
                <w:rFonts w:ascii="宋体" w:hAnsi="宋体" w:cs="宋体"/>
                <w:color w:val="000000"/>
                <w:kern w:val="0"/>
                <w:sz w:val="32"/>
                <w:szCs w:val="32"/>
              </w:rPr>
              <w:t xml:space="preserve">   </w:t>
            </w:r>
            <w:r>
              <w:rPr>
                <w:rFonts w:hint="eastAsia" w:ascii="宋体" w:hAnsi="宋体" w:cs="宋体"/>
                <w:color w:val="000000"/>
                <w:kern w:val="0"/>
                <w:sz w:val="32"/>
                <w:szCs w:val="32"/>
              </w:rPr>
              <w:t>其中：办公用房（平方米）</w:t>
            </w:r>
          </w:p>
        </w:tc>
        <w:tc>
          <w:tcPr>
            <w:tcW w:w="1033" w:type="dxa"/>
            <w:vAlign w:val="center"/>
          </w:tcPr>
          <w:p w14:paraId="05AB302D">
            <w:pPr>
              <w:spacing w:line="560" w:lineRule="exact"/>
              <w:jc w:val="center"/>
              <w:rPr>
                <w:rFonts w:ascii="宋体" w:cs="宋体"/>
                <w:sz w:val="32"/>
                <w:szCs w:val="32"/>
              </w:rPr>
            </w:pPr>
          </w:p>
        </w:tc>
        <w:tc>
          <w:tcPr>
            <w:tcW w:w="3902" w:type="dxa"/>
            <w:vAlign w:val="center"/>
          </w:tcPr>
          <w:p w14:paraId="5E94C246">
            <w:pPr>
              <w:spacing w:line="560" w:lineRule="exact"/>
              <w:jc w:val="center"/>
              <w:rPr>
                <w:rFonts w:ascii="宋体" w:cs="宋体"/>
                <w:color w:val="000000"/>
                <w:kern w:val="0"/>
                <w:sz w:val="32"/>
                <w:szCs w:val="32"/>
              </w:rPr>
            </w:pPr>
          </w:p>
        </w:tc>
      </w:tr>
      <w:tr w14:paraId="5C6DD6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44" w:type="dxa"/>
            <w:vAlign w:val="center"/>
          </w:tcPr>
          <w:p w14:paraId="49D9CDCF">
            <w:pPr>
              <w:widowControl/>
              <w:spacing w:line="560" w:lineRule="exact"/>
              <w:jc w:val="left"/>
              <w:rPr>
                <w:rFonts w:ascii="宋体" w:cs="宋体"/>
                <w:sz w:val="32"/>
                <w:szCs w:val="32"/>
              </w:rPr>
            </w:pPr>
            <w:r>
              <w:rPr>
                <w:rFonts w:ascii="宋体" w:hAnsi="宋体" w:cs="宋体"/>
                <w:color w:val="000000"/>
                <w:kern w:val="0"/>
                <w:sz w:val="32"/>
                <w:szCs w:val="32"/>
              </w:rPr>
              <w:t xml:space="preserve">  2</w:t>
            </w:r>
            <w:r>
              <w:rPr>
                <w:rFonts w:hint="eastAsia" w:ascii="宋体" w:hAnsi="宋体" w:cs="宋体"/>
                <w:color w:val="000000"/>
                <w:kern w:val="0"/>
                <w:sz w:val="32"/>
                <w:szCs w:val="32"/>
              </w:rPr>
              <w:t>、车辆（台、辆）</w:t>
            </w:r>
          </w:p>
        </w:tc>
        <w:tc>
          <w:tcPr>
            <w:tcW w:w="1033" w:type="dxa"/>
            <w:vAlign w:val="center"/>
          </w:tcPr>
          <w:p w14:paraId="5383EB93">
            <w:pPr>
              <w:widowControl/>
              <w:spacing w:line="560" w:lineRule="exact"/>
              <w:jc w:val="center"/>
              <w:rPr>
                <w:rFonts w:ascii="宋体" w:cs="宋体"/>
                <w:sz w:val="32"/>
                <w:szCs w:val="32"/>
              </w:rPr>
            </w:pPr>
          </w:p>
        </w:tc>
        <w:tc>
          <w:tcPr>
            <w:tcW w:w="3902" w:type="dxa"/>
            <w:vAlign w:val="center"/>
          </w:tcPr>
          <w:p w14:paraId="77511EB6">
            <w:pPr>
              <w:widowControl/>
              <w:spacing w:line="560" w:lineRule="exact"/>
              <w:jc w:val="center"/>
              <w:rPr>
                <w:rFonts w:ascii="宋体" w:cs="宋体"/>
                <w:sz w:val="32"/>
                <w:szCs w:val="32"/>
              </w:rPr>
            </w:pPr>
          </w:p>
        </w:tc>
      </w:tr>
      <w:tr w14:paraId="1BDED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844" w:type="dxa"/>
            <w:vAlign w:val="center"/>
          </w:tcPr>
          <w:p w14:paraId="2F0203CA">
            <w:pPr>
              <w:widowControl/>
              <w:spacing w:line="560" w:lineRule="exact"/>
              <w:jc w:val="left"/>
              <w:rPr>
                <w:rFonts w:ascii="宋体" w:cs="宋体"/>
                <w:sz w:val="32"/>
                <w:szCs w:val="32"/>
              </w:rPr>
            </w:pPr>
            <w:r>
              <w:rPr>
                <w:rFonts w:ascii="宋体" w:hAnsi="宋体" w:cs="宋体"/>
                <w:color w:val="000000"/>
                <w:kern w:val="0"/>
                <w:sz w:val="32"/>
                <w:szCs w:val="32"/>
              </w:rPr>
              <w:t xml:space="preserve">  3</w:t>
            </w:r>
            <w:r>
              <w:rPr>
                <w:rFonts w:hint="eastAsia" w:ascii="宋体" w:hAnsi="宋体" w:cs="宋体"/>
                <w:color w:val="000000"/>
                <w:kern w:val="0"/>
                <w:sz w:val="32"/>
                <w:szCs w:val="32"/>
              </w:rPr>
              <w:t>、单价在</w:t>
            </w:r>
            <w:r>
              <w:rPr>
                <w:rFonts w:ascii="宋体" w:hAnsi="宋体" w:cs="宋体"/>
                <w:color w:val="000000"/>
                <w:kern w:val="0"/>
                <w:sz w:val="32"/>
                <w:szCs w:val="32"/>
              </w:rPr>
              <w:t>20</w:t>
            </w:r>
            <w:r>
              <w:rPr>
                <w:rFonts w:hint="eastAsia" w:ascii="宋体" w:hAnsi="宋体" w:cs="宋体"/>
                <w:color w:val="000000"/>
                <w:kern w:val="0"/>
                <w:sz w:val="32"/>
                <w:szCs w:val="32"/>
              </w:rPr>
              <w:t>万元以上的设备</w:t>
            </w:r>
          </w:p>
        </w:tc>
        <w:tc>
          <w:tcPr>
            <w:tcW w:w="1033" w:type="dxa"/>
            <w:vAlign w:val="center"/>
          </w:tcPr>
          <w:p w14:paraId="602E646B">
            <w:pPr>
              <w:widowControl/>
              <w:spacing w:line="560" w:lineRule="exact"/>
              <w:jc w:val="center"/>
              <w:rPr>
                <w:rFonts w:ascii="宋体" w:cs="宋体"/>
                <w:sz w:val="32"/>
                <w:szCs w:val="32"/>
              </w:rPr>
            </w:pPr>
            <w:r>
              <w:rPr>
                <w:rFonts w:ascii="宋体" w:hAnsi="宋体" w:cs="宋体"/>
                <w:color w:val="000000"/>
                <w:kern w:val="0"/>
                <w:sz w:val="32"/>
                <w:szCs w:val="32"/>
              </w:rPr>
              <w:t>—</w:t>
            </w:r>
          </w:p>
        </w:tc>
        <w:tc>
          <w:tcPr>
            <w:tcW w:w="3902" w:type="dxa"/>
            <w:vAlign w:val="center"/>
          </w:tcPr>
          <w:p w14:paraId="58D196D1">
            <w:pPr>
              <w:widowControl/>
              <w:spacing w:line="560" w:lineRule="exact"/>
              <w:jc w:val="center"/>
              <w:rPr>
                <w:rFonts w:ascii="宋体" w:cs="宋体"/>
                <w:sz w:val="32"/>
                <w:szCs w:val="32"/>
              </w:rPr>
            </w:pPr>
            <w:r>
              <w:rPr>
                <w:rFonts w:ascii="宋体" w:cs="宋体"/>
                <w:color w:val="000000"/>
                <w:kern w:val="0"/>
                <w:sz w:val="32"/>
                <w:szCs w:val="32"/>
              </w:rPr>
              <w:t>0.00</w:t>
            </w:r>
          </w:p>
        </w:tc>
      </w:tr>
      <w:tr w14:paraId="765A1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44" w:type="dxa"/>
            <w:vAlign w:val="center"/>
          </w:tcPr>
          <w:p w14:paraId="462E46CA">
            <w:pPr>
              <w:spacing w:line="560" w:lineRule="exact"/>
              <w:jc w:val="left"/>
              <w:rPr>
                <w:rFonts w:ascii="宋体" w:cs="宋体"/>
                <w:sz w:val="32"/>
                <w:szCs w:val="32"/>
              </w:rPr>
            </w:pPr>
            <w:r>
              <w:rPr>
                <w:rFonts w:ascii="宋体" w:hAnsi="宋体" w:cs="宋体"/>
                <w:color w:val="000000"/>
                <w:kern w:val="0"/>
                <w:sz w:val="32"/>
                <w:szCs w:val="32"/>
              </w:rPr>
              <w:t xml:space="preserve">  4</w:t>
            </w:r>
            <w:r>
              <w:rPr>
                <w:rFonts w:hint="eastAsia" w:ascii="宋体" w:hAnsi="宋体" w:cs="宋体"/>
                <w:color w:val="000000"/>
                <w:kern w:val="0"/>
                <w:sz w:val="32"/>
                <w:szCs w:val="32"/>
              </w:rPr>
              <w:t>、其他固定资产</w:t>
            </w:r>
          </w:p>
        </w:tc>
        <w:tc>
          <w:tcPr>
            <w:tcW w:w="1033" w:type="dxa"/>
            <w:vAlign w:val="center"/>
          </w:tcPr>
          <w:p w14:paraId="55E5FF76">
            <w:pPr>
              <w:spacing w:line="560" w:lineRule="exact"/>
              <w:jc w:val="center"/>
              <w:rPr>
                <w:rFonts w:ascii="宋体" w:cs="宋体"/>
                <w:sz w:val="32"/>
                <w:szCs w:val="32"/>
              </w:rPr>
            </w:pPr>
            <w:r>
              <w:rPr>
                <w:rFonts w:ascii="宋体" w:hAnsi="宋体" w:cs="宋体"/>
                <w:color w:val="000000"/>
                <w:kern w:val="0"/>
                <w:sz w:val="32"/>
                <w:szCs w:val="32"/>
              </w:rPr>
              <w:t>—</w:t>
            </w:r>
          </w:p>
        </w:tc>
        <w:tc>
          <w:tcPr>
            <w:tcW w:w="3902" w:type="dxa"/>
            <w:vAlign w:val="center"/>
          </w:tcPr>
          <w:p w14:paraId="53482017">
            <w:pPr>
              <w:spacing w:line="560" w:lineRule="exact"/>
              <w:jc w:val="center"/>
              <w:rPr>
                <w:rFonts w:ascii="宋体" w:cs="宋体"/>
                <w:sz w:val="32"/>
                <w:szCs w:val="32"/>
              </w:rPr>
            </w:pPr>
            <w:r>
              <w:rPr>
                <w:rFonts w:ascii="宋体" w:hAnsi="宋体" w:cs="宋体"/>
                <w:color w:val="000000"/>
                <w:kern w:val="0"/>
                <w:sz w:val="32"/>
                <w:szCs w:val="32"/>
              </w:rPr>
              <w:t>2.01</w:t>
            </w:r>
          </w:p>
        </w:tc>
      </w:tr>
    </w:tbl>
    <w:p w14:paraId="23F66423">
      <w:pPr>
        <w:widowControl/>
        <w:spacing w:line="560" w:lineRule="exact"/>
        <w:rPr>
          <w:rFonts w:ascii="仿宋" w:hAnsi="仿宋" w:eastAsia="仿宋" w:cs="仿宋"/>
          <w:kern w:val="0"/>
          <w:sz w:val="32"/>
          <w:szCs w:val="32"/>
        </w:rPr>
      </w:pPr>
      <w:r>
        <w:rPr>
          <w:rFonts w:ascii="仿宋" w:hAnsi="仿宋" w:eastAsia="仿宋" w:cs="仿宋"/>
          <w:kern w:val="0"/>
          <w:sz w:val="32"/>
          <w:szCs w:val="32"/>
        </w:rPr>
        <w:t xml:space="preserve">  </w:t>
      </w:r>
      <w:r>
        <w:rPr>
          <w:rFonts w:hint="eastAsia" w:ascii="仿宋" w:hAnsi="仿宋" w:eastAsia="仿宋" w:cs="仿宋"/>
          <w:kern w:val="0"/>
          <w:sz w:val="32"/>
          <w:szCs w:val="32"/>
        </w:rPr>
        <w:t>其他固定资产主要包含办公电脑、空调、打印复印机。</w:t>
      </w:r>
    </w:p>
    <w:p w14:paraId="572E94FC">
      <w:pPr>
        <w:spacing w:line="560" w:lineRule="exact"/>
        <w:ind w:firstLine="630" w:firstLineChars="196"/>
        <w:rPr>
          <w:rFonts w:ascii="仿宋" w:hAnsi="仿宋" w:eastAsia="仿宋" w:cs="仿宋"/>
          <w:b/>
          <w:sz w:val="32"/>
          <w:szCs w:val="32"/>
        </w:rPr>
      </w:pPr>
      <w:r>
        <w:rPr>
          <w:rFonts w:hint="eastAsia" w:ascii="仿宋" w:hAnsi="仿宋" w:eastAsia="仿宋" w:cs="仿宋"/>
          <w:b/>
          <w:sz w:val="32"/>
          <w:szCs w:val="32"/>
        </w:rPr>
        <w:t>八、专业名词解释</w:t>
      </w:r>
    </w:p>
    <w:p w14:paraId="67B25411">
      <w:pPr>
        <w:spacing w:line="560" w:lineRule="exact"/>
        <w:ind w:firstLine="630" w:firstLineChars="196"/>
        <w:rPr>
          <w:rFonts w:ascii="仿宋" w:hAnsi="仿宋" w:eastAsia="仿宋" w:cs="仿宋"/>
          <w:sz w:val="32"/>
          <w:szCs w:val="32"/>
        </w:rPr>
      </w:pPr>
      <w:r>
        <w:rPr>
          <w:rFonts w:ascii="仿宋" w:hAnsi="仿宋" w:eastAsia="仿宋" w:cs="仿宋"/>
          <w:b/>
          <w:bCs/>
          <w:sz w:val="32"/>
          <w:szCs w:val="32"/>
        </w:rPr>
        <w:t>1</w:t>
      </w:r>
      <w:r>
        <w:rPr>
          <w:rFonts w:hint="eastAsia" w:ascii="仿宋" w:hAnsi="仿宋" w:eastAsia="仿宋" w:cs="仿宋"/>
          <w:b/>
          <w:bCs/>
          <w:sz w:val="32"/>
          <w:szCs w:val="32"/>
        </w:rPr>
        <w:t>、一般公共预算财政拨款收入：</w:t>
      </w:r>
      <w:r>
        <w:rPr>
          <w:rFonts w:hint="eastAsia" w:ascii="仿宋" w:hAnsi="仿宋" w:eastAsia="仿宋" w:cs="仿宋"/>
          <w:sz w:val="32"/>
          <w:szCs w:val="32"/>
        </w:rPr>
        <w:t>县级财政当年拨付的资金。</w:t>
      </w:r>
    </w:p>
    <w:p w14:paraId="24F34B09">
      <w:pPr>
        <w:pStyle w:val="4"/>
        <w:widowControl/>
        <w:spacing w:line="560" w:lineRule="exact"/>
        <w:ind w:firstLine="578" w:firstLineChars="180"/>
        <w:rPr>
          <w:rFonts w:ascii="仿宋" w:hAnsi="仿宋" w:eastAsia="仿宋" w:cs="仿宋"/>
          <w:sz w:val="32"/>
          <w:szCs w:val="32"/>
        </w:rPr>
      </w:pPr>
      <w:r>
        <w:rPr>
          <w:rStyle w:val="8"/>
          <w:rFonts w:ascii="仿宋" w:hAnsi="仿宋" w:eastAsia="仿宋" w:cs="仿宋"/>
          <w:sz w:val="32"/>
          <w:szCs w:val="32"/>
          <w:shd w:val="clear" w:color="auto" w:fill="FFFFFF"/>
        </w:rPr>
        <w:t>2</w:t>
      </w:r>
      <w:r>
        <w:rPr>
          <w:rStyle w:val="8"/>
          <w:rFonts w:hint="eastAsia" w:ascii="仿宋" w:hAnsi="仿宋" w:eastAsia="仿宋" w:cs="仿宋"/>
          <w:sz w:val="32"/>
          <w:szCs w:val="32"/>
          <w:shd w:val="clear" w:color="auto" w:fill="FFFFFF"/>
        </w:rPr>
        <w:t>、其他收入：</w:t>
      </w:r>
      <w:r>
        <w:rPr>
          <w:rFonts w:hint="eastAsia" w:ascii="仿宋" w:hAnsi="仿宋" w:eastAsia="仿宋" w:cs="仿宋"/>
          <w:sz w:val="32"/>
          <w:szCs w:val="32"/>
          <w:shd w:val="clear" w:color="auto" w:fill="FFFFFF"/>
        </w:rPr>
        <w:t>指除上述财政拨款收入以外的收入。主要是存款利息收入。</w:t>
      </w:r>
    </w:p>
    <w:p w14:paraId="0F0E9EDF">
      <w:pPr>
        <w:pStyle w:val="4"/>
        <w:widowControl/>
        <w:spacing w:line="560" w:lineRule="exact"/>
        <w:ind w:firstLine="578" w:firstLineChars="180"/>
        <w:rPr>
          <w:rFonts w:ascii="仿宋" w:hAnsi="仿宋" w:eastAsia="仿宋" w:cs="仿宋"/>
          <w:sz w:val="32"/>
          <w:szCs w:val="32"/>
        </w:rPr>
      </w:pPr>
      <w:r>
        <w:rPr>
          <w:rStyle w:val="8"/>
          <w:rFonts w:ascii="仿宋" w:hAnsi="仿宋" w:eastAsia="仿宋" w:cs="仿宋"/>
          <w:color w:val="000000"/>
          <w:sz w:val="32"/>
          <w:szCs w:val="32"/>
          <w:shd w:val="clear" w:color="auto" w:fill="FFFFFF"/>
        </w:rPr>
        <w:t>3</w:t>
      </w:r>
      <w:r>
        <w:rPr>
          <w:rFonts w:hint="eastAsia" w:ascii="仿宋" w:hAnsi="仿宋" w:eastAsia="仿宋" w:cs="仿宋"/>
          <w:b/>
          <w:bCs/>
          <w:sz w:val="32"/>
          <w:szCs w:val="32"/>
        </w:rPr>
        <w:t>、基本支出：</w:t>
      </w:r>
      <w:r>
        <w:rPr>
          <w:rFonts w:hint="eastAsia" w:ascii="仿宋" w:hAnsi="仿宋" w:eastAsia="仿宋" w:cs="仿宋"/>
          <w:sz w:val="32"/>
          <w:szCs w:val="32"/>
        </w:rPr>
        <w:t>指为保障机构正常运转、完成日常工作任务而发生的人员支出和公用支出。</w:t>
      </w:r>
    </w:p>
    <w:p w14:paraId="2BD3B918">
      <w:pPr>
        <w:pStyle w:val="4"/>
        <w:widowControl/>
        <w:spacing w:line="560" w:lineRule="exact"/>
        <w:rPr>
          <w:rFonts w:ascii="仿宋" w:hAnsi="仿宋" w:eastAsia="仿宋" w:cs="仿宋"/>
          <w:sz w:val="32"/>
          <w:szCs w:val="32"/>
        </w:rPr>
      </w:pPr>
      <w:r>
        <w:rPr>
          <w:rFonts w:ascii="仿宋" w:hAnsi="仿宋" w:eastAsia="仿宋" w:cs="仿宋"/>
          <w:b/>
          <w:bCs/>
          <w:sz w:val="32"/>
          <w:szCs w:val="32"/>
        </w:rPr>
        <w:t xml:space="preserve">    4</w:t>
      </w:r>
      <w:r>
        <w:rPr>
          <w:rFonts w:hint="eastAsia" w:ascii="仿宋" w:hAnsi="仿宋" w:eastAsia="仿宋" w:cs="仿宋"/>
          <w:b/>
          <w:bCs/>
          <w:sz w:val="32"/>
          <w:szCs w:val="32"/>
        </w:rPr>
        <w:t>、项目支出</w:t>
      </w:r>
      <w:r>
        <w:rPr>
          <w:rFonts w:hint="eastAsia" w:ascii="仿宋" w:hAnsi="仿宋" w:eastAsia="仿宋" w:cs="仿宋"/>
          <w:sz w:val="32"/>
          <w:szCs w:val="32"/>
        </w:rPr>
        <w:t>：指在基本支出之外为完成特定行政任务和事业发展目标所发生的支出。</w:t>
      </w:r>
    </w:p>
    <w:p w14:paraId="7B2B6494">
      <w:pPr>
        <w:pStyle w:val="4"/>
        <w:widowControl/>
        <w:spacing w:line="560" w:lineRule="exact"/>
        <w:ind w:firstLine="643" w:firstLineChars="200"/>
        <w:rPr>
          <w:rFonts w:ascii="仿宋" w:hAnsi="仿宋" w:eastAsia="仿宋" w:cs="仿宋"/>
          <w:sz w:val="32"/>
          <w:szCs w:val="32"/>
        </w:rPr>
      </w:pPr>
      <w:r>
        <w:rPr>
          <w:rFonts w:ascii="仿宋" w:hAnsi="仿宋" w:eastAsia="仿宋" w:cs="仿宋"/>
          <w:b/>
          <w:bCs/>
          <w:sz w:val="32"/>
          <w:szCs w:val="32"/>
        </w:rPr>
        <w:t>5</w:t>
      </w:r>
      <w:r>
        <w:rPr>
          <w:rFonts w:hint="eastAsia" w:ascii="仿宋" w:hAnsi="仿宋" w:eastAsia="仿宋" w:cs="仿宋"/>
          <w:b/>
          <w:bCs/>
          <w:sz w:val="32"/>
          <w:szCs w:val="32"/>
        </w:rPr>
        <w:t>、“三公”经费：</w:t>
      </w:r>
      <w:r>
        <w:rPr>
          <w:rFonts w:hint="eastAsia" w:ascii="仿宋" w:hAnsi="仿宋" w:eastAsia="仿宋" w:cs="仿宋"/>
          <w:sz w:val="32"/>
          <w:szCs w:val="32"/>
        </w:rPr>
        <w:t>是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14:paraId="45BFE14E">
      <w:pPr>
        <w:pStyle w:val="4"/>
        <w:widowControl/>
        <w:spacing w:line="560" w:lineRule="exact"/>
        <w:ind w:firstLine="643" w:firstLineChars="200"/>
        <w:rPr>
          <w:rFonts w:ascii="仿宋" w:hAnsi="仿宋" w:eastAsia="仿宋" w:cs="仿宋"/>
          <w:sz w:val="32"/>
          <w:szCs w:val="32"/>
        </w:rPr>
      </w:pPr>
      <w:r>
        <w:rPr>
          <w:rFonts w:ascii="仿宋" w:hAnsi="仿宋" w:eastAsia="仿宋" w:cs="仿宋"/>
          <w:b/>
          <w:bCs/>
          <w:sz w:val="32"/>
          <w:szCs w:val="32"/>
        </w:rPr>
        <w:t>6</w:t>
      </w:r>
      <w:r>
        <w:rPr>
          <w:rFonts w:hint="eastAsia" w:ascii="仿宋" w:hAnsi="仿宋" w:eastAsia="仿宋" w:cs="仿宋"/>
          <w:b/>
          <w:bCs/>
          <w:sz w:val="32"/>
          <w:szCs w:val="32"/>
        </w:rPr>
        <w:t>、机关运行经费：</w:t>
      </w:r>
      <w:r>
        <w:rPr>
          <w:rFonts w:hint="eastAsia" w:ascii="仿宋" w:hAnsi="仿宋" w:eastAsia="仿宋" w:cs="仿宋"/>
          <w:sz w:val="32"/>
          <w:szCs w:val="32"/>
        </w:rPr>
        <w:t>为保障行政单位（包括实行公务员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7FD0CF04">
      <w:pPr>
        <w:spacing w:line="560" w:lineRule="exact"/>
        <w:rPr>
          <w:rFonts w:ascii="仿宋" w:hAnsi="仿宋" w:eastAsia="仿宋" w:cs="仿宋"/>
          <w:sz w:val="32"/>
          <w:szCs w:val="32"/>
        </w:rPr>
      </w:pPr>
      <w:r>
        <w:rPr>
          <w:rFonts w:ascii="仿宋" w:hAnsi="仿宋" w:eastAsia="仿宋" w:cs="仿宋"/>
          <w:sz w:val="32"/>
          <w:szCs w:val="32"/>
        </w:rPr>
        <w:t xml:space="preserve">      </w:t>
      </w:r>
      <w:r>
        <w:rPr>
          <w:rFonts w:hint="eastAsia" w:ascii="仿宋" w:hAnsi="仿宋" w:eastAsia="仿宋" w:cs="仿宋"/>
          <w:sz w:val="32"/>
          <w:szCs w:val="32"/>
        </w:rPr>
        <w:t>九、其他需要说明的事项</w:t>
      </w:r>
    </w:p>
    <w:p w14:paraId="35D5E83B">
      <w:pPr>
        <w:spacing w:line="560" w:lineRule="exact"/>
        <w:rPr>
          <w:rFonts w:ascii="仿宋" w:hAnsi="仿宋" w:eastAsia="仿宋" w:cs="仿宋"/>
          <w:sz w:val="32"/>
          <w:szCs w:val="32"/>
        </w:rPr>
      </w:pPr>
      <w:r>
        <w:rPr>
          <w:rFonts w:ascii="仿宋" w:hAnsi="仿宋" w:eastAsia="仿宋" w:cs="仿宋"/>
          <w:sz w:val="32"/>
          <w:szCs w:val="32"/>
        </w:rPr>
        <w:t xml:space="preserve">     </w:t>
      </w:r>
      <w:r>
        <w:rPr>
          <w:rFonts w:hint="eastAsia" w:ascii="仿宋" w:hAnsi="仿宋" w:eastAsia="仿宋" w:cs="仿宋"/>
          <w:sz w:val="32"/>
          <w:szCs w:val="32"/>
        </w:rPr>
        <w:t>我部门无政府性基金预算及国有资本经营预算，空表列示。</w:t>
      </w:r>
    </w:p>
    <w:p w14:paraId="713C0E19">
      <w:pPr>
        <w:widowControl/>
        <w:spacing w:line="560" w:lineRule="exact"/>
        <w:rPr>
          <w:rFonts w:ascii="仿宋" w:hAnsi="仿宋" w:eastAsia="仿宋" w:cs="仿宋"/>
          <w:kern w:val="0"/>
          <w:sz w:val="32"/>
          <w:szCs w:val="32"/>
        </w:rPr>
      </w:pPr>
    </w:p>
    <w:p w14:paraId="6639DBB8">
      <w:pPr>
        <w:spacing w:line="560" w:lineRule="exact"/>
        <w:ind w:firstLine="5920" w:firstLineChars="1850"/>
        <w:rPr>
          <w:rFonts w:ascii="仿宋" w:hAnsi="仿宋" w:eastAsia="仿宋" w:cs="仿宋"/>
          <w:sz w:val="32"/>
          <w:szCs w:val="32"/>
        </w:rPr>
      </w:pPr>
    </w:p>
    <w:sectPr>
      <w:pgSz w:w="11906" w:h="16838"/>
      <w:pgMar w:top="1440" w:right="1797" w:bottom="1361" w:left="179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94B816B"/>
    <w:multiLevelType w:val="singleLevel"/>
    <w:tmpl w:val="594B816B"/>
    <w:lvl w:ilvl="0" w:tentative="0">
      <w:start w:val="5"/>
      <w:numFmt w:val="chineseCounting"/>
      <w:suff w:val="space"/>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TY3NzU0NDM5MWFkMmY4ZmZmZjJjODBjMzI2N2ZmYWUifQ=="/>
  </w:docVars>
  <w:rsids>
    <w:rsidRoot w:val="5B373A8F"/>
    <w:rsid w:val="00006ED6"/>
    <w:rsid w:val="000831A3"/>
    <w:rsid w:val="000921DB"/>
    <w:rsid w:val="00092FDA"/>
    <w:rsid w:val="000D5E90"/>
    <w:rsid w:val="000D78E7"/>
    <w:rsid w:val="00145827"/>
    <w:rsid w:val="001A33AF"/>
    <w:rsid w:val="001B0959"/>
    <w:rsid w:val="001B37F0"/>
    <w:rsid w:val="001C59C3"/>
    <w:rsid w:val="001E57D5"/>
    <w:rsid w:val="00295124"/>
    <w:rsid w:val="002B52F4"/>
    <w:rsid w:val="002C4DBA"/>
    <w:rsid w:val="002E0ED0"/>
    <w:rsid w:val="00312B01"/>
    <w:rsid w:val="0031678C"/>
    <w:rsid w:val="00317F4E"/>
    <w:rsid w:val="0032671D"/>
    <w:rsid w:val="0034515E"/>
    <w:rsid w:val="003755A5"/>
    <w:rsid w:val="003A379C"/>
    <w:rsid w:val="003A4491"/>
    <w:rsid w:val="003B090A"/>
    <w:rsid w:val="003C202F"/>
    <w:rsid w:val="003C6FA3"/>
    <w:rsid w:val="003D449F"/>
    <w:rsid w:val="00415295"/>
    <w:rsid w:val="00430AB9"/>
    <w:rsid w:val="00446BCA"/>
    <w:rsid w:val="00484293"/>
    <w:rsid w:val="004B6821"/>
    <w:rsid w:val="0053278E"/>
    <w:rsid w:val="00544D90"/>
    <w:rsid w:val="005A6FEC"/>
    <w:rsid w:val="005C0284"/>
    <w:rsid w:val="005D31DE"/>
    <w:rsid w:val="005F176B"/>
    <w:rsid w:val="006115CA"/>
    <w:rsid w:val="0063797A"/>
    <w:rsid w:val="00640CE8"/>
    <w:rsid w:val="00652B5D"/>
    <w:rsid w:val="0068458C"/>
    <w:rsid w:val="0070092C"/>
    <w:rsid w:val="00700AF5"/>
    <w:rsid w:val="00706E80"/>
    <w:rsid w:val="00721432"/>
    <w:rsid w:val="007371AB"/>
    <w:rsid w:val="00742E1D"/>
    <w:rsid w:val="00756E9A"/>
    <w:rsid w:val="00785426"/>
    <w:rsid w:val="007C3EDF"/>
    <w:rsid w:val="007E3316"/>
    <w:rsid w:val="00801FCA"/>
    <w:rsid w:val="00836FBB"/>
    <w:rsid w:val="0089771B"/>
    <w:rsid w:val="008A5DE0"/>
    <w:rsid w:val="008F5CA9"/>
    <w:rsid w:val="00966C68"/>
    <w:rsid w:val="00977DA6"/>
    <w:rsid w:val="009A18B0"/>
    <w:rsid w:val="009A2AF9"/>
    <w:rsid w:val="009C6F96"/>
    <w:rsid w:val="009F18C6"/>
    <w:rsid w:val="00A31709"/>
    <w:rsid w:val="00A35491"/>
    <w:rsid w:val="00A66840"/>
    <w:rsid w:val="00A93107"/>
    <w:rsid w:val="00A97C21"/>
    <w:rsid w:val="00AB3668"/>
    <w:rsid w:val="00AB63FD"/>
    <w:rsid w:val="00AD4B1F"/>
    <w:rsid w:val="00B02617"/>
    <w:rsid w:val="00B9318A"/>
    <w:rsid w:val="00BB2FEE"/>
    <w:rsid w:val="00BB398C"/>
    <w:rsid w:val="00BB48D1"/>
    <w:rsid w:val="00BE31D8"/>
    <w:rsid w:val="00C063E4"/>
    <w:rsid w:val="00C07D44"/>
    <w:rsid w:val="00C20AFD"/>
    <w:rsid w:val="00C433D5"/>
    <w:rsid w:val="00C63E2E"/>
    <w:rsid w:val="00C81732"/>
    <w:rsid w:val="00CA3187"/>
    <w:rsid w:val="00CB4696"/>
    <w:rsid w:val="00CC018D"/>
    <w:rsid w:val="00CF5CD4"/>
    <w:rsid w:val="00D72059"/>
    <w:rsid w:val="00DB2184"/>
    <w:rsid w:val="00DF5249"/>
    <w:rsid w:val="00DF6319"/>
    <w:rsid w:val="00E349FC"/>
    <w:rsid w:val="00E74814"/>
    <w:rsid w:val="00EA15C0"/>
    <w:rsid w:val="00EA27E6"/>
    <w:rsid w:val="00EA620C"/>
    <w:rsid w:val="00EB1249"/>
    <w:rsid w:val="00EB36B4"/>
    <w:rsid w:val="00EE12EE"/>
    <w:rsid w:val="00F111FD"/>
    <w:rsid w:val="00F24950"/>
    <w:rsid w:val="00F57108"/>
    <w:rsid w:val="02793DFE"/>
    <w:rsid w:val="04AC70D1"/>
    <w:rsid w:val="0A681BF6"/>
    <w:rsid w:val="0C60671B"/>
    <w:rsid w:val="0ECA2E39"/>
    <w:rsid w:val="0F284577"/>
    <w:rsid w:val="12A55D10"/>
    <w:rsid w:val="12F04A42"/>
    <w:rsid w:val="18A17CFC"/>
    <w:rsid w:val="21420B15"/>
    <w:rsid w:val="22B26240"/>
    <w:rsid w:val="28036907"/>
    <w:rsid w:val="28F44930"/>
    <w:rsid w:val="29E543B3"/>
    <w:rsid w:val="2A6E05D9"/>
    <w:rsid w:val="2D0A4D3A"/>
    <w:rsid w:val="2D2436C3"/>
    <w:rsid w:val="31231ED6"/>
    <w:rsid w:val="364A4DB9"/>
    <w:rsid w:val="36BE5D33"/>
    <w:rsid w:val="392758F2"/>
    <w:rsid w:val="39967C1B"/>
    <w:rsid w:val="3BF64190"/>
    <w:rsid w:val="405F7975"/>
    <w:rsid w:val="419F7551"/>
    <w:rsid w:val="461A13D0"/>
    <w:rsid w:val="4740710D"/>
    <w:rsid w:val="48F40D32"/>
    <w:rsid w:val="49795A5B"/>
    <w:rsid w:val="4D453139"/>
    <w:rsid w:val="53F7061A"/>
    <w:rsid w:val="55C54679"/>
    <w:rsid w:val="58BC5F69"/>
    <w:rsid w:val="59137579"/>
    <w:rsid w:val="5ABA16C0"/>
    <w:rsid w:val="5B373A8F"/>
    <w:rsid w:val="5C8F584A"/>
    <w:rsid w:val="5CC179F5"/>
    <w:rsid w:val="5DE13957"/>
    <w:rsid w:val="5E603BB4"/>
    <w:rsid w:val="5F1E4198"/>
    <w:rsid w:val="664438CC"/>
    <w:rsid w:val="6D5C6439"/>
    <w:rsid w:val="6E0A1CBA"/>
    <w:rsid w:val="6EF16E7D"/>
    <w:rsid w:val="710C34BB"/>
    <w:rsid w:val="72A536EF"/>
    <w:rsid w:val="78E14FFD"/>
    <w:rsid w:val="7C107020"/>
    <w:rsid w:val="7C275FA2"/>
    <w:rsid w:val="7D333B9B"/>
    <w:rsid w:val="7EA14C2B"/>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1"/>
    <w:semiHidden/>
    <w:unhideWhenUsed/>
    <w:qFormat/>
    <w:uiPriority w:val="99"/>
    <w:pPr>
      <w:tabs>
        <w:tab w:val="center" w:pos="4153"/>
        <w:tab w:val="right" w:pos="8306"/>
      </w:tabs>
      <w:snapToGrid w:val="0"/>
      <w:jc w:val="left"/>
    </w:pPr>
    <w:rPr>
      <w:sz w:val="18"/>
      <w:szCs w:val="18"/>
    </w:rPr>
  </w:style>
  <w:style w:type="paragraph" w:styleId="3">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99"/>
    <w:pPr>
      <w:jc w:val="left"/>
    </w:pPr>
    <w:rPr>
      <w:kern w:val="0"/>
      <w:sz w:val="24"/>
    </w:rPr>
  </w:style>
  <w:style w:type="table" w:styleId="6">
    <w:name w:val="Table Grid"/>
    <w:basedOn w:val="5"/>
    <w:qFormat/>
    <w:locked/>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Strong"/>
    <w:basedOn w:val="7"/>
    <w:qFormat/>
    <w:locked/>
    <w:uiPriority w:val="99"/>
    <w:rPr>
      <w:rFonts w:cs="Times New Roman"/>
      <w:b/>
    </w:rPr>
  </w:style>
  <w:style w:type="paragraph" w:customStyle="1" w:styleId="9">
    <w:name w:val="p15"/>
    <w:basedOn w:val="1"/>
    <w:qFormat/>
    <w:uiPriority w:val="99"/>
    <w:pPr>
      <w:widowControl/>
    </w:pPr>
    <w:rPr>
      <w:kern w:val="0"/>
      <w:szCs w:val="21"/>
    </w:rPr>
  </w:style>
  <w:style w:type="character" w:customStyle="1" w:styleId="10">
    <w:name w:val="页眉 Char"/>
    <w:basedOn w:val="7"/>
    <w:link w:val="3"/>
    <w:semiHidden/>
    <w:qFormat/>
    <w:uiPriority w:val="99"/>
    <w:rPr>
      <w:sz w:val="18"/>
      <w:szCs w:val="18"/>
    </w:rPr>
  </w:style>
  <w:style w:type="character" w:customStyle="1" w:styleId="11">
    <w:name w:val="页脚 Char"/>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14</Pages>
  <Words>4021</Words>
  <Characters>4359</Characters>
  <Lines>34</Lines>
  <Paragraphs>9</Paragraphs>
  <TotalTime>9</TotalTime>
  <ScaleCrop>false</ScaleCrop>
  <LinksUpToDate>false</LinksUpToDate>
  <CharactersWithSpaces>4505</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2017-03-15T07:40:00Z</dcterms:created>
  <dc:creator>P</dc:creator>
  <cp:lastModifiedBy>八爪小鱼</cp:lastModifiedBy>
  <cp:lastPrinted>2017-03-23T02:55:00Z</cp:lastPrinted>
  <dcterms:modified xsi:type="dcterms:W3CDTF">2025-04-07T08:14:22Z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7F229160476949548AEEA135C775D4DE_12</vt:lpwstr>
  </property>
  <property fmtid="{D5CDD505-2E9C-101B-9397-08002B2CF9AE}" pid="4" name="KSOTemplateDocerSaveRecord">
    <vt:lpwstr>eyJoZGlkIjoiNTY3NzU0NDM5MWFkMmY4ZmZmZjJjODBjMzI2N2ZmYWUiLCJ1c2VySWQiOiI0MDE5OTQ3MTgifQ==</vt:lpwstr>
  </property>
</Properties>
</file>