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878ED2">
      <w:pPr>
        <w:jc w:val="center"/>
        <w:rPr>
          <w:sz w:val="44"/>
          <w:szCs w:val="44"/>
        </w:rPr>
      </w:pPr>
      <w:r>
        <w:rPr>
          <w:rFonts w:hint="eastAsia"/>
          <w:sz w:val="44"/>
          <w:szCs w:val="44"/>
        </w:rPr>
        <w:t>涞水县城区社区管理办公室</w:t>
      </w:r>
    </w:p>
    <w:p w14:paraId="2DB6C6BB">
      <w:pPr>
        <w:jc w:val="center"/>
        <w:rPr>
          <w:sz w:val="44"/>
          <w:szCs w:val="44"/>
        </w:rPr>
      </w:pPr>
      <w:r>
        <w:rPr>
          <w:rFonts w:hint="eastAsia"/>
          <w:sz w:val="44"/>
          <w:szCs w:val="44"/>
        </w:rPr>
        <w:t>关于</w:t>
      </w:r>
      <w:r>
        <w:rPr>
          <w:sz w:val="44"/>
          <w:szCs w:val="44"/>
        </w:rPr>
        <w:t>2017</w:t>
      </w:r>
      <w:r>
        <w:rPr>
          <w:rFonts w:hint="eastAsia"/>
          <w:sz w:val="44"/>
          <w:szCs w:val="44"/>
        </w:rPr>
        <w:t>年部门预算的情况说明</w:t>
      </w:r>
    </w:p>
    <w:p w14:paraId="48BE4249">
      <w:pPr>
        <w:jc w:val="center"/>
        <w:rPr>
          <w:sz w:val="44"/>
          <w:szCs w:val="44"/>
        </w:rPr>
      </w:pPr>
    </w:p>
    <w:p w14:paraId="7268A172">
      <w:pPr>
        <w:rPr>
          <w:rFonts w:ascii="宋体" w:hAnsi="宋体"/>
          <w:b/>
          <w:bCs/>
          <w:sz w:val="28"/>
          <w:szCs w:val="28"/>
        </w:rPr>
      </w:pPr>
      <w:r>
        <w:rPr>
          <w:rFonts w:hint="eastAsia" w:ascii="宋体" w:hAnsi="宋体"/>
          <w:b/>
          <w:bCs/>
          <w:sz w:val="28"/>
          <w:szCs w:val="28"/>
        </w:rPr>
        <w:t>一、部门职责及机构设置情况</w:t>
      </w:r>
    </w:p>
    <w:p w14:paraId="6DEB23D1">
      <w:pPr>
        <w:ind w:firstLine="576"/>
        <w:rPr>
          <w:rFonts w:ascii="宋体" w:hAnsi="宋体"/>
          <w:sz w:val="28"/>
          <w:szCs w:val="28"/>
        </w:rPr>
      </w:pPr>
      <w:r>
        <w:rPr>
          <w:rFonts w:hint="eastAsia" w:ascii="宋体" w:hAnsi="宋体"/>
          <w:sz w:val="28"/>
          <w:szCs w:val="28"/>
        </w:rPr>
        <w:t>我单位编制人数</w:t>
      </w:r>
      <w:r>
        <w:rPr>
          <w:rFonts w:ascii="宋体" w:hAnsi="宋体"/>
          <w:sz w:val="28"/>
          <w:szCs w:val="28"/>
        </w:rPr>
        <w:t>20</w:t>
      </w:r>
      <w:r>
        <w:rPr>
          <w:rFonts w:hint="eastAsia" w:ascii="宋体" w:hAnsi="宋体"/>
          <w:sz w:val="28"/>
          <w:szCs w:val="28"/>
        </w:rPr>
        <w:t>个，行政编制数</w:t>
      </w:r>
      <w:r>
        <w:rPr>
          <w:rFonts w:ascii="宋体" w:hAnsi="宋体"/>
          <w:sz w:val="28"/>
          <w:szCs w:val="28"/>
        </w:rPr>
        <w:t>19</w:t>
      </w:r>
      <w:r>
        <w:rPr>
          <w:rFonts w:hint="eastAsia" w:ascii="宋体" w:hAnsi="宋体"/>
          <w:sz w:val="28"/>
          <w:szCs w:val="28"/>
        </w:rPr>
        <w:t>个，事业编制数</w:t>
      </w:r>
      <w:r>
        <w:rPr>
          <w:rFonts w:ascii="宋体" w:hAnsi="宋体"/>
          <w:sz w:val="28"/>
          <w:szCs w:val="28"/>
        </w:rPr>
        <w:t>1</w:t>
      </w:r>
      <w:r>
        <w:rPr>
          <w:rFonts w:hint="eastAsia" w:ascii="宋体" w:hAnsi="宋体"/>
          <w:sz w:val="28"/>
          <w:szCs w:val="28"/>
        </w:rPr>
        <w:t>个。实有在职人员</w:t>
      </w:r>
      <w:r>
        <w:rPr>
          <w:rFonts w:ascii="宋体" w:hAnsi="宋体"/>
          <w:sz w:val="28"/>
          <w:szCs w:val="28"/>
        </w:rPr>
        <w:t>18</w:t>
      </w:r>
      <w:r>
        <w:rPr>
          <w:rFonts w:hint="eastAsia" w:ascii="宋体" w:hAnsi="宋体"/>
          <w:sz w:val="28"/>
          <w:szCs w:val="28"/>
        </w:rPr>
        <w:t>人，退休人员</w:t>
      </w:r>
      <w:r>
        <w:rPr>
          <w:rFonts w:ascii="宋体" w:hAnsi="宋体"/>
          <w:sz w:val="28"/>
          <w:szCs w:val="28"/>
        </w:rPr>
        <w:t>2</w:t>
      </w:r>
      <w:r>
        <w:rPr>
          <w:rFonts w:hint="eastAsia" w:ascii="宋体" w:hAnsi="宋体"/>
          <w:sz w:val="28"/>
          <w:szCs w:val="28"/>
        </w:rPr>
        <w:t>人。</w:t>
      </w:r>
    </w:p>
    <w:p w14:paraId="6676A429">
      <w:pPr>
        <w:snapToGrid w:val="0"/>
        <w:spacing w:line="520" w:lineRule="exact"/>
        <w:ind w:firstLine="560" w:firstLineChars="200"/>
        <w:rPr>
          <w:rFonts w:ascii="宋体" w:hAnsi="宋体"/>
          <w:sz w:val="28"/>
          <w:szCs w:val="28"/>
        </w:rPr>
      </w:pPr>
      <w:r>
        <w:rPr>
          <w:rFonts w:ascii="宋体" w:hAnsi="宋体"/>
          <w:sz w:val="28"/>
          <w:szCs w:val="28"/>
        </w:rPr>
        <w:t>1</w:t>
      </w:r>
      <w:r>
        <w:rPr>
          <w:rFonts w:hint="eastAsia" w:ascii="宋体" w:hAnsi="宋体"/>
          <w:sz w:val="28"/>
          <w:szCs w:val="28"/>
        </w:rPr>
        <w:t>．主要职能。</w:t>
      </w:r>
    </w:p>
    <w:p w14:paraId="672DC8E6">
      <w:pPr>
        <w:widowControl/>
        <w:shd w:val="clear" w:color="auto" w:fill="FFFFFF"/>
        <w:spacing w:line="560" w:lineRule="atLeast"/>
        <w:ind w:firstLine="588" w:firstLineChars="210"/>
        <w:jc w:val="left"/>
        <w:rPr>
          <w:rFonts w:ascii="宋体" w:hAnsi="宋体" w:cs="宋体"/>
          <w:color w:val="000000"/>
          <w:kern w:val="0"/>
          <w:sz w:val="28"/>
          <w:szCs w:val="28"/>
          <w:shd w:val="clear" w:color="auto" w:fill="FFFFFF"/>
        </w:rPr>
      </w:pPr>
      <w:r>
        <w:rPr>
          <w:rFonts w:hint="eastAsia" w:ascii="宋体" w:hAnsi="宋体" w:cs="宋体"/>
          <w:color w:val="000000"/>
          <w:kern w:val="0"/>
          <w:sz w:val="28"/>
          <w:szCs w:val="28"/>
          <w:shd w:val="clear" w:color="auto" w:fill="FFFFFF"/>
        </w:rPr>
        <w:t>实施社区财政管理，促进社会经济发展。贯彻执行国家有关财政管理等方面的法律法规和规章；编制社区年度财政预算草案并组织执行，向人大报告财政决算，管理和监督各项财政收支；管理各类政策性补贴等资金，保障社区正常的人员经费和公用经费；做好综合改革和社会主义和谐社区建设相关工作；做好</w:t>
      </w:r>
      <w:r>
        <w:rPr>
          <w:rFonts w:hint="eastAsia" w:ascii="宋体" w:hAnsi="宋体" w:cs="宋体"/>
          <w:color w:val="000000"/>
          <w:kern w:val="0"/>
          <w:sz w:val="28"/>
          <w:szCs w:val="28"/>
          <w:shd w:val="clear" w:color="auto" w:fill="FFFFFF"/>
          <w:lang w:eastAsia="zh-CN"/>
        </w:rPr>
        <w:t>县委、县</w:t>
      </w:r>
      <w:r>
        <w:rPr>
          <w:rFonts w:hint="eastAsia" w:ascii="宋体" w:hAnsi="宋体" w:cs="宋体"/>
          <w:color w:val="000000"/>
          <w:kern w:val="0"/>
          <w:sz w:val="28"/>
          <w:szCs w:val="28"/>
          <w:shd w:val="clear" w:color="auto" w:fill="FFFFFF"/>
        </w:rPr>
        <w:t>政府及上级财政部门交办的其他事项。</w:t>
      </w:r>
    </w:p>
    <w:p w14:paraId="16A8A87D">
      <w:pPr>
        <w:snapToGrid w:val="0"/>
        <w:spacing w:line="52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．机构情况。</w:t>
      </w:r>
    </w:p>
    <w:tbl>
      <w:tblPr>
        <w:tblStyle w:val="6"/>
        <w:tblW w:w="9796" w:type="dxa"/>
        <w:tblInd w:w="93" w:type="dxa"/>
        <w:tblLayout w:type="fixed"/>
        <w:tblCellMar>
          <w:top w:w="0" w:type="dxa"/>
          <w:left w:w="108" w:type="dxa"/>
          <w:bottom w:w="0" w:type="dxa"/>
          <w:right w:w="108" w:type="dxa"/>
        </w:tblCellMar>
      </w:tblPr>
      <w:tblGrid>
        <w:gridCol w:w="1080"/>
        <w:gridCol w:w="2320"/>
        <w:gridCol w:w="2120"/>
        <w:gridCol w:w="1900"/>
        <w:gridCol w:w="2376"/>
      </w:tblGrid>
      <w:tr w14:paraId="3DC89E96">
        <w:tblPrEx>
          <w:tblCellMar>
            <w:top w:w="0" w:type="dxa"/>
            <w:left w:w="108" w:type="dxa"/>
            <w:bottom w:w="0" w:type="dxa"/>
            <w:right w:w="108" w:type="dxa"/>
          </w:tblCellMar>
        </w:tblPrEx>
        <w:trPr>
          <w:trHeight w:val="810" w:hRule="atLeast"/>
        </w:trPr>
        <w:tc>
          <w:tcPr>
            <w:tcW w:w="9796" w:type="dxa"/>
            <w:gridSpan w:val="5"/>
            <w:tcBorders>
              <w:top w:val="nil"/>
              <w:left w:val="nil"/>
              <w:bottom w:val="single" w:color="auto" w:sz="4" w:space="0"/>
              <w:right w:val="nil"/>
            </w:tcBorders>
            <w:shd w:val="clear" w:color="auto" w:fill="auto"/>
            <w:vAlign w:val="center"/>
          </w:tcPr>
          <w:p w14:paraId="14BF7D65">
            <w:pPr>
              <w:widowControl/>
              <w:jc w:val="center"/>
              <w:rPr>
                <w:rFonts w:ascii="宋体" w:hAnsi="宋体" w:cs="宋体"/>
                <w:color w:val="000000"/>
                <w:kern w:val="0"/>
                <w:sz w:val="28"/>
                <w:szCs w:val="28"/>
              </w:rPr>
            </w:pPr>
            <w:r>
              <w:rPr>
                <w:rFonts w:hint="eastAsia" w:ascii="宋体" w:hAnsi="宋体" w:cs="宋体"/>
                <w:color w:val="000000"/>
                <w:kern w:val="0"/>
                <w:sz w:val="28"/>
                <w:szCs w:val="28"/>
              </w:rPr>
              <w:t>部门机构设置情况</w:t>
            </w:r>
          </w:p>
        </w:tc>
      </w:tr>
      <w:tr w14:paraId="66C3F5C5">
        <w:tblPrEx>
          <w:tblCellMar>
            <w:top w:w="0" w:type="dxa"/>
            <w:left w:w="108" w:type="dxa"/>
            <w:bottom w:w="0" w:type="dxa"/>
            <w:right w:w="108" w:type="dxa"/>
          </w:tblCellMar>
        </w:tblPrEx>
        <w:trPr>
          <w:trHeight w:val="720" w:hRule="atLeast"/>
        </w:trPr>
        <w:tc>
          <w:tcPr>
            <w:tcW w:w="1080" w:type="dxa"/>
            <w:vMerge w:val="restart"/>
            <w:tcBorders>
              <w:top w:val="nil"/>
              <w:left w:val="single" w:color="auto" w:sz="4" w:space="0"/>
              <w:bottom w:val="single" w:color="000000" w:sz="4" w:space="0"/>
              <w:right w:val="single" w:color="auto" w:sz="4" w:space="0"/>
            </w:tcBorders>
            <w:shd w:val="clear" w:color="auto" w:fill="auto"/>
            <w:vAlign w:val="center"/>
          </w:tcPr>
          <w:p w14:paraId="3107439C">
            <w:pPr>
              <w:widowControl/>
              <w:jc w:val="center"/>
              <w:rPr>
                <w:rFonts w:ascii="宋体" w:hAnsi="宋体" w:cs="宋体"/>
                <w:color w:val="000000"/>
                <w:kern w:val="0"/>
                <w:sz w:val="28"/>
                <w:szCs w:val="28"/>
              </w:rPr>
            </w:pPr>
            <w:r>
              <w:rPr>
                <w:rFonts w:hint="eastAsia" w:ascii="宋体" w:hAnsi="宋体" w:cs="宋体"/>
                <w:color w:val="000000"/>
                <w:kern w:val="0"/>
                <w:sz w:val="28"/>
                <w:szCs w:val="28"/>
              </w:rPr>
              <w:t>序号</w:t>
            </w:r>
          </w:p>
        </w:tc>
        <w:tc>
          <w:tcPr>
            <w:tcW w:w="2320" w:type="dxa"/>
            <w:vMerge w:val="restart"/>
            <w:tcBorders>
              <w:top w:val="nil"/>
              <w:left w:val="single" w:color="auto" w:sz="4" w:space="0"/>
              <w:bottom w:val="single" w:color="000000" w:sz="4" w:space="0"/>
              <w:right w:val="single" w:color="auto" w:sz="4" w:space="0"/>
            </w:tcBorders>
            <w:shd w:val="clear" w:color="auto" w:fill="auto"/>
            <w:vAlign w:val="center"/>
          </w:tcPr>
          <w:p w14:paraId="0C484363">
            <w:pPr>
              <w:widowControl/>
              <w:jc w:val="center"/>
              <w:rPr>
                <w:rFonts w:ascii="宋体" w:hAnsi="宋体" w:cs="宋体"/>
                <w:color w:val="000000"/>
                <w:kern w:val="0"/>
                <w:sz w:val="28"/>
                <w:szCs w:val="28"/>
              </w:rPr>
            </w:pPr>
            <w:r>
              <w:rPr>
                <w:rFonts w:hint="eastAsia" w:ascii="宋体" w:hAnsi="宋体" w:cs="宋体"/>
                <w:color w:val="000000"/>
                <w:kern w:val="0"/>
                <w:sz w:val="28"/>
                <w:szCs w:val="28"/>
              </w:rPr>
              <w:t>单位名称</w:t>
            </w:r>
          </w:p>
        </w:tc>
        <w:tc>
          <w:tcPr>
            <w:tcW w:w="2120" w:type="dxa"/>
            <w:vMerge w:val="restart"/>
            <w:tcBorders>
              <w:top w:val="nil"/>
              <w:left w:val="single" w:color="auto" w:sz="4" w:space="0"/>
              <w:bottom w:val="single" w:color="000000" w:sz="4" w:space="0"/>
              <w:right w:val="single" w:color="auto" w:sz="4" w:space="0"/>
            </w:tcBorders>
            <w:shd w:val="clear" w:color="auto" w:fill="auto"/>
            <w:vAlign w:val="center"/>
          </w:tcPr>
          <w:p w14:paraId="2EE2C913">
            <w:pPr>
              <w:widowControl/>
              <w:jc w:val="center"/>
              <w:rPr>
                <w:rFonts w:ascii="宋体" w:hAnsi="宋体" w:cs="宋体"/>
                <w:color w:val="000000"/>
                <w:kern w:val="0"/>
                <w:sz w:val="28"/>
                <w:szCs w:val="28"/>
              </w:rPr>
            </w:pPr>
            <w:r>
              <w:rPr>
                <w:rFonts w:hint="eastAsia" w:ascii="宋体" w:hAnsi="宋体" w:cs="宋体"/>
                <w:color w:val="000000"/>
                <w:kern w:val="0"/>
                <w:sz w:val="28"/>
                <w:szCs w:val="28"/>
              </w:rPr>
              <w:t>单位性质</w:t>
            </w:r>
          </w:p>
        </w:tc>
        <w:tc>
          <w:tcPr>
            <w:tcW w:w="1900" w:type="dxa"/>
            <w:vMerge w:val="restart"/>
            <w:tcBorders>
              <w:top w:val="nil"/>
              <w:left w:val="single" w:color="auto" w:sz="4" w:space="0"/>
              <w:bottom w:val="single" w:color="000000" w:sz="4" w:space="0"/>
              <w:right w:val="single" w:color="auto" w:sz="4" w:space="0"/>
            </w:tcBorders>
            <w:shd w:val="clear" w:color="auto" w:fill="auto"/>
            <w:vAlign w:val="center"/>
          </w:tcPr>
          <w:p w14:paraId="1071D7A4">
            <w:pPr>
              <w:widowControl/>
              <w:jc w:val="center"/>
              <w:rPr>
                <w:rFonts w:ascii="宋体" w:hAnsi="宋体" w:cs="宋体"/>
                <w:color w:val="000000"/>
                <w:kern w:val="0"/>
                <w:sz w:val="28"/>
                <w:szCs w:val="28"/>
              </w:rPr>
            </w:pPr>
            <w:r>
              <w:rPr>
                <w:rFonts w:hint="eastAsia" w:ascii="宋体" w:hAnsi="宋体" w:cs="宋体"/>
                <w:color w:val="000000"/>
                <w:kern w:val="0"/>
                <w:sz w:val="28"/>
                <w:szCs w:val="28"/>
              </w:rPr>
              <w:t>单位规格</w:t>
            </w:r>
          </w:p>
        </w:tc>
        <w:tc>
          <w:tcPr>
            <w:tcW w:w="2376" w:type="dxa"/>
            <w:vMerge w:val="restart"/>
            <w:tcBorders>
              <w:top w:val="nil"/>
              <w:left w:val="single" w:color="auto" w:sz="4" w:space="0"/>
              <w:bottom w:val="single" w:color="000000" w:sz="4" w:space="0"/>
              <w:right w:val="single" w:color="auto" w:sz="4" w:space="0"/>
            </w:tcBorders>
            <w:shd w:val="clear" w:color="auto" w:fill="auto"/>
            <w:vAlign w:val="center"/>
          </w:tcPr>
          <w:p w14:paraId="01AD457A">
            <w:pPr>
              <w:widowControl/>
              <w:jc w:val="center"/>
              <w:rPr>
                <w:rFonts w:ascii="宋体" w:hAnsi="宋体" w:cs="宋体"/>
                <w:color w:val="000000"/>
                <w:kern w:val="0"/>
                <w:sz w:val="28"/>
                <w:szCs w:val="28"/>
              </w:rPr>
            </w:pPr>
            <w:r>
              <w:rPr>
                <w:rFonts w:hint="eastAsia" w:ascii="宋体" w:hAnsi="宋体" w:cs="宋体"/>
                <w:color w:val="000000"/>
                <w:kern w:val="0"/>
                <w:sz w:val="28"/>
                <w:szCs w:val="28"/>
              </w:rPr>
              <w:t>经费保障形式</w:t>
            </w:r>
          </w:p>
        </w:tc>
      </w:tr>
      <w:tr w14:paraId="20E6AD6F">
        <w:tblPrEx>
          <w:tblCellMar>
            <w:top w:w="0" w:type="dxa"/>
            <w:left w:w="108" w:type="dxa"/>
            <w:bottom w:w="0" w:type="dxa"/>
            <w:right w:w="108" w:type="dxa"/>
          </w:tblCellMar>
        </w:tblPrEx>
        <w:trPr>
          <w:trHeight w:val="624" w:hRule="atLeast"/>
        </w:trPr>
        <w:tc>
          <w:tcPr>
            <w:tcW w:w="1080" w:type="dxa"/>
            <w:vMerge w:val="continue"/>
            <w:tcBorders>
              <w:top w:val="nil"/>
              <w:left w:val="single" w:color="auto" w:sz="4" w:space="0"/>
              <w:bottom w:val="single" w:color="000000" w:sz="4" w:space="0"/>
              <w:right w:val="single" w:color="auto" w:sz="4" w:space="0"/>
            </w:tcBorders>
            <w:vAlign w:val="center"/>
          </w:tcPr>
          <w:p w14:paraId="59C9D711">
            <w:pPr>
              <w:widowControl/>
              <w:jc w:val="left"/>
              <w:rPr>
                <w:rFonts w:ascii="宋体" w:hAnsi="宋体" w:cs="宋体"/>
                <w:color w:val="000000"/>
                <w:kern w:val="0"/>
                <w:sz w:val="28"/>
                <w:szCs w:val="28"/>
              </w:rPr>
            </w:pPr>
          </w:p>
        </w:tc>
        <w:tc>
          <w:tcPr>
            <w:tcW w:w="2320" w:type="dxa"/>
            <w:vMerge w:val="continue"/>
            <w:tcBorders>
              <w:top w:val="nil"/>
              <w:left w:val="single" w:color="auto" w:sz="4" w:space="0"/>
              <w:bottom w:val="single" w:color="000000" w:sz="4" w:space="0"/>
              <w:right w:val="single" w:color="auto" w:sz="4" w:space="0"/>
            </w:tcBorders>
            <w:vAlign w:val="center"/>
          </w:tcPr>
          <w:p w14:paraId="1B6DB26B">
            <w:pPr>
              <w:widowControl/>
              <w:jc w:val="left"/>
              <w:rPr>
                <w:rFonts w:ascii="宋体" w:hAnsi="宋体" w:cs="宋体"/>
                <w:color w:val="000000"/>
                <w:kern w:val="0"/>
                <w:sz w:val="28"/>
                <w:szCs w:val="28"/>
              </w:rPr>
            </w:pPr>
          </w:p>
        </w:tc>
        <w:tc>
          <w:tcPr>
            <w:tcW w:w="2120" w:type="dxa"/>
            <w:vMerge w:val="continue"/>
            <w:tcBorders>
              <w:top w:val="nil"/>
              <w:left w:val="single" w:color="auto" w:sz="4" w:space="0"/>
              <w:bottom w:val="single" w:color="000000" w:sz="4" w:space="0"/>
              <w:right w:val="single" w:color="auto" w:sz="4" w:space="0"/>
            </w:tcBorders>
            <w:vAlign w:val="center"/>
          </w:tcPr>
          <w:p w14:paraId="34604FC7">
            <w:pPr>
              <w:widowControl/>
              <w:jc w:val="left"/>
              <w:rPr>
                <w:rFonts w:ascii="宋体" w:hAnsi="宋体" w:cs="宋体"/>
                <w:color w:val="000000"/>
                <w:kern w:val="0"/>
                <w:sz w:val="28"/>
                <w:szCs w:val="28"/>
              </w:rPr>
            </w:pPr>
          </w:p>
        </w:tc>
        <w:tc>
          <w:tcPr>
            <w:tcW w:w="1900" w:type="dxa"/>
            <w:vMerge w:val="continue"/>
            <w:tcBorders>
              <w:top w:val="nil"/>
              <w:left w:val="single" w:color="auto" w:sz="4" w:space="0"/>
              <w:bottom w:val="single" w:color="000000" w:sz="4" w:space="0"/>
              <w:right w:val="single" w:color="auto" w:sz="4" w:space="0"/>
            </w:tcBorders>
            <w:vAlign w:val="center"/>
          </w:tcPr>
          <w:p w14:paraId="0D75EB08">
            <w:pPr>
              <w:widowControl/>
              <w:jc w:val="left"/>
              <w:rPr>
                <w:rFonts w:ascii="宋体" w:hAnsi="宋体" w:cs="宋体"/>
                <w:color w:val="000000"/>
                <w:kern w:val="0"/>
                <w:sz w:val="28"/>
                <w:szCs w:val="28"/>
              </w:rPr>
            </w:pPr>
          </w:p>
        </w:tc>
        <w:tc>
          <w:tcPr>
            <w:tcW w:w="2376" w:type="dxa"/>
            <w:vMerge w:val="continue"/>
            <w:tcBorders>
              <w:top w:val="nil"/>
              <w:left w:val="single" w:color="auto" w:sz="4" w:space="0"/>
              <w:bottom w:val="single" w:color="000000" w:sz="4" w:space="0"/>
              <w:right w:val="single" w:color="auto" w:sz="4" w:space="0"/>
            </w:tcBorders>
            <w:vAlign w:val="center"/>
          </w:tcPr>
          <w:p w14:paraId="1239B6E2">
            <w:pPr>
              <w:widowControl/>
              <w:jc w:val="left"/>
              <w:rPr>
                <w:rFonts w:ascii="宋体" w:hAnsi="宋体" w:cs="宋体"/>
                <w:color w:val="000000"/>
                <w:kern w:val="0"/>
                <w:sz w:val="28"/>
                <w:szCs w:val="28"/>
              </w:rPr>
            </w:pPr>
          </w:p>
        </w:tc>
      </w:tr>
      <w:tr w14:paraId="3166A4D4">
        <w:tblPrEx>
          <w:tblCellMar>
            <w:top w:w="0" w:type="dxa"/>
            <w:left w:w="108" w:type="dxa"/>
            <w:bottom w:w="0" w:type="dxa"/>
            <w:right w:w="108" w:type="dxa"/>
          </w:tblCellMar>
        </w:tblPrEx>
        <w:trPr>
          <w:trHeight w:val="720" w:hRule="atLeast"/>
        </w:trPr>
        <w:tc>
          <w:tcPr>
            <w:tcW w:w="1080" w:type="dxa"/>
            <w:tcBorders>
              <w:top w:val="nil"/>
              <w:left w:val="single" w:color="auto" w:sz="4" w:space="0"/>
              <w:bottom w:val="single" w:color="auto" w:sz="4" w:space="0"/>
              <w:right w:val="single" w:color="auto" w:sz="4" w:space="0"/>
            </w:tcBorders>
            <w:shd w:val="clear" w:color="auto" w:fill="auto"/>
            <w:vAlign w:val="center"/>
          </w:tcPr>
          <w:p w14:paraId="0F5A076E">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2320" w:type="dxa"/>
            <w:tcBorders>
              <w:top w:val="nil"/>
              <w:left w:val="nil"/>
              <w:bottom w:val="single" w:color="auto" w:sz="4" w:space="0"/>
              <w:right w:val="single" w:color="auto" w:sz="4" w:space="0"/>
            </w:tcBorders>
            <w:shd w:val="clear" w:color="auto" w:fill="auto"/>
            <w:vAlign w:val="center"/>
          </w:tcPr>
          <w:p w14:paraId="7D4FADAC">
            <w:pPr>
              <w:widowControl/>
              <w:jc w:val="center"/>
              <w:rPr>
                <w:rFonts w:ascii="宋体" w:hAnsi="宋体" w:cs="宋体"/>
                <w:color w:val="000000"/>
                <w:kern w:val="0"/>
                <w:sz w:val="28"/>
                <w:szCs w:val="28"/>
              </w:rPr>
            </w:pPr>
            <w:r>
              <w:rPr>
                <w:rFonts w:hint="eastAsia" w:ascii="宋体" w:hAnsi="宋体" w:cs="宋体"/>
                <w:color w:val="000000"/>
                <w:kern w:val="0"/>
                <w:sz w:val="28"/>
                <w:szCs w:val="28"/>
              </w:rPr>
              <w:t>涞水县城区社区管理办公室</w:t>
            </w:r>
          </w:p>
        </w:tc>
        <w:tc>
          <w:tcPr>
            <w:tcW w:w="2120" w:type="dxa"/>
            <w:tcBorders>
              <w:top w:val="nil"/>
              <w:left w:val="nil"/>
              <w:bottom w:val="single" w:color="auto" w:sz="4" w:space="0"/>
              <w:right w:val="single" w:color="auto" w:sz="4" w:space="0"/>
            </w:tcBorders>
            <w:shd w:val="clear" w:color="auto" w:fill="auto"/>
            <w:vAlign w:val="center"/>
          </w:tcPr>
          <w:p w14:paraId="72D7A3C8">
            <w:pPr>
              <w:widowControl/>
              <w:jc w:val="center"/>
              <w:rPr>
                <w:rFonts w:ascii="宋体" w:hAnsi="宋体" w:cs="宋体"/>
                <w:color w:val="000000"/>
                <w:kern w:val="0"/>
                <w:sz w:val="28"/>
                <w:szCs w:val="28"/>
              </w:rPr>
            </w:pPr>
            <w:r>
              <w:rPr>
                <w:rFonts w:hint="eastAsia" w:ascii="宋体" w:hAnsi="宋体" w:cs="宋体"/>
                <w:color w:val="000000"/>
                <w:kern w:val="0"/>
                <w:sz w:val="28"/>
                <w:szCs w:val="28"/>
              </w:rPr>
              <w:t>行政</w:t>
            </w:r>
          </w:p>
        </w:tc>
        <w:tc>
          <w:tcPr>
            <w:tcW w:w="1900" w:type="dxa"/>
            <w:tcBorders>
              <w:top w:val="nil"/>
              <w:left w:val="nil"/>
              <w:bottom w:val="single" w:color="auto" w:sz="4" w:space="0"/>
              <w:right w:val="single" w:color="auto" w:sz="4" w:space="0"/>
            </w:tcBorders>
            <w:shd w:val="clear" w:color="auto" w:fill="auto"/>
            <w:vAlign w:val="center"/>
          </w:tcPr>
          <w:p w14:paraId="2A07C5FC">
            <w:pPr>
              <w:widowControl/>
              <w:jc w:val="center"/>
              <w:rPr>
                <w:rFonts w:ascii="宋体" w:hAnsi="宋体" w:cs="宋体"/>
                <w:color w:val="000000"/>
                <w:kern w:val="0"/>
                <w:sz w:val="28"/>
                <w:szCs w:val="28"/>
              </w:rPr>
            </w:pPr>
            <w:r>
              <w:rPr>
                <w:rFonts w:hint="eastAsia" w:ascii="宋体" w:hAnsi="宋体" w:cs="宋体"/>
                <w:color w:val="000000"/>
                <w:kern w:val="0"/>
                <w:sz w:val="28"/>
                <w:szCs w:val="28"/>
              </w:rPr>
              <w:t>正科级</w:t>
            </w:r>
          </w:p>
        </w:tc>
        <w:tc>
          <w:tcPr>
            <w:tcW w:w="2376" w:type="dxa"/>
            <w:tcBorders>
              <w:top w:val="nil"/>
              <w:left w:val="nil"/>
              <w:bottom w:val="single" w:color="auto" w:sz="4" w:space="0"/>
              <w:right w:val="single" w:color="auto" w:sz="4" w:space="0"/>
            </w:tcBorders>
            <w:shd w:val="clear" w:color="auto" w:fill="auto"/>
            <w:vAlign w:val="center"/>
          </w:tcPr>
          <w:p w14:paraId="51468F81">
            <w:pPr>
              <w:widowControl/>
              <w:jc w:val="center"/>
              <w:rPr>
                <w:rFonts w:ascii="宋体" w:hAnsi="宋体" w:cs="宋体"/>
                <w:color w:val="000000"/>
                <w:kern w:val="0"/>
                <w:sz w:val="28"/>
                <w:szCs w:val="28"/>
              </w:rPr>
            </w:pPr>
            <w:r>
              <w:rPr>
                <w:rFonts w:hint="eastAsia" w:ascii="宋体" w:hAnsi="宋体" w:cs="宋体"/>
                <w:color w:val="000000"/>
                <w:kern w:val="0"/>
                <w:sz w:val="28"/>
                <w:szCs w:val="28"/>
              </w:rPr>
              <w:t>财政拨款</w:t>
            </w:r>
          </w:p>
        </w:tc>
      </w:tr>
    </w:tbl>
    <w:p w14:paraId="3B06F131">
      <w:pPr>
        <w:numPr>
          <w:ilvl w:val="0"/>
          <w:numId w:val="1"/>
        </w:numPr>
        <w:rPr>
          <w:rFonts w:ascii="宋体" w:hAnsi="宋体"/>
          <w:b/>
          <w:bCs/>
          <w:sz w:val="28"/>
          <w:szCs w:val="28"/>
        </w:rPr>
      </w:pPr>
      <w:r>
        <w:rPr>
          <w:rFonts w:hint="eastAsia" w:ascii="宋体" w:hAnsi="宋体"/>
          <w:b/>
          <w:bCs/>
          <w:sz w:val="28"/>
          <w:szCs w:val="28"/>
        </w:rPr>
        <w:t>部门预算安排总体情况</w:t>
      </w:r>
    </w:p>
    <w:p w14:paraId="0D3521D0">
      <w:pPr>
        <w:numPr>
          <w:ilvl w:val="0"/>
          <w:numId w:val="2"/>
        </w:numPr>
        <w:ind w:firstLine="560"/>
        <w:rPr>
          <w:rFonts w:hint="eastAsia" w:ascii="宋体" w:hAnsi="宋体"/>
          <w:sz w:val="28"/>
          <w:szCs w:val="28"/>
        </w:rPr>
      </w:pPr>
      <w:r>
        <w:rPr>
          <w:rFonts w:hint="eastAsia" w:ascii="宋体" w:hAnsi="宋体"/>
          <w:sz w:val="28"/>
          <w:szCs w:val="28"/>
        </w:rPr>
        <w:t>我单位一般公共预算拨款收入</w:t>
      </w:r>
      <w:r>
        <w:rPr>
          <w:rFonts w:ascii="宋体" w:hAnsi="宋体"/>
          <w:sz w:val="28"/>
          <w:szCs w:val="28"/>
        </w:rPr>
        <w:t>391.09</w:t>
      </w:r>
      <w:r>
        <w:rPr>
          <w:rFonts w:hint="eastAsia" w:ascii="宋体" w:hAnsi="宋体"/>
          <w:sz w:val="28"/>
          <w:szCs w:val="28"/>
        </w:rPr>
        <w:t>万元，其中非限额补助</w:t>
      </w:r>
      <w:r>
        <w:rPr>
          <w:rFonts w:ascii="宋体" w:hAnsi="宋体"/>
          <w:sz w:val="28"/>
          <w:szCs w:val="28"/>
        </w:rPr>
        <w:t>391.09</w:t>
      </w:r>
      <w:r>
        <w:rPr>
          <w:rFonts w:hint="eastAsia" w:ascii="宋体" w:hAnsi="宋体"/>
          <w:sz w:val="28"/>
          <w:szCs w:val="28"/>
        </w:rPr>
        <w:t>万元。部门预算支出</w:t>
      </w:r>
      <w:r>
        <w:rPr>
          <w:rFonts w:ascii="宋体" w:hAnsi="宋体"/>
          <w:sz w:val="28"/>
          <w:szCs w:val="28"/>
        </w:rPr>
        <w:t>391.09</w:t>
      </w:r>
      <w:r>
        <w:rPr>
          <w:rFonts w:hint="eastAsia" w:ascii="宋体" w:hAnsi="宋体"/>
          <w:sz w:val="28"/>
          <w:szCs w:val="28"/>
        </w:rPr>
        <w:t>万元，其中，基本支出</w:t>
      </w:r>
      <w:r>
        <w:rPr>
          <w:rFonts w:ascii="宋体" w:hAnsi="宋体"/>
          <w:sz w:val="28"/>
          <w:szCs w:val="28"/>
        </w:rPr>
        <w:t>222.21</w:t>
      </w:r>
      <w:r>
        <w:rPr>
          <w:rFonts w:hint="eastAsia" w:ascii="宋体" w:hAnsi="宋体"/>
          <w:sz w:val="28"/>
          <w:szCs w:val="28"/>
        </w:rPr>
        <w:t>万元，包含人员经费</w:t>
      </w:r>
      <w:r>
        <w:rPr>
          <w:rFonts w:ascii="宋体" w:hAnsi="宋体"/>
          <w:sz w:val="28"/>
          <w:szCs w:val="28"/>
        </w:rPr>
        <w:t>214.81</w:t>
      </w:r>
      <w:r>
        <w:rPr>
          <w:rFonts w:hint="eastAsia" w:ascii="宋体" w:hAnsi="宋体"/>
          <w:sz w:val="28"/>
          <w:szCs w:val="28"/>
        </w:rPr>
        <w:t>万元，日常公用经费</w:t>
      </w:r>
      <w:r>
        <w:rPr>
          <w:rFonts w:ascii="宋体" w:hAnsi="宋体"/>
          <w:sz w:val="28"/>
          <w:szCs w:val="28"/>
        </w:rPr>
        <w:t>7.40</w:t>
      </w:r>
      <w:r>
        <w:rPr>
          <w:rFonts w:hint="eastAsia" w:ascii="宋体" w:hAnsi="宋体"/>
          <w:sz w:val="28"/>
          <w:szCs w:val="28"/>
        </w:rPr>
        <w:t>万元；项目支出</w:t>
      </w:r>
      <w:r>
        <w:rPr>
          <w:rFonts w:ascii="宋体" w:hAnsi="宋体"/>
          <w:sz w:val="28"/>
          <w:szCs w:val="28"/>
        </w:rPr>
        <w:t>168.88</w:t>
      </w:r>
      <w:r>
        <w:rPr>
          <w:rFonts w:hint="eastAsia" w:ascii="宋体" w:hAnsi="宋体"/>
          <w:sz w:val="28"/>
          <w:szCs w:val="28"/>
        </w:rPr>
        <w:t>万元。</w:t>
      </w:r>
    </w:p>
    <w:p w14:paraId="67AB0C0A">
      <w:pPr>
        <w:numPr>
          <w:ilvl w:val="0"/>
          <w:numId w:val="2"/>
        </w:numPr>
        <w:ind w:firstLine="560"/>
        <w:rPr>
          <w:rFonts w:hint="eastAsia" w:ascii="宋体" w:hAnsi="宋体"/>
          <w:sz w:val="28"/>
          <w:szCs w:val="28"/>
        </w:rPr>
      </w:pPr>
      <w:r>
        <w:rPr>
          <w:rFonts w:hint="eastAsia" w:ascii="宋体" w:hAnsi="宋体"/>
          <w:sz w:val="28"/>
          <w:szCs w:val="28"/>
          <w:lang w:val="en-US" w:eastAsia="zh-CN"/>
        </w:rPr>
        <w:t>比上年增减情况</w:t>
      </w:r>
    </w:p>
    <w:p w14:paraId="21F58F93">
      <w:pPr>
        <w:numPr>
          <w:ilvl w:val="0"/>
          <w:numId w:val="0"/>
        </w:numPr>
        <w:rPr>
          <w:rFonts w:hint="eastAsia" w:ascii="宋体" w:hAnsi="宋体"/>
          <w:sz w:val="28"/>
          <w:szCs w:val="28"/>
          <w:lang w:val="en-US"/>
        </w:rPr>
      </w:pPr>
      <w:r>
        <w:rPr>
          <w:rFonts w:hint="eastAsia" w:ascii="宋体" w:hAnsi="宋体"/>
          <w:sz w:val="28"/>
          <w:szCs w:val="28"/>
          <w:lang w:val="en-US" w:eastAsia="zh-CN"/>
        </w:rPr>
        <w:t>本年度预算收支安排391.09万元，较上年增加万元。其中：基本支出增加26.66万元，主要增加长期招聘人员的工资和人员变动。项目支出159.02增加，主要增加取暖费和三个居委会的装修费。</w:t>
      </w:r>
    </w:p>
    <w:p w14:paraId="3EEDE5F4">
      <w:pPr>
        <w:numPr>
          <w:ilvl w:val="0"/>
          <w:numId w:val="1"/>
        </w:numPr>
        <w:rPr>
          <w:rFonts w:ascii="宋体" w:hAnsi="宋体"/>
          <w:b/>
          <w:bCs/>
          <w:sz w:val="28"/>
          <w:szCs w:val="28"/>
        </w:rPr>
      </w:pPr>
      <w:r>
        <w:rPr>
          <w:rFonts w:hint="eastAsia" w:ascii="宋体" w:hAnsi="宋体"/>
          <w:b/>
          <w:bCs/>
          <w:sz w:val="28"/>
          <w:szCs w:val="28"/>
        </w:rPr>
        <w:t>机关运行经费安排情况</w:t>
      </w:r>
    </w:p>
    <w:p w14:paraId="34D69A7F">
      <w:pPr>
        <w:ind w:firstLine="560"/>
        <w:rPr>
          <w:rFonts w:ascii="宋体" w:hAnsi="宋体"/>
          <w:sz w:val="28"/>
          <w:szCs w:val="28"/>
        </w:rPr>
      </w:pPr>
      <w:r>
        <w:rPr>
          <w:rFonts w:hint="eastAsia" w:ascii="宋体" w:hAnsi="宋体"/>
          <w:sz w:val="28"/>
          <w:szCs w:val="28"/>
        </w:rPr>
        <w:t>我单位日常公用经费预算支出</w:t>
      </w:r>
      <w:r>
        <w:rPr>
          <w:rFonts w:ascii="宋体" w:hAnsi="宋体"/>
          <w:sz w:val="28"/>
          <w:szCs w:val="28"/>
        </w:rPr>
        <w:t>7.4</w:t>
      </w:r>
      <w:r>
        <w:rPr>
          <w:rFonts w:hint="eastAsia" w:ascii="宋体" w:hAnsi="宋体"/>
          <w:sz w:val="28"/>
          <w:szCs w:val="28"/>
        </w:rPr>
        <w:t>万元，包含办公费</w:t>
      </w:r>
      <w:r>
        <w:rPr>
          <w:rFonts w:ascii="宋体" w:hAnsi="宋体"/>
          <w:sz w:val="28"/>
          <w:szCs w:val="28"/>
        </w:rPr>
        <w:t>2.7</w:t>
      </w:r>
      <w:r>
        <w:rPr>
          <w:rFonts w:hint="eastAsia" w:ascii="宋体" w:hAnsi="宋体"/>
          <w:sz w:val="28"/>
          <w:szCs w:val="28"/>
        </w:rPr>
        <w:t>万元，邮电费</w:t>
      </w:r>
      <w:r>
        <w:rPr>
          <w:rFonts w:ascii="宋体" w:hAnsi="宋体"/>
          <w:sz w:val="28"/>
          <w:szCs w:val="28"/>
        </w:rPr>
        <w:t>0.36</w:t>
      </w:r>
      <w:r>
        <w:rPr>
          <w:rFonts w:hint="eastAsia" w:ascii="宋体" w:hAnsi="宋体"/>
          <w:sz w:val="28"/>
          <w:szCs w:val="28"/>
        </w:rPr>
        <w:t>万元，取暖费</w:t>
      </w:r>
      <w:r>
        <w:rPr>
          <w:rFonts w:ascii="宋体" w:hAnsi="宋体"/>
          <w:sz w:val="28"/>
          <w:szCs w:val="28"/>
        </w:rPr>
        <w:t>1.3</w:t>
      </w:r>
      <w:r>
        <w:rPr>
          <w:rFonts w:hint="eastAsia" w:ascii="宋体" w:hAnsi="宋体"/>
          <w:sz w:val="28"/>
          <w:szCs w:val="28"/>
        </w:rPr>
        <w:t>万元，工会经费</w:t>
      </w:r>
      <w:r>
        <w:rPr>
          <w:rFonts w:ascii="宋体" w:hAnsi="宋体"/>
          <w:sz w:val="28"/>
          <w:szCs w:val="28"/>
        </w:rPr>
        <w:t>1.21</w:t>
      </w:r>
      <w:r>
        <w:rPr>
          <w:rFonts w:hint="eastAsia" w:ascii="宋体" w:hAnsi="宋体"/>
          <w:sz w:val="28"/>
          <w:szCs w:val="28"/>
        </w:rPr>
        <w:t>万元，职工福利费</w:t>
      </w:r>
      <w:r>
        <w:rPr>
          <w:rFonts w:ascii="宋体" w:hAnsi="宋体"/>
          <w:sz w:val="28"/>
          <w:szCs w:val="28"/>
        </w:rPr>
        <w:t>1.83</w:t>
      </w:r>
      <w:r>
        <w:rPr>
          <w:rFonts w:hint="eastAsia" w:ascii="宋体" w:hAnsi="宋体"/>
          <w:sz w:val="28"/>
          <w:szCs w:val="28"/>
        </w:rPr>
        <w:t>万元。</w:t>
      </w:r>
    </w:p>
    <w:p w14:paraId="36C7F8F6">
      <w:pPr>
        <w:numPr>
          <w:ilvl w:val="0"/>
          <w:numId w:val="1"/>
        </w:numPr>
        <w:rPr>
          <w:rFonts w:ascii="宋体" w:hAnsi="宋体"/>
          <w:b/>
          <w:bCs/>
          <w:sz w:val="28"/>
          <w:szCs w:val="28"/>
        </w:rPr>
      </w:pPr>
      <w:r>
        <w:rPr>
          <w:rFonts w:hint="eastAsia" w:ascii="宋体" w:hAnsi="宋体"/>
          <w:b/>
          <w:bCs/>
          <w:sz w:val="28"/>
          <w:szCs w:val="28"/>
        </w:rPr>
        <w:t>财政拨款“三公”经费预算情况</w:t>
      </w:r>
    </w:p>
    <w:p w14:paraId="4635A7C3">
      <w:pPr>
        <w:ind w:firstLine="560"/>
        <w:rPr>
          <w:rFonts w:hint="eastAsia" w:ascii="宋体" w:hAnsi="宋体"/>
          <w:sz w:val="28"/>
          <w:szCs w:val="28"/>
        </w:rPr>
      </w:pPr>
      <w:r>
        <w:rPr>
          <w:rFonts w:hint="eastAsia" w:ascii="宋体" w:hAnsi="宋体"/>
          <w:sz w:val="28"/>
          <w:szCs w:val="28"/>
        </w:rPr>
        <w:t>我单位</w:t>
      </w:r>
      <w:r>
        <w:rPr>
          <w:rFonts w:ascii="宋体" w:hAnsi="宋体"/>
          <w:sz w:val="28"/>
          <w:szCs w:val="28"/>
        </w:rPr>
        <w:t>2017</w:t>
      </w:r>
      <w:r>
        <w:rPr>
          <w:rFonts w:hint="eastAsia" w:ascii="宋体" w:hAnsi="宋体"/>
          <w:sz w:val="28"/>
          <w:szCs w:val="28"/>
        </w:rPr>
        <w:t>年三公经费预算拨款2.3万元，公务接待费2.3万元，</w:t>
      </w:r>
      <w:r>
        <w:rPr>
          <w:rFonts w:hint="eastAsia" w:ascii="宋体" w:hAnsi="宋体"/>
          <w:sz w:val="28"/>
          <w:szCs w:val="28"/>
          <w:lang w:eastAsia="zh-CN"/>
        </w:rPr>
        <w:t>预计</w:t>
      </w:r>
      <w:r>
        <w:rPr>
          <w:rFonts w:hint="eastAsia" w:ascii="宋体" w:hAnsi="宋体"/>
          <w:sz w:val="28"/>
          <w:szCs w:val="28"/>
        </w:rPr>
        <w:t>接待115次，1150人</w:t>
      </w:r>
      <w:r>
        <w:rPr>
          <w:rFonts w:hint="eastAsia" w:ascii="宋体" w:hAnsi="宋体"/>
          <w:sz w:val="28"/>
          <w:szCs w:val="28"/>
          <w:lang w:eastAsia="zh-CN"/>
        </w:rPr>
        <w:t>次。</w:t>
      </w:r>
      <w:r>
        <w:rPr>
          <w:rFonts w:hint="eastAsia" w:ascii="宋体" w:hAnsi="宋体"/>
          <w:sz w:val="28"/>
          <w:szCs w:val="28"/>
        </w:rPr>
        <w:t>无因公出国（境）费、会议费、培训费。</w:t>
      </w:r>
    </w:p>
    <w:p w14:paraId="53F06239">
      <w:pPr>
        <w:rPr>
          <w:rFonts w:ascii="宋体" w:hAnsi="宋体" w:cs="宋体"/>
          <w:sz w:val="28"/>
          <w:szCs w:val="28"/>
        </w:rPr>
      </w:pPr>
      <w:r>
        <w:rPr>
          <w:rFonts w:ascii="宋体" w:hAnsi="宋体" w:cs="宋体"/>
          <w:sz w:val="28"/>
          <w:szCs w:val="28"/>
        </w:rPr>
        <w:t xml:space="preserve">    </w:t>
      </w:r>
      <w:r>
        <w:rPr>
          <w:rFonts w:hint="eastAsia" w:ascii="宋体" w:hAnsi="宋体" w:cs="宋体"/>
          <w:sz w:val="28"/>
          <w:szCs w:val="28"/>
        </w:rPr>
        <w:t>我单位</w:t>
      </w:r>
      <w:r>
        <w:rPr>
          <w:rFonts w:ascii="宋体" w:hAnsi="宋体" w:cs="宋体"/>
          <w:sz w:val="28"/>
          <w:szCs w:val="28"/>
        </w:rPr>
        <w:t>2016</w:t>
      </w:r>
      <w:r>
        <w:rPr>
          <w:rFonts w:hint="eastAsia" w:ascii="宋体" w:hAnsi="宋体" w:cs="宋体"/>
          <w:sz w:val="28"/>
          <w:szCs w:val="28"/>
        </w:rPr>
        <w:t>年“三公经费”预算合计</w:t>
      </w:r>
      <w:r>
        <w:rPr>
          <w:rFonts w:ascii="宋体" w:hAnsi="宋体" w:cs="宋体"/>
          <w:sz w:val="28"/>
          <w:szCs w:val="28"/>
        </w:rPr>
        <w:t>6.8</w:t>
      </w:r>
      <w:r>
        <w:rPr>
          <w:rFonts w:hint="eastAsia" w:ascii="宋体" w:hAnsi="宋体" w:cs="宋体"/>
          <w:sz w:val="28"/>
          <w:szCs w:val="28"/>
        </w:rPr>
        <w:t>万元，其中公务用车运行维护费</w:t>
      </w:r>
      <w:r>
        <w:rPr>
          <w:rFonts w:ascii="宋体" w:hAnsi="宋体" w:cs="宋体"/>
          <w:sz w:val="28"/>
          <w:szCs w:val="28"/>
        </w:rPr>
        <w:t>2.5</w:t>
      </w:r>
      <w:r>
        <w:rPr>
          <w:rFonts w:hint="eastAsia" w:ascii="宋体" w:hAnsi="宋体" w:cs="宋体"/>
          <w:sz w:val="28"/>
          <w:szCs w:val="28"/>
        </w:rPr>
        <w:t>万元，公务接待费</w:t>
      </w:r>
      <w:r>
        <w:rPr>
          <w:rFonts w:ascii="宋体" w:hAnsi="宋体" w:cs="宋体"/>
          <w:sz w:val="28"/>
          <w:szCs w:val="28"/>
        </w:rPr>
        <w:t>4.3</w:t>
      </w:r>
      <w:r>
        <w:rPr>
          <w:rFonts w:hint="eastAsia" w:ascii="宋体" w:hAnsi="宋体" w:cs="宋体"/>
          <w:sz w:val="28"/>
          <w:szCs w:val="28"/>
        </w:rPr>
        <w:t>万元，无因公出国（境）费。</w:t>
      </w:r>
    </w:p>
    <w:p w14:paraId="794E3BE0">
      <w:pPr>
        <w:ind w:firstLine="560" w:firstLineChars="200"/>
        <w:rPr>
          <w:rFonts w:ascii="宋体" w:hAnsi="宋体" w:cs="宋体"/>
          <w:sz w:val="28"/>
          <w:szCs w:val="28"/>
        </w:rPr>
      </w:pPr>
      <w:r>
        <w:rPr>
          <w:rFonts w:ascii="宋体" w:hAnsi="宋体" w:cs="宋体"/>
          <w:sz w:val="28"/>
          <w:szCs w:val="28"/>
        </w:rPr>
        <w:t>2017</w:t>
      </w:r>
      <w:r>
        <w:rPr>
          <w:rFonts w:hint="eastAsia" w:ascii="宋体" w:hAnsi="宋体" w:cs="宋体"/>
          <w:sz w:val="28"/>
          <w:szCs w:val="28"/>
        </w:rPr>
        <w:t>年“三公经费”总额比</w:t>
      </w:r>
      <w:r>
        <w:rPr>
          <w:rFonts w:ascii="宋体" w:hAnsi="宋体" w:cs="宋体"/>
          <w:sz w:val="28"/>
          <w:szCs w:val="28"/>
        </w:rPr>
        <w:t>2016</w:t>
      </w:r>
      <w:r>
        <w:rPr>
          <w:rFonts w:hint="eastAsia" w:ascii="宋体" w:hAnsi="宋体" w:cs="宋体"/>
          <w:sz w:val="28"/>
          <w:szCs w:val="28"/>
        </w:rPr>
        <w:t>年减少了</w:t>
      </w:r>
      <w:r>
        <w:rPr>
          <w:rFonts w:ascii="宋体" w:hAnsi="宋体" w:cs="宋体"/>
          <w:sz w:val="28"/>
          <w:szCs w:val="28"/>
        </w:rPr>
        <w:t>4.5</w:t>
      </w:r>
      <w:r>
        <w:rPr>
          <w:rFonts w:hint="eastAsia" w:ascii="宋体" w:hAnsi="宋体" w:cs="宋体"/>
          <w:sz w:val="28"/>
          <w:szCs w:val="28"/>
        </w:rPr>
        <w:t>万元，减少了</w:t>
      </w:r>
      <w:r>
        <w:rPr>
          <w:rFonts w:ascii="宋体" w:hAnsi="宋体" w:cs="宋体"/>
          <w:sz w:val="28"/>
          <w:szCs w:val="28"/>
        </w:rPr>
        <w:t xml:space="preserve">33.82% </w:t>
      </w:r>
      <w:r>
        <w:rPr>
          <w:rFonts w:hint="eastAsia" w:ascii="宋体" w:hAnsi="宋体" w:cs="宋体"/>
          <w:sz w:val="28"/>
          <w:szCs w:val="28"/>
        </w:rPr>
        <w:t>。其中</w:t>
      </w:r>
      <w:r>
        <w:rPr>
          <w:rFonts w:ascii="宋体" w:hAnsi="宋体" w:cs="宋体"/>
          <w:sz w:val="28"/>
          <w:szCs w:val="28"/>
        </w:rPr>
        <w:t>2017</w:t>
      </w:r>
      <w:r>
        <w:rPr>
          <w:rFonts w:hint="eastAsia" w:ascii="宋体" w:hAnsi="宋体" w:cs="宋体"/>
          <w:sz w:val="28"/>
          <w:szCs w:val="28"/>
        </w:rPr>
        <w:t>年公务用车运行维护费比</w:t>
      </w:r>
      <w:r>
        <w:rPr>
          <w:rFonts w:ascii="宋体" w:hAnsi="宋体" w:cs="宋体"/>
          <w:sz w:val="28"/>
          <w:szCs w:val="28"/>
        </w:rPr>
        <w:t>2016</w:t>
      </w:r>
      <w:r>
        <w:rPr>
          <w:rFonts w:hint="eastAsia" w:ascii="宋体" w:hAnsi="宋体" w:cs="宋体"/>
          <w:sz w:val="28"/>
          <w:szCs w:val="28"/>
        </w:rPr>
        <w:t>年减少了</w:t>
      </w:r>
      <w:r>
        <w:rPr>
          <w:rFonts w:ascii="宋体" w:hAnsi="宋体" w:cs="宋体"/>
          <w:sz w:val="28"/>
          <w:szCs w:val="28"/>
        </w:rPr>
        <w:t>2.5</w:t>
      </w:r>
      <w:r>
        <w:rPr>
          <w:rFonts w:hint="eastAsia" w:ascii="宋体" w:hAnsi="宋体" w:cs="宋体"/>
          <w:sz w:val="28"/>
          <w:szCs w:val="28"/>
        </w:rPr>
        <w:t>万元，减少了</w:t>
      </w:r>
      <w:r>
        <w:rPr>
          <w:rFonts w:ascii="宋体" w:hAnsi="宋体" w:cs="宋体"/>
          <w:sz w:val="28"/>
          <w:szCs w:val="28"/>
        </w:rPr>
        <w:t xml:space="preserve">100% </w:t>
      </w:r>
      <w:r>
        <w:rPr>
          <w:rFonts w:hint="eastAsia" w:ascii="宋体" w:hAnsi="宋体" w:cs="宋体"/>
          <w:sz w:val="28"/>
          <w:szCs w:val="28"/>
        </w:rPr>
        <w:t>；</w:t>
      </w:r>
      <w:r>
        <w:rPr>
          <w:rFonts w:ascii="宋体" w:hAnsi="宋体" w:cs="宋体"/>
          <w:sz w:val="28"/>
          <w:szCs w:val="28"/>
        </w:rPr>
        <w:t>2017</w:t>
      </w:r>
      <w:r>
        <w:rPr>
          <w:rFonts w:hint="eastAsia" w:ascii="宋体" w:hAnsi="宋体" w:cs="宋体"/>
          <w:sz w:val="28"/>
          <w:szCs w:val="28"/>
        </w:rPr>
        <w:t>年公务接待费比</w:t>
      </w:r>
      <w:r>
        <w:rPr>
          <w:rFonts w:ascii="宋体" w:hAnsi="宋体" w:cs="宋体"/>
          <w:sz w:val="28"/>
          <w:szCs w:val="28"/>
        </w:rPr>
        <w:t>2016</w:t>
      </w:r>
      <w:r>
        <w:rPr>
          <w:rFonts w:hint="eastAsia" w:ascii="宋体" w:hAnsi="宋体" w:cs="宋体"/>
          <w:sz w:val="28"/>
          <w:szCs w:val="28"/>
        </w:rPr>
        <w:t>年减少了</w:t>
      </w:r>
      <w:r>
        <w:rPr>
          <w:rFonts w:ascii="宋体" w:hAnsi="宋体" w:cs="宋体"/>
          <w:sz w:val="28"/>
          <w:szCs w:val="28"/>
        </w:rPr>
        <w:t>2</w:t>
      </w:r>
      <w:r>
        <w:rPr>
          <w:rFonts w:hint="eastAsia" w:ascii="宋体" w:hAnsi="宋体" w:cs="宋体"/>
          <w:sz w:val="28"/>
          <w:szCs w:val="28"/>
        </w:rPr>
        <w:t>万元，减少了</w:t>
      </w:r>
      <w:r>
        <w:rPr>
          <w:rFonts w:ascii="宋体" w:hAnsi="宋体" w:cs="宋体"/>
          <w:sz w:val="28"/>
          <w:szCs w:val="28"/>
        </w:rPr>
        <w:t xml:space="preserve">40% </w:t>
      </w:r>
      <w:r>
        <w:rPr>
          <w:rFonts w:hint="eastAsia" w:ascii="宋体" w:hAnsi="宋体" w:cs="宋体"/>
          <w:sz w:val="28"/>
          <w:szCs w:val="28"/>
        </w:rPr>
        <w:t>。</w:t>
      </w:r>
    </w:p>
    <w:p w14:paraId="6D8497F7">
      <w:pPr>
        <w:ind w:firstLine="560"/>
        <w:jc w:val="left"/>
        <w:rPr>
          <w:rFonts w:hint="eastAsia" w:ascii="宋体" w:hAnsi="宋体" w:cs="宋体"/>
          <w:color w:val="000000"/>
          <w:kern w:val="0"/>
          <w:sz w:val="28"/>
          <w:szCs w:val="28"/>
        </w:rPr>
      </w:pPr>
      <w:r>
        <w:rPr>
          <w:rFonts w:ascii="宋体" w:hAnsi="宋体" w:cs="宋体"/>
          <w:sz w:val="28"/>
          <w:szCs w:val="28"/>
        </w:rPr>
        <w:t>2017</w:t>
      </w:r>
      <w:r>
        <w:rPr>
          <w:rFonts w:hint="eastAsia" w:ascii="宋体" w:hAnsi="宋体" w:cs="宋体"/>
          <w:sz w:val="28"/>
          <w:szCs w:val="28"/>
        </w:rPr>
        <w:t>年我单位公车改革</w:t>
      </w:r>
      <w:r>
        <w:rPr>
          <w:rFonts w:ascii="宋体" w:hAnsi="宋体" w:cs="宋体"/>
          <w:sz w:val="28"/>
          <w:szCs w:val="28"/>
        </w:rPr>
        <w:t>,</w:t>
      </w:r>
      <w:r>
        <w:rPr>
          <w:rFonts w:hint="eastAsia" w:ascii="宋体" w:hAnsi="宋体" w:cs="宋体"/>
          <w:sz w:val="28"/>
          <w:szCs w:val="28"/>
        </w:rPr>
        <w:t>公车被取消</w:t>
      </w:r>
      <w:r>
        <w:rPr>
          <w:rFonts w:ascii="宋体" w:hAnsi="宋体" w:cs="宋体"/>
          <w:sz w:val="28"/>
          <w:szCs w:val="28"/>
        </w:rPr>
        <w:t>.</w:t>
      </w:r>
      <w:r>
        <w:rPr>
          <w:rFonts w:hint="eastAsia" w:ascii="宋体" w:hAnsi="宋体" w:cs="宋体"/>
          <w:sz w:val="28"/>
          <w:szCs w:val="28"/>
        </w:rPr>
        <w:t>因此公务用车运行维护费比</w:t>
      </w:r>
      <w:r>
        <w:rPr>
          <w:rFonts w:ascii="宋体" w:hAnsi="宋体" w:cs="宋体"/>
          <w:sz w:val="28"/>
          <w:szCs w:val="28"/>
        </w:rPr>
        <w:t>2016</w:t>
      </w:r>
      <w:r>
        <w:rPr>
          <w:rFonts w:hint="eastAsia" w:ascii="宋体" w:hAnsi="宋体" w:cs="宋体"/>
          <w:sz w:val="28"/>
          <w:szCs w:val="28"/>
        </w:rPr>
        <w:t>年减少。我单位</w:t>
      </w:r>
      <w:r>
        <w:rPr>
          <w:rFonts w:ascii="宋体" w:hAnsi="宋体" w:cs="宋体"/>
          <w:sz w:val="28"/>
          <w:szCs w:val="28"/>
        </w:rPr>
        <w:t>2017</w:t>
      </w:r>
      <w:r>
        <w:rPr>
          <w:rFonts w:hint="eastAsia" w:ascii="宋体" w:hAnsi="宋体" w:cs="宋体"/>
          <w:sz w:val="28"/>
          <w:szCs w:val="28"/>
        </w:rPr>
        <w:t>年计划对公务接待的次数和人数进行缩减，严格控制公务接待的规模，深入贯彻落实《党政机关厉行节约反对浪费条例》，因此</w:t>
      </w:r>
      <w:r>
        <w:rPr>
          <w:rFonts w:hint="eastAsia" w:ascii="宋体" w:hAnsi="宋体" w:cs="宋体"/>
          <w:color w:val="000000"/>
          <w:kern w:val="0"/>
          <w:sz w:val="28"/>
          <w:szCs w:val="28"/>
        </w:rPr>
        <w:t>比</w:t>
      </w:r>
      <w:r>
        <w:rPr>
          <w:rFonts w:ascii="宋体" w:hAnsi="宋体" w:cs="宋体"/>
          <w:color w:val="000000"/>
          <w:kern w:val="0"/>
          <w:sz w:val="28"/>
          <w:szCs w:val="28"/>
        </w:rPr>
        <w:t>2016</w:t>
      </w:r>
      <w:r>
        <w:rPr>
          <w:rFonts w:hint="eastAsia" w:ascii="宋体" w:hAnsi="宋体" w:cs="宋体"/>
          <w:color w:val="000000"/>
          <w:kern w:val="0"/>
          <w:sz w:val="28"/>
          <w:szCs w:val="28"/>
        </w:rPr>
        <w:t>年减少。</w:t>
      </w:r>
    </w:p>
    <w:tbl>
      <w:tblPr>
        <w:tblStyle w:val="6"/>
        <w:tblpPr w:leftFromText="180" w:rightFromText="180" w:vertAnchor="text" w:horzAnchor="page" w:tblpX="1268" w:tblpY="-156"/>
        <w:tblOverlap w:val="never"/>
        <w:tblW w:w="9855" w:type="dxa"/>
        <w:tblInd w:w="0" w:type="dxa"/>
        <w:tblLayout w:type="fixed"/>
        <w:tblCellMar>
          <w:top w:w="0" w:type="dxa"/>
          <w:left w:w="108" w:type="dxa"/>
          <w:bottom w:w="0" w:type="dxa"/>
          <w:right w:w="108" w:type="dxa"/>
        </w:tblCellMar>
      </w:tblPr>
      <w:tblGrid>
        <w:gridCol w:w="2136"/>
        <w:gridCol w:w="1717"/>
        <w:gridCol w:w="1717"/>
        <w:gridCol w:w="1177"/>
        <w:gridCol w:w="3108"/>
      </w:tblGrid>
      <w:tr w14:paraId="62B45968">
        <w:tblPrEx>
          <w:tblCellMar>
            <w:top w:w="0" w:type="dxa"/>
            <w:left w:w="108" w:type="dxa"/>
            <w:bottom w:w="0" w:type="dxa"/>
            <w:right w:w="108" w:type="dxa"/>
          </w:tblCellMar>
        </w:tblPrEx>
        <w:trPr>
          <w:trHeight w:val="405" w:hRule="atLeast"/>
        </w:trPr>
        <w:tc>
          <w:tcPr>
            <w:tcW w:w="9855" w:type="dxa"/>
            <w:gridSpan w:val="5"/>
            <w:tcBorders>
              <w:top w:val="nil"/>
              <w:left w:val="nil"/>
              <w:bottom w:val="nil"/>
              <w:right w:val="nil"/>
            </w:tcBorders>
            <w:vAlign w:val="center"/>
          </w:tcPr>
          <w:p w14:paraId="05D55E7E">
            <w:pPr>
              <w:widowControl/>
              <w:spacing w:line="520" w:lineRule="exact"/>
              <w:jc w:val="center"/>
              <w:rPr>
                <w:rFonts w:ascii="黑体" w:hAnsi="黑体" w:eastAsia="黑体" w:cs="宋体"/>
                <w:kern w:val="0"/>
                <w:sz w:val="32"/>
                <w:szCs w:val="32"/>
              </w:rPr>
            </w:pPr>
            <w:r>
              <w:rPr>
                <w:rFonts w:hint="eastAsia" w:ascii="黑体" w:hAnsi="黑体" w:eastAsia="黑体"/>
                <w:sz w:val="32"/>
                <w:szCs w:val="32"/>
              </w:rPr>
              <w:t>“三公”经费预算情况及增减变化原因</w:t>
            </w:r>
          </w:p>
        </w:tc>
      </w:tr>
      <w:tr w14:paraId="76CF7871">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3B979FE9">
            <w:pPr>
              <w:widowControl/>
              <w:jc w:val="left"/>
              <w:rPr>
                <w:rFonts w:ascii="宋体" w:hAnsi="宋体" w:cs="宋体"/>
                <w:kern w:val="0"/>
                <w:sz w:val="24"/>
                <w:szCs w:val="24"/>
              </w:rPr>
            </w:pPr>
          </w:p>
        </w:tc>
        <w:tc>
          <w:tcPr>
            <w:tcW w:w="1717" w:type="dxa"/>
            <w:tcBorders>
              <w:top w:val="nil"/>
              <w:left w:val="nil"/>
              <w:bottom w:val="nil"/>
              <w:right w:val="nil"/>
            </w:tcBorders>
            <w:vAlign w:val="center"/>
          </w:tcPr>
          <w:p w14:paraId="34C3072D">
            <w:pPr>
              <w:widowControl/>
              <w:jc w:val="left"/>
              <w:rPr>
                <w:rFonts w:ascii="宋体" w:hAnsi="宋体" w:cs="宋体"/>
                <w:kern w:val="0"/>
                <w:sz w:val="24"/>
                <w:szCs w:val="24"/>
              </w:rPr>
            </w:pPr>
          </w:p>
        </w:tc>
        <w:tc>
          <w:tcPr>
            <w:tcW w:w="1717" w:type="dxa"/>
            <w:tcBorders>
              <w:top w:val="nil"/>
              <w:left w:val="nil"/>
              <w:bottom w:val="nil"/>
              <w:right w:val="nil"/>
            </w:tcBorders>
            <w:vAlign w:val="center"/>
          </w:tcPr>
          <w:p w14:paraId="624A0A5B">
            <w:pPr>
              <w:widowControl/>
              <w:jc w:val="left"/>
              <w:rPr>
                <w:rFonts w:ascii="宋体" w:hAnsi="宋体" w:cs="宋体"/>
                <w:kern w:val="0"/>
                <w:sz w:val="24"/>
                <w:szCs w:val="24"/>
              </w:rPr>
            </w:pPr>
          </w:p>
        </w:tc>
        <w:tc>
          <w:tcPr>
            <w:tcW w:w="1177" w:type="dxa"/>
            <w:tcBorders>
              <w:top w:val="nil"/>
              <w:left w:val="nil"/>
              <w:bottom w:val="nil"/>
              <w:right w:val="nil"/>
            </w:tcBorders>
            <w:vAlign w:val="center"/>
          </w:tcPr>
          <w:p w14:paraId="1B6072FF">
            <w:pPr>
              <w:widowControl/>
              <w:jc w:val="left"/>
              <w:rPr>
                <w:rFonts w:ascii="宋体" w:hAnsi="宋体" w:cs="宋体"/>
                <w:kern w:val="0"/>
                <w:sz w:val="24"/>
                <w:szCs w:val="24"/>
              </w:rPr>
            </w:pPr>
          </w:p>
        </w:tc>
        <w:tc>
          <w:tcPr>
            <w:tcW w:w="3108" w:type="dxa"/>
            <w:tcBorders>
              <w:top w:val="nil"/>
              <w:left w:val="nil"/>
              <w:bottom w:val="nil"/>
              <w:right w:val="nil"/>
            </w:tcBorders>
            <w:vAlign w:val="center"/>
          </w:tcPr>
          <w:p w14:paraId="4B4B7694">
            <w:pPr>
              <w:widowControl/>
              <w:jc w:val="right"/>
              <w:rPr>
                <w:rFonts w:ascii="宋体" w:hAnsi="宋体" w:cs="宋体"/>
                <w:kern w:val="0"/>
                <w:sz w:val="24"/>
                <w:szCs w:val="24"/>
              </w:rPr>
            </w:pPr>
            <w:r>
              <w:rPr>
                <w:rFonts w:hint="eastAsia" w:ascii="宋体" w:hAnsi="宋体" w:cs="宋体"/>
                <w:kern w:val="0"/>
                <w:sz w:val="24"/>
                <w:szCs w:val="24"/>
              </w:rPr>
              <w:t>单位：万元</w:t>
            </w:r>
          </w:p>
        </w:tc>
      </w:tr>
      <w:tr w14:paraId="053C5349">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37C059AA">
            <w:pPr>
              <w:widowControl/>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项目名称</w:t>
            </w:r>
          </w:p>
        </w:tc>
        <w:tc>
          <w:tcPr>
            <w:tcW w:w="1717" w:type="dxa"/>
            <w:tcBorders>
              <w:top w:val="single" w:color="auto" w:sz="4" w:space="0"/>
              <w:left w:val="nil"/>
              <w:bottom w:val="single" w:color="auto" w:sz="4" w:space="0"/>
              <w:right w:val="single" w:color="auto" w:sz="4" w:space="0"/>
            </w:tcBorders>
            <w:vAlign w:val="center"/>
          </w:tcPr>
          <w:p w14:paraId="3D632064">
            <w:pPr>
              <w:widowControl/>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2016年度预算</w:t>
            </w:r>
          </w:p>
        </w:tc>
        <w:tc>
          <w:tcPr>
            <w:tcW w:w="1717" w:type="dxa"/>
            <w:tcBorders>
              <w:top w:val="single" w:color="auto" w:sz="4" w:space="0"/>
              <w:left w:val="nil"/>
              <w:bottom w:val="single" w:color="auto" w:sz="4" w:space="0"/>
              <w:right w:val="single" w:color="auto" w:sz="4" w:space="0"/>
            </w:tcBorders>
            <w:vAlign w:val="center"/>
          </w:tcPr>
          <w:p w14:paraId="7174D2F9">
            <w:pPr>
              <w:widowControl/>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2017年度预算</w:t>
            </w:r>
          </w:p>
        </w:tc>
        <w:tc>
          <w:tcPr>
            <w:tcW w:w="1177" w:type="dxa"/>
            <w:tcBorders>
              <w:top w:val="single" w:color="auto" w:sz="4" w:space="0"/>
              <w:left w:val="nil"/>
              <w:bottom w:val="single" w:color="auto" w:sz="4" w:space="0"/>
              <w:right w:val="single" w:color="auto" w:sz="4" w:space="0"/>
            </w:tcBorders>
            <w:vAlign w:val="center"/>
          </w:tcPr>
          <w:p w14:paraId="497EE5CD">
            <w:pPr>
              <w:widowControl/>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增减金额</w:t>
            </w:r>
          </w:p>
        </w:tc>
        <w:tc>
          <w:tcPr>
            <w:tcW w:w="3108" w:type="dxa"/>
            <w:tcBorders>
              <w:top w:val="single" w:color="auto" w:sz="4" w:space="0"/>
              <w:left w:val="nil"/>
              <w:bottom w:val="single" w:color="auto" w:sz="4" w:space="0"/>
              <w:right w:val="single" w:color="auto" w:sz="4" w:space="0"/>
            </w:tcBorders>
            <w:vAlign w:val="center"/>
          </w:tcPr>
          <w:p w14:paraId="03E04309">
            <w:pPr>
              <w:widowControl/>
              <w:jc w:val="center"/>
              <w:rPr>
                <w:rFonts w:hint="eastAsia" w:ascii="仿宋_GB2312" w:hAnsi="宋体" w:eastAsia="仿宋_GB2312" w:cs="宋体"/>
                <w:kern w:val="0"/>
                <w:sz w:val="24"/>
                <w:szCs w:val="24"/>
                <w:lang w:eastAsia="zh-CN"/>
              </w:rPr>
            </w:pPr>
            <w:r>
              <w:rPr>
                <w:rFonts w:hint="eastAsia" w:ascii="仿宋_GB2312" w:hAnsi="宋体" w:eastAsia="仿宋_GB2312" w:cs="宋体"/>
                <w:kern w:val="0"/>
                <w:sz w:val="24"/>
                <w:szCs w:val="24"/>
              </w:rPr>
              <w:t>变化</w:t>
            </w:r>
            <w:r>
              <w:rPr>
                <w:rFonts w:hint="eastAsia" w:ascii="仿宋_GB2312" w:hAnsi="宋体" w:eastAsia="仿宋_GB2312" w:cs="宋体"/>
                <w:kern w:val="0"/>
                <w:sz w:val="24"/>
                <w:szCs w:val="24"/>
                <w:lang w:eastAsia="zh-CN"/>
              </w:rPr>
              <w:t>情况</w:t>
            </w:r>
            <w:bookmarkStart w:id="1" w:name="_GoBack"/>
            <w:bookmarkEnd w:id="1"/>
          </w:p>
        </w:tc>
      </w:tr>
      <w:tr w14:paraId="415373E1">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4BFEE9D2">
            <w:pPr>
              <w:widowControl/>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因公出国经费</w:t>
            </w:r>
          </w:p>
        </w:tc>
        <w:tc>
          <w:tcPr>
            <w:tcW w:w="1717" w:type="dxa"/>
            <w:tcBorders>
              <w:top w:val="nil"/>
              <w:left w:val="nil"/>
              <w:bottom w:val="single" w:color="auto" w:sz="4" w:space="0"/>
              <w:right w:val="single" w:color="auto" w:sz="4" w:space="0"/>
            </w:tcBorders>
            <w:vAlign w:val="center"/>
          </w:tcPr>
          <w:p w14:paraId="57172960">
            <w:pPr>
              <w:widowControl/>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0</w:t>
            </w:r>
          </w:p>
        </w:tc>
        <w:tc>
          <w:tcPr>
            <w:tcW w:w="1717" w:type="dxa"/>
            <w:tcBorders>
              <w:top w:val="nil"/>
              <w:left w:val="nil"/>
              <w:bottom w:val="single" w:color="auto" w:sz="4" w:space="0"/>
              <w:right w:val="single" w:color="auto" w:sz="4" w:space="0"/>
            </w:tcBorders>
            <w:vAlign w:val="center"/>
          </w:tcPr>
          <w:p w14:paraId="1E1D3806">
            <w:pPr>
              <w:widowControl/>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0</w:t>
            </w:r>
          </w:p>
        </w:tc>
        <w:tc>
          <w:tcPr>
            <w:tcW w:w="1177" w:type="dxa"/>
            <w:tcBorders>
              <w:top w:val="nil"/>
              <w:left w:val="nil"/>
              <w:bottom w:val="single" w:color="auto" w:sz="4" w:space="0"/>
              <w:right w:val="single" w:color="auto" w:sz="4" w:space="0"/>
            </w:tcBorders>
            <w:vAlign w:val="center"/>
          </w:tcPr>
          <w:p w14:paraId="7519BC53">
            <w:pPr>
              <w:widowControl/>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0</w:t>
            </w:r>
          </w:p>
        </w:tc>
        <w:tc>
          <w:tcPr>
            <w:tcW w:w="3108" w:type="dxa"/>
            <w:tcBorders>
              <w:top w:val="nil"/>
              <w:left w:val="nil"/>
              <w:bottom w:val="single" w:color="auto" w:sz="4" w:space="0"/>
              <w:right w:val="single" w:color="auto" w:sz="4" w:space="0"/>
            </w:tcBorders>
            <w:vAlign w:val="center"/>
          </w:tcPr>
          <w:p w14:paraId="3696EA0E">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无增减变化</w:t>
            </w:r>
          </w:p>
        </w:tc>
      </w:tr>
      <w:tr w14:paraId="4D6A8416">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5AF1F387">
            <w:pPr>
              <w:widowControl/>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公务用车购置经费</w:t>
            </w:r>
          </w:p>
        </w:tc>
        <w:tc>
          <w:tcPr>
            <w:tcW w:w="1717" w:type="dxa"/>
            <w:tcBorders>
              <w:top w:val="nil"/>
              <w:left w:val="nil"/>
              <w:bottom w:val="single" w:color="auto" w:sz="4" w:space="0"/>
              <w:right w:val="single" w:color="auto" w:sz="4" w:space="0"/>
            </w:tcBorders>
            <w:vAlign w:val="center"/>
          </w:tcPr>
          <w:p w14:paraId="7FC46AEC">
            <w:pPr>
              <w:widowControl/>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0</w:t>
            </w:r>
          </w:p>
        </w:tc>
        <w:tc>
          <w:tcPr>
            <w:tcW w:w="1717" w:type="dxa"/>
            <w:tcBorders>
              <w:top w:val="nil"/>
              <w:left w:val="nil"/>
              <w:bottom w:val="single" w:color="auto" w:sz="4" w:space="0"/>
              <w:right w:val="single" w:color="auto" w:sz="4" w:space="0"/>
            </w:tcBorders>
            <w:vAlign w:val="center"/>
          </w:tcPr>
          <w:p w14:paraId="5A6C9F66">
            <w:pPr>
              <w:widowControl/>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0</w:t>
            </w:r>
          </w:p>
        </w:tc>
        <w:tc>
          <w:tcPr>
            <w:tcW w:w="1177" w:type="dxa"/>
            <w:tcBorders>
              <w:top w:val="nil"/>
              <w:left w:val="nil"/>
              <w:bottom w:val="single" w:color="auto" w:sz="4" w:space="0"/>
              <w:right w:val="single" w:color="auto" w:sz="4" w:space="0"/>
            </w:tcBorders>
            <w:vAlign w:val="center"/>
          </w:tcPr>
          <w:p w14:paraId="5AB6ED92">
            <w:pPr>
              <w:widowControl/>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0</w:t>
            </w:r>
          </w:p>
        </w:tc>
        <w:tc>
          <w:tcPr>
            <w:tcW w:w="3108" w:type="dxa"/>
            <w:tcBorders>
              <w:top w:val="nil"/>
              <w:left w:val="nil"/>
              <w:bottom w:val="single" w:color="auto" w:sz="4" w:space="0"/>
              <w:right w:val="single" w:color="auto" w:sz="4" w:space="0"/>
            </w:tcBorders>
            <w:vAlign w:val="center"/>
          </w:tcPr>
          <w:p w14:paraId="50651226">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无增减变化</w:t>
            </w:r>
          </w:p>
        </w:tc>
      </w:tr>
      <w:tr w14:paraId="1D394113">
        <w:tblPrEx>
          <w:tblCellMar>
            <w:top w:w="0" w:type="dxa"/>
            <w:left w:w="108" w:type="dxa"/>
            <w:bottom w:w="0" w:type="dxa"/>
            <w:right w:w="108" w:type="dxa"/>
          </w:tblCellMar>
        </w:tblPrEx>
        <w:trPr>
          <w:trHeight w:val="570" w:hRule="atLeast"/>
        </w:trPr>
        <w:tc>
          <w:tcPr>
            <w:tcW w:w="2136" w:type="dxa"/>
            <w:tcBorders>
              <w:top w:val="nil"/>
              <w:left w:val="single" w:color="auto" w:sz="4" w:space="0"/>
              <w:bottom w:val="single" w:color="auto" w:sz="4" w:space="0"/>
              <w:right w:val="single" w:color="auto" w:sz="4" w:space="0"/>
            </w:tcBorders>
            <w:vAlign w:val="center"/>
          </w:tcPr>
          <w:p w14:paraId="3F8261F6">
            <w:pPr>
              <w:widowControl/>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公务用车</w:t>
            </w:r>
            <w:r>
              <w:rPr>
                <w:rFonts w:hint="eastAsia" w:ascii="仿宋_GB2312" w:hAnsi="宋体" w:eastAsia="仿宋_GB2312" w:cs="宋体"/>
                <w:kern w:val="0"/>
                <w:sz w:val="24"/>
                <w:szCs w:val="24"/>
                <w:lang w:val="en-US" w:eastAsia="zh-CN"/>
              </w:rPr>
              <w:t>维护</w:t>
            </w:r>
            <w:r>
              <w:rPr>
                <w:rFonts w:hint="eastAsia" w:ascii="仿宋_GB2312" w:hAnsi="宋体" w:eastAsia="仿宋_GB2312" w:cs="宋体"/>
                <w:kern w:val="0"/>
                <w:sz w:val="24"/>
                <w:szCs w:val="24"/>
              </w:rPr>
              <w:t>经费</w:t>
            </w:r>
          </w:p>
        </w:tc>
        <w:tc>
          <w:tcPr>
            <w:tcW w:w="1717" w:type="dxa"/>
            <w:tcBorders>
              <w:top w:val="nil"/>
              <w:left w:val="nil"/>
              <w:bottom w:val="single" w:color="auto" w:sz="4" w:space="0"/>
              <w:right w:val="single" w:color="auto" w:sz="4" w:space="0"/>
            </w:tcBorders>
            <w:vAlign w:val="center"/>
          </w:tcPr>
          <w:p w14:paraId="6E07A788">
            <w:pPr>
              <w:widowControl/>
              <w:jc w:val="center"/>
              <w:rPr>
                <w:rFonts w:hint="eastAsia" w:ascii="仿宋_GB2312" w:hAnsi="宋体" w:eastAsia="仿宋_GB2312" w:cs="宋体"/>
                <w:kern w:val="0"/>
                <w:sz w:val="24"/>
                <w:szCs w:val="24"/>
                <w:lang w:eastAsia="zh-CN"/>
              </w:rPr>
            </w:pPr>
            <w:r>
              <w:rPr>
                <w:rFonts w:hint="eastAsia" w:ascii="仿宋_GB2312" w:hAnsi="宋体" w:eastAsia="仿宋_GB2312" w:cs="宋体"/>
                <w:kern w:val="0"/>
                <w:sz w:val="24"/>
                <w:szCs w:val="24"/>
                <w:lang w:val="en-US" w:eastAsia="zh-CN"/>
              </w:rPr>
              <w:t>2.5</w:t>
            </w:r>
          </w:p>
        </w:tc>
        <w:tc>
          <w:tcPr>
            <w:tcW w:w="1717" w:type="dxa"/>
            <w:tcBorders>
              <w:top w:val="nil"/>
              <w:left w:val="nil"/>
              <w:bottom w:val="single" w:color="auto" w:sz="4" w:space="0"/>
              <w:right w:val="single" w:color="auto" w:sz="4" w:space="0"/>
            </w:tcBorders>
            <w:vAlign w:val="center"/>
          </w:tcPr>
          <w:p w14:paraId="7784EB91">
            <w:pPr>
              <w:widowControl/>
              <w:jc w:val="center"/>
              <w:rPr>
                <w:rFonts w:hint="eastAsia" w:ascii="仿宋_GB2312" w:hAnsi="宋体" w:eastAsia="仿宋_GB2312" w:cs="宋体"/>
                <w:kern w:val="0"/>
                <w:sz w:val="24"/>
                <w:szCs w:val="24"/>
                <w:lang w:eastAsia="zh-CN"/>
              </w:rPr>
            </w:pPr>
            <w:r>
              <w:rPr>
                <w:rFonts w:hint="eastAsia" w:ascii="仿宋_GB2312" w:hAnsi="宋体" w:eastAsia="仿宋_GB2312" w:cs="宋体"/>
                <w:kern w:val="0"/>
                <w:sz w:val="24"/>
                <w:szCs w:val="24"/>
                <w:lang w:val="en-US" w:eastAsia="zh-CN"/>
              </w:rPr>
              <w:t>0</w:t>
            </w:r>
          </w:p>
        </w:tc>
        <w:tc>
          <w:tcPr>
            <w:tcW w:w="1177" w:type="dxa"/>
            <w:tcBorders>
              <w:top w:val="nil"/>
              <w:left w:val="nil"/>
              <w:bottom w:val="single" w:color="auto" w:sz="4" w:space="0"/>
              <w:right w:val="single" w:color="auto" w:sz="4" w:space="0"/>
            </w:tcBorders>
            <w:vAlign w:val="center"/>
          </w:tcPr>
          <w:p w14:paraId="55A7B1F1">
            <w:pPr>
              <w:widowControl/>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w:t>
            </w:r>
            <w:r>
              <w:rPr>
                <w:rFonts w:hint="eastAsia" w:ascii="仿宋_GB2312" w:hAnsi="宋体" w:eastAsia="仿宋_GB2312" w:cs="宋体"/>
                <w:kern w:val="0"/>
                <w:sz w:val="24"/>
                <w:szCs w:val="24"/>
                <w:lang w:val="en-US" w:eastAsia="zh-CN"/>
              </w:rPr>
              <w:t>2.5</w:t>
            </w:r>
          </w:p>
        </w:tc>
        <w:tc>
          <w:tcPr>
            <w:tcW w:w="3108" w:type="dxa"/>
            <w:tcBorders>
              <w:top w:val="nil"/>
              <w:left w:val="nil"/>
              <w:bottom w:val="single" w:color="auto" w:sz="4" w:space="0"/>
              <w:right w:val="single" w:color="auto" w:sz="4" w:space="0"/>
            </w:tcBorders>
            <w:vAlign w:val="center"/>
          </w:tcPr>
          <w:p w14:paraId="5073DEFB">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公务用车改革</w:t>
            </w:r>
            <w:r>
              <w:rPr>
                <w:rFonts w:hint="eastAsia" w:ascii="仿宋_GB2312" w:hAnsi="宋体" w:eastAsia="仿宋_GB2312" w:cs="宋体"/>
                <w:kern w:val="0"/>
                <w:sz w:val="24"/>
                <w:szCs w:val="24"/>
                <w:lang w:val="en-US" w:eastAsia="zh-CN"/>
              </w:rPr>
              <w:t>后公车取消</w:t>
            </w:r>
          </w:p>
        </w:tc>
      </w:tr>
      <w:tr w14:paraId="34C3AB2A">
        <w:tblPrEx>
          <w:tblCellMar>
            <w:top w:w="0" w:type="dxa"/>
            <w:left w:w="108" w:type="dxa"/>
            <w:bottom w:w="0" w:type="dxa"/>
            <w:right w:w="108" w:type="dxa"/>
          </w:tblCellMar>
        </w:tblPrEx>
        <w:trPr>
          <w:trHeight w:val="855" w:hRule="atLeast"/>
        </w:trPr>
        <w:tc>
          <w:tcPr>
            <w:tcW w:w="2136" w:type="dxa"/>
            <w:tcBorders>
              <w:top w:val="nil"/>
              <w:left w:val="single" w:color="auto" w:sz="4" w:space="0"/>
              <w:bottom w:val="single" w:color="auto" w:sz="4" w:space="0"/>
              <w:right w:val="single" w:color="auto" w:sz="4" w:space="0"/>
            </w:tcBorders>
            <w:vAlign w:val="center"/>
          </w:tcPr>
          <w:p w14:paraId="30EFBEE1">
            <w:pPr>
              <w:widowControl/>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公务接待费支出</w:t>
            </w:r>
          </w:p>
        </w:tc>
        <w:tc>
          <w:tcPr>
            <w:tcW w:w="1717" w:type="dxa"/>
            <w:tcBorders>
              <w:top w:val="nil"/>
              <w:left w:val="nil"/>
              <w:bottom w:val="single" w:color="auto" w:sz="4" w:space="0"/>
              <w:right w:val="single" w:color="auto" w:sz="4" w:space="0"/>
            </w:tcBorders>
            <w:vAlign w:val="center"/>
          </w:tcPr>
          <w:p w14:paraId="5FD906D2">
            <w:pPr>
              <w:widowControl/>
              <w:jc w:val="center"/>
              <w:rPr>
                <w:rFonts w:hint="eastAsia" w:ascii="仿宋_GB2312" w:hAnsi="宋体" w:eastAsia="仿宋_GB2312" w:cs="宋体"/>
                <w:kern w:val="0"/>
                <w:sz w:val="24"/>
                <w:szCs w:val="24"/>
                <w:lang w:eastAsia="zh-CN"/>
              </w:rPr>
            </w:pPr>
            <w:r>
              <w:rPr>
                <w:rFonts w:hint="eastAsia" w:ascii="仿宋_GB2312" w:hAnsi="宋体" w:eastAsia="仿宋_GB2312" w:cs="宋体"/>
                <w:kern w:val="0"/>
                <w:sz w:val="24"/>
                <w:szCs w:val="24"/>
                <w:lang w:val="en-US" w:eastAsia="zh-CN"/>
              </w:rPr>
              <w:t>4.3</w:t>
            </w:r>
          </w:p>
        </w:tc>
        <w:tc>
          <w:tcPr>
            <w:tcW w:w="1717" w:type="dxa"/>
            <w:tcBorders>
              <w:top w:val="nil"/>
              <w:left w:val="nil"/>
              <w:bottom w:val="single" w:color="auto" w:sz="4" w:space="0"/>
              <w:right w:val="single" w:color="auto" w:sz="4" w:space="0"/>
            </w:tcBorders>
            <w:vAlign w:val="center"/>
          </w:tcPr>
          <w:p w14:paraId="72C61B26">
            <w:pPr>
              <w:widowControl/>
              <w:jc w:val="center"/>
              <w:rPr>
                <w:rFonts w:hint="eastAsia" w:ascii="仿宋_GB2312" w:hAnsi="宋体" w:eastAsia="仿宋_GB2312" w:cs="宋体"/>
                <w:kern w:val="0"/>
                <w:sz w:val="24"/>
                <w:szCs w:val="24"/>
                <w:lang w:eastAsia="zh-CN"/>
              </w:rPr>
            </w:pPr>
            <w:r>
              <w:rPr>
                <w:rFonts w:hint="eastAsia" w:ascii="仿宋_GB2312" w:hAnsi="宋体" w:eastAsia="仿宋_GB2312" w:cs="宋体"/>
                <w:kern w:val="0"/>
                <w:sz w:val="24"/>
                <w:szCs w:val="24"/>
                <w:lang w:val="en-US" w:eastAsia="zh-CN"/>
              </w:rPr>
              <w:t>2.3</w:t>
            </w:r>
          </w:p>
        </w:tc>
        <w:tc>
          <w:tcPr>
            <w:tcW w:w="1177" w:type="dxa"/>
            <w:tcBorders>
              <w:top w:val="nil"/>
              <w:left w:val="nil"/>
              <w:bottom w:val="single" w:color="auto" w:sz="4" w:space="0"/>
              <w:right w:val="single" w:color="auto" w:sz="4" w:space="0"/>
            </w:tcBorders>
            <w:vAlign w:val="center"/>
          </w:tcPr>
          <w:p w14:paraId="21D77D6E">
            <w:pPr>
              <w:widowControl/>
              <w:jc w:val="center"/>
              <w:rPr>
                <w:rFonts w:hint="eastAsia" w:ascii="仿宋_GB2312" w:hAnsi="宋体" w:eastAsia="仿宋_GB2312" w:cs="宋体"/>
                <w:kern w:val="0"/>
                <w:sz w:val="24"/>
                <w:szCs w:val="24"/>
                <w:lang w:eastAsia="zh-CN"/>
              </w:rPr>
            </w:pPr>
            <w:r>
              <w:rPr>
                <w:rFonts w:hint="eastAsia" w:ascii="仿宋_GB2312" w:hAnsi="宋体" w:eastAsia="仿宋_GB2312" w:cs="宋体"/>
                <w:kern w:val="0"/>
                <w:sz w:val="24"/>
                <w:szCs w:val="24"/>
                <w:lang w:val="en-US" w:eastAsia="zh-CN"/>
              </w:rPr>
              <w:t>-2</w:t>
            </w:r>
          </w:p>
        </w:tc>
        <w:tc>
          <w:tcPr>
            <w:tcW w:w="3108" w:type="dxa"/>
            <w:tcBorders>
              <w:top w:val="nil"/>
              <w:left w:val="nil"/>
              <w:bottom w:val="single" w:color="auto" w:sz="4" w:space="0"/>
              <w:right w:val="single" w:color="auto" w:sz="4" w:space="0"/>
            </w:tcBorders>
            <w:vAlign w:val="center"/>
          </w:tcPr>
          <w:p w14:paraId="75F37427">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厉行节约，杜绝浪费</w:t>
            </w:r>
          </w:p>
        </w:tc>
      </w:tr>
      <w:tr w14:paraId="5EAFEB45">
        <w:tblPrEx>
          <w:tblCellMar>
            <w:top w:w="0" w:type="dxa"/>
            <w:left w:w="108" w:type="dxa"/>
            <w:bottom w:w="0" w:type="dxa"/>
            <w:right w:w="108" w:type="dxa"/>
          </w:tblCellMar>
        </w:tblPrEx>
        <w:trPr>
          <w:trHeight w:val="1140" w:hRule="atLeast"/>
        </w:trPr>
        <w:tc>
          <w:tcPr>
            <w:tcW w:w="2136" w:type="dxa"/>
            <w:tcBorders>
              <w:top w:val="nil"/>
              <w:left w:val="single" w:color="auto" w:sz="4" w:space="0"/>
              <w:bottom w:val="single" w:color="auto" w:sz="4" w:space="0"/>
              <w:right w:val="single" w:color="auto" w:sz="4" w:space="0"/>
            </w:tcBorders>
            <w:vAlign w:val="center"/>
          </w:tcPr>
          <w:p w14:paraId="152B93D9">
            <w:pPr>
              <w:widowControl/>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合计</w:t>
            </w:r>
          </w:p>
        </w:tc>
        <w:tc>
          <w:tcPr>
            <w:tcW w:w="1717" w:type="dxa"/>
            <w:tcBorders>
              <w:top w:val="nil"/>
              <w:left w:val="nil"/>
              <w:bottom w:val="single" w:color="auto" w:sz="4" w:space="0"/>
              <w:right w:val="single" w:color="auto" w:sz="4" w:space="0"/>
            </w:tcBorders>
            <w:vAlign w:val="center"/>
          </w:tcPr>
          <w:p w14:paraId="24766538">
            <w:pPr>
              <w:widowControl/>
              <w:jc w:val="center"/>
              <w:rPr>
                <w:rFonts w:hint="eastAsia" w:ascii="仿宋_GB2312" w:hAnsi="宋体" w:eastAsia="仿宋_GB2312" w:cs="宋体"/>
                <w:kern w:val="0"/>
                <w:sz w:val="24"/>
                <w:szCs w:val="24"/>
                <w:lang w:eastAsia="zh-CN"/>
              </w:rPr>
            </w:pPr>
            <w:r>
              <w:rPr>
                <w:rFonts w:hint="eastAsia" w:ascii="仿宋_GB2312" w:hAnsi="宋体" w:eastAsia="仿宋_GB2312" w:cs="宋体"/>
                <w:kern w:val="0"/>
                <w:sz w:val="24"/>
                <w:szCs w:val="24"/>
                <w:lang w:val="en-US" w:eastAsia="zh-CN"/>
              </w:rPr>
              <w:t>6.8</w:t>
            </w:r>
          </w:p>
        </w:tc>
        <w:tc>
          <w:tcPr>
            <w:tcW w:w="1717" w:type="dxa"/>
            <w:tcBorders>
              <w:top w:val="nil"/>
              <w:left w:val="nil"/>
              <w:bottom w:val="single" w:color="auto" w:sz="4" w:space="0"/>
              <w:right w:val="single" w:color="auto" w:sz="4" w:space="0"/>
            </w:tcBorders>
            <w:vAlign w:val="center"/>
          </w:tcPr>
          <w:p w14:paraId="6BB58E7A">
            <w:pPr>
              <w:widowControl/>
              <w:jc w:val="center"/>
              <w:rPr>
                <w:rFonts w:hint="eastAsia" w:ascii="仿宋_GB2312" w:hAnsi="宋体" w:eastAsia="仿宋_GB2312" w:cs="宋体"/>
                <w:kern w:val="0"/>
                <w:sz w:val="24"/>
                <w:szCs w:val="24"/>
                <w:lang w:eastAsia="zh-CN"/>
              </w:rPr>
            </w:pPr>
            <w:r>
              <w:rPr>
                <w:rFonts w:hint="eastAsia" w:ascii="仿宋_GB2312" w:hAnsi="宋体" w:eastAsia="仿宋_GB2312" w:cs="宋体"/>
                <w:kern w:val="0"/>
                <w:sz w:val="24"/>
                <w:szCs w:val="24"/>
                <w:lang w:val="en-US" w:eastAsia="zh-CN"/>
              </w:rPr>
              <w:t>2.3</w:t>
            </w:r>
          </w:p>
        </w:tc>
        <w:tc>
          <w:tcPr>
            <w:tcW w:w="1177" w:type="dxa"/>
            <w:tcBorders>
              <w:top w:val="nil"/>
              <w:left w:val="nil"/>
              <w:bottom w:val="single" w:color="auto" w:sz="4" w:space="0"/>
              <w:right w:val="single" w:color="auto" w:sz="4" w:space="0"/>
            </w:tcBorders>
            <w:vAlign w:val="center"/>
          </w:tcPr>
          <w:p w14:paraId="7E153EEB">
            <w:pPr>
              <w:widowControl/>
              <w:jc w:val="center"/>
              <w:rPr>
                <w:rFonts w:hint="eastAsia" w:ascii="仿宋_GB2312" w:hAnsi="宋体" w:eastAsia="仿宋_GB2312" w:cs="宋体"/>
                <w:kern w:val="0"/>
                <w:sz w:val="24"/>
                <w:szCs w:val="24"/>
                <w:lang w:eastAsia="zh-CN"/>
              </w:rPr>
            </w:pPr>
            <w:r>
              <w:rPr>
                <w:rFonts w:hint="eastAsia" w:ascii="仿宋_GB2312" w:hAnsi="宋体" w:eastAsia="仿宋_GB2312" w:cs="宋体"/>
                <w:kern w:val="0"/>
                <w:sz w:val="24"/>
                <w:szCs w:val="24"/>
                <w:lang w:val="en-US" w:eastAsia="zh-CN"/>
              </w:rPr>
              <w:t>-4.5</w:t>
            </w:r>
          </w:p>
        </w:tc>
        <w:tc>
          <w:tcPr>
            <w:tcW w:w="3108" w:type="dxa"/>
            <w:tcBorders>
              <w:top w:val="nil"/>
              <w:left w:val="nil"/>
              <w:bottom w:val="single" w:color="auto" w:sz="4" w:space="0"/>
              <w:right w:val="single" w:color="auto" w:sz="4" w:space="0"/>
            </w:tcBorders>
            <w:vAlign w:val="center"/>
          </w:tcPr>
          <w:p w14:paraId="11416AE9">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2017年，</w:t>
            </w:r>
            <w:r>
              <w:rPr>
                <w:rFonts w:hint="eastAsia" w:ascii="仿宋_GB2312" w:hAnsi="宋体" w:eastAsia="仿宋_GB2312" w:cs="宋体"/>
                <w:kern w:val="0"/>
                <w:sz w:val="24"/>
                <w:szCs w:val="24"/>
                <w:lang w:val="en-US" w:eastAsia="zh-CN"/>
              </w:rPr>
              <w:t>我单位</w:t>
            </w:r>
            <w:r>
              <w:rPr>
                <w:rFonts w:hint="eastAsia" w:ascii="仿宋_GB2312" w:hAnsi="宋体" w:eastAsia="仿宋_GB2312" w:cs="宋体"/>
                <w:kern w:val="0"/>
                <w:sz w:val="24"/>
                <w:szCs w:val="24"/>
              </w:rPr>
              <w:t>针对</w:t>
            </w:r>
            <w:r>
              <w:rPr>
                <w:rFonts w:hint="eastAsia" w:ascii="仿宋_GB2312" w:hAnsi="宋体" w:eastAsia="仿宋_GB2312" w:cs="宋体"/>
                <w:kern w:val="0"/>
                <w:sz w:val="24"/>
                <w:szCs w:val="24"/>
                <w:lang w:eastAsia="zh-CN"/>
              </w:rPr>
              <w:t>“</w:t>
            </w:r>
            <w:r>
              <w:rPr>
                <w:rFonts w:hint="eastAsia" w:ascii="仿宋_GB2312" w:hAnsi="宋体" w:eastAsia="仿宋_GB2312" w:cs="宋体"/>
                <w:kern w:val="0"/>
                <w:sz w:val="24"/>
                <w:szCs w:val="24"/>
              </w:rPr>
              <w:t>三公</w:t>
            </w:r>
            <w:r>
              <w:rPr>
                <w:rFonts w:hint="eastAsia" w:ascii="仿宋_GB2312" w:hAnsi="宋体" w:eastAsia="仿宋_GB2312" w:cs="宋体"/>
                <w:kern w:val="0"/>
                <w:sz w:val="24"/>
                <w:szCs w:val="24"/>
                <w:lang w:eastAsia="zh-CN"/>
              </w:rPr>
              <w:t>”</w:t>
            </w:r>
            <w:r>
              <w:rPr>
                <w:rFonts w:hint="eastAsia" w:ascii="仿宋_GB2312" w:hAnsi="宋体" w:eastAsia="仿宋_GB2312" w:cs="宋体"/>
                <w:kern w:val="0"/>
                <w:sz w:val="24"/>
                <w:szCs w:val="24"/>
              </w:rPr>
              <w:t>经费支出制定了严格的管理制度，认真执行中央八项规定，厉行节约，杜绝浪费。从总量来讲，</w:t>
            </w:r>
            <w:r>
              <w:rPr>
                <w:rFonts w:hint="eastAsia" w:ascii="仿宋_GB2312" w:hAnsi="宋体" w:eastAsia="仿宋_GB2312" w:cs="宋体"/>
                <w:kern w:val="0"/>
                <w:sz w:val="24"/>
                <w:szCs w:val="24"/>
                <w:lang w:eastAsia="zh-CN"/>
              </w:rPr>
              <w:t>“</w:t>
            </w:r>
            <w:r>
              <w:rPr>
                <w:rFonts w:hint="eastAsia" w:ascii="仿宋_GB2312" w:hAnsi="宋体" w:eastAsia="仿宋_GB2312" w:cs="宋体"/>
                <w:kern w:val="0"/>
                <w:sz w:val="24"/>
                <w:szCs w:val="24"/>
              </w:rPr>
              <w:t>三公</w:t>
            </w:r>
            <w:r>
              <w:rPr>
                <w:rFonts w:hint="eastAsia" w:ascii="仿宋_GB2312" w:hAnsi="宋体" w:eastAsia="仿宋_GB2312" w:cs="宋体"/>
                <w:kern w:val="0"/>
                <w:sz w:val="24"/>
                <w:szCs w:val="24"/>
                <w:lang w:eastAsia="zh-CN"/>
              </w:rPr>
              <w:t>”</w:t>
            </w:r>
            <w:r>
              <w:rPr>
                <w:rFonts w:hint="eastAsia" w:ascii="仿宋_GB2312" w:hAnsi="宋体" w:eastAsia="仿宋_GB2312" w:cs="宋体"/>
                <w:kern w:val="0"/>
                <w:sz w:val="24"/>
                <w:szCs w:val="24"/>
              </w:rPr>
              <w:t>经费与2016年相比减少了</w:t>
            </w:r>
            <w:r>
              <w:rPr>
                <w:rFonts w:hint="eastAsia" w:ascii="仿宋_GB2312" w:hAnsi="宋体" w:eastAsia="仿宋_GB2312" w:cs="宋体"/>
                <w:kern w:val="0"/>
                <w:sz w:val="24"/>
                <w:szCs w:val="24"/>
                <w:lang w:val="en-US" w:eastAsia="zh-CN"/>
              </w:rPr>
              <w:t>4.5</w:t>
            </w:r>
            <w:r>
              <w:rPr>
                <w:rFonts w:hint="eastAsia" w:ascii="仿宋_GB2312" w:hAnsi="宋体" w:eastAsia="仿宋_GB2312" w:cs="宋体"/>
                <w:kern w:val="0"/>
                <w:sz w:val="24"/>
                <w:szCs w:val="24"/>
              </w:rPr>
              <w:t>万元。</w:t>
            </w:r>
          </w:p>
        </w:tc>
      </w:tr>
    </w:tbl>
    <w:p w14:paraId="68792E93">
      <w:pPr>
        <w:ind w:firstLine="560"/>
        <w:jc w:val="left"/>
        <w:rPr>
          <w:rFonts w:hint="eastAsia" w:ascii="宋体" w:hAnsi="宋体" w:cs="宋体"/>
          <w:color w:val="000000"/>
          <w:kern w:val="0"/>
          <w:sz w:val="28"/>
          <w:szCs w:val="28"/>
        </w:rPr>
      </w:pPr>
    </w:p>
    <w:p w14:paraId="7F2FA3E0">
      <w:pPr>
        <w:jc w:val="left"/>
        <w:rPr>
          <w:rFonts w:ascii="宋体" w:hAnsi="宋体" w:cs="宋体"/>
          <w:b/>
          <w:bCs/>
          <w:color w:val="000000"/>
          <w:kern w:val="0"/>
          <w:sz w:val="28"/>
          <w:szCs w:val="28"/>
        </w:rPr>
      </w:pPr>
      <w:r>
        <w:rPr>
          <w:rFonts w:hint="eastAsia" w:ascii="宋体" w:hAnsi="宋体" w:cs="宋体"/>
          <w:b/>
          <w:bCs/>
          <w:color w:val="000000"/>
          <w:kern w:val="0"/>
          <w:sz w:val="28"/>
          <w:szCs w:val="28"/>
        </w:rPr>
        <w:t>五、绩效预算信息</w:t>
      </w:r>
    </w:p>
    <w:p w14:paraId="41A9808F">
      <w:pPr>
        <w:jc w:val="left"/>
        <w:rPr>
          <w:rFonts w:hint="eastAsia" w:ascii="宋体" w:hAnsi="宋体" w:cs="宋体"/>
          <w:b/>
          <w:bCs/>
          <w:color w:val="000000"/>
          <w:kern w:val="0"/>
          <w:sz w:val="28"/>
          <w:szCs w:val="28"/>
        </w:rPr>
      </w:pPr>
      <w:r>
        <w:rPr>
          <w:rFonts w:hint="eastAsia" w:ascii="宋体" w:hAnsi="宋体" w:cs="宋体"/>
          <w:b/>
          <w:bCs/>
          <w:color w:val="000000"/>
          <w:kern w:val="0"/>
          <w:sz w:val="28"/>
          <w:szCs w:val="28"/>
        </w:rPr>
        <w:t>（一）总体绩效目标：</w:t>
      </w:r>
    </w:p>
    <w:p w14:paraId="009AB2D3">
      <w:pPr>
        <w:jc w:val="left"/>
        <w:rPr>
          <w:rFonts w:ascii="宋体" w:hAnsi="宋体" w:cs="宋体"/>
          <w:b/>
          <w:bCs/>
          <w:color w:val="000000"/>
          <w:kern w:val="0"/>
          <w:sz w:val="28"/>
          <w:szCs w:val="28"/>
        </w:rPr>
      </w:pPr>
      <w:r>
        <w:rPr>
          <w:rFonts w:hint="eastAsia" w:ascii="宋体" w:hAnsi="宋体" w:cs="宋体"/>
          <w:b/>
          <w:bCs/>
          <w:color w:val="000000"/>
          <w:kern w:val="0"/>
          <w:sz w:val="28"/>
          <w:szCs w:val="28"/>
        </w:rPr>
        <w:t>加强社区基础设施建设，改善民生加强社区电力、交通、水利、经济活动场所建设，改善民生，助推经济发展。</w:t>
      </w:r>
    </w:p>
    <w:p w14:paraId="595C9D44">
      <w:pPr>
        <w:rPr>
          <w:rFonts w:ascii="宋体" w:hAnsi="宋体" w:cs="宋体"/>
          <w:sz w:val="28"/>
          <w:szCs w:val="28"/>
        </w:rPr>
        <w:sectPr>
          <w:pgSz w:w="11906" w:h="16838"/>
          <w:pgMar w:top="1440" w:right="1800" w:bottom="1440" w:left="1800" w:header="851" w:footer="992" w:gutter="0"/>
          <w:cols w:space="425" w:num="1"/>
          <w:docGrid w:type="lines" w:linePitch="312" w:charSpace="0"/>
        </w:sectPr>
      </w:pPr>
    </w:p>
    <w:tbl>
      <w:tblPr>
        <w:tblStyle w:val="6"/>
        <w:tblW w:w="1410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41"/>
        <w:gridCol w:w="1276"/>
        <w:gridCol w:w="3216"/>
        <w:gridCol w:w="2910"/>
        <w:gridCol w:w="1530"/>
        <w:gridCol w:w="570"/>
        <w:gridCol w:w="617"/>
        <w:gridCol w:w="737"/>
        <w:gridCol w:w="903"/>
      </w:tblGrid>
      <w:tr w14:paraId="5AE1D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11273" w:type="dxa"/>
            <w:gridSpan w:val="5"/>
            <w:tcBorders>
              <w:top w:val="single" w:color="FFFFFF" w:sz="6" w:space="0"/>
              <w:left w:val="single" w:color="FFFFFF" w:sz="6" w:space="0"/>
              <w:right w:val="single" w:color="FFFFFF" w:sz="6" w:space="0"/>
            </w:tcBorders>
            <w:shd w:val="clear" w:color="auto" w:fill="auto"/>
            <w:vAlign w:val="center"/>
          </w:tcPr>
          <w:p w14:paraId="749D9849">
            <w:pPr>
              <w:spacing w:line="300" w:lineRule="exact"/>
              <w:jc w:val="left"/>
              <w:rPr>
                <w:rFonts w:ascii="宋体" w:hAnsi="宋体"/>
                <w:sz w:val="28"/>
                <w:szCs w:val="28"/>
              </w:rPr>
            </w:pPr>
            <w:bookmarkStart w:id="0" w:name="OLE_LINK1"/>
            <w:r>
              <w:rPr>
                <w:rFonts w:ascii="宋体" w:hAnsi="宋体"/>
                <w:sz w:val="28"/>
                <w:szCs w:val="28"/>
              </w:rPr>
              <w:t>899</w:t>
            </w:r>
            <w:r>
              <w:rPr>
                <w:rFonts w:hint="eastAsia" w:ascii="宋体" w:hAnsi="宋体"/>
                <w:sz w:val="28"/>
                <w:szCs w:val="28"/>
              </w:rPr>
              <w:t>涞水县城区社区管理办公室</w:t>
            </w:r>
          </w:p>
        </w:tc>
        <w:tc>
          <w:tcPr>
            <w:tcW w:w="2827" w:type="dxa"/>
            <w:gridSpan w:val="4"/>
            <w:tcBorders>
              <w:top w:val="single" w:color="FFFFFF" w:sz="6" w:space="0"/>
              <w:left w:val="single" w:color="FFFFFF" w:sz="6" w:space="0"/>
              <w:right w:val="single" w:color="FFFFFF" w:sz="6" w:space="0"/>
            </w:tcBorders>
            <w:shd w:val="clear" w:color="auto" w:fill="auto"/>
            <w:vAlign w:val="center"/>
          </w:tcPr>
          <w:p w14:paraId="3D386463">
            <w:pPr>
              <w:spacing w:line="300" w:lineRule="exact"/>
              <w:jc w:val="right"/>
              <w:rPr>
                <w:rFonts w:ascii="宋体" w:hAnsi="宋体"/>
                <w:sz w:val="28"/>
                <w:szCs w:val="28"/>
              </w:rPr>
            </w:pPr>
            <w:r>
              <w:rPr>
                <w:rFonts w:hint="eastAsia" w:ascii="宋体" w:hAnsi="宋体"/>
                <w:sz w:val="28"/>
                <w:szCs w:val="28"/>
              </w:rPr>
              <w:t>单位：万元</w:t>
            </w:r>
          </w:p>
        </w:tc>
      </w:tr>
      <w:tr w14:paraId="79A6E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2341" w:type="dxa"/>
            <w:vMerge w:val="restart"/>
            <w:shd w:val="clear" w:color="auto" w:fill="auto"/>
            <w:vAlign w:val="center"/>
          </w:tcPr>
          <w:p w14:paraId="59CCFC12">
            <w:pPr>
              <w:spacing w:line="300" w:lineRule="exact"/>
              <w:jc w:val="center"/>
              <w:rPr>
                <w:rFonts w:ascii="宋体" w:hAnsi="宋体"/>
                <w:b/>
                <w:sz w:val="28"/>
                <w:szCs w:val="28"/>
              </w:rPr>
            </w:pPr>
            <w:r>
              <w:rPr>
                <w:rFonts w:hint="eastAsia" w:ascii="宋体" w:hAnsi="宋体"/>
                <w:b/>
                <w:sz w:val="28"/>
                <w:szCs w:val="28"/>
              </w:rPr>
              <w:t>职责活动</w:t>
            </w:r>
          </w:p>
        </w:tc>
        <w:tc>
          <w:tcPr>
            <w:tcW w:w="1276" w:type="dxa"/>
            <w:vMerge w:val="restart"/>
            <w:shd w:val="clear" w:color="auto" w:fill="auto"/>
            <w:vAlign w:val="center"/>
          </w:tcPr>
          <w:p w14:paraId="6EF2EE5C">
            <w:pPr>
              <w:spacing w:line="300" w:lineRule="exact"/>
              <w:jc w:val="center"/>
              <w:rPr>
                <w:rFonts w:ascii="宋体" w:hAnsi="宋体"/>
                <w:b/>
                <w:sz w:val="28"/>
                <w:szCs w:val="28"/>
              </w:rPr>
            </w:pPr>
            <w:r>
              <w:rPr>
                <w:rFonts w:hint="eastAsia" w:ascii="宋体" w:hAnsi="宋体"/>
                <w:b/>
                <w:sz w:val="28"/>
                <w:szCs w:val="28"/>
              </w:rPr>
              <w:t>年度预算数</w:t>
            </w:r>
          </w:p>
        </w:tc>
        <w:tc>
          <w:tcPr>
            <w:tcW w:w="3216" w:type="dxa"/>
            <w:vMerge w:val="restart"/>
            <w:shd w:val="clear" w:color="auto" w:fill="auto"/>
            <w:vAlign w:val="center"/>
          </w:tcPr>
          <w:p w14:paraId="7D0E0FBA">
            <w:pPr>
              <w:spacing w:line="300" w:lineRule="exact"/>
              <w:jc w:val="center"/>
              <w:rPr>
                <w:rFonts w:ascii="宋体" w:hAnsi="宋体"/>
                <w:b/>
                <w:sz w:val="28"/>
                <w:szCs w:val="28"/>
              </w:rPr>
            </w:pPr>
            <w:r>
              <w:rPr>
                <w:rFonts w:hint="eastAsia" w:ascii="宋体" w:hAnsi="宋体"/>
                <w:b/>
                <w:sz w:val="28"/>
                <w:szCs w:val="28"/>
              </w:rPr>
              <w:t>内容描述</w:t>
            </w:r>
          </w:p>
        </w:tc>
        <w:tc>
          <w:tcPr>
            <w:tcW w:w="2910" w:type="dxa"/>
            <w:vMerge w:val="restart"/>
            <w:shd w:val="clear" w:color="auto" w:fill="auto"/>
            <w:vAlign w:val="center"/>
          </w:tcPr>
          <w:p w14:paraId="68A349C3">
            <w:pPr>
              <w:spacing w:line="300" w:lineRule="exact"/>
              <w:jc w:val="center"/>
              <w:rPr>
                <w:rFonts w:ascii="宋体" w:hAnsi="宋体"/>
                <w:b/>
                <w:sz w:val="28"/>
                <w:szCs w:val="28"/>
              </w:rPr>
            </w:pPr>
            <w:r>
              <w:rPr>
                <w:rFonts w:hint="eastAsia" w:ascii="宋体" w:hAnsi="宋体"/>
                <w:b/>
                <w:sz w:val="28"/>
                <w:szCs w:val="28"/>
              </w:rPr>
              <w:t>绩效目标</w:t>
            </w:r>
          </w:p>
        </w:tc>
        <w:tc>
          <w:tcPr>
            <w:tcW w:w="1530" w:type="dxa"/>
            <w:vMerge w:val="restart"/>
            <w:shd w:val="clear" w:color="auto" w:fill="auto"/>
            <w:vAlign w:val="center"/>
          </w:tcPr>
          <w:p w14:paraId="049206E2">
            <w:pPr>
              <w:spacing w:line="300" w:lineRule="exact"/>
              <w:jc w:val="center"/>
              <w:rPr>
                <w:rFonts w:ascii="宋体" w:hAnsi="宋体"/>
                <w:b/>
                <w:sz w:val="28"/>
                <w:szCs w:val="28"/>
              </w:rPr>
            </w:pPr>
            <w:r>
              <w:rPr>
                <w:rFonts w:hint="eastAsia" w:ascii="宋体" w:hAnsi="宋体"/>
                <w:b/>
                <w:sz w:val="28"/>
                <w:szCs w:val="28"/>
              </w:rPr>
              <w:t>绩效指标</w:t>
            </w:r>
          </w:p>
        </w:tc>
        <w:tc>
          <w:tcPr>
            <w:tcW w:w="2827" w:type="dxa"/>
            <w:gridSpan w:val="4"/>
            <w:shd w:val="clear" w:color="auto" w:fill="auto"/>
            <w:vAlign w:val="center"/>
          </w:tcPr>
          <w:p w14:paraId="3A22EA9D">
            <w:pPr>
              <w:spacing w:line="300" w:lineRule="exact"/>
              <w:jc w:val="center"/>
              <w:rPr>
                <w:rFonts w:ascii="宋体" w:hAnsi="宋体"/>
                <w:b/>
                <w:sz w:val="28"/>
                <w:szCs w:val="28"/>
              </w:rPr>
            </w:pPr>
            <w:r>
              <w:rPr>
                <w:rFonts w:hint="eastAsia" w:ascii="宋体" w:hAnsi="宋体"/>
                <w:b/>
                <w:sz w:val="28"/>
                <w:szCs w:val="28"/>
              </w:rPr>
              <w:t>评价标准</w:t>
            </w:r>
          </w:p>
        </w:tc>
      </w:tr>
      <w:tr w14:paraId="757BF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2341" w:type="dxa"/>
            <w:vMerge w:val="continue"/>
            <w:shd w:val="clear" w:color="auto" w:fill="auto"/>
            <w:vAlign w:val="center"/>
          </w:tcPr>
          <w:p w14:paraId="54109D13">
            <w:pPr>
              <w:spacing w:line="300" w:lineRule="exact"/>
              <w:jc w:val="left"/>
              <w:outlineLvl w:val="0"/>
              <w:rPr>
                <w:rFonts w:ascii="宋体" w:hAnsi="宋体"/>
                <w:sz w:val="28"/>
                <w:szCs w:val="28"/>
              </w:rPr>
            </w:pPr>
          </w:p>
        </w:tc>
        <w:tc>
          <w:tcPr>
            <w:tcW w:w="1276" w:type="dxa"/>
            <w:vMerge w:val="continue"/>
            <w:shd w:val="clear" w:color="auto" w:fill="auto"/>
            <w:vAlign w:val="center"/>
          </w:tcPr>
          <w:p w14:paraId="69E7D5EB">
            <w:pPr>
              <w:spacing w:line="300" w:lineRule="exact"/>
              <w:jc w:val="left"/>
              <w:outlineLvl w:val="0"/>
              <w:rPr>
                <w:rFonts w:ascii="宋体" w:hAnsi="宋体"/>
                <w:sz w:val="28"/>
                <w:szCs w:val="28"/>
              </w:rPr>
            </w:pPr>
          </w:p>
        </w:tc>
        <w:tc>
          <w:tcPr>
            <w:tcW w:w="3216" w:type="dxa"/>
            <w:vMerge w:val="continue"/>
            <w:shd w:val="clear" w:color="auto" w:fill="auto"/>
            <w:vAlign w:val="center"/>
          </w:tcPr>
          <w:p w14:paraId="2D1C957D">
            <w:pPr>
              <w:spacing w:line="300" w:lineRule="exact"/>
              <w:jc w:val="left"/>
              <w:outlineLvl w:val="0"/>
              <w:rPr>
                <w:rFonts w:ascii="宋体" w:hAnsi="宋体"/>
                <w:sz w:val="28"/>
                <w:szCs w:val="28"/>
              </w:rPr>
            </w:pPr>
          </w:p>
        </w:tc>
        <w:tc>
          <w:tcPr>
            <w:tcW w:w="2910" w:type="dxa"/>
            <w:vMerge w:val="continue"/>
            <w:shd w:val="clear" w:color="auto" w:fill="auto"/>
            <w:vAlign w:val="center"/>
          </w:tcPr>
          <w:p w14:paraId="03255C63">
            <w:pPr>
              <w:spacing w:line="300" w:lineRule="exact"/>
              <w:jc w:val="left"/>
              <w:outlineLvl w:val="0"/>
              <w:rPr>
                <w:rFonts w:ascii="宋体" w:hAnsi="宋体"/>
                <w:sz w:val="28"/>
                <w:szCs w:val="28"/>
              </w:rPr>
            </w:pPr>
          </w:p>
        </w:tc>
        <w:tc>
          <w:tcPr>
            <w:tcW w:w="1530" w:type="dxa"/>
            <w:vMerge w:val="continue"/>
            <w:shd w:val="clear" w:color="auto" w:fill="auto"/>
            <w:vAlign w:val="center"/>
          </w:tcPr>
          <w:p w14:paraId="6232356C">
            <w:pPr>
              <w:spacing w:line="300" w:lineRule="exact"/>
              <w:jc w:val="left"/>
              <w:outlineLvl w:val="0"/>
              <w:rPr>
                <w:rFonts w:ascii="宋体" w:hAnsi="宋体"/>
                <w:sz w:val="28"/>
                <w:szCs w:val="28"/>
              </w:rPr>
            </w:pPr>
          </w:p>
        </w:tc>
        <w:tc>
          <w:tcPr>
            <w:tcW w:w="570" w:type="dxa"/>
            <w:shd w:val="clear" w:color="auto" w:fill="auto"/>
            <w:vAlign w:val="center"/>
          </w:tcPr>
          <w:p w14:paraId="27D4A165">
            <w:pPr>
              <w:spacing w:line="300" w:lineRule="exact"/>
              <w:jc w:val="center"/>
              <w:rPr>
                <w:rFonts w:ascii="宋体" w:hAnsi="宋体"/>
                <w:b/>
                <w:sz w:val="28"/>
                <w:szCs w:val="28"/>
              </w:rPr>
            </w:pPr>
            <w:r>
              <w:rPr>
                <w:rFonts w:hint="eastAsia" w:ascii="宋体" w:hAnsi="宋体"/>
                <w:b/>
                <w:sz w:val="28"/>
                <w:szCs w:val="28"/>
              </w:rPr>
              <w:t>优</w:t>
            </w:r>
          </w:p>
        </w:tc>
        <w:tc>
          <w:tcPr>
            <w:tcW w:w="617" w:type="dxa"/>
            <w:shd w:val="clear" w:color="auto" w:fill="auto"/>
            <w:vAlign w:val="center"/>
          </w:tcPr>
          <w:p w14:paraId="4250681E">
            <w:pPr>
              <w:spacing w:line="300" w:lineRule="exact"/>
              <w:jc w:val="center"/>
              <w:rPr>
                <w:rFonts w:ascii="宋体" w:hAnsi="宋体"/>
                <w:b/>
                <w:sz w:val="28"/>
                <w:szCs w:val="28"/>
              </w:rPr>
            </w:pPr>
            <w:r>
              <w:rPr>
                <w:rFonts w:hint="eastAsia" w:ascii="宋体" w:hAnsi="宋体"/>
                <w:b/>
                <w:sz w:val="28"/>
                <w:szCs w:val="28"/>
              </w:rPr>
              <w:t>良</w:t>
            </w:r>
          </w:p>
        </w:tc>
        <w:tc>
          <w:tcPr>
            <w:tcW w:w="737" w:type="dxa"/>
            <w:shd w:val="clear" w:color="auto" w:fill="auto"/>
            <w:vAlign w:val="center"/>
          </w:tcPr>
          <w:p w14:paraId="6FC91669">
            <w:pPr>
              <w:spacing w:line="300" w:lineRule="exact"/>
              <w:jc w:val="center"/>
              <w:rPr>
                <w:rFonts w:ascii="宋体" w:hAnsi="宋体"/>
                <w:b/>
                <w:sz w:val="28"/>
                <w:szCs w:val="28"/>
              </w:rPr>
            </w:pPr>
            <w:r>
              <w:rPr>
                <w:rFonts w:hint="eastAsia" w:ascii="宋体" w:hAnsi="宋体"/>
                <w:b/>
                <w:sz w:val="28"/>
                <w:szCs w:val="28"/>
              </w:rPr>
              <w:t>中</w:t>
            </w:r>
          </w:p>
        </w:tc>
        <w:tc>
          <w:tcPr>
            <w:tcW w:w="903" w:type="dxa"/>
            <w:shd w:val="clear" w:color="auto" w:fill="auto"/>
            <w:vAlign w:val="center"/>
          </w:tcPr>
          <w:p w14:paraId="74936575">
            <w:pPr>
              <w:spacing w:line="300" w:lineRule="exact"/>
              <w:jc w:val="center"/>
              <w:rPr>
                <w:rFonts w:ascii="宋体" w:hAnsi="宋体"/>
                <w:b/>
                <w:sz w:val="28"/>
                <w:szCs w:val="28"/>
              </w:rPr>
            </w:pPr>
            <w:r>
              <w:rPr>
                <w:rFonts w:hint="eastAsia" w:ascii="宋体" w:hAnsi="宋体"/>
                <w:b/>
                <w:sz w:val="28"/>
                <w:szCs w:val="28"/>
              </w:rPr>
              <w:t>差</w:t>
            </w:r>
          </w:p>
        </w:tc>
      </w:tr>
      <w:tr w14:paraId="3F9DF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90" w:hRule="atLeast"/>
          <w:jc w:val="center"/>
        </w:trPr>
        <w:tc>
          <w:tcPr>
            <w:tcW w:w="2341" w:type="dxa"/>
            <w:shd w:val="clear" w:color="auto" w:fill="auto"/>
            <w:vAlign w:val="center"/>
          </w:tcPr>
          <w:p w14:paraId="50F6862F">
            <w:pPr>
              <w:spacing w:line="300" w:lineRule="exact"/>
              <w:jc w:val="left"/>
              <w:rPr>
                <w:rFonts w:ascii="宋体" w:hAnsi="宋体"/>
                <w:b/>
                <w:sz w:val="28"/>
                <w:szCs w:val="28"/>
              </w:rPr>
            </w:pPr>
            <w:r>
              <w:rPr>
                <w:rFonts w:hint="eastAsia" w:ascii="宋体" w:hAnsi="宋体"/>
                <w:b/>
                <w:sz w:val="28"/>
                <w:szCs w:val="28"/>
              </w:rPr>
              <w:t>人大监督</w:t>
            </w:r>
          </w:p>
        </w:tc>
        <w:tc>
          <w:tcPr>
            <w:tcW w:w="1276" w:type="dxa"/>
            <w:shd w:val="clear" w:color="auto" w:fill="auto"/>
            <w:vAlign w:val="center"/>
          </w:tcPr>
          <w:p w14:paraId="19B3EA65">
            <w:pPr>
              <w:spacing w:line="300" w:lineRule="exact"/>
              <w:jc w:val="left"/>
              <w:rPr>
                <w:rFonts w:ascii="宋体" w:hAnsi="宋体"/>
                <w:sz w:val="28"/>
                <w:szCs w:val="28"/>
              </w:rPr>
            </w:pPr>
          </w:p>
        </w:tc>
        <w:tc>
          <w:tcPr>
            <w:tcW w:w="3216" w:type="dxa"/>
            <w:shd w:val="clear" w:color="auto" w:fill="auto"/>
            <w:vAlign w:val="center"/>
          </w:tcPr>
          <w:p w14:paraId="29B6F96F">
            <w:pPr>
              <w:spacing w:line="300" w:lineRule="exact"/>
              <w:jc w:val="left"/>
              <w:rPr>
                <w:rFonts w:ascii="宋体" w:hAnsi="宋体"/>
                <w:sz w:val="28"/>
                <w:szCs w:val="28"/>
              </w:rPr>
            </w:pPr>
            <w:r>
              <w:rPr>
                <w:rFonts w:hint="eastAsia" w:ascii="宋体" w:hAnsi="宋体"/>
                <w:sz w:val="28"/>
                <w:szCs w:val="28"/>
              </w:rPr>
              <w:t>围绕政府工作报告监督组织实施</w:t>
            </w:r>
          </w:p>
        </w:tc>
        <w:tc>
          <w:tcPr>
            <w:tcW w:w="2910" w:type="dxa"/>
            <w:shd w:val="clear" w:color="auto" w:fill="auto"/>
            <w:vAlign w:val="center"/>
          </w:tcPr>
          <w:p w14:paraId="28AA26B9">
            <w:pPr>
              <w:spacing w:line="300" w:lineRule="exact"/>
              <w:jc w:val="left"/>
              <w:rPr>
                <w:rFonts w:ascii="宋体" w:hAnsi="宋体"/>
                <w:sz w:val="28"/>
                <w:szCs w:val="28"/>
              </w:rPr>
            </w:pPr>
            <w:r>
              <w:rPr>
                <w:rFonts w:ascii="宋体" w:hAnsi="宋体"/>
                <w:sz w:val="28"/>
                <w:szCs w:val="28"/>
              </w:rPr>
              <w:t>1</w:t>
            </w:r>
            <w:r>
              <w:rPr>
                <w:rFonts w:hint="eastAsia" w:ascii="宋体" w:hAnsi="宋体"/>
                <w:sz w:val="28"/>
                <w:szCs w:val="28"/>
              </w:rPr>
              <w:t>、监督宪法和法律实施</w:t>
            </w:r>
            <w:r>
              <w:rPr>
                <w:rFonts w:ascii="宋体" w:hAnsi="宋体"/>
                <w:sz w:val="28"/>
                <w:szCs w:val="28"/>
              </w:rPr>
              <w:t xml:space="preserve"> 2</w:t>
            </w:r>
            <w:r>
              <w:rPr>
                <w:rFonts w:hint="eastAsia" w:ascii="宋体" w:hAnsi="宋体"/>
                <w:sz w:val="28"/>
                <w:szCs w:val="28"/>
              </w:rPr>
              <w:t>、监督本级预算按乡人代会通过的预算有效实施</w:t>
            </w:r>
            <w:r>
              <w:rPr>
                <w:rFonts w:ascii="宋体" w:hAnsi="宋体"/>
                <w:sz w:val="28"/>
                <w:szCs w:val="28"/>
              </w:rPr>
              <w:t xml:space="preserve"> 3</w:t>
            </w:r>
            <w:r>
              <w:rPr>
                <w:rFonts w:hint="eastAsia" w:ascii="宋体" w:hAnsi="宋体"/>
                <w:sz w:val="28"/>
                <w:szCs w:val="28"/>
              </w:rPr>
              <w:t>、监督经济和社会发展计划有效实施</w:t>
            </w:r>
          </w:p>
        </w:tc>
        <w:tc>
          <w:tcPr>
            <w:tcW w:w="1530" w:type="dxa"/>
            <w:shd w:val="clear" w:color="auto" w:fill="auto"/>
            <w:vAlign w:val="center"/>
          </w:tcPr>
          <w:p w14:paraId="2C5A0B84">
            <w:pPr>
              <w:spacing w:line="300" w:lineRule="exact"/>
              <w:jc w:val="left"/>
              <w:rPr>
                <w:rFonts w:ascii="宋体" w:hAnsi="宋体"/>
                <w:sz w:val="28"/>
                <w:szCs w:val="28"/>
              </w:rPr>
            </w:pPr>
          </w:p>
        </w:tc>
        <w:tc>
          <w:tcPr>
            <w:tcW w:w="570" w:type="dxa"/>
            <w:shd w:val="clear" w:color="auto" w:fill="auto"/>
            <w:vAlign w:val="center"/>
          </w:tcPr>
          <w:p w14:paraId="1920B4A4">
            <w:pPr>
              <w:spacing w:line="300" w:lineRule="exact"/>
              <w:jc w:val="center"/>
              <w:rPr>
                <w:rFonts w:ascii="宋体" w:hAnsi="宋体"/>
                <w:sz w:val="28"/>
                <w:szCs w:val="28"/>
              </w:rPr>
            </w:pPr>
          </w:p>
        </w:tc>
        <w:tc>
          <w:tcPr>
            <w:tcW w:w="617" w:type="dxa"/>
            <w:shd w:val="clear" w:color="auto" w:fill="auto"/>
            <w:vAlign w:val="center"/>
          </w:tcPr>
          <w:p w14:paraId="682E4C3D">
            <w:pPr>
              <w:spacing w:line="300" w:lineRule="exact"/>
              <w:jc w:val="center"/>
              <w:rPr>
                <w:rFonts w:ascii="宋体" w:hAnsi="宋体"/>
                <w:sz w:val="28"/>
                <w:szCs w:val="28"/>
              </w:rPr>
            </w:pPr>
          </w:p>
        </w:tc>
        <w:tc>
          <w:tcPr>
            <w:tcW w:w="737" w:type="dxa"/>
            <w:shd w:val="clear" w:color="auto" w:fill="auto"/>
            <w:vAlign w:val="center"/>
          </w:tcPr>
          <w:p w14:paraId="29A811D5">
            <w:pPr>
              <w:spacing w:line="300" w:lineRule="exact"/>
              <w:jc w:val="center"/>
              <w:rPr>
                <w:rFonts w:ascii="宋体" w:hAnsi="宋体"/>
                <w:sz w:val="28"/>
                <w:szCs w:val="28"/>
              </w:rPr>
            </w:pPr>
          </w:p>
        </w:tc>
        <w:tc>
          <w:tcPr>
            <w:tcW w:w="903" w:type="dxa"/>
            <w:shd w:val="clear" w:color="auto" w:fill="auto"/>
            <w:vAlign w:val="center"/>
          </w:tcPr>
          <w:p w14:paraId="0B577E86">
            <w:pPr>
              <w:spacing w:line="300" w:lineRule="exact"/>
              <w:jc w:val="center"/>
              <w:rPr>
                <w:rFonts w:ascii="宋体" w:hAnsi="宋体"/>
                <w:sz w:val="28"/>
                <w:szCs w:val="28"/>
              </w:rPr>
            </w:pPr>
          </w:p>
        </w:tc>
      </w:tr>
      <w:tr w14:paraId="624DC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shd w:val="clear" w:color="auto" w:fill="auto"/>
            <w:vAlign w:val="center"/>
          </w:tcPr>
          <w:p w14:paraId="09348311">
            <w:pPr>
              <w:spacing w:line="300" w:lineRule="exact"/>
              <w:jc w:val="left"/>
              <w:rPr>
                <w:rFonts w:ascii="宋体" w:hAnsi="宋体"/>
                <w:b/>
                <w:sz w:val="28"/>
                <w:szCs w:val="28"/>
              </w:rPr>
            </w:pPr>
            <w:r>
              <w:rPr>
                <w:rFonts w:hint="eastAsia" w:ascii="宋体" w:hAnsi="宋体"/>
                <w:b/>
                <w:sz w:val="28"/>
                <w:szCs w:val="28"/>
              </w:rPr>
              <w:t>　　人大代表活动</w:t>
            </w:r>
          </w:p>
        </w:tc>
        <w:tc>
          <w:tcPr>
            <w:tcW w:w="1276" w:type="dxa"/>
            <w:vMerge w:val="restart"/>
            <w:shd w:val="clear" w:color="auto" w:fill="auto"/>
            <w:vAlign w:val="center"/>
          </w:tcPr>
          <w:p w14:paraId="26CC6A43">
            <w:pPr>
              <w:spacing w:line="300" w:lineRule="exact"/>
              <w:jc w:val="left"/>
              <w:rPr>
                <w:rFonts w:ascii="宋体" w:hAnsi="宋体"/>
                <w:sz w:val="28"/>
                <w:szCs w:val="28"/>
              </w:rPr>
            </w:pPr>
          </w:p>
        </w:tc>
        <w:tc>
          <w:tcPr>
            <w:tcW w:w="3216" w:type="dxa"/>
            <w:vMerge w:val="restart"/>
            <w:shd w:val="clear" w:color="auto" w:fill="auto"/>
            <w:vAlign w:val="center"/>
          </w:tcPr>
          <w:p w14:paraId="041B4156">
            <w:pPr>
              <w:spacing w:line="300" w:lineRule="exact"/>
              <w:jc w:val="left"/>
              <w:rPr>
                <w:rFonts w:ascii="宋体" w:hAnsi="宋体"/>
                <w:sz w:val="28"/>
                <w:szCs w:val="28"/>
              </w:rPr>
            </w:pPr>
            <w:r>
              <w:rPr>
                <w:rFonts w:hint="eastAsia" w:ascii="宋体" w:hAnsi="宋体"/>
                <w:sz w:val="28"/>
                <w:szCs w:val="28"/>
              </w:rPr>
              <w:t>对法律实施情况进行检查，开展代表建议督办活动</w:t>
            </w:r>
          </w:p>
        </w:tc>
        <w:tc>
          <w:tcPr>
            <w:tcW w:w="2910" w:type="dxa"/>
            <w:vMerge w:val="restart"/>
            <w:shd w:val="clear" w:color="auto" w:fill="auto"/>
            <w:vAlign w:val="center"/>
          </w:tcPr>
          <w:p w14:paraId="73556D30">
            <w:pPr>
              <w:spacing w:line="300" w:lineRule="exact"/>
              <w:jc w:val="left"/>
              <w:rPr>
                <w:rFonts w:ascii="宋体" w:hAnsi="宋体"/>
                <w:sz w:val="28"/>
                <w:szCs w:val="28"/>
              </w:rPr>
            </w:pPr>
            <w:r>
              <w:rPr>
                <w:rFonts w:hint="eastAsia" w:ascii="宋体" w:hAnsi="宋体"/>
                <w:sz w:val="28"/>
                <w:szCs w:val="28"/>
              </w:rPr>
              <w:t>提高法规质量，发挥人大的桥梁纽带作用，反映民意，促进依法履职</w:t>
            </w:r>
          </w:p>
        </w:tc>
        <w:tc>
          <w:tcPr>
            <w:tcW w:w="1530" w:type="dxa"/>
            <w:shd w:val="clear" w:color="auto" w:fill="auto"/>
            <w:vAlign w:val="center"/>
          </w:tcPr>
          <w:p w14:paraId="65C427BD">
            <w:pPr>
              <w:spacing w:line="300" w:lineRule="exact"/>
              <w:jc w:val="left"/>
              <w:rPr>
                <w:rFonts w:ascii="宋体" w:hAnsi="宋体"/>
                <w:sz w:val="28"/>
                <w:szCs w:val="28"/>
              </w:rPr>
            </w:pPr>
            <w:r>
              <w:rPr>
                <w:rFonts w:hint="eastAsia" w:ascii="宋体" w:hAnsi="宋体"/>
                <w:sz w:val="28"/>
                <w:szCs w:val="28"/>
              </w:rPr>
              <w:t>执法检查任务完成率</w:t>
            </w:r>
          </w:p>
        </w:tc>
        <w:tc>
          <w:tcPr>
            <w:tcW w:w="570" w:type="dxa"/>
            <w:shd w:val="clear" w:color="auto" w:fill="auto"/>
            <w:vAlign w:val="center"/>
          </w:tcPr>
          <w:p w14:paraId="5D450AD8">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90%</w:t>
            </w:r>
          </w:p>
        </w:tc>
        <w:tc>
          <w:tcPr>
            <w:tcW w:w="617" w:type="dxa"/>
            <w:shd w:val="clear" w:color="auto" w:fill="auto"/>
            <w:vAlign w:val="center"/>
          </w:tcPr>
          <w:p w14:paraId="7D3C1AAC">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80%</w:t>
            </w:r>
          </w:p>
        </w:tc>
        <w:tc>
          <w:tcPr>
            <w:tcW w:w="737" w:type="dxa"/>
            <w:shd w:val="clear" w:color="auto" w:fill="auto"/>
            <w:vAlign w:val="center"/>
          </w:tcPr>
          <w:p w14:paraId="382638FA">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70%</w:t>
            </w:r>
          </w:p>
        </w:tc>
        <w:tc>
          <w:tcPr>
            <w:tcW w:w="903" w:type="dxa"/>
            <w:shd w:val="clear" w:color="auto" w:fill="auto"/>
            <w:vAlign w:val="center"/>
          </w:tcPr>
          <w:p w14:paraId="74EC0BA5">
            <w:pPr>
              <w:spacing w:line="300" w:lineRule="exact"/>
              <w:jc w:val="center"/>
              <w:rPr>
                <w:rFonts w:ascii="宋体" w:hAnsi="宋体"/>
                <w:sz w:val="28"/>
                <w:szCs w:val="28"/>
              </w:rPr>
            </w:pPr>
            <w:r>
              <w:rPr>
                <w:rFonts w:ascii="宋体" w:hAnsi="宋体"/>
                <w:sz w:val="28"/>
                <w:szCs w:val="28"/>
              </w:rPr>
              <w:t>&lt;70%</w:t>
            </w:r>
          </w:p>
        </w:tc>
      </w:tr>
      <w:tr w14:paraId="7D282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shd w:val="clear" w:color="auto" w:fill="auto"/>
            <w:vAlign w:val="center"/>
          </w:tcPr>
          <w:p w14:paraId="4F6CF250">
            <w:pPr>
              <w:spacing w:line="300" w:lineRule="exact"/>
              <w:jc w:val="left"/>
              <w:rPr>
                <w:rFonts w:ascii="宋体" w:hAnsi="宋体"/>
                <w:b/>
                <w:sz w:val="28"/>
                <w:szCs w:val="28"/>
              </w:rPr>
            </w:pPr>
          </w:p>
        </w:tc>
        <w:tc>
          <w:tcPr>
            <w:tcW w:w="1276" w:type="dxa"/>
            <w:vMerge w:val="continue"/>
            <w:shd w:val="clear" w:color="auto" w:fill="auto"/>
            <w:vAlign w:val="center"/>
          </w:tcPr>
          <w:p w14:paraId="4308CF7E">
            <w:pPr>
              <w:spacing w:line="300" w:lineRule="exact"/>
              <w:jc w:val="left"/>
              <w:rPr>
                <w:rFonts w:ascii="宋体" w:hAnsi="宋体"/>
                <w:sz w:val="28"/>
                <w:szCs w:val="28"/>
              </w:rPr>
            </w:pPr>
          </w:p>
        </w:tc>
        <w:tc>
          <w:tcPr>
            <w:tcW w:w="3216" w:type="dxa"/>
            <w:vMerge w:val="continue"/>
            <w:shd w:val="clear" w:color="auto" w:fill="auto"/>
            <w:vAlign w:val="center"/>
          </w:tcPr>
          <w:p w14:paraId="05473CC3">
            <w:pPr>
              <w:spacing w:line="300" w:lineRule="exact"/>
              <w:jc w:val="left"/>
              <w:rPr>
                <w:rFonts w:ascii="宋体" w:hAnsi="宋体"/>
                <w:sz w:val="28"/>
                <w:szCs w:val="28"/>
              </w:rPr>
            </w:pPr>
          </w:p>
        </w:tc>
        <w:tc>
          <w:tcPr>
            <w:tcW w:w="2910" w:type="dxa"/>
            <w:vMerge w:val="continue"/>
            <w:shd w:val="clear" w:color="auto" w:fill="auto"/>
            <w:vAlign w:val="center"/>
          </w:tcPr>
          <w:p w14:paraId="3BBB0827">
            <w:pPr>
              <w:spacing w:line="300" w:lineRule="exact"/>
              <w:jc w:val="left"/>
              <w:rPr>
                <w:rFonts w:ascii="宋体" w:hAnsi="宋体"/>
                <w:sz w:val="28"/>
                <w:szCs w:val="28"/>
              </w:rPr>
            </w:pPr>
          </w:p>
        </w:tc>
        <w:tc>
          <w:tcPr>
            <w:tcW w:w="1530" w:type="dxa"/>
            <w:shd w:val="clear" w:color="auto" w:fill="auto"/>
            <w:vAlign w:val="center"/>
          </w:tcPr>
          <w:p w14:paraId="4197B307">
            <w:pPr>
              <w:spacing w:line="300" w:lineRule="exact"/>
              <w:jc w:val="left"/>
              <w:rPr>
                <w:rFonts w:ascii="宋体" w:hAnsi="宋体"/>
                <w:sz w:val="28"/>
                <w:szCs w:val="28"/>
              </w:rPr>
            </w:pPr>
            <w:r>
              <w:rPr>
                <w:rFonts w:hint="eastAsia" w:ascii="宋体" w:hAnsi="宋体"/>
                <w:sz w:val="28"/>
                <w:szCs w:val="28"/>
              </w:rPr>
              <w:t>建议督办完成率</w:t>
            </w:r>
          </w:p>
        </w:tc>
        <w:tc>
          <w:tcPr>
            <w:tcW w:w="570" w:type="dxa"/>
            <w:shd w:val="clear" w:color="auto" w:fill="auto"/>
            <w:vAlign w:val="center"/>
          </w:tcPr>
          <w:p w14:paraId="1F7ECA04">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90%</w:t>
            </w:r>
          </w:p>
        </w:tc>
        <w:tc>
          <w:tcPr>
            <w:tcW w:w="617" w:type="dxa"/>
            <w:shd w:val="clear" w:color="auto" w:fill="auto"/>
            <w:vAlign w:val="center"/>
          </w:tcPr>
          <w:p w14:paraId="79704F24">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80%</w:t>
            </w:r>
          </w:p>
        </w:tc>
        <w:tc>
          <w:tcPr>
            <w:tcW w:w="737" w:type="dxa"/>
            <w:shd w:val="clear" w:color="auto" w:fill="auto"/>
            <w:vAlign w:val="center"/>
          </w:tcPr>
          <w:p w14:paraId="5C9AD52F">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70%</w:t>
            </w:r>
          </w:p>
        </w:tc>
        <w:tc>
          <w:tcPr>
            <w:tcW w:w="903" w:type="dxa"/>
            <w:shd w:val="clear" w:color="auto" w:fill="auto"/>
            <w:vAlign w:val="center"/>
          </w:tcPr>
          <w:p w14:paraId="0451B9D9">
            <w:pPr>
              <w:spacing w:line="300" w:lineRule="exact"/>
              <w:jc w:val="center"/>
              <w:rPr>
                <w:rFonts w:ascii="宋体" w:hAnsi="宋体"/>
                <w:sz w:val="28"/>
                <w:szCs w:val="28"/>
              </w:rPr>
            </w:pPr>
            <w:r>
              <w:rPr>
                <w:rFonts w:ascii="宋体" w:hAnsi="宋体"/>
                <w:sz w:val="28"/>
                <w:szCs w:val="28"/>
              </w:rPr>
              <w:t>&lt;70%</w:t>
            </w:r>
          </w:p>
        </w:tc>
      </w:tr>
      <w:tr w14:paraId="61EC1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2CFC0EE0">
            <w:pPr>
              <w:spacing w:line="300" w:lineRule="exact"/>
              <w:jc w:val="left"/>
              <w:rPr>
                <w:rFonts w:ascii="宋体" w:hAnsi="宋体"/>
                <w:b/>
                <w:sz w:val="28"/>
                <w:szCs w:val="28"/>
              </w:rPr>
            </w:pPr>
            <w:r>
              <w:rPr>
                <w:rFonts w:hint="eastAsia" w:ascii="宋体" w:hAnsi="宋体"/>
                <w:b/>
                <w:sz w:val="28"/>
                <w:szCs w:val="28"/>
              </w:rPr>
              <w:t>办案问责</w:t>
            </w:r>
          </w:p>
        </w:tc>
        <w:tc>
          <w:tcPr>
            <w:tcW w:w="1276" w:type="dxa"/>
            <w:shd w:val="clear" w:color="auto" w:fill="auto"/>
            <w:vAlign w:val="center"/>
          </w:tcPr>
          <w:p w14:paraId="09C3AAC9">
            <w:pPr>
              <w:spacing w:line="300" w:lineRule="exact"/>
              <w:jc w:val="left"/>
              <w:rPr>
                <w:rFonts w:ascii="宋体" w:hAnsi="宋体"/>
                <w:sz w:val="28"/>
                <w:szCs w:val="28"/>
              </w:rPr>
            </w:pPr>
          </w:p>
        </w:tc>
        <w:tc>
          <w:tcPr>
            <w:tcW w:w="3216" w:type="dxa"/>
            <w:shd w:val="clear" w:color="auto" w:fill="auto"/>
            <w:vAlign w:val="center"/>
          </w:tcPr>
          <w:p w14:paraId="5168B862">
            <w:pPr>
              <w:spacing w:line="300" w:lineRule="exact"/>
              <w:jc w:val="left"/>
              <w:rPr>
                <w:rFonts w:ascii="宋体" w:hAnsi="宋体"/>
                <w:sz w:val="28"/>
                <w:szCs w:val="28"/>
              </w:rPr>
            </w:pPr>
            <w:r>
              <w:rPr>
                <w:rFonts w:hint="eastAsia" w:ascii="宋体" w:hAnsi="宋体"/>
                <w:sz w:val="28"/>
                <w:szCs w:val="28"/>
              </w:rPr>
              <w:t>受理信访、举报等案件，组织协调案件的查办，调查、审查违纪违法案件，对案件审理提出处理意见</w:t>
            </w:r>
          </w:p>
        </w:tc>
        <w:tc>
          <w:tcPr>
            <w:tcW w:w="2910" w:type="dxa"/>
            <w:shd w:val="clear" w:color="auto" w:fill="auto"/>
            <w:vAlign w:val="center"/>
          </w:tcPr>
          <w:p w14:paraId="0CA4A56D">
            <w:pPr>
              <w:spacing w:line="300" w:lineRule="exact"/>
              <w:jc w:val="left"/>
              <w:rPr>
                <w:rFonts w:ascii="宋体" w:hAnsi="宋体"/>
                <w:sz w:val="28"/>
                <w:szCs w:val="28"/>
              </w:rPr>
            </w:pPr>
            <w:r>
              <w:rPr>
                <w:rFonts w:hint="eastAsia" w:ascii="宋体" w:hAnsi="宋体"/>
                <w:sz w:val="28"/>
                <w:szCs w:val="28"/>
              </w:rPr>
              <w:t>维护党纪国法尊严，坚决惩处腐败分子，遏制腐败现象</w:t>
            </w:r>
          </w:p>
        </w:tc>
        <w:tc>
          <w:tcPr>
            <w:tcW w:w="1530" w:type="dxa"/>
            <w:shd w:val="clear" w:color="auto" w:fill="auto"/>
            <w:vAlign w:val="center"/>
          </w:tcPr>
          <w:p w14:paraId="652DEF62">
            <w:pPr>
              <w:spacing w:line="300" w:lineRule="exact"/>
              <w:jc w:val="left"/>
              <w:rPr>
                <w:rFonts w:ascii="宋体" w:hAnsi="宋体"/>
                <w:sz w:val="28"/>
                <w:szCs w:val="28"/>
              </w:rPr>
            </w:pPr>
          </w:p>
        </w:tc>
        <w:tc>
          <w:tcPr>
            <w:tcW w:w="570" w:type="dxa"/>
            <w:shd w:val="clear" w:color="auto" w:fill="auto"/>
            <w:vAlign w:val="center"/>
          </w:tcPr>
          <w:p w14:paraId="0B7250E2">
            <w:pPr>
              <w:spacing w:line="300" w:lineRule="exact"/>
              <w:jc w:val="center"/>
              <w:rPr>
                <w:rFonts w:ascii="宋体" w:hAnsi="宋体"/>
                <w:sz w:val="28"/>
                <w:szCs w:val="28"/>
              </w:rPr>
            </w:pPr>
          </w:p>
        </w:tc>
        <w:tc>
          <w:tcPr>
            <w:tcW w:w="617" w:type="dxa"/>
            <w:shd w:val="clear" w:color="auto" w:fill="auto"/>
            <w:vAlign w:val="center"/>
          </w:tcPr>
          <w:p w14:paraId="20810393">
            <w:pPr>
              <w:spacing w:line="300" w:lineRule="exact"/>
              <w:jc w:val="center"/>
              <w:rPr>
                <w:rFonts w:ascii="宋体" w:hAnsi="宋体"/>
                <w:sz w:val="28"/>
                <w:szCs w:val="28"/>
              </w:rPr>
            </w:pPr>
          </w:p>
        </w:tc>
        <w:tc>
          <w:tcPr>
            <w:tcW w:w="737" w:type="dxa"/>
            <w:shd w:val="clear" w:color="auto" w:fill="auto"/>
            <w:vAlign w:val="center"/>
          </w:tcPr>
          <w:p w14:paraId="4144B960">
            <w:pPr>
              <w:spacing w:line="300" w:lineRule="exact"/>
              <w:jc w:val="center"/>
              <w:rPr>
                <w:rFonts w:ascii="宋体" w:hAnsi="宋体"/>
                <w:sz w:val="28"/>
                <w:szCs w:val="28"/>
              </w:rPr>
            </w:pPr>
          </w:p>
        </w:tc>
        <w:tc>
          <w:tcPr>
            <w:tcW w:w="903" w:type="dxa"/>
            <w:shd w:val="clear" w:color="auto" w:fill="auto"/>
            <w:vAlign w:val="center"/>
          </w:tcPr>
          <w:p w14:paraId="628FB090">
            <w:pPr>
              <w:spacing w:line="300" w:lineRule="exact"/>
              <w:jc w:val="center"/>
              <w:rPr>
                <w:rFonts w:ascii="宋体" w:hAnsi="宋体"/>
                <w:sz w:val="28"/>
                <w:szCs w:val="28"/>
              </w:rPr>
            </w:pPr>
          </w:p>
        </w:tc>
      </w:tr>
      <w:tr w14:paraId="1713F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642F8C2E">
            <w:pPr>
              <w:spacing w:line="300" w:lineRule="exact"/>
              <w:jc w:val="left"/>
              <w:rPr>
                <w:rFonts w:ascii="宋体" w:hAnsi="宋体"/>
                <w:b/>
                <w:sz w:val="28"/>
                <w:szCs w:val="28"/>
              </w:rPr>
            </w:pPr>
            <w:r>
              <w:rPr>
                <w:rFonts w:hint="eastAsia" w:ascii="宋体" w:hAnsi="宋体"/>
                <w:b/>
                <w:sz w:val="28"/>
                <w:szCs w:val="28"/>
              </w:rPr>
              <w:t>　　案件查办</w:t>
            </w:r>
          </w:p>
        </w:tc>
        <w:tc>
          <w:tcPr>
            <w:tcW w:w="1276" w:type="dxa"/>
            <w:shd w:val="clear" w:color="auto" w:fill="auto"/>
            <w:vAlign w:val="center"/>
          </w:tcPr>
          <w:p w14:paraId="02CE0B8C">
            <w:pPr>
              <w:spacing w:line="300" w:lineRule="exact"/>
              <w:jc w:val="left"/>
              <w:rPr>
                <w:rFonts w:ascii="宋体" w:hAnsi="宋体"/>
                <w:sz w:val="28"/>
                <w:szCs w:val="28"/>
              </w:rPr>
            </w:pPr>
          </w:p>
        </w:tc>
        <w:tc>
          <w:tcPr>
            <w:tcW w:w="3216" w:type="dxa"/>
            <w:shd w:val="clear" w:color="auto" w:fill="auto"/>
            <w:vAlign w:val="center"/>
          </w:tcPr>
          <w:p w14:paraId="72FF25EC">
            <w:pPr>
              <w:spacing w:line="300" w:lineRule="exact"/>
              <w:jc w:val="left"/>
              <w:rPr>
                <w:rFonts w:ascii="宋体" w:hAnsi="宋体"/>
                <w:sz w:val="28"/>
                <w:szCs w:val="28"/>
              </w:rPr>
            </w:pPr>
            <w:r>
              <w:rPr>
                <w:rFonts w:hint="eastAsia" w:ascii="宋体" w:hAnsi="宋体"/>
                <w:sz w:val="28"/>
                <w:szCs w:val="28"/>
              </w:rPr>
              <w:t>对违反党纪政纪的违法违纪行为进行处理，协调案件查办工作</w:t>
            </w:r>
          </w:p>
        </w:tc>
        <w:tc>
          <w:tcPr>
            <w:tcW w:w="2910" w:type="dxa"/>
            <w:shd w:val="clear" w:color="auto" w:fill="auto"/>
            <w:vAlign w:val="center"/>
          </w:tcPr>
          <w:p w14:paraId="1AC78DAB">
            <w:pPr>
              <w:spacing w:line="300" w:lineRule="exact"/>
              <w:jc w:val="left"/>
              <w:rPr>
                <w:rFonts w:ascii="宋体" w:hAnsi="宋体"/>
                <w:sz w:val="28"/>
                <w:szCs w:val="28"/>
              </w:rPr>
            </w:pPr>
            <w:r>
              <w:rPr>
                <w:rFonts w:hint="eastAsia" w:ascii="宋体" w:hAnsi="宋体"/>
                <w:sz w:val="28"/>
                <w:szCs w:val="28"/>
              </w:rPr>
              <w:t>维护党纪国法尊严，坚决惩处腐败分子，遏制腐败现象</w:t>
            </w:r>
          </w:p>
        </w:tc>
        <w:tc>
          <w:tcPr>
            <w:tcW w:w="1530" w:type="dxa"/>
            <w:shd w:val="clear" w:color="auto" w:fill="auto"/>
            <w:vAlign w:val="center"/>
          </w:tcPr>
          <w:p w14:paraId="0816EC44">
            <w:pPr>
              <w:spacing w:line="300" w:lineRule="exact"/>
              <w:jc w:val="left"/>
              <w:rPr>
                <w:rFonts w:ascii="宋体" w:hAnsi="宋体"/>
                <w:sz w:val="28"/>
                <w:szCs w:val="28"/>
              </w:rPr>
            </w:pPr>
            <w:r>
              <w:rPr>
                <w:rFonts w:hint="eastAsia" w:ascii="宋体" w:hAnsi="宋体"/>
                <w:sz w:val="28"/>
                <w:szCs w:val="28"/>
              </w:rPr>
              <w:t>案件查办率</w:t>
            </w:r>
          </w:p>
        </w:tc>
        <w:tc>
          <w:tcPr>
            <w:tcW w:w="570" w:type="dxa"/>
            <w:shd w:val="clear" w:color="auto" w:fill="auto"/>
            <w:vAlign w:val="center"/>
          </w:tcPr>
          <w:p w14:paraId="67FF23B8">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100%</w:t>
            </w:r>
          </w:p>
        </w:tc>
        <w:tc>
          <w:tcPr>
            <w:tcW w:w="617" w:type="dxa"/>
            <w:shd w:val="clear" w:color="auto" w:fill="auto"/>
            <w:vAlign w:val="center"/>
          </w:tcPr>
          <w:p w14:paraId="06613E0F">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95%</w:t>
            </w:r>
          </w:p>
        </w:tc>
        <w:tc>
          <w:tcPr>
            <w:tcW w:w="737" w:type="dxa"/>
            <w:shd w:val="clear" w:color="auto" w:fill="auto"/>
            <w:vAlign w:val="center"/>
          </w:tcPr>
          <w:p w14:paraId="0BB3BE2D">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90%</w:t>
            </w:r>
          </w:p>
        </w:tc>
        <w:tc>
          <w:tcPr>
            <w:tcW w:w="903" w:type="dxa"/>
            <w:shd w:val="clear" w:color="auto" w:fill="auto"/>
            <w:vAlign w:val="center"/>
          </w:tcPr>
          <w:p w14:paraId="14349A71">
            <w:pPr>
              <w:spacing w:line="300" w:lineRule="exact"/>
              <w:jc w:val="center"/>
              <w:rPr>
                <w:rFonts w:ascii="宋体" w:hAnsi="宋体"/>
                <w:sz w:val="28"/>
                <w:szCs w:val="28"/>
              </w:rPr>
            </w:pPr>
            <w:r>
              <w:rPr>
                <w:rFonts w:ascii="宋体" w:hAnsi="宋体"/>
                <w:sz w:val="28"/>
                <w:szCs w:val="28"/>
              </w:rPr>
              <w:t>&lt;90%</w:t>
            </w:r>
          </w:p>
        </w:tc>
      </w:tr>
      <w:tr w14:paraId="2110A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7F95F223">
            <w:pPr>
              <w:spacing w:line="300" w:lineRule="exact"/>
              <w:jc w:val="left"/>
              <w:rPr>
                <w:rFonts w:ascii="宋体" w:hAnsi="宋体"/>
                <w:b/>
                <w:sz w:val="28"/>
                <w:szCs w:val="28"/>
              </w:rPr>
            </w:pPr>
            <w:r>
              <w:rPr>
                <w:rFonts w:hint="eastAsia" w:ascii="宋体" w:hAnsi="宋体"/>
                <w:b/>
                <w:sz w:val="28"/>
                <w:szCs w:val="28"/>
              </w:rPr>
              <w:t>党风廉政建设</w:t>
            </w:r>
          </w:p>
        </w:tc>
        <w:tc>
          <w:tcPr>
            <w:tcW w:w="1276" w:type="dxa"/>
            <w:shd w:val="clear" w:color="auto" w:fill="auto"/>
            <w:vAlign w:val="center"/>
          </w:tcPr>
          <w:p w14:paraId="60897F2B">
            <w:pPr>
              <w:spacing w:line="300" w:lineRule="exact"/>
              <w:jc w:val="left"/>
              <w:rPr>
                <w:rFonts w:ascii="宋体" w:hAnsi="宋体"/>
                <w:sz w:val="28"/>
                <w:szCs w:val="28"/>
              </w:rPr>
            </w:pPr>
          </w:p>
        </w:tc>
        <w:tc>
          <w:tcPr>
            <w:tcW w:w="3216" w:type="dxa"/>
            <w:shd w:val="clear" w:color="auto" w:fill="auto"/>
            <w:vAlign w:val="center"/>
          </w:tcPr>
          <w:p w14:paraId="6E81CB40">
            <w:pPr>
              <w:spacing w:line="300" w:lineRule="exact"/>
              <w:jc w:val="left"/>
              <w:rPr>
                <w:rFonts w:ascii="宋体" w:hAnsi="宋体"/>
                <w:sz w:val="28"/>
                <w:szCs w:val="28"/>
              </w:rPr>
            </w:pPr>
            <w:r>
              <w:rPr>
                <w:rFonts w:hint="eastAsia" w:ascii="宋体" w:hAnsi="宋体"/>
                <w:sz w:val="28"/>
                <w:szCs w:val="28"/>
              </w:rPr>
              <w:t>组织协调党风廉政建设和反腐败宣传、教育、课题研究等工作；承担预防腐败局的日常工作</w:t>
            </w:r>
          </w:p>
        </w:tc>
        <w:tc>
          <w:tcPr>
            <w:tcW w:w="2910" w:type="dxa"/>
            <w:shd w:val="clear" w:color="auto" w:fill="auto"/>
            <w:vAlign w:val="center"/>
          </w:tcPr>
          <w:p w14:paraId="25310171">
            <w:pPr>
              <w:spacing w:line="300" w:lineRule="exact"/>
              <w:jc w:val="left"/>
              <w:rPr>
                <w:rFonts w:ascii="宋体" w:hAnsi="宋体"/>
                <w:sz w:val="28"/>
                <w:szCs w:val="28"/>
              </w:rPr>
            </w:pPr>
            <w:r>
              <w:rPr>
                <w:rFonts w:hint="eastAsia" w:ascii="宋体" w:hAnsi="宋体"/>
                <w:sz w:val="28"/>
                <w:szCs w:val="28"/>
              </w:rPr>
              <w:t>积极发挥职能作用，加强党风廉政建设，营造风清气正、干事创业的工作氛围。</w:t>
            </w:r>
          </w:p>
        </w:tc>
        <w:tc>
          <w:tcPr>
            <w:tcW w:w="1530" w:type="dxa"/>
            <w:shd w:val="clear" w:color="auto" w:fill="auto"/>
            <w:vAlign w:val="center"/>
          </w:tcPr>
          <w:p w14:paraId="689FF09B">
            <w:pPr>
              <w:spacing w:line="300" w:lineRule="exact"/>
              <w:jc w:val="left"/>
              <w:rPr>
                <w:rFonts w:ascii="宋体" w:hAnsi="宋体"/>
                <w:sz w:val="28"/>
                <w:szCs w:val="28"/>
              </w:rPr>
            </w:pPr>
          </w:p>
        </w:tc>
        <w:tc>
          <w:tcPr>
            <w:tcW w:w="570" w:type="dxa"/>
            <w:shd w:val="clear" w:color="auto" w:fill="auto"/>
            <w:vAlign w:val="center"/>
          </w:tcPr>
          <w:p w14:paraId="4EBB5F56">
            <w:pPr>
              <w:spacing w:line="300" w:lineRule="exact"/>
              <w:jc w:val="center"/>
              <w:rPr>
                <w:rFonts w:ascii="宋体" w:hAnsi="宋体"/>
                <w:sz w:val="28"/>
                <w:szCs w:val="28"/>
              </w:rPr>
            </w:pPr>
          </w:p>
        </w:tc>
        <w:tc>
          <w:tcPr>
            <w:tcW w:w="617" w:type="dxa"/>
            <w:shd w:val="clear" w:color="auto" w:fill="auto"/>
            <w:vAlign w:val="center"/>
          </w:tcPr>
          <w:p w14:paraId="71DB81A9">
            <w:pPr>
              <w:spacing w:line="300" w:lineRule="exact"/>
              <w:jc w:val="center"/>
              <w:rPr>
                <w:rFonts w:ascii="宋体" w:hAnsi="宋体"/>
                <w:sz w:val="28"/>
                <w:szCs w:val="28"/>
              </w:rPr>
            </w:pPr>
          </w:p>
        </w:tc>
        <w:tc>
          <w:tcPr>
            <w:tcW w:w="737" w:type="dxa"/>
            <w:shd w:val="clear" w:color="auto" w:fill="auto"/>
            <w:vAlign w:val="center"/>
          </w:tcPr>
          <w:p w14:paraId="47E4FBDC">
            <w:pPr>
              <w:spacing w:line="300" w:lineRule="exact"/>
              <w:jc w:val="center"/>
              <w:rPr>
                <w:rFonts w:ascii="宋体" w:hAnsi="宋体"/>
                <w:sz w:val="28"/>
                <w:szCs w:val="28"/>
              </w:rPr>
            </w:pPr>
          </w:p>
        </w:tc>
        <w:tc>
          <w:tcPr>
            <w:tcW w:w="903" w:type="dxa"/>
            <w:shd w:val="clear" w:color="auto" w:fill="auto"/>
            <w:vAlign w:val="center"/>
          </w:tcPr>
          <w:p w14:paraId="33AF904B">
            <w:pPr>
              <w:spacing w:line="300" w:lineRule="exact"/>
              <w:jc w:val="center"/>
              <w:rPr>
                <w:rFonts w:ascii="宋体" w:hAnsi="宋体"/>
                <w:sz w:val="28"/>
                <w:szCs w:val="28"/>
              </w:rPr>
            </w:pPr>
          </w:p>
        </w:tc>
      </w:tr>
      <w:tr w14:paraId="27257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4505AFB1">
            <w:pPr>
              <w:spacing w:line="300" w:lineRule="exact"/>
              <w:jc w:val="left"/>
              <w:rPr>
                <w:rFonts w:ascii="宋体" w:hAnsi="宋体"/>
                <w:b/>
                <w:sz w:val="28"/>
                <w:szCs w:val="28"/>
              </w:rPr>
            </w:pPr>
            <w:r>
              <w:rPr>
                <w:rFonts w:hint="eastAsia" w:ascii="宋体" w:hAnsi="宋体"/>
                <w:b/>
                <w:sz w:val="28"/>
                <w:szCs w:val="28"/>
              </w:rPr>
              <w:t>　　党风廉政建设</w:t>
            </w:r>
          </w:p>
        </w:tc>
        <w:tc>
          <w:tcPr>
            <w:tcW w:w="1276" w:type="dxa"/>
            <w:shd w:val="clear" w:color="auto" w:fill="auto"/>
            <w:vAlign w:val="center"/>
          </w:tcPr>
          <w:p w14:paraId="41E88F9D">
            <w:pPr>
              <w:spacing w:line="300" w:lineRule="exact"/>
              <w:jc w:val="left"/>
              <w:rPr>
                <w:rFonts w:ascii="宋体" w:hAnsi="宋体"/>
                <w:sz w:val="28"/>
                <w:szCs w:val="28"/>
              </w:rPr>
            </w:pPr>
          </w:p>
        </w:tc>
        <w:tc>
          <w:tcPr>
            <w:tcW w:w="3216" w:type="dxa"/>
            <w:shd w:val="clear" w:color="auto" w:fill="auto"/>
            <w:vAlign w:val="center"/>
          </w:tcPr>
          <w:p w14:paraId="0BB0EB23">
            <w:pPr>
              <w:spacing w:line="300" w:lineRule="exact"/>
              <w:jc w:val="left"/>
              <w:rPr>
                <w:rFonts w:ascii="宋体" w:hAnsi="宋体"/>
                <w:sz w:val="28"/>
                <w:szCs w:val="28"/>
              </w:rPr>
            </w:pPr>
            <w:r>
              <w:rPr>
                <w:rFonts w:hint="eastAsia" w:ascii="宋体" w:hAnsi="宋体"/>
                <w:sz w:val="28"/>
                <w:szCs w:val="28"/>
              </w:rPr>
              <w:t>组织协调党风廉政建设和反腐败宣传、教育、课题研究等工作；承担预防腐败局的日常工作。</w:t>
            </w:r>
          </w:p>
        </w:tc>
        <w:tc>
          <w:tcPr>
            <w:tcW w:w="2910" w:type="dxa"/>
            <w:shd w:val="clear" w:color="auto" w:fill="auto"/>
            <w:vAlign w:val="center"/>
          </w:tcPr>
          <w:p w14:paraId="68A161FF">
            <w:pPr>
              <w:spacing w:line="300" w:lineRule="exact"/>
              <w:jc w:val="left"/>
              <w:rPr>
                <w:rFonts w:ascii="宋体" w:hAnsi="宋体"/>
                <w:sz w:val="28"/>
                <w:szCs w:val="28"/>
              </w:rPr>
            </w:pPr>
            <w:r>
              <w:rPr>
                <w:rFonts w:hint="eastAsia" w:ascii="宋体" w:hAnsi="宋体"/>
                <w:sz w:val="28"/>
                <w:szCs w:val="28"/>
              </w:rPr>
              <w:t>积极发挥职能作用，加强党风廉政建设，营造风清气正、干事创业的工作氛围。</w:t>
            </w:r>
          </w:p>
        </w:tc>
        <w:tc>
          <w:tcPr>
            <w:tcW w:w="1530" w:type="dxa"/>
            <w:shd w:val="clear" w:color="auto" w:fill="auto"/>
            <w:vAlign w:val="center"/>
          </w:tcPr>
          <w:p w14:paraId="4B34F814">
            <w:pPr>
              <w:spacing w:line="300" w:lineRule="exact"/>
              <w:jc w:val="left"/>
              <w:rPr>
                <w:rFonts w:ascii="宋体" w:hAnsi="宋体"/>
                <w:sz w:val="28"/>
                <w:szCs w:val="28"/>
              </w:rPr>
            </w:pPr>
            <w:r>
              <w:rPr>
                <w:rFonts w:hint="eastAsia" w:ascii="宋体" w:hAnsi="宋体"/>
                <w:sz w:val="28"/>
                <w:szCs w:val="28"/>
              </w:rPr>
              <w:t>教育活动完成率</w:t>
            </w:r>
          </w:p>
        </w:tc>
        <w:tc>
          <w:tcPr>
            <w:tcW w:w="570" w:type="dxa"/>
            <w:shd w:val="clear" w:color="auto" w:fill="auto"/>
            <w:vAlign w:val="center"/>
          </w:tcPr>
          <w:p w14:paraId="2FD97717">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90%</w:t>
            </w:r>
          </w:p>
        </w:tc>
        <w:tc>
          <w:tcPr>
            <w:tcW w:w="617" w:type="dxa"/>
            <w:shd w:val="clear" w:color="auto" w:fill="auto"/>
            <w:vAlign w:val="center"/>
          </w:tcPr>
          <w:p w14:paraId="2D14D7A3">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80%</w:t>
            </w:r>
          </w:p>
        </w:tc>
        <w:tc>
          <w:tcPr>
            <w:tcW w:w="737" w:type="dxa"/>
            <w:shd w:val="clear" w:color="auto" w:fill="auto"/>
            <w:vAlign w:val="center"/>
          </w:tcPr>
          <w:p w14:paraId="1ECC21CB">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70%</w:t>
            </w:r>
          </w:p>
        </w:tc>
        <w:tc>
          <w:tcPr>
            <w:tcW w:w="903" w:type="dxa"/>
            <w:shd w:val="clear" w:color="auto" w:fill="auto"/>
            <w:vAlign w:val="center"/>
          </w:tcPr>
          <w:p w14:paraId="4D8E5266">
            <w:pPr>
              <w:spacing w:line="300" w:lineRule="exact"/>
              <w:jc w:val="center"/>
              <w:rPr>
                <w:rFonts w:ascii="宋体" w:hAnsi="宋体"/>
                <w:sz w:val="28"/>
                <w:szCs w:val="28"/>
              </w:rPr>
            </w:pPr>
            <w:r>
              <w:rPr>
                <w:rFonts w:ascii="宋体" w:hAnsi="宋体"/>
                <w:sz w:val="28"/>
                <w:szCs w:val="28"/>
              </w:rPr>
              <w:t>&lt;70%</w:t>
            </w:r>
          </w:p>
        </w:tc>
      </w:tr>
      <w:tr w14:paraId="32DC72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3688B654">
            <w:pPr>
              <w:spacing w:line="300" w:lineRule="exact"/>
              <w:jc w:val="left"/>
              <w:rPr>
                <w:rFonts w:ascii="宋体" w:hAnsi="宋体"/>
                <w:b/>
                <w:sz w:val="28"/>
                <w:szCs w:val="28"/>
              </w:rPr>
            </w:pPr>
            <w:r>
              <w:rPr>
                <w:rFonts w:hint="eastAsia" w:ascii="宋体" w:hAnsi="宋体"/>
                <w:b/>
                <w:sz w:val="28"/>
                <w:szCs w:val="28"/>
              </w:rPr>
              <w:t>监督检查</w:t>
            </w:r>
          </w:p>
        </w:tc>
        <w:tc>
          <w:tcPr>
            <w:tcW w:w="1276" w:type="dxa"/>
            <w:shd w:val="clear" w:color="auto" w:fill="auto"/>
            <w:vAlign w:val="center"/>
          </w:tcPr>
          <w:p w14:paraId="1DF9324B">
            <w:pPr>
              <w:spacing w:line="300" w:lineRule="exact"/>
              <w:jc w:val="left"/>
              <w:rPr>
                <w:rFonts w:ascii="宋体" w:hAnsi="宋体"/>
                <w:sz w:val="28"/>
                <w:szCs w:val="28"/>
              </w:rPr>
            </w:pPr>
          </w:p>
        </w:tc>
        <w:tc>
          <w:tcPr>
            <w:tcW w:w="3216" w:type="dxa"/>
            <w:shd w:val="clear" w:color="auto" w:fill="auto"/>
            <w:vAlign w:val="center"/>
          </w:tcPr>
          <w:p w14:paraId="5551CB31">
            <w:pPr>
              <w:spacing w:line="300" w:lineRule="exact"/>
              <w:jc w:val="left"/>
              <w:rPr>
                <w:rFonts w:ascii="宋体" w:hAnsi="宋体"/>
                <w:sz w:val="28"/>
                <w:szCs w:val="28"/>
              </w:rPr>
            </w:pPr>
            <w:r>
              <w:rPr>
                <w:rFonts w:hint="eastAsia" w:ascii="宋体" w:hAnsi="宋体"/>
                <w:sz w:val="28"/>
                <w:szCs w:val="28"/>
              </w:rPr>
              <w:t>监督检查党内法规政策、国家法律法规、党风廉政建设等的执行情况；履行县政府纠正行业不正之风办公室职能；贯彻落实县委有关部署，开展常态化全覆盖监督。</w:t>
            </w:r>
          </w:p>
        </w:tc>
        <w:tc>
          <w:tcPr>
            <w:tcW w:w="2910" w:type="dxa"/>
            <w:shd w:val="clear" w:color="auto" w:fill="auto"/>
            <w:vAlign w:val="center"/>
          </w:tcPr>
          <w:p w14:paraId="754AEA42">
            <w:pPr>
              <w:spacing w:line="300" w:lineRule="exact"/>
              <w:jc w:val="left"/>
              <w:rPr>
                <w:rFonts w:ascii="宋体" w:hAnsi="宋体"/>
                <w:sz w:val="28"/>
                <w:szCs w:val="28"/>
              </w:rPr>
            </w:pPr>
            <w:r>
              <w:rPr>
                <w:rFonts w:hint="eastAsia" w:ascii="宋体" w:hAnsi="宋体"/>
                <w:sz w:val="28"/>
                <w:szCs w:val="28"/>
              </w:rPr>
              <w:t>加大问责力度，促进</w:t>
            </w:r>
            <w:r>
              <w:rPr>
                <w:rFonts w:hint="cs" w:ascii="宋体" w:hAnsi="宋体"/>
                <w:sz w:val="28"/>
                <w:szCs w:val="28"/>
              </w:rPr>
              <w:t>“</w:t>
            </w:r>
            <w:r>
              <w:rPr>
                <w:rFonts w:hint="eastAsia" w:ascii="宋体" w:hAnsi="宋体"/>
                <w:sz w:val="28"/>
                <w:szCs w:val="28"/>
              </w:rPr>
              <w:t>两个责任</w:t>
            </w:r>
            <w:r>
              <w:rPr>
                <w:rFonts w:hint="cs" w:ascii="宋体" w:hAnsi="宋体"/>
                <w:sz w:val="28"/>
                <w:szCs w:val="28"/>
              </w:rPr>
              <w:t>”</w:t>
            </w:r>
            <w:r>
              <w:rPr>
                <w:rFonts w:hint="eastAsia" w:ascii="宋体" w:hAnsi="宋体"/>
                <w:sz w:val="28"/>
                <w:szCs w:val="28"/>
              </w:rPr>
              <w:t>有效落实。</w:t>
            </w:r>
          </w:p>
        </w:tc>
        <w:tc>
          <w:tcPr>
            <w:tcW w:w="1530" w:type="dxa"/>
            <w:shd w:val="clear" w:color="auto" w:fill="auto"/>
            <w:vAlign w:val="center"/>
          </w:tcPr>
          <w:p w14:paraId="66E59255">
            <w:pPr>
              <w:spacing w:line="300" w:lineRule="exact"/>
              <w:jc w:val="left"/>
              <w:rPr>
                <w:rFonts w:ascii="宋体" w:hAnsi="宋体"/>
                <w:sz w:val="28"/>
                <w:szCs w:val="28"/>
              </w:rPr>
            </w:pPr>
          </w:p>
        </w:tc>
        <w:tc>
          <w:tcPr>
            <w:tcW w:w="570" w:type="dxa"/>
            <w:shd w:val="clear" w:color="auto" w:fill="auto"/>
            <w:vAlign w:val="center"/>
          </w:tcPr>
          <w:p w14:paraId="0FD366EE">
            <w:pPr>
              <w:spacing w:line="300" w:lineRule="exact"/>
              <w:jc w:val="center"/>
              <w:rPr>
                <w:rFonts w:ascii="宋体" w:hAnsi="宋体"/>
                <w:sz w:val="28"/>
                <w:szCs w:val="28"/>
              </w:rPr>
            </w:pPr>
          </w:p>
        </w:tc>
        <w:tc>
          <w:tcPr>
            <w:tcW w:w="617" w:type="dxa"/>
            <w:shd w:val="clear" w:color="auto" w:fill="auto"/>
            <w:vAlign w:val="center"/>
          </w:tcPr>
          <w:p w14:paraId="2DF209F5">
            <w:pPr>
              <w:spacing w:line="300" w:lineRule="exact"/>
              <w:jc w:val="center"/>
              <w:rPr>
                <w:rFonts w:ascii="宋体" w:hAnsi="宋体"/>
                <w:sz w:val="28"/>
                <w:szCs w:val="28"/>
              </w:rPr>
            </w:pPr>
          </w:p>
        </w:tc>
        <w:tc>
          <w:tcPr>
            <w:tcW w:w="737" w:type="dxa"/>
            <w:shd w:val="clear" w:color="auto" w:fill="auto"/>
            <w:vAlign w:val="center"/>
          </w:tcPr>
          <w:p w14:paraId="4A3CE0A7">
            <w:pPr>
              <w:spacing w:line="300" w:lineRule="exact"/>
              <w:jc w:val="center"/>
              <w:rPr>
                <w:rFonts w:ascii="宋体" w:hAnsi="宋体"/>
                <w:sz w:val="28"/>
                <w:szCs w:val="28"/>
              </w:rPr>
            </w:pPr>
          </w:p>
        </w:tc>
        <w:tc>
          <w:tcPr>
            <w:tcW w:w="903" w:type="dxa"/>
            <w:shd w:val="clear" w:color="auto" w:fill="auto"/>
            <w:vAlign w:val="center"/>
          </w:tcPr>
          <w:p w14:paraId="0C4A99EF">
            <w:pPr>
              <w:spacing w:line="300" w:lineRule="exact"/>
              <w:jc w:val="center"/>
              <w:rPr>
                <w:rFonts w:ascii="宋体" w:hAnsi="宋体"/>
                <w:sz w:val="28"/>
                <w:szCs w:val="28"/>
              </w:rPr>
            </w:pPr>
          </w:p>
        </w:tc>
      </w:tr>
      <w:tr w14:paraId="1B9E9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77F95DF6">
            <w:pPr>
              <w:spacing w:line="300" w:lineRule="exact"/>
              <w:jc w:val="left"/>
              <w:rPr>
                <w:rFonts w:ascii="宋体" w:hAnsi="宋体"/>
                <w:b/>
                <w:sz w:val="28"/>
                <w:szCs w:val="28"/>
              </w:rPr>
            </w:pPr>
            <w:r>
              <w:rPr>
                <w:rFonts w:hint="eastAsia" w:ascii="宋体" w:hAnsi="宋体"/>
                <w:b/>
                <w:sz w:val="28"/>
                <w:szCs w:val="28"/>
              </w:rPr>
              <w:t>　　监督检查</w:t>
            </w:r>
          </w:p>
        </w:tc>
        <w:tc>
          <w:tcPr>
            <w:tcW w:w="1276" w:type="dxa"/>
            <w:shd w:val="clear" w:color="auto" w:fill="auto"/>
            <w:vAlign w:val="center"/>
          </w:tcPr>
          <w:p w14:paraId="3A03F5E0">
            <w:pPr>
              <w:spacing w:line="300" w:lineRule="exact"/>
              <w:jc w:val="left"/>
              <w:rPr>
                <w:rFonts w:ascii="宋体" w:hAnsi="宋体"/>
                <w:sz w:val="28"/>
                <w:szCs w:val="28"/>
              </w:rPr>
            </w:pPr>
          </w:p>
        </w:tc>
        <w:tc>
          <w:tcPr>
            <w:tcW w:w="3216" w:type="dxa"/>
            <w:shd w:val="clear" w:color="auto" w:fill="auto"/>
            <w:vAlign w:val="center"/>
          </w:tcPr>
          <w:p w14:paraId="245CEDB7">
            <w:pPr>
              <w:spacing w:line="300" w:lineRule="exact"/>
              <w:jc w:val="left"/>
              <w:rPr>
                <w:rFonts w:ascii="宋体" w:hAnsi="宋体"/>
                <w:sz w:val="28"/>
                <w:szCs w:val="28"/>
              </w:rPr>
            </w:pPr>
            <w:r>
              <w:rPr>
                <w:rFonts w:hint="eastAsia" w:ascii="宋体" w:hAnsi="宋体"/>
                <w:sz w:val="28"/>
                <w:szCs w:val="28"/>
              </w:rPr>
              <w:t>贯彻落实县委有关部署，开展常态化全覆盖监督有关工作；做好有关服务保障工作。</w:t>
            </w:r>
          </w:p>
        </w:tc>
        <w:tc>
          <w:tcPr>
            <w:tcW w:w="2910" w:type="dxa"/>
            <w:shd w:val="clear" w:color="auto" w:fill="auto"/>
            <w:vAlign w:val="center"/>
          </w:tcPr>
          <w:p w14:paraId="0BC299F6">
            <w:pPr>
              <w:spacing w:line="300" w:lineRule="exact"/>
              <w:jc w:val="left"/>
              <w:rPr>
                <w:rFonts w:ascii="宋体" w:hAnsi="宋体"/>
                <w:sz w:val="28"/>
                <w:szCs w:val="28"/>
              </w:rPr>
            </w:pPr>
            <w:r>
              <w:rPr>
                <w:rFonts w:hint="eastAsia" w:ascii="宋体" w:hAnsi="宋体"/>
                <w:sz w:val="28"/>
                <w:szCs w:val="28"/>
              </w:rPr>
              <w:t>严格执行廉洁自律各项规定，规范监督检查行为。在督查过程中，要做到信息公开、记录完善。</w:t>
            </w:r>
          </w:p>
        </w:tc>
        <w:tc>
          <w:tcPr>
            <w:tcW w:w="1530" w:type="dxa"/>
            <w:shd w:val="clear" w:color="auto" w:fill="auto"/>
            <w:vAlign w:val="center"/>
          </w:tcPr>
          <w:p w14:paraId="4DC96190">
            <w:pPr>
              <w:spacing w:line="300" w:lineRule="exact"/>
              <w:jc w:val="left"/>
              <w:rPr>
                <w:rFonts w:ascii="宋体" w:hAnsi="宋体"/>
                <w:sz w:val="28"/>
                <w:szCs w:val="28"/>
              </w:rPr>
            </w:pPr>
            <w:r>
              <w:rPr>
                <w:rFonts w:hint="eastAsia" w:ascii="宋体" w:hAnsi="宋体"/>
                <w:sz w:val="28"/>
                <w:szCs w:val="28"/>
              </w:rPr>
              <w:t>监督检查工作完成率</w:t>
            </w:r>
          </w:p>
        </w:tc>
        <w:tc>
          <w:tcPr>
            <w:tcW w:w="570" w:type="dxa"/>
            <w:shd w:val="clear" w:color="auto" w:fill="auto"/>
            <w:vAlign w:val="center"/>
          </w:tcPr>
          <w:p w14:paraId="2E5BA25A">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90%</w:t>
            </w:r>
          </w:p>
        </w:tc>
        <w:tc>
          <w:tcPr>
            <w:tcW w:w="617" w:type="dxa"/>
            <w:shd w:val="clear" w:color="auto" w:fill="auto"/>
            <w:vAlign w:val="center"/>
          </w:tcPr>
          <w:p w14:paraId="530665E5">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80%</w:t>
            </w:r>
          </w:p>
        </w:tc>
        <w:tc>
          <w:tcPr>
            <w:tcW w:w="737" w:type="dxa"/>
            <w:shd w:val="clear" w:color="auto" w:fill="auto"/>
            <w:vAlign w:val="center"/>
          </w:tcPr>
          <w:p w14:paraId="17F5A1D6">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70%</w:t>
            </w:r>
          </w:p>
        </w:tc>
        <w:tc>
          <w:tcPr>
            <w:tcW w:w="903" w:type="dxa"/>
            <w:shd w:val="clear" w:color="auto" w:fill="auto"/>
            <w:vAlign w:val="center"/>
          </w:tcPr>
          <w:p w14:paraId="0DEAC6F9">
            <w:pPr>
              <w:spacing w:line="300" w:lineRule="exact"/>
              <w:jc w:val="center"/>
              <w:rPr>
                <w:rFonts w:ascii="宋体" w:hAnsi="宋体"/>
                <w:sz w:val="28"/>
                <w:szCs w:val="28"/>
              </w:rPr>
            </w:pPr>
            <w:r>
              <w:rPr>
                <w:rFonts w:ascii="宋体" w:hAnsi="宋体"/>
                <w:sz w:val="28"/>
                <w:szCs w:val="28"/>
              </w:rPr>
              <w:t>&lt;70%</w:t>
            </w:r>
          </w:p>
        </w:tc>
      </w:tr>
      <w:tr w14:paraId="69D0AB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75F4DF15">
            <w:pPr>
              <w:spacing w:line="300" w:lineRule="exact"/>
              <w:jc w:val="left"/>
              <w:rPr>
                <w:rFonts w:ascii="宋体" w:hAnsi="宋体"/>
                <w:b/>
                <w:sz w:val="28"/>
                <w:szCs w:val="28"/>
              </w:rPr>
            </w:pPr>
            <w:r>
              <w:rPr>
                <w:rFonts w:hint="eastAsia" w:ascii="宋体" w:hAnsi="宋体"/>
                <w:b/>
                <w:sz w:val="28"/>
                <w:szCs w:val="28"/>
              </w:rPr>
              <w:t>司法工作</w:t>
            </w:r>
          </w:p>
        </w:tc>
        <w:tc>
          <w:tcPr>
            <w:tcW w:w="1276" w:type="dxa"/>
            <w:shd w:val="clear" w:color="auto" w:fill="auto"/>
            <w:vAlign w:val="center"/>
          </w:tcPr>
          <w:p w14:paraId="0583E1CE">
            <w:pPr>
              <w:spacing w:line="300" w:lineRule="exact"/>
              <w:jc w:val="left"/>
              <w:rPr>
                <w:rFonts w:ascii="宋体" w:hAnsi="宋体"/>
                <w:sz w:val="28"/>
                <w:szCs w:val="28"/>
              </w:rPr>
            </w:pPr>
          </w:p>
        </w:tc>
        <w:tc>
          <w:tcPr>
            <w:tcW w:w="3216" w:type="dxa"/>
            <w:shd w:val="clear" w:color="auto" w:fill="auto"/>
            <w:vAlign w:val="center"/>
          </w:tcPr>
          <w:p w14:paraId="3BA011AD">
            <w:pPr>
              <w:spacing w:line="300" w:lineRule="exact"/>
              <w:jc w:val="left"/>
              <w:rPr>
                <w:rFonts w:ascii="宋体" w:hAnsi="宋体"/>
                <w:sz w:val="28"/>
                <w:szCs w:val="28"/>
              </w:rPr>
            </w:pPr>
            <w:r>
              <w:rPr>
                <w:rFonts w:hint="eastAsia" w:ascii="宋体" w:hAnsi="宋体"/>
                <w:sz w:val="28"/>
                <w:szCs w:val="28"/>
              </w:rPr>
              <w:t>开展公民普法教育，调节群众矛盾纠纷</w:t>
            </w:r>
          </w:p>
        </w:tc>
        <w:tc>
          <w:tcPr>
            <w:tcW w:w="2910" w:type="dxa"/>
            <w:shd w:val="clear" w:color="auto" w:fill="auto"/>
            <w:vAlign w:val="center"/>
          </w:tcPr>
          <w:p w14:paraId="514BE1DB">
            <w:pPr>
              <w:spacing w:line="300" w:lineRule="exact"/>
              <w:jc w:val="left"/>
              <w:rPr>
                <w:rFonts w:ascii="宋体" w:hAnsi="宋体"/>
                <w:sz w:val="28"/>
                <w:szCs w:val="28"/>
              </w:rPr>
            </w:pPr>
            <w:r>
              <w:rPr>
                <w:rFonts w:hint="eastAsia" w:ascii="宋体" w:hAnsi="宋体"/>
                <w:sz w:val="28"/>
                <w:szCs w:val="28"/>
              </w:rPr>
              <w:t>提高群众的法律意识</w:t>
            </w:r>
          </w:p>
        </w:tc>
        <w:tc>
          <w:tcPr>
            <w:tcW w:w="1530" w:type="dxa"/>
            <w:shd w:val="clear" w:color="auto" w:fill="auto"/>
            <w:vAlign w:val="center"/>
          </w:tcPr>
          <w:p w14:paraId="3131D4E2">
            <w:pPr>
              <w:spacing w:line="300" w:lineRule="exact"/>
              <w:jc w:val="left"/>
              <w:rPr>
                <w:rFonts w:ascii="宋体" w:hAnsi="宋体"/>
                <w:sz w:val="28"/>
                <w:szCs w:val="28"/>
              </w:rPr>
            </w:pPr>
          </w:p>
        </w:tc>
        <w:tc>
          <w:tcPr>
            <w:tcW w:w="570" w:type="dxa"/>
            <w:shd w:val="clear" w:color="auto" w:fill="auto"/>
            <w:vAlign w:val="center"/>
          </w:tcPr>
          <w:p w14:paraId="4F5168AF">
            <w:pPr>
              <w:spacing w:line="300" w:lineRule="exact"/>
              <w:jc w:val="center"/>
              <w:rPr>
                <w:rFonts w:ascii="宋体" w:hAnsi="宋体"/>
                <w:sz w:val="28"/>
                <w:szCs w:val="28"/>
              </w:rPr>
            </w:pPr>
          </w:p>
        </w:tc>
        <w:tc>
          <w:tcPr>
            <w:tcW w:w="617" w:type="dxa"/>
            <w:shd w:val="clear" w:color="auto" w:fill="auto"/>
            <w:vAlign w:val="center"/>
          </w:tcPr>
          <w:p w14:paraId="6020BDDE">
            <w:pPr>
              <w:spacing w:line="300" w:lineRule="exact"/>
              <w:jc w:val="center"/>
              <w:rPr>
                <w:rFonts w:ascii="宋体" w:hAnsi="宋体"/>
                <w:sz w:val="28"/>
                <w:szCs w:val="28"/>
              </w:rPr>
            </w:pPr>
          </w:p>
        </w:tc>
        <w:tc>
          <w:tcPr>
            <w:tcW w:w="737" w:type="dxa"/>
            <w:shd w:val="clear" w:color="auto" w:fill="auto"/>
            <w:vAlign w:val="center"/>
          </w:tcPr>
          <w:p w14:paraId="47EC4D3B">
            <w:pPr>
              <w:spacing w:line="300" w:lineRule="exact"/>
              <w:jc w:val="center"/>
              <w:rPr>
                <w:rFonts w:ascii="宋体" w:hAnsi="宋体"/>
                <w:sz w:val="28"/>
                <w:szCs w:val="28"/>
              </w:rPr>
            </w:pPr>
          </w:p>
        </w:tc>
        <w:tc>
          <w:tcPr>
            <w:tcW w:w="903" w:type="dxa"/>
            <w:shd w:val="clear" w:color="auto" w:fill="auto"/>
            <w:vAlign w:val="center"/>
          </w:tcPr>
          <w:p w14:paraId="6A01CF91">
            <w:pPr>
              <w:spacing w:line="300" w:lineRule="exact"/>
              <w:jc w:val="center"/>
              <w:rPr>
                <w:rFonts w:ascii="宋体" w:hAnsi="宋体"/>
                <w:sz w:val="28"/>
                <w:szCs w:val="28"/>
              </w:rPr>
            </w:pPr>
          </w:p>
        </w:tc>
      </w:tr>
      <w:tr w14:paraId="242C33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33FF5D92">
            <w:pPr>
              <w:spacing w:line="300" w:lineRule="exact"/>
              <w:jc w:val="left"/>
              <w:rPr>
                <w:rFonts w:ascii="宋体" w:hAnsi="宋体"/>
                <w:b/>
                <w:sz w:val="28"/>
                <w:szCs w:val="28"/>
              </w:rPr>
            </w:pPr>
            <w:r>
              <w:rPr>
                <w:rFonts w:hint="eastAsia" w:ascii="宋体" w:hAnsi="宋体"/>
                <w:b/>
                <w:sz w:val="28"/>
                <w:szCs w:val="28"/>
              </w:rPr>
              <w:t>　　普法宣传</w:t>
            </w:r>
          </w:p>
        </w:tc>
        <w:tc>
          <w:tcPr>
            <w:tcW w:w="1276" w:type="dxa"/>
            <w:shd w:val="clear" w:color="auto" w:fill="auto"/>
            <w:vAlign w:val="center"/>
          </w:tcPr>
          <w:p w14:paraId="35719F6D">
            <w:pPr>
              <w:spacing w:line="300" w:lineRule="exact"/>
              <w:jc w:val="left"/>
              <w:rPr>
                <w:rFonts w:ascii="宋体" w:hAnsi="宋体"/>
                <w:sz w:val="28"/>
                <w:szCs w:val="28"/>
              </w:rPr>
            </w:pPr>
          </w:p>
        </w:tc>
        <w:tc>
          <w:tcPr>
            <w:tcW w:w="3216" w:type="dxa"/>
            <w:shd w:val="clear" w:color="auto" w:fill="auto"/>
            <w:vAlign w:val="center"/>
          </w:tcPr>
          <w:p w14:paraId="69C233AC">
            <w:pPr>
              <w:spacing w:line="300" w:lineRule="exact"/>
              <w:jc w:val="left"/>
              <w:rPr>
                <w:rFonts w:ascii="宋体" w:hAnsi="宋体"/>
                <w:sz w:val="28"/>
                <w:szCs w:val="28"/>
              </w:rPr>
            </w:pPr>
            <w:r>
              <w:rPr>
                <w:rFonts w:hint="eastAsia" w:ascii="宋体" w:hAnsi="宋体"/>
                <w:sz w:val="28"/>
                <w:szCs w:val="28"/>
              </w:rPr>
              <w:t>利用多种形式开展普法宣传教育</w:t>
            </w:r>
          </w:p>
        </w:tc>
        <w:tc>
          <w:tcPr>
            <w:tcW w:w="2910" w:type="dxa"/>
            <w:shd w:val="clear" w:color="auto" w:fill="auto"/>
            <w:vAlign w:val="center"/>
          </w:tcPr>
          <w:p w14:paraId="42D9CDCC">
            <w:pPr>
              <w:spacing w:line="300" w:lineRule="exact"/>
              <w:jc w:val="left"/>
              <w:rPr>
                <w:rFonts w:ascii="宋体" w:hAnsi="宋体"/>
                <w:sz w:val="28"/>
                <w:szCs w:val="28"/>
              </w:rPr>
            </w:pPr>
            <w:r>
              <w:rPr>
                <w:rFonts w:hint="eastAsia" w:ascii="宋体" w:hAnsi="宋体"/>
                <w:sz w:val="28"/>
                <w:szCs w:val="28"/>
              </w:rPr>
              <w:t>提高群众法律意识和法律素质，增强法治化管理水平，促进民主与法制建设。</w:t>
            </w:r>
          </w:p>
        </w:tc>
        <w:tc>
          <w:tcPr>
            <w:tcW w:w="1530" w:type="dxa"/>
            <w:shd w:val="clear" w:color="auto" w:fill="auto"/>
            <w:vAlign w:val="center"/>
          </w:tcPr>
          <w:p w14:paraId="46F6D916">
            <w:pPr>
              <w:spacing w:line="300" w:lineRule="exact"/>
              <w:jc w:val="left"/>
              <w:rPr>
                <w:rFonts w:ascii="宋体" w:hAnsi="宋体"/>
                <w:sz w:val="28"/>
                <w:szCs w:val="28"/>
              </w:rPr>
            </w:pPr>
            <w:r>
              <w:rPr>
                <w:rFonts w:hint="eastAsia" w:ascii="宋体" w:hAnsi="宋体"/>
                <w:sz w:val="28"/>
                <w:szCs w:val="28"/>
              </w:rPr>
              <w:t>普法宣传覆盖人数</w:t>
            </w:r>
          </w:p>
        </w:tc>
        <w:tc>
          <w:tcPr>
            <w:tcW w:w="570" w:type="dxa"/>
            <w:shd w:val="clear" w:color="auto" w:fill="auto"/>
            <w:vAlign w:val="center"/>
          </w:tcPr>
          <w:p w14:paraId="440D3FBE">
            <w:pPr>
              <w:spacing w:line="300" w:lineRule="exact"/>
              <w:jc w:val="center"/>
              <w:rPr>
                <w:rFonts w:ascii="宋体" w:hAnsi="宋体"/>
                <w:sz w:val="28"/>
                <w:szCs w:val="28"/>
              </w:rPr>
            </w:pPr>
            <w:r>
              <w:rPr>
                <w:rFonts w:ascii="宋体" w:hAnsi="宋体"/>
                <w:sz w:val="28"/>
                <w:szCs w:val="28"/>
              </w:rPr>
              <w:t>100%</w:t>
            </w:r>
          </w:p>
        </w:tc>
        <w:tc>
          <w:tcPr>
            <w:tcW w:w="617" w:type="dxa"/>
            <w:shd w:val="clear" w:color="auto" w:fill="auto"/>
            <w:vAlign w:val="center"/>
          </w:tcPr>
          <w:p w14:paraId="01AC01BA">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95%</w:t>
            </w:r>
          </w:p>
        </w:tc>
        <w:tc>
          <w:tcPr>
            <w:tcW w:w="737" w:type="dxa"/>
            <w:shd w:val="clear" w:color="auto" w:fill="auto"/>
            <w:vAlign w:val="center"/>
          </w:tcPr>
          <w:p w14:paraId="7722B76B">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90%</w:t>
            </w:r>
          </w:p>
        </w:tc>
        <w:tc>
          <w:tcPr>
            <w:tcW w:w="903" w:type="dxa"/>
            <w:shd w:val="clear" w:color="auto" w:fill="auto"/>
            <w:vAlign w:val="center"/>
          </w:tcPr>
          <w:p w14:paraId="7A73BF53">
            <w:pPr>
              <w:spacing w:line="300" w:lineRule="exact"/>
              <w:jc w:val="center"/>
              <w:rPr>
                <w:rFonts w:ascii="宋体" w:hAnsi="宋体"/>
                <w:sz w:val="28"/>
                <w:szCs w:val="28"/>
              </w:rPr>
            </w:pPr>
            <w:r>
              <w:rPr>
                <w:rFonts w:ascii="宋体" w:hAnsi="宋体"/>
                <w:sz w:val="28"/>
                <w:szCs w:val="28"/>
              </w:rPr>
              <w:t>&lt;90%</w:t>
            </w:r>
          </w:p>
        </w:tc>
      </w:tr>
      <w:tr w14:paraId="778C6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14DD17B8">
            <w:pPr>
              <w:spacing w:line="300" w:lineRule="exact"/>
              <w:jc w:val="left"/>
              <w:rPr>
                <w:rFonts w:ascii="宋体" w:hAnsi="宋体"/>
                <w:b/>
                <w:sz w:val="28"/>
                <w:szCs w:val="28"/>
              </w:rPr>
            </w:pPr>
            <w:r>
              <w:rPr>
                <w:rFonts w:hint="eastAsia" w:ascii="宋体" w:hAnsi="宋体"/>
                <w:b/>
                <w:sz w:val="28"/>
                <w:szCs w:val="28"/>
              </w:rPr>
              <w:t>司法工作</w:t>
            </w:r>
          </w:p>
        </w:tc>
        <w:tc>
          <w:tcPr>
            <w:tcW w:w="1276" w:type="dxa"/>
            <w:shd w:val="clear" w:color="auto" w:fill="auto"/>
            <w:vAlign w:val="center"/>
          </w:tcPr>
          <w:p w14:paraId="5E0FFA86">
            <w:pPr>
              <w:spacing w:line="300" w:lineRule="exact"/>
              <w:jc w:val="left"/>
              <w:rPr>
                <w:rFonts w:ascii="宋体" w:hAnsi="宋体"/>
                <w:sz w:val="28"/>
                <w:szCs w:val="28"/>
              </w:rPr>
            </w:pPr>
          </w:p>
        </w:tc>
        <w:tc>
          <w:tcPr>
            <w:tcW w:w="3216" w:type="dxa"/>
            <w:shd w:val="clear" w:color="auto" w:fill="auto"/>
            <w:vAlign w:val="center"/>
          </w:tcPr>
          <w:p w14:paraId="730ADE97">
            <w:pPr>
              <w:spacing w:line="300" w:lineRule="exact"/>
              <w:jc w:val="left"/>
              <w:rPr>
                <w:rFonts w:ascii="宋体" w:hAnsi="宋体"/>
                <w:sz w:val="28"/>
                <w:szCs w:val="28"/>
              </w:rPr>
            </w:pPr>
            <w:r>
              <w:rPr>
                <w:rFonts w:hint="eastAsia" w:ascii="宋体" w:hAnsi="宋体"/>
                <w:sz w:val="28"/>
                <w:szCs w:val="28"/>
              </w:rPr>
              <w:t>开展公民普法教育，调节群众矛盾纠纷</w:t>
            </w:r>
          </w:p>
        </w:tc>
        <w:tc>
          <w:tcPr>
            <w:tcW w:w="2910" w:type="dxa"/>
            <w:shd w:val="clear" w:color="auto" w:fill="auto"/>
            <w:vAlign w:val="center"/>
          </w:tcPr>
          <w:p w14:paraId="718E88A9">
            <w:pPr>
              <w:spacing w:line="300" w:lineRule="exact"/>
              <w:jc w:val="left"/>
              <w:rPr>
                <w:rFonts w:ascii="宋体" w:hAnsi="宋体"/>
                <w:sz w:val="28"/>
                <w:szCs w:val="28"/>
              </w:rPr>
            </w:pPr>
            <w:r>
              <w:rPr>
                <w:rFonts w:hint="eastAsia" w:ascii="宋体" w:hAnsi="宋体"/>
                <w:sz w:val="28"/>
                <w:szCs w:val="28"/>
              </w:rPr>
              <w:t>提高群众的法律意识</w:t>
            </w:r>
          </w:p>
        </w:tc>
        <w:tc>
          <w:tcPr>
            <w:tcW w:w="1530" w:type="dxa"/>
            <w:shd w:val="clear" w:color="auto" w:fill="auto"/>
            <w:vAlign w:val="center"/>
          </w:tcPr>
          <w:p w14:paraId="177E4B8F">
            <w:pPr>
              <w:spacing w:line="300" w:lineRule="exact"/>
              <w:jc w:val="left"/>
              <w:rPr>
                <w:rFonts w:ascii="宋体" w:hAnsi="宋体"/>
                <w:sz w:val="28"/>
                <w:szCs w:val="28"/>
              </w:rPr>
            </w:pPr>
          </w:p>
        </w:tc>
        <w:tc>
          <w:tcPr>
            <w:tcW w:w="570" w:type="dxa"/>
            <w:shd w:val="clear" w:color="auto" w:fill="auto"/>
            <w:vAlign w:val="center"/>
          </w:tcPr>
          <w:p w14:paraId="228C9B7F">
            <w:pPr>
              <w:spacing w:line="300" w:lineRule="exact"/>
              <w:jc w:val="center"/>
              <w:rPr>
                <w:rFonts w:ascii="宋体" w:hAnsi="宋体"/>
                <w:sz w:val="28"/>
                <w:szCs w:val="28"/>
              </w:rPr>
            </w:pPr>
          </w:p>
        </w:tc>
        <w:tc>
          <w:tcPr>
            <w:tcW w:w="617" w:type="dxa"/>
            <w:shd w:val="clear" w:color="auto" w:fill="auto"/>
            <w:vAlign w:val="center"/>
          </w:tcPr>
          <w:p w14:paraId="4027A1CA">
            <w:pPr>
              <w:spacing w:line="300" w:lineRule="exact"/>
              <w:jc w:val="center"/>
              <w:rPr>
                <w:rFonts w:ascii="宋体" w:hAnsi="宋体"/>
                <w:sz w:val="28"/>
                <w:szCs w:val="28"/>
              </w:rPr>
            </w:pPr>
          </w:p>
        </w:tc>
        <w:tc>
          <w:tcPr>
            <w:tcW w:w="737" w:type="dxa"/>
            <w:shd w:val="clear" w:color="auto" w:fill="auto"/>
            <w:vAlign w:val="center"/>
          </w:tcPr>
          <w:p w14:paraId="34AAA471">
            <w:pPr>
              <w:spacing w:line="300" w:lineRule="exact"/>
              <w:jc w:val="center"/>
              <w:rPr>
                <w:rFonts w:ascii="宋体" w:hAnsi="宋体"/>
                <w:sz w:val="28"/>
                <w:szCs w:val="28"/>
              </w:rPr>
            </w:pPr>
          </w:p>
        </w:tc>
        <w:tc>
          <w:tcPr>
            <w:tcW w:w="903" w:type="dxa"/>
            <w:shd w:val="clear" w:color="auto" w:fill="auto"/>
            <w:vAlign w:val="center"/>
          </w:tcPr>
          <w:p w14:paraId="5EB676C0">
            <w:pPr>
              <w:spacing w:line="300" w:lineRule="exact"/>
              <w:jc w:val="center"/>
              <w:rPr>
                <w:rFonts w:ascii="宋体" w:hAnsi="宋体"/>
                <w:sz w:val="28"/>
                <w:szCs w:val="28"/>
              </w:rPr>
            </w:pPr>
          </w:p>
        </w:tc>
      </w:tr>
      <w:tr w14:paraId="4BDAA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12C6403C">
            <w:pPr>
              <w:spacing w:line="300" w:lineRule="exact"/>
              <w:jc w:val="left"/>
              <w:rPr>
                <w:rFonts w:ascii="宋体" w:hAnsi="宋体"/>
                <w:b/>
                <w:sz w:val="28"/>
                <w:szCs w:val="28"/>
              </w:rPr>
            </w:pPr>
            <w:r>
              <w:rPr>
                <w:rFonts w:hint="eastAsia" w:ascii="宋体" w:hAnsi="宋体"/>
                <w:b/>
                <w:sz w:val="28"/>
                <w:szCs w:val="28"/>
              </w:rPr>
              <w:t>　　基层司法业务</w:t>
            </w:r>
          </w:p>
        </w:tc>
        <w:tc>
          <w:tcPr>
            <w:tcW w:w="1276" w:type="dxa"/>
            <w:shd w:val="clear" w:color="auto" w:fill="auto"/>
            <w:vAlign w:val="center"/>
          </w:tcPr>
          <w:p w14:paraId="16B4D568">
            <w:pPr>
              <w:spacing w:line="300" w:lineRule="exact"/>
              <w:jc w:val="left"/>
              <w:rPr>
                <w:rFonts w:ascii="宋体" w:hAnsi="宋体"/>
                <w:sz w:val="28"/>
                <w:szCs w:val="28"/>
              </w:rPr>
            </w:pPr>
          </w:p>
        </w:tc>
        <w:tc>
          <w:tcPr>
            <w:tcW w:w="3216" w:type="dxa"/>
            <w:shd w:val="clear" w:color="auto" w:fill="auto"/>
            <w:vAlign w:val="center"/>
          </w:tcPr>
          <w:p w14:paraId="6CE13FA1">
            <w:pPr>
              <w:spacing w:line="300" w:lineRule="exact"/>
              <w:jc w:val="left"/>
              <w:rPr>
                <w:rFonts w:ascii="宋体" w:hAnsi="宋体"/>
                <w:sz w:val="28"/>
                <w:szCs w:val="28"/>
              </w:rPr>
            </w:pPr>
            <w:r>
              <w:rPr>
                <w:rFonts w:hint="eastAsia" w:ascii="宋体" w:hAnsi="宋体"/>
                <w:sz w:val="28"/>
                <w:szCs w:val="28"/>
              </w:rPr>
              <w:t>及时化解基层矛盾隐患，调节矛盾纠纷</w:t>
            </w:r>
          </w:p>
        </w:tc>
        <w:tc>
          <w:tcPr>
            <w:tcW w:w="2910" w:type="dxa"/>
            <w:shd w:val="clear" w:color="auto" w:fill="auto"/>
            <w:vAlign w:val="center"/>
          </w:tcPr>
          <w:p w14:paraId="1880A11C">
            <w:pPr>
              <w:spacing w:line="300" w:lineRule="exact"/>
              <w:jc w:val="left"/>
              <w:rPr>
                <w:rFonts w:ascii="宋体" w:hAnsi="宋体"/>
                <w:sz w:val="28"/>
                <w:szCs w:val="28"/>
              </w:rPr>
            </w:pPr>
            <w:r>
              <w:rPr>
                <w:rFonts w:hint="eastAsia" w:ascii="宋体" w:hAnsi="宋体"/>
                <w:sz w:val="28"/>
                <w:szCs w:val="28"/>
              </w:rPr>
              <w:t>提高群众满意率</w:t>
            </w:r>
          </w:p>
        </w:tc>
        <w:tc>
          <w:tcPr>
            <w:tcW w:w="1530" w:type="dxa"/>
            <w:shd w:val="clear" w:color="auto" w:fill="auto"/>
            <w:vAlign w:val="center"/>
          </w:tcPr>
          <w:p w14:paraId="4E2E3C39">
            <w:pPr>
              <w:spacing w:line="300" w:lineRule="exact"/>
              <w:jc w:val="left"/>
              <w:rPr>
                <w:rFonts w:ascii="宋体" w:hAnsi="宋体"/>
                <w:sz w:val="28"/>
                <w:szCs w:val="28"/>
              </w:rPr>
            </w:pPr>
            <w:r>
              <w:rPr>
                <w:rFonts w:hint="eastAsia" w:ascii="宋体" w:hAnsi="宋体"/>
                <w:sz w:val="28"/>
                <w:szCs w:val="28"/>
              </w:rPr>
              <w:t>人民调解案件数（件）</w:t>
            </w:r>
          </w:p>
        </w:tc>
        <w:tc>
          <w:tcPr>
            <w:tcW w:w="570" w:type="dxa"/>
            <w:shd w:val="clear" w:color="auto" w:fill="auto"/>
            <w:vAlign w:val="center"/>
          </w:tcPr>
          <w:p w14:paraId="5DD22FCF">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200</w:t>
            </w:r>
          </w:p>
        </w:tc>
        <w:tc>
          <w:tcPr>
            <w:tcW w:w="617" w:type="dxa"/>
            <w:shd w:val="clear" w:color="auto" w:fill="auto"/>
            <w:vAlign w:val="center"/>
          </w:tcPr>
          <w:p w14:paraId="2190F7B7">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150</w:t>
            </w:r>
          </w:p>
        </w:tc>
        <w:tc>
          <w:tcPr>
            <w:tcW w:w="737" w:type="dxa"/>
            <w:shd w:val="clear" w:color="auto" w:fill="auto"/>
            <w:vAlign w:val="center"/>
          </w:tcPr>
          <w:p w14:paraId="6B6A1363">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100</w:t>
            </w:r>
          </w:p>
        </w:tc>
        <w:tc>
          <w:tcPr>
            <w:tcW w:w="903" w:type="dxa"/>
            <w:shd w:val="clear" w:color="auto" w:fill="auto"/>
            <w:vAlign w:val="center"/>
          </w:tcPr>
          <w:p w14:paraId="58CF8384">
            <w:pPr>
              <w:spacing w:line="300" w:lineRule="exact"/>
              <w:jc w:val="center"/>
              <w:rPr>
                <w:rFonts w:ascii="宋体" w:hAnsi="宋体"/>
                <w:sz w:val="28"/>
                <w:szCs w:val="28"/>
              </w:rPr>
            </w:pPr>
            <w:r>
              <w:rPr>
                <w:rFonts w:ascii="宋体" w:hAnsi="宋体"/>
                <w:sz w:val="28"/>
                <w:szCs w:val="28"/>
              </w:rPr>
              <w:t>&lt;100</w:t>
            </w:r>
          </w:p>
        </w:tc>
      </w:tr>
      <w:tr w14:paraId="79F5F9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2DB65EB2">
            <w:pPr>
              <w:spacing w:line="300" w:lineRule="exact"/>
              <w:jc w:val="left"/>
              <w:rPr>
                <w:rFonts w:ascii="宋体" w:hAnsi="宋体"/>
                <w:b/>
                <w:sz w:val="28"/>
                <w:szCs w:val="28"/>
              </w:rPr>
            </w:pPr>
            <w:r>
              <w:rPr>
                <w:rFonts w:hint="eastAsia" w:ascii="宋体" w:hAnsi="宋体"/>
                <w:b/>
                <w:sz w:val="28"/>
                <w:szCs w:val="28"/>
              </w:rPr>
              <w:t>统计工作</w:t>
            </w:r>
          </w:p>
        </w:tc>
        <w:tc>
          <w:tcPr>
            <w:tcW w:w="1276" w:type="dxa"/>
            <w:shd w:val="clear" w:color="auto" w:fill="auto"/>
            <w:vAlign w:val="center"/>
          </w:tcPr>
          <w:p w14:paraId="1A073914">
            <w:pPr>
              <w:spacing w:line="300" w:lineRule="exact"/>
              <w:jc w:val="left"/>
              <w:rPr>
                <w:rFonts w:ascii="宋体" w:hAnsi="宋体"/>
                <w:sz w:val="28"/>
                <w:szCs w:val="28"/>
              </w:rPr>
            </w:pPr>
          </w:p>
        </w:tc>
        <w:tc>
          <w:tcPr>
            <w:tcW w:w="3216" w:type="dxa"/>
            <w:shd w:val="clear" w:color="auto" w:fill="auto"/>
            <w:vAlign w:val="center"/>
          </w:tcPr>
          <w:p w14:paraId="7A80D3B7">
            <w:pPr>
              <w:spacing w:line="300" w:lineRule="exact"/>
              <w:jc w:val="left"/>
              <w:rPr>
                <w:rFonts w:ascii="宋体" w:hAnsi="宋体"/>
                <w:sz w:val="28"/>
                <w:szCs w:val="28"/>
              </w:rPr>
            </w:pPr>
            <w:r>
              <w:rPr>
                <w:rFonts w:hint="eastAsia" w:ascii="宋体" w:hAnsi="宋体"/>
                <w:sz w:val="28"/>
                <w:szCs w:val="28"/>
              </w:rPr>
              <w:t>组织人口、农业等部门专项统计调查监测</w:t>
            </w:r>
          </w:p>
        </w:tc>
        <w:tc>
          <w:tcPr>
            <w:tcW w:w="2910" w:type="dxa"/>
            <w:shd w:val="clear" w:color="auto" w:fill="auto"/>
            <w:vAlign w:val="center"/>
          </w:tcPr>
          <w:p w14:paraId="3F0A9C6F">
            <w:pPr>
              <w:spacing w:line="300" w:lineRule="exact"/>
              <w:jc w:val="left"/>
              <w:rPr>
                <w:rFonts w:ascii="宋体" w:hAnsi="宋体"/>
                <w:sz w:val="28"/>
                <w:szCs w:val="28"/>
              </w:rPr>
            </w:pPr>
            <w:r>
              <w:rPr>
                <w:rFonts w:hint="eastAsia" w:ascii="宋体" w:hAnsi="宋体"/>
                <w:sz w:val="28"/>
                <w:szCs w:val="28"/>
              </w:rPr>
              <w:t>发布普查的主要数据公报，完成普查工作</w:t>
            </w:r>
          </w:p>
        </w:tc>
        <w:tc>
          <w:tcPr>
            <w:tcW w:w="1530" w:type="dxa"/>
            <w:shd w:val="clear" w:color="auto" w:fill="auto"/>
            <w:vAlign w:val="center"/>
          </w:tcPr>
          <w:p w14:paraId="354FF364">
            <w:pPr>
              <w:spacing w:line="300" w:lineRule="exact"/>
              <w:jc w:val="left"/>
              <w:rPr>
                <w:rFonts w:ascii="宋体" w:hAnsi="宋体"/>
                <w:sz w:val="28"/>
                <w:szCs w:val="28"/>
              </w:rPr>
            </w:pPr>
          </w:p>
        </w:tc>
        <w:tc>
          <w:tcPr>
            <w:tcW w:w="570" w:type="dxa"/>
            <w:shd w:val="clear" w:color="auto" w:fill="auto"/>
            <w:vAlign w:val="center"/>
          </w:tcPr>
          <w:p w14:paraId="72E09277">
            <w:pPr>
              <w:spacing w:line="300" w:lineRule="exact"/>
              <w:jc w:val="center"/>
              <w:rPr>
                <w:rFonts w:ascii="宋体" w:hAnsi="宋体"/>
                <w:sz w:val="28"/>
                <w:szCs w:val="28"/>
              </w:rPr>
            </w:pPr>
          </w:p>
        </w:tc>
        <w:tc>
          <w:tcPr>
            <w:tcW w:w="617" w:type="dxa"/>
            <w:shd w:val="clear" w:color="auto" w:fill="auto"/>
            <w:vAlign w:val="center"/>
          </w:tcPr>
          <w:p w14:paraId="2355A62A">
            <w:pPr>
              <w:spacing w:line="300" w:lineRule="exact"/>
              <w:jc w:val="center"/>
              <w:rPr>
                <w:rFonts w:ascii="宋体" w:hAnsi="宋体"/>
                <w:sz w:val="28"/>
                <w:szCs w:val="28"/>
              </w:rPr>
            </w:pPr>
          </w:p>
        </w:tc>
        <w:tc>
          <w:tcPr>
            <w:tcW w:w="737" w:type="dxa"/>
            <w:shd w:val="clear" w:color="auto" w:fill="auto"/>
            <w:vAlign w:val="center"/>
          </w:tcPr>
          <w:p w14:paraId="705FE72B">
            <w:pPr>
              <w:spacing w:line="300" w:lineRule="exact"/>
              <w:jc w:val="center"/>
              <w:rPr>
                <w:rFonts w:ascii="宋体" w:hAnsi="宋体"/>
                <w:sz w:val="28"/>
                <w:szCs w:val="28"/>
              </w:rPr>
            </w:pPr>
          </w:p>
        </w:tc>
        <w:tc>
          <w:tcPr>
            <w:tcW w:w="903" w:type="dxa"/>
            <w:shd w:val="clear" w:color="auto" w:fill="auto"/>
            <w:vAlign w:val="center"/>
          </w:tcPr>
          <w:p w14:paraId="00365E46">
            <w:pPr>
              <w:spacing w:line="300" w:lineRule="exact"/>
              <w:jc w:val="center"/>
              <w:rPr>
                <w:rFonts w:ascii="宋体" w:hAnsi="宋体"/>
                <w:sz w:val="28"/>
                <w:szCs w:val="28"/>
              </w:rPr>
            </w:pPr>
          </w:p>
        </w:tc>
      </w:tr>
      <w:tr w14:paraId="7428A0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10DBE4D4">
            <w:pPr>
              <w:spacing w:line="300" w:lineRule="exact"/>
              <w:jc w:val="left"/>
              <w:rPr>
                <w:rFonts w:ascii="宋体" w:hAnsi="宋体"/>
                <w:b/>
                <w:sz w:val="28"/>
                <w:szCs w:val="28"/>
              </w:rPr>
            </w:pPr>
            <w:r>
              <w:rPr>
                <w:rFonts w:hint="eastAsia" w:ascii="宋体" w:hAnsi="宋体"/>
                <w:b/>
                <w:sz w:val="28"/>
                <w:szCs w:val="28"/>
              </w:rPr>
              <w:t>　　普查和专项统计调查</w:t>
            </w:r>
          </w:p>
        </w:tc>
        <w:tc>
          <w:tcPr>
            <w:tcW w:w="1276" w:type="dxa"/>
            <w:shd w:val="clear" w:color="auto" w:fill="auto"/>
            <w:vAlign w:val="center"/>
          </w:tcPr>
          <w:p w14:paraId="72CFCE68">
            <w:pPr>
              <w:spacing w:line="300" w:lineRule="exact"/>
              <w:jc w:val="left"/>
              <w:rPr>
                <w:rFonts w:ascii="宋体" w:hAnsi="宋体"/>
                <w:sz w:val="28"/>
                <w:szCs w:val="28"/>
              </w:rPr>
            </w:pPr>
          </w:p>
        </w:tc>
        <w:tc>
          <w:tcPr>
            <w:tcW w:w="3216" w:type="dxa"/>
            <w:shd w:val="clear" w:color="auto" w:fill="auto"/>
            <w:vAlign w:val="center"/>
          </w:tcPr>
          <w:p w14:paraId="727D6592">
            <w:pPr>
              <w:spacing w:line="300" w:lineRule="exact"/>
              <w:jc w:val="left"/>
              <w:rPr>
                <w:rFonts w:ascii="宋体" w:hAnsi="宋体"/>
                <w:sz w:val="28"/>
                <w:szCs w:val="28"/>
              </w:rPr>
            </w:pPr>
            <w:r>
              <w:rPr>
                <w:rFonts w:hint="eastAsia" w:ascii="宋体" w:hAnsi="宋体"/>
                <w:sz w:val="28"/>
                <w:szCs w:val="28"/>
              </w:rPr>
              <w:t>调查统计数据</w:t>
            </w:r>
          </w:p>
        </w:tc>
        <w:tc>
          <w:tcPr>
            <w:tcW w:w="2910" w:type="dxa"/>
            <w:shd w:val="clear" w:color="auto" w:fill="auto"/>
            <w:vAlign w:val="center"/>
          </w:tcPr>
          <w:p w14:paraId="2069A9FE">
            <w:pPr>
              <w:spacing w:line="300" w:lineRule="exact"/>
              <w:jc w:val="left"/>
              <w:rPr>
                <w:rFonts w:ascii="宋体" w:hAnsi="宋体"/>
                <w:sz w:val="28"/>
                <w:szCs w:val="28"/>
              </w:rPr>
            </w:pPr>
            <w:r>
              <w:rPr>
                <w:rFonts w:hint="eastAsia" w:ascii="宋体" w:hAnsi="宋体"/>
                <w:sz w:val="28"/>
                <w:szCs w:val="28"/>
              </w:rPr>
              <w:t>组织开展普查及专项统计调查工作，了解基层情况和动态提供统计信息和咨询建议，确保普查和专项统计调查工作顺利完成</w:t>
            </w:r>
          </w:p>
        </w:tc>
        <w:tc>
          <w:tcPr>
            <w:tcW w:w="1530" w:type="dxa"/>
            <w:shd w:val="clear" w:color="auto" w:fill="auto"/>
            <w:vAlign w:val="center"/>
          </w:tcPr>
          <w:p w14:paraId="75E3B3B8">
            <w:pPr>
              <w:spacing w:line="300" w:lineRule="exact"/>
              <w:jc w:val="left"/>
              <w:rPr>
                <w:rFonts w:ascii="宋体" w:hAnsi="宋体"/>
                <w:sz w:val="28"/>
                <w:szCs w:val="28"/>
              </w:rPr>
            </w:pPr>
            <w:r>
              <w:rPr>
                <w:rFonts w:hint="eastAsia" w:ascii="宋体" w:hAnsi="宋体"/>
                <w:sz w:val="28"/>
                <w:szCs w:val="28"/>
              </w:rPr>
              <w:t>普查和专项统计调查</w:t>
            </w:r>
          </w:p>
        </w:tc>
        <w:tc>
          <w:tcPr>
            <w:tcW w:w="570" w:type="dxa"/>
            <w:shd w:val="clear" w:color="auto" w:fill="auto"/>
            <w:vAlign w:val="center"/>
          </w:tcPr>
          <w:p w14:paraId="36CB9EC9">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98%</w:t>
            </w:r>
          </w:p>
        </w:tc>
        <w:tc>
          <w:tcPr>
            <w:tcW w:w="617" w:type="dxa"/>
            <w:shd w:val="clear" w:color="auto" w:fill="auto"/>
            <w:vAlign w:val="center"/>
          </w:tcPr>
          <w:p w14:paraId="695A50AA">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95%</w:t>
            </w:r>
          </w:p>
        </w:tc>
        <w:tc>
          <w:tcPr>
            <w:tcW w:w="737" w:type="dxa"/>
            <w:shd w:val="clear" w:color="auto" w:fill="auto"/>
            <w:vAlign w:val="center"/>
          </w:tcPr>
          <w:p w14:paraId="6EDEBC0E">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92%</w:t>
            </w:r>
          </w:p>
        </w:tc>
        <w:tc>
          <w:tcPr>
            <w:tcW w:w="903" w:type="dxa"/>
            <w:shd w:val="clear" w:color="auto" w:fill="auto"/>
            <w:vAlign w:val="center"/>
          </w:tcPr>
          <w:p w14:paraId="7CB88C4E">
            <w:pPr>
              <w:spacing w:line="300" w:lineRule="exact"/>
              <w:jc w:val="center"/>
              <w:rPr>
                <w:rFonts w:ascii="宋体" w:hAnsi="宋体"/>
                <w:sz w:val="28"/>
                <w:szCs w:val="28"/>
              </w:rPr>
            </w:pPr>
            <w:r>
              <w:rPr>
                <w:rFonts w:ascii="宋体" w:hAnsi="宋体"/>
                <w:sz w:val="28"/>
                <w:szCs w:val="28"/>
              </w:rPr>
              <w:t>&lt;92%</w:t>
            </w:r>
          </w:p>
        </w:tc>
      </w:tr>
      <w:tr w14:paraId="603FF0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6E6D1A7D">
            <w:pPr>
              <w:spacing w:line="300" w:lineRule="exact"/>
              <w:jc w:val="left"/>
              <w:rPr>
                <w:rFonts w:ascii="宋体" w:hAnsi="宋体"/>
                <w:b/>
                <w:sz w:val="28"/>
                <w:szCs w:val="28"/>
              </w:rPr>
            </w:pPr>
            <w:r>
              <w:rPr>
                <w:rFonts w:hint="eastAsia" w:ascii="宋体" w:hAnsi="宋体"/>
                <w:b/>
                <w:sz w:val="28"/>
                <w:szCs w:val="28"/>
              </w:rPr>
              <w:t>民政事务管理</w:t>
            </w:r>
          </w:p>
        </w:tc>
        <w:tc>
          <w:tcPr>
            <w:tcW w:w="1276" w:type="dxa"/>
            <w:shd w:val="clear" w:color="auto" w:fill="auto"/>
            <w:vAlign w:val="center"/>
          </w:tcPr>
          <w:p w14:paraId="3F0403B7">
            <w:pPr>
              <w:spacing w:line="300" w:lineRule="exact"/>
              <w:jc w:val="left"/>
              <w:rPr>
                <w:rFonts w:ascii="宋体" w:hAnsi="宋体"/>
                <w:sz w:val="28"/>
                <w:szCs w:val="28"/>
              </w:rPr>
            </w:pPr>
          </w:p>
        </w:tc>
        <w:tc>
          <w:tcPr>
            <w:tcW w:w="3216" w:type="dxa"/>
            <w:shd w:val="clear" w:color="auto" w:fill="auto"/>
            <w:vAlign w:val="center"/>
          </w:tcPr>
          <w:p w14:paraId="423C87F5">
            <w:pPr>
              <w:spacing w:line="300" w:lineRule="exact"/>
              <w:jc w:val="left"/>
              <w:rPr>
                <w:rFonts w:ascii="宋体" w:hAnsi="宋体"/>
                <w:sz w:val="28"/>
                <w:szCs w:val="28"/>
              </w:rPr>
            </w:pPr>
            <w:r>
              <w:rPr>
                <w:rFonts w:hint="eastAsia" w:ascii="宋体" w:hAnsi="宋体"/>
                <w:sz w:val="28"/>
                <w:szCs w:val="28"/>
              </w:rPr>
              <w:t>负责居民最低生活保障、五保供养、医疗救助。组织协调防灾减灾救灾工作。组织核查并统一发布灾情。组织指导救灾捐赠工作，负责救灾捐赠款物的接收管理和分配使用。</w:t>
            </w:r>
          </w:p>
        </w:tc>
        <w:tc>
          <w:tcPr>
            <w:tcW w:w="2910" w:type="dxa"/>
            <w:shd w:val="clear" w:color="auto" w:fill="auto"/>
            <w:vAlign w:val="center"/>
          </w:tcPr>
          <w:p w14:paraId="1E25E5F1">
            <w:pPr>
              <w:spacing w:line="300" w:lineRule="exact"/>
              <w:jc w:val="left"/>
              <w:rPr>
                <w:rFonts w:ascii="宋体" w:hAnsi="宋体"/>
                <w:sz w:val="28"/>
                <w:szCs w:val="28"/>
              </w:rPr>
            </w:pPr>
            <w:r>
              <w:rPr>
                <w:rFonts w:hint="eastAsia" w:ascii="宋体" w:hAnsi="宋体"/>
                <w:sz w:val="28"/>
                <w:szCs w:val="28"/>
              </w:rPr>
              <w:t>完善社会救助制度，实施分类救助，应保尽保</w:t>
            </w:r>
            <w:r>
              <w:rPr>
                <w:rFonts w:ascii="宋体" w:hAnsi="宋体"/>
                <w:sz w:val="28"/>
                <w:szCs w:val="28"/>
              </w:rPr>
              <w:t>,</w:t>
            </w:r>
            <w:r>
              <w:rPr>
                <w:rFonts w:hint="eastAsia" w:ascii="宋体" w:hAnsi="宋体"/>
                <w:sz w:val="28"/>
                <w:szCs w:val="28"/>
              </w:rPr>
              <w:t>动态管理。完善全县自然灾害救助应急体系。实施分类救助，保障受灾群众基本生活。</w:t>
            </w:r>
          </w:p>
        </w:tc>
        <w:tc>
          <w:tcPr>
            <w:tcW w:w="1530" w:type="dxa"/>
            <w:shd w:val="clear" w:color="auto" w:fill="auto"/>
            <w:vAlign w:val="center"/>
          </w:tcPr>
          <w:p w14:paraId="6F680B5C">
            <w:pPr>
              <w:spacing w:line="300" w:lineRule="exact"/>
              <w:jc w:val="left"/>
              <w:rPr>
                <w:rFonts w:ascii="宋体" w:hAnsi="宋体"/>
                <w:sz w:val="28"/>
                <w:szCs w:val="28"/>
              </w:rPr>
            </w:pPr>
          </w:p>
        </w:tc>
        <w:tc>
          <w:tcPr>
            <w:tcW w:w="570" w:type="dxa"/>
            <w:shd w:val="clear" w:color="auto" w:fill="auto"/>
            <w:vAlign w:val="center"/>
          </w:tcPr>
          <w:p w14:paraId="2CAAAB26">
            <w:pPr>
              <w:spacing w:line="300" w:lineRule="exact"/>
              <w:jc w:val="center"/>
              <w:rPr>
                <w:rFonts w:ascii="宋体" w:hAnsi="宋体"/>
                <w:sz w:val="28"/>
                <w:szCs w:val="28"/>
              </w:rPr>
            </w:pPr>
          </w:p>
        </w:tc>
        <w:tc>
          <w:tcPr>
            <w:tcW w:w="617" w:type="dxa"/>
            <w:shd w:val="clear" w:color="auto" w:fill="auto"/>
            <w:vAlign w:val="center"/>
          </w:tcPr>
          <w:p w14:paraId="0CF26C3A">
            <w:pPr>
              <w:spacing w:line="300" w:lineRule="exact"/>
              <w:jc w:val="center"/>
              <w:rPr>
                <w:rFonts w:ascii="宋体" w:hAnsi="宋体"/>
                <w:sz w:val="28"/>
                <w:szCs w:val="28"/>
              </w:rPr>
            </w:pPr>
          </w:p>
        </w:tc>
        <w:tc>
          <w:tcPr>
            <w:tcW w:w="737" w:type="dxa"/>
            <w:shd w:val="clear" w:color="auto" w:fill="auto"/>
            <w:vAlign w:val="center"/>
          </w:tcPr>
          <w:p w14:paraId="4A720550">
            <w:pPr>
              <w:spacing w:line="300" w:lineRule="exact"/>
              <w:jc w:val="center"/>
              <w:rPr>
                <w:rFonts w:ascii="宋体" w:hAnsi="宋体"/>
                <w:sz w:val="28"/>
                <w:szCs w:val="28"/>
              </w:rPr>
            </w:pPr>
          </w:p>
        </w:tc>
        <w:tc>
          <w:tcPr>
            <w:tcW w:w="903" w:type="dxa"/>
            <w:shd w:val="clear" w:color="auto" w:fill="auto"/>
            <w:vAlign w:val="center"/>
          </w:tcPr>
          <w:p w14:paraId="0942DCC7">
            <w:pPr>
              <w:spacing w:line="300" w:lineRule="exact"/>
              <w:jc w:val="center"/>
              <w:rPr>
                <w:rFonts w:ascii="宋体" w:hAnsi="宋体"/>
                <w:sz w:val="28"/>
                <w:szCs w:val="28"/>
              </w:rPr>
            </w:pPr>
          </w:p>
        </w:tc>
      </w:tr>
      <w:tr w14:paraId="095ED3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4F7DE5C3">
            <w:pPr>
              <w:spacing w:line="300" w:lineRule="exact"/>
              <w:jc w:val="left"/>
              <w:rPr>
                <w:rFonts w:ascii="宋体" w:hAnsi="宋体"/>
                <w:b/>
                <w:sz w:val="28"/>
                <w:szCs w:val="28"/>
              </w:rPr>
            </w:pPr>
            <w:r>
              <w:rPr>
                <w:rFonts w:hint="eastAsia" w:ascii="宋体" w:hAnsi="宋体"/>
                <w:b/>
                <w:sz w:val="28"/>
                <w:szCs w:val="28"/>
              </w:rPr>
              <w:t>　　民政管理</w:t>
            </w:r>
          </w:p>
        </w:tc>
        <w:tc>
          <w:tcPr>
            <w:tcW w:w="1276" w:type="dxa"/>
            <w:shd w:val="clear" w:color="auto" w:fill="auto"/>
            <w:vAlign w:val="center"/>
          </w:tcPr>
          <w:p w14:paraId="08A36438">
            <w:pPr>
              <w:spacing w:line="300" w:lineRule="exact"/>
              <w:jc w:val="left"/>
              <w:rPr>
                <w:rFonts w:ascii="宋体" w:hAnsi="宋体"/>
                <w:sz w:val="28"/>
                <w:szCs w:val="28"/>
              </w:rPr>
            </w:pPr>
          </w:p>
        </w:tc>
        <w:tc>
          <w:tcPr>
            <w:tcW w:w="3216" w:type="dxa"/>
            <w:shd w:val="clear" w:color="auto" w:fill="auto"/>
            <w:vAlign w:val="center"/>
          </w:tcPr>
          <w:p w14:paraId="7536AFBD">
            <w:pPr>
              <w:spacing w:line="300" w:lineRule="exact"/>
              <w:jc w:val="left"/>
              <w:rPr>
                <w:rFonts w:ascii="宋体" w:hAnsi="宋体"/>
                <w:sz w:val="28"/>
                <w:szCs w:val="28"/>
              </w:rPr>
            </w:pPr>
            <w:r>
              <w:rPr>
                <w:rFonts w:hint="eastAsia" w:ascii="宋体" w:hAnsi="宋体"/>
                <w:sz w:val="28"/>
                <w:szCs w:val="28"/>
              </w:rPr>
              <w:t>做好对五保户、低保户、贫困户、大病医疗救助、防灾、减灾、救灾工作</w:t>
            </w:r>
          </w:p>
        </w:tc>
        <w:tc>
          <w:tcPr>
            <w:tcW w:w="2910" w:type="dxa"/>
            <w:shd w:val="clear" w:color="auto" w:fill="auto"/>
            <w:vAlign w:val="center"/>
          </w:tcPr>
          <w:p w14:paraId="34DF3A3E">
            <w:pPr>
              <w:spacing w:line="300" w:lineRule="exact"/>
              <w:jc w:val="left"/>
              <w:rPr>
                <w:rFonts w:ascii="宋体" w:hAnsi="宋体"/>
                <w:sz w:val="28"/>
                <w:szCs w:val="28"/>
              </w:rPr>
            </w:pPr>
            <w:r>
              <w:rPr>
                <w:rFonts w:hint="eastAsia" w:ascii="宋体" w:hAnsi="宋体"/>
                <w:sz w:val="28"/>
                <w:szCs w:val="28"/>
              </w:rPr>
              <w:t>做好对五保户、低保户、贫困户、大病医疗救助、防灾、减灾、救灾款项的及时发放</w:t>
            </w:r>
          </w:p>
        </w:tc>
        <w:tc>
          <w:tcPr>
            <w:tcW w:w="1530" w:type="dxa"/>
            <w:shd w:val="clear" w:color="auto" w:fill="auto"/>
            <w:vAlign w:val="center"/>
          </w:tcPr>
          <w:p w14:paraId="7B69C278">
            <w:pPr>
              <w:spacing w:line="300" w:lineRule="exact"/>
              <w:jc w:val="left"/>
              <w:rPr>
                <w:rFonts w:ascii="宋体" w:hAnsi="宋体"/>
                <w:sz w:val="28"/>
                <w:szCs w:val="28"/>
              </w:rPr>
            </w:pPr>
            <w:r>
              <w:rPr>
                <w:rFonts w:hint="eastAsia" w:ascii="宋体" w:hAnsi="宋体"/>
                <w:sz w:val="28"/>
                <w:szCs w:val="28"/>
              </w:rPr>
              <w:t>资金发放率</w:t>
            </w:r>
          </w:p>
        </w:tc>
        <w:tc>
          <w:tcPr>
            <w:tcW w:w="570" w:type="dxa"/>
            <w:shd w:val="clear" w:color="auto" w:fill="auto"/>
            <w:vAlign w:val="center"/>
          </w:tcPr>
          <w:p w14:paraId="7A1FA63B">
            <w:pPr>
              <w:spacing w:line="300" w:lineRule="exact"/>
              <w:jc w:val="center"/>
              <w:rPr>
                <w:rFonts w:ascii="宋体" w:hAnsi="宋体"/>
                <w:sz w:val="28"/>
                <w:szCs w:val="28"/>
              </w:rPr>
            </w:pPr>
            <w:r>
              <w:rPr>
                <w:rFonts w:ascii="宋体" w:hAnsi="宋体"/>
                <w:sz w:val="28"/>
                <w:szCs w:val="28"/>
              </w:rPr>
              <w:t>100%</w:t>
            </w:r>
          </w:p>
        </w:tc>
        <w:tc>
          <w:tcPr>
            <w:tcW w:w="617" w:type="dxa"/>
            <w:shd w:val="clear" w:color="auto" w:fill="auto"/>
            <w:vAlign w:val="center"/>
          </w:tcPr>
          <w:p w14:paraId="68F88401">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99%</w:t>
            </w:r>
          </w:p>
        </w:tc>
        <w:tc>
          <w:tcPr>
            <w:tcW w:w="737" w:type="dxa"/>
            <w:shd w:val="clear" w:color="auto" w:fill="auto"/>
            <w:vAlign w:val="center"/>
          </w:tcPr>
          <w:p w14:paraId="0E746868">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95%</w:t>
            </w:r>
          </w:p>
        </w:tc>
        <w:tc>
          <w:tcPr>
            <w:tcW w:w="903" w:type="dxa"/>
            <w:shd w:val="clear" w:color="auto" w:fill="auto"/>
            <w:vAlign w:val="center"/>
          </w:tcPr>
          <w:p w14:paraId="5510A6E8">
            <w:pPr>
              <w:spacing w:line="300" w:lineRule="exact"/>
              <w:jc w:val="center"/>
              <w:rPr>
                <w:rFonts w:ascii="宋体" w:hAnsi="宋体"/>
                <w:sz w:val="28"/>
                <w:szCs w:val="28"/>
              </w:rPr>
            </w:pPr>
            <w:r>
              <w:rPr>
                <w:rFonts w:ascii="宋体" w:hAnsi="宋体"/>
                <w:sz w:val="28"/>
                <w:szCs w:val="28"/>
              </w:rPr>
              <w:t>&lt;95%</w:t>
            </w:r>
          </w:p>
        </w:tc>
      </w:tr>
      <w:tr w14:paraId="49868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6CD458A0">
            <w:pPr>
              <w:spacing w:line="300" w:lineRule="exact"/>
              <w:jc w:val="left"/>
              <w:rPr>
                <w:rFonts w:ascii="宋体" w:hAnsi="宋体"/>
                <w:b/>
                <w:sz w:val="28"/>
                <w:szCs w:val="28"/>
              </w:rPr>
            </w:pPr>
            <w:r>
              <w:rPr>
                <w:rFonts w:hint="eastAsia" w:ascii="宋体" w:hAnsi="宋体"/>
                <w:b/>
                <w:sz w:val="28"/>
                <w:szCs w:val="28"/>
              </w:rPr>
              <w:t>政府事务管理</w:t>
            </w:r>
          </w:p>
        </w:tc>
        <w:tc>
          <w:tcPr>
            <w:tcW w:w="1276" w:type="dxa"/>
            <w:shd w:val="clear" w:color="auto" w:fill="auto"/>
            <w:vAlign w:val="center"/>
          </w:tcPr>
          <w:p w14:paraId="766E8DE2">
            <w:pPr>
              <w:spacing w:line="300" w:lineRule="exact"/>
              <w:jc w:val="left"/>
              <w:rPr>
                <w:rFonts w:ascii="宋体" w:hAnsi="宋体"/>
                <w:sz w:val="28"/>
                <w:szCs w:val="28"/>
              </w:rPr>
            </w:pPr>
          </w:p>
        </w:tc>
        <w:tc>
          <w:tcPr>
            <w:tcW w:w="3216" w:type="dxa"/>
            <w:shd w:val="clear" w:color="auto" w:fill="auto"/>
            <w:vAlign w:val="center"/>
          </w:tcPr>
          <w:p w14:paraId="6D87AC85">
            <w:pPr>
              <w:spacing w:line="300" w:lineRule="exact"/>
              <w:jc w:val="left"/>
              <w:rPr>
                <w:rFonts w:ascii="宋体" w:hAnsi="宋体"/>
                <w:sz w:val="28"/>
                <w:szCs w:val="28"/>
              </w:rPr>
            </w:pPr>
            <w:r>
              <w:rPr>
                <w:rFonts w:hint="eastAsia" w:ascii="宋体" w:hAnsi="宋体"/>
                <w:sz w:val="28"/>
                <w:szCs w:val="28"/>
              </w:rPr>
              <w:t>执行党的各项方针政策，制定本地经济和社会发展规划，并逐一落实</w:t>
            </w:r>
          </w:p>
        </w:tc>
        <w:tc>
          <w:tcPr>
            <w:tcW w:w="2910" w:type="dxa"/>
            <w:shd w:val="clear" w:color="auto" w:fill="auto"/>
            <w:vAlign w:val="center"/>
          </w:tcPr>
          <w:p w14:paraId="504061C5">
            <w:pPr>
              <w:spacing w:line="300" w:lineRule="exact"/>
              <w:jc w:val="left"/>
              <w:rPr>
                <w:rFonts w:ascii="宋体" w:hAnsi="宋体"/>
                <w:sz w:val="28"/>
                <w:szCs w:val="28"/>
              </w:rPr>
            </w:pPr>
            <w:r>
              <w:rPr>
                <w:rFonts w:hint="eastAsia" w:ascii="宋体" w:hAnsi="宋体"/>
                <w:sz w:val="28"/>
                <w:szCs w:val="28"/>
              </w:rPr>
              <w:t>加强农村基础设施建设，改善民生</w:t>
            </w:r>
          </w:p>
        </w:tc>
        <w:tc>
          <w:tcPr>
            <w:tcW w:w="1530" w:type="dxa"/>
            <w:shd w:val="clear" w:color="auto" w:fill="auto"/>
            <w:vAlign w:val="center"/>
          </w:tcPr>
          <w:p w14:paraId="5F782C7C">
            <w:pPr>
              <w:spacing w:line="300" w:lineRule="exact"/>
              <w:jc w:val="left"/>
              <w:rPr>
                <w:rFonts w:ascii="宋体" w:hAnsi="宋体"/>
                <w:sz w:val="28"/>
                <w:szCs w:val="28"/>
              </w:rPr>
            </w:pPr>
          </w:p>
        </w:tc>
        <w:tc>
          <w:tcPr>
            <w:tcW w:w="570" w:type="dxa"/>
            <w:shd w:val="clear" w:color="auto" w:fill="auto"/>
            <w:vAlign w:val="center"/>
          </w:tcPr>
          <w:p w14:paraId="38FA2D01">
            <w:pPr>
              <w:spacing w:line="300" w:lineRule="exact"/>
              <w:jc w:val="center"/>
              <w:rPr>
                <w:rFonts w:ascii="宋体" w:hAnsi="宋体"/>
                <w:sz w:val="28"/>
                <w:szCs w:val="28"/>
              </w:rPr>
            </w:pPr>
          </w:p>
        </w:tc>
        <w:tc>
          <w:tcPr>
            <w:tcW w:w="617" w:type="dxa"/>
            <w:shd w:val="clear" w:color="auto" w:fill="auto"/>
            <w:vAlign w:val="center"/>
          </w:tcPr>
          <w:p w14:paraId="7F527D63">
            <w:pPr>
              <w:spacing w:line="300" w:lineRule="exact"/>
              <w:jc w:val="center"/>
              <w:rPr>
                <w:rFonts w:ascii="宋体" w:hAnsi="宋体"/>
                <w:sz w:val="28"/>
                <w:szCs w:val="28"/>
              </w:rPr>
            </w:pPr>
          </w:p>
        </w:tc>
        <w:tc>
          <w:tcPr>
            <w:tcW w:w="737" w:type="dxa"/>
            <w:shd w:val="clear" w:color="auto" w:fill="auto"/>
            <w:vAlign w:val="center"/>
          </w:tcPr>
          <w:p w14:paraId="4A4B8884">
            <w:pPr>
              <w:spacing w:line="300" w:lineRule="exact"/>
              <w:jc w:val="center"/>
              <w:rPr>
                <w:rFonts w:ascii="宋体" w:hAnsi="宋体"/>
                <w:sz w:val="28"/>
                <w:szCs w:val="28"/>
              </w:rPr>
            </w:pPr>
          </w:p>
        </w:tc>
        <w:tc>
          <w:tcPr>
            <w:tcW w:w="903" w:type="dxa"/>
            <w:shd w:val="clear" w:color="auto" w:fill="auto"/>
            <w:vAlign w:val="center"/>
          </w:tcPr>
          <w:p w14:paraId="3A275F9E">
            <w:pPr>
              <w:spacing w:line="300" w:lineRule="exact"/>
              <w:jc w:val="center"/>
              <w:rPr>
                <w:rFonts w:ascii="宋体" w:hAnsi="宋体"/>
                <w:sz w:val="28"/>
                <w:szCs w:val="28"/>
              </w:rPr>
            </w:pPr>
          </w:p>
        </w:tc>
      </w:tr>
      <w:tr w14:paraId="639FB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4B0BE857">
            <w:pPr>
              <w:spacing w:line="300" w:lineRule="exact"/>
              <w:jc w:val="left"/>
              <w:rPr>
                <w:rFonts w:ascii="宋体" w:hAnsi="宋体"/>
                <w:b/>
                <w:sz w:val="28"/>
                <w:szCs w:val="28"/>
              </w:rPr>
            </w:pPr>
            <w:r>
              <w:rPr>
                <w:rFonts w:hint="eastAsia" w:ascii="宋体" w:hAnsi="宋体"/>
                <w:b/>
                <w:sz w:val="28"/>
                <w:szCs w:val="28"/>
              </w:rPr>
              <w:t>　　政府日常管理</w:t>
            </w:r>
          </w:p>
        </w:tc>
        <w:tc>
          <w:tcPr>
            <w:tcW w:w="1276" w:type="dxa"/>
            <w:shd w:val="clear" w:color="auto" w:fill="auto"/>
            <w:vAlign w:val="center"/>
          </w:tcPr>
          <w:p w14:paraId="7D41DE2B">
            <w:pPr>
              <w:spacing w:line="300" w:lineRule="exact"/>
              <w:jc w:val="left"/>
              <w:rPr>
                <w:rFonts w:ascii="宋体" w:hAnsi="宋体"/>
                <w:sz w:val="28"/>
                <w:szCs w:val="28"/>
              </w:rPr>
            </w:pPr>
          </w:p>
        </w:tc>
        <w:tc>
          <w:tcPr>
            <w:tcW w:w="3216" w:type="dxa"/>
            <w:shd w:val="clear" w:color="auto" w:fill="auto"/>
            <w:vAlign w:val="center"/>
          </w:tcPr>
          <w:p w14:paraId="193197B0">
            <w:pPr>
              <w:spacing w:line="300" w:lineRule="exact"/>
              <w:jc w:val="left"/>
              <w:rPr>
                <w:rFonts w:ascii="宋体" w:hAnsi="宋体"/>
                <w:sz w:val="28"/>
                <w:szCs w:val="28"/>
              </w:rPr>
            </w:pPr>
            <w:r>
              <w:rPr>
                <w:rFonts w:hint="eastAsia" w:ascii="宋体" w:hAnsi="宋体"/>
                <w:sz w:val="28"/>
                <w:szCs w:val="28"/>
              </w:rPr>
              <w:t>抓好项目落实，疏通融资渠道</w:t>
            </w:r>
          </w:p>
        </w:tc>
        <w:tc>
          <w:tcPr>
            <w:tcW w:w="2910" w:type="dxa"/>
            <w:shd w:val="clear" w:color="auto" w:fill="auto"/>
            <w:vAlign w:val="center"/>
          </w:tcPr>
          <w:p w14:paraId="403765BF">
            <w:pPr>
              <w:spacing w:line="300" w:lineRule="exact"/>
              <w:jc w:val="left"/>
              <w:rPr>
                <w:rFonts w:ascii="宋体" w:hAnsi="宋体"/>
                <w:sz w:val="28"/>
                <w:szCs w:val="28"/>
              </w:rPr>
            </w:pPr>
            <w:r>
              <w:rPr>
                <w:rFonts w:hint="eastAsia" w:ascii="宋体" w:hAnsi="宋体"/>
                <w:sz w:val="28"/>
                <w:szCs w:val="28"/>
              </w:rPr>
              <w:t>加强农村电力、交通、水利、经济活动场所建设，改善民生，助推经济发展</w:t>
            </w:r>
          </w:p>
        </w:tc>
        <w:tc>
          <w:tcPr>
            <w:tcW w:w="1530" w:type="dxa"/>
            <w:shd w:val="clear" w:color="auto" w:fill="auto"/>
            <w:vAlign w:val="center"/>
          </w:tcPr>
          <w:p w14:paraId="24AF5590">
            <w:pPr>
              <w:spacing w:line="300" w:lineRule="exact"/>
              <w:jc w:val="left"/>
              <w:rPr>
                <w:rFonts w:ascii="宋体" w:hAnsi="宋体"/>
                <w:sz w:val="28"/>
                <w:szCs w:val="28"/>
              </w:rPr>
            </w:pPr>
            <w:r>
              <w:rPr>
                <w:rFonts w:hint="eastAsia" w:ascii="宋体" w:hAnsi="宋体"/>
                <w:sz w:val="28"/>
                <w:szCs w:val="28"/>
              </w:rPr>
              <w:t>基础设施发展率</w:t>
            </w:r>
          </w:p>
        </w:tc>
        <w:tc>
          <w:tcPr>
            <w:tcW w:w="570" w:type="dxa"/>
            <w:shd w:val="clear" w:color="auto" w:fill="auto"/>
            <w:vAlign w:val="center"/>
          </w:tcPr>
          <w:p w14:paraId="6963A325">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90%</w:t>
            </w:r>
          </w:p>
        </w:tc>
        <w:tc>
          <w:tcPr>
            <w:tcW w:w="617" w:type="dxa"/>
            <w:shd w:val="clear" w:color="auto" w:fill="auto"/>
            <w:vAlign w:val="center"/>
          </w:tcPr>
          <w:p w14:paraId="41A30773">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80%</w:t>
            </w:r>
          </w:p>
        </w:tc>
        <w:tc>
          <w:tcPr>
            <w:tcW w:w="737" w:type="dxa"/>
            <w:shd w:val="clear" w:color="auto" w:fill="auto"/>
            <w:vAlign w:val="center"/>
          </w:tcPr>
          <w:p w14:paraId="2FA13D91">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70%</w:t>
            </w:r>
          </w:p>
        </w:tc>
        <w:tc>
          <w:tcPr>
            <w:tcW w:w="903" w:type="dxa"/>
            <w:shd w:val="clear" w:color="auto" w:fill="auto"/>
            <w:vAlign w:val="center"/>
          </w:tcPr>
          <w:p w14:paraId="533C5A7C">
            <w:pPr>
              <w:spacing w:line="300" w:lineRule="exact"/>
              <w:jc w:val="center"/>
              <w:rPr>
                <w:rFonts w:ascii="宋体" w:hAnsi="宋体"/>
                <w:sz w:val="28"/>
                <w:szCs w:val="28"/>
              </w:rPr>
            </w:pPr>
            <w:r>
              <w:rPr>
                <w:rFonts w:ascii="宋体" w:hAnsi="宋体"/>
                <w:sz w:val="28"/>
                <w:szCs w:val="28"/>
              </w:rPr>
              <w:t>&lt;70%</w:t>
            </w:r>
          </w:p>
        </w:tc>
      </w:tr>
      <w:tr w14:paraId="76D94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54B1966E">
            <w:pPr>
              <w:spacing w:line="300" w:lineRule="exact"/>
              <w:jc w:val="left"/>
              <w:rPr>
                <w:rFonts w:ascii="宋体" w:hAnsi="宋体"/>
                <w:b/>
                <w:sz w:val="28"/>
                <w:szCs w:val="28"/>
              </w:rPr>
            </w:pPr>
            <w:r>
              <w:rPr>
                <w:rFonts w:hint="eastAsia" w:ascii="宋体" w:hAnsi="宋体"/>
                <w:b/>
                <w:sz w:val="28"/>
                <w:szCs w:val="28"/>
              </w:rPr>
              <w:t>　　政府工作活动</w:t>
            </w:r>
          </w:p>
        </w:tc>
        <w:tc>
          <w:tcPr>
            <w:tcW w:w="1276" w:type="dxa"/>
            <w:shd w:val="clear" w:color="auto" w:fill="auto"/>
            <w:vAlign w:val="center"/>
          </w:tcPr>
          <w:p w14:paraId="43570212">
            <w:pPr>
              <w:spacing w:line="300" w:lineRule="exact"/>
              <w:jc w:val="left"/>
              <w:rPr>
                <w:rFonts w:ascii="宋体" w:hAnsi="宋体"/>
                <w:sz w:val="28"/>
                <w:szCs w:val="28"/>
              </w:rPr>
            </w:pPr>
          </w:p>
        </w:tc>
        <w:tc>
          <w:tcPr>
            <w:tcW w:w="3216" w:type="dxa"/>
            <w:shd w:val="clear" w:color="auto" w:fill="auto"/>
            <w:vAlign w:val="center"/>
          </w:tcPr>
          <w:p w14:paraId="4FB3AD29">
            <w:pPr>
              <w:spacing w:line="300" w:lineRule="exact"/>
              <w:jc w:val="left"/>
              <w:rPr>
                <w:rFonts w:ascii="宋体" w:hAnsi="宋体"/>
                <w:sz w:val="28"/>
                <w:szCs w:val="28"/>
              </w:rPr>
            </w:pPr>
            <w:r>
              <w:rPr>
                <w:rFonts w:hint="eastAsia" w:ascii="宋体" w:hAnsi="宋体"/>
                <w:sz w:val="28"/>
                <w:szCs w:val="28"/>
              </w:rPr>
              <w:t>做好信息的上报下达，完成上级交派的各项任务</w:t>
            </w:r>
          </w:p>
        </w:tc>
        <w:tc>
          <w:tcPr>
            <w:tcW w:w="2910" w:type="dxa"/>
            <w:shd w:val="clear" w:color="auto" w:fill="auto"/>
            <w:vAlign w:val="center"/>
          </w:tcPr>
          <w:p w14:paraId="7ED9F1AE">
            <w:pPr>
              <w:spacing w:line="300" w:lineRule="exact"/>
              <w:jc w:val="left"/>
              <w:rPr>
                <w:rFonts w:ascii="宋体" w:hAnsi="宋体"/>
                <w:sz w:val="28"/>
                <w:szCs w:val="28"/>
              </w:rPr>
            </w:pPr>
            <w:r>
              <w:rPr>
                <w:rFonts w:hint="eastAsia" w:ascii="宋体" w:hAnsi="宋体"/>
                <w:sz w:val="28"/>
                <w:szCs w:val="28"/>
              </w:rPr>
              <w:t>信息采集及上报及时，按时限完成各项工作</w:t>
            </w:r>
          </w:p>
        </w:tc>
        <w:tc>
          <w:tcPr>
            <w:tcW w:w="1530" w:type="dxa"/>
            <w:shd w:val="clear" w:color="auto" w:fill="auto"/>
            <w:vAlign w:val="center"/>
          </w:tcPr>
          <w:p w14:paraId="1862ECC9">
            <w:pPr>
              <w:spacing w:line="300" w:lineRule="exact"/>
              <w:jc w:val="left"/>
              <w:rPr>
                <w:rFonts w:ascii="宋体" w:hAnsi="宋体"/>
                <w:sz w:val="28"/>
                <w:szCs w:val="28"/>
              </w:rPr>
            </w:pPr>
            <w:r>
              <w:rPr>
                <w:rFonts w:hint="eastAsia" w:ascii="宋体" w:hAnsi="宋体"/>
                <w:sz w:val="28"/>
                <w:szCs w:val="28"/>
              </w:rPr>
              <w:t>工作完成率</w:t>
            </w:r>
          </w:p>
        </w:tc>
        <w:tc>
          <w:tcPr>
            <w:tcW w:w="570" w:type="dxa"/>
            <w:shd w:val="clear" w:color="auto" w:fill="auto"/>
            <w:vAlign w:val="center"/>
          </w:tcPr>
          <w:p w14:paraId="33AFD2CB">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90%</w:t>
            </w:r>
          </w:p>
        </w:tc>
        <w:tc>
          <w:tcPr>
            <w:tcW w:w="617" w:type="dxa"/>
            <w:shd w:val="clear" w:color="auto" w:fill="auto"/>
            <w:vAlign w:val="center"/>
          </w:tcPr>
          <w:p w14:paraId="5C4A2E9C">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80%</w:t>
            </w:r>
          </w:p>
        </w:tc>
        <w:tc>
          <w:tcPr>
            <w:tcW w:w="737" w:type="dxa"/>
            <w:shd w:val="clear" w:color="auto" w:fill="auto"/>
            <w:vAlign w:val="center"/>
          </w:tcPr>
          <w:p w14:paraId="6356E47E">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70%</w:t>
            </w:r>
          </w:p>
        </w:tc>
        <w:tc>
          <w:tcPr>
            <w:tcW w:w="903" w:type="dxa"/>
            <w:shd w:val="clear" w:color="auto" w:fill="auto"/>
            <w:vAlign w:val="center"/>
          </w:tcPr>
          <w:p w14:paraId="0CCA5598">
            <w:pPr>
              <w:spacing w:line="300" w:lineRule="exact"/>
              <w:jc w:val="center"/>
              <w:rPr>
                <w:rFonts w:ascii="宋体" w:hAnsi="宋体"/>
                <w:sz w:val="28"/>
                <w:szCs w:val="28"/>
              </w:rPr>
            </w:pPr>
            <w:r>
              <w:rPr>
                <w:rFonts w:ascii="宋体" w:hAnsi="宋体"/>
                <w:sz w:val="28"/>
                <w:szCs w:val="28"/>
              </w:rPr>
              <w:t>&lt;70%</w:t>
            </w:r>
          </w:p>
        </w:tc>
      </w:tr>
      <w:tr w14:paraId="40229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15F6E1C0">
            <w:pPr>
              <w:spacing w:line="300" w:lineRule="exact"/>
              <w:jc w:val="left"/>
              <w:rPr>
                <w:rFonts w:ascii="宋体" w:hAnsi="宋体"/>
                <w:b/>
                <w:sz w:val="28"/>
                <w:szCs w:val="28"/>
              </w:rPr>
            </w:pPr>
            <w:r>
              <w:rPr>
                <w:rFonts w:hint="eastAsia" w:ascii="宋体" w:hAnsi="宋体"/>
                <w:b/>
                <w:sz w:val="28"/>
                <w:szCs w:val="28"/>
              </w:rPr>
              <w:t>信访稳定工作</w:t>
            </w:r>
          </w:p>
        </w:tc>
        <w:tc>
          <w:tcPr>
            <w:tcW w:w="1276" w:type="dxa"/>
            <w:shd w:val="clear" w:color="auto" w:fill="auto"/>
            <w:vAlign w:val="center"/>
          </w:tcPr>
          <w:p w14:paraId="706F1606">
            <w:pPr>
              <w:spacing w:line="300" w:lineRule="exact"/>
              <w:jc w:val="left"/>
              <w:rPr>
                <w:rFonts w:ascii="宋体" w:hAnsi="宋体"/>
                <w:sz w:val="28"/>
                <w:szCs w:val="28"/>
              </w:rPr>
            </w:pPr>
          </w:p>
        </w:tc>
        <w:tc>
          <w:tcPr>
            <w:tcW w:w="3216" w:type="dxa"/>
            <w:shd w:val="clear" w:color="auto" w:fill="auto"/>
            <w:vAlign w:val="center"/>
          </w:tcPr>
          <w:p w14:paraId="07A8D459">
            <w:pPr>
              <w:spacing w:line="300" w:lineRule="exact"/>
              <w:jc w:val="left"/>
              <w:rPr>
                <w:rFonts w:ascii="宋体" w:hAnsi="宋体"/>
                <w:sz w:val="28"/>
                <w:szCs w:val="28"/>
              </w:rPr>
            </w:pPr>
            <w:r>
              <w:rPr>
                <w:rFonts w:hint="eastAsia" w:ascii="宋体" w:hAnsi="宋体"/>
                <w:sz w:val="28"/>
                <w:szCs w:val="28"/>
              </w:rPr>
              <w:t>负责正常信访、非访、突发性及群体性事件的办理；提供相关服务保障；协助上级信访局处理越级上访；信访事项督查。</w:t>
            </w:r>
          </w:p>
        </w:tc>
        <w:tc>
          <w:tcPr>
            <w:tcW w:w="2910" w:type="dxa"/>
            <w:shd w:val="clear" w:color="auto" w:fill="auto"/>
            <w:vAlign w:val="center"/>
          </w:tcPr>
          <w:p w14:paraId="4B14E777">
            <w:pPr>
              <w:spacing w:line="300" w:lineRule="exact"/>
              <w:jc w:val="left"/>
              <w:rPr>
                <w:rFonts w:ascii="宋体" w:hAnsi="宋体"/>
                <w:sz w:val="28"/>
                <w:szCs w:val="28"/>
              </w:rPr>
            </w:pPr>
            <w:r>
              <w:rPr>
                <w:rFonts w:hint="eastAsia" w:ascii="宋体" w:hAnsi="宋体"/>
                <w:sz w:val="28"/>
                <w:szCs w:val="28"/>
              </w:rPr>
              <w:t>畅通信访渠道，减少信访案件，维护社会和谐稳定。</w:t>
            </w:r>
          </w:p>
        </w:tc>
        <w:tc>
          <w:tcPr>
            <w:tcW w:w="1530" w:type="dxa"/>
            <w:shd w:val="clear" w:color="auto" w:fill="auto"/>
            <w:vAlign w:val="center"/>
          </w:tcPr>
          <w:p w14:paraId="4144A28B">
            <w:pPr>
              <w:spacing w:line="300" w:lineRule="exact"/>
              <w:jc w:val="left"/>
              <w:rPr>
                <w:rFonts w:ascii="宋体" w:hAnsi="宋体"/>
                <w:sz w:val="28"/>
                <w:szCs w:val="28"/>
              </w:rPr>
            </w:pPr>
          </w:p>
        </w:tc>
        <w:tc>
          <w:tcPr>
            <w:tcW w:w="570" w:type="dxa"/>
            <w:shd w:val="clear" w:color="auto" w:fill="auto"/>
            <w:vAlign w:val="center"/>
          </w:tcPr>
          <w:p w14:paraId="50792536">
            <w:pPr>
              <w:spacing w:line="300" w:lineRule="exact"/>
              <w:jc w:val="center"/>
              <w:rPr>
                <w:rFonts w:ascii="宋体" w:hAnsi="宋体"/>
                <w:sz w:val="28"/>
                <w:szCs w:val="28"/>
              </w:rPr>
            </w:pPr>
          </w:p>
        </w:tc>
        <w:tc>
          <w:tcPr>
            <w:tcW w:w="617" w:type="dxa"/>
            <w:shd w:val="clear" w:color="auto" w:fill="auto"/>
            <w:vAlign w:val="center"/>
          </w:tcPr>
          <w:p w14:paraId="6F3CFDCA">
            <w:pPr>
              <w:spacing w:line="300" w:lineRule="exact"/>
              <w:jc w:val="center"/>
              <w:rPr>
                <w:rFonts w:ascii="宋体" w:hAnsi="宋体"/>
                <w:sz w:val="28"/>
                <w:szCs w:val="28"/>
              </w:rPr>
            </w:pPr>
          </w:p>
        </w:tc>
        <w:tc>
          <w:tcPr>
            <w:tcW w:w="737" w:type="dxa"/>
            <w:shd w:val="clear" w:color="auto" w:fill="auto"/>
            <w:vAlign w:val="center"/>
          </w:tcPr>
          <w:p w14:paraId="5FA8AA0E">
            <w:pPr>
              <w:spacing w:line="300" w:lineRule="exact"/>
              <w:jc w:val="center"/>
              <w:rPr>
                <w:rFonts w:ascii="宋体" w:hAnsi="宋体"/>
                <w:sz w:val="28"/>
                <w:szCs w:val="28"/>
              </w:rPr>
            </w:pPr>
          </w:p>
        </w:tc>
        <w:tc>
          <w:tcPr>
            <w:tcW w:w="903" w:type="dxa"/>
            <w:shd w:val="clear" w:color="auto" w:fill="auto"/>
            <w:vAlign w:val="center"/>
          </w:tcPr>
          <w:p w14:paraId="0308E9F5">
            <w:pPr>
              <w:spacing w:line="300" w:lineRule="exact"/>
              <w:jc w:val="center"/>
              <w:rPr>
                <w:rFonts w:ascii="宋体" w:hAnsi="宋体"/>
                <w:sz w:val="28"/>
                <w:szCs w:val="28"/>
              </w:rPr>
            </w:pPr>
          </w:p>
        </w:tc>
      </w:tr>
      <w:tr w14:paraId="2D90C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63EEAA5F">
            <w:pPr>
              <w:spacing w:line="300" w:lineRule="exact"/>
              <w:jc w:val="left"/>
              <w:rPr>
                <w:rFonts w:ascii="宋体" w:hAnsi="宋体"/>
                <w:b/>
                <w:sz w:val="28"/>
                <w:szCs w:val="28"/>
              </w:rPr>
            </w:pPr>
            <w:r>
              <w:rPr>
                <w:rFonts w:hint="eastAsia" w:ascii="宋体" w:hAnsi="宋体"/>
                <w:b/>
                <w:sz w:val="28"/>
                <w:szCs w:val="28"/>
              </w:rPr>
              <w:t>　　信访活动</w:t>
            </w:r>
          </w:p>
        </w:tc>
        <w:tc>
          <w:tcPr>
            <w:tcW w:w="1276" w:type="dxa"/>
            <w:shd w:val="clear" w:color="auto" w:fill="auto"/>
            <w:vAlign w:val="center"/>
          </w:tcPr>
          <w:p w14:paraId="1093F9B1">
            <w:pPr>
              <w:spacing w:line="300" w:lineRule="exact"/>
              <w:jc w:val="left"/>
              <w:rPr>
                <w:rFonts w:ascii="宋体" w:hAnsi="宋体"/>
                <w:sz w:val="28"/>
                <w:szCs w:val="28"/>
              </w:rPr>
            </w:pPr>
          </w:p>
        </w:tc>
        <w:tc>
          <w:tcPr>
            <w:tcW w:w="3216" w:type="dxa"/>
            <w:shd w:val="clear" w:color="auto" w:fill="auto"/>
            <w:vAlign w:val="center"/>
          </w:tcPr>
          <w:p w14:paraId="166DDCF9">
            <w:pPr>
              <w:spacing w:line="300" w:lineRule="exact"/>
              <w:jc w:val="left"/>
              <w:rPr>
                <w:rFonts w:ascii="宋体" w:hAnsi="宋体"/>
                <w:sz w:val="28"/>
                <w:szCs w:val="28"/>
              </w:rPr>
            </w:pPr>
            <w:r>
              <w:rPr>
                <w:rFonts w:hint="eastAsia" w:ascii="宋体" w:hAnsi="宋体"/>
                <w:sz w:val="28"/>
                <w:szCs w:val="28"/>
              </w:rPr>
              <w:t>负责正常信访、非访、突发性及群体性事件的办理；提供相关服务保障；协助上级信访局处理越级上访；信访事项督查。</w:t>
            </w:r>
          </w:p>
        </w:tc>
        <w:tc>
          <w:tcPr>
            <w:tcW w:w="2910" w:type="dxa"/>
            <w:shd w:val="clear" w:color="auto" w:fill="auto"/>
            <w:vAlign w:val="center"/>
          </w:tcPr>
          <w:p w14:paraId="0E4C8BE7">
            <w:pPr>
              <w:spacing w:line="300" w:lineRule="exact"/>
              <w:jc w:val="left"/>
              <w:rPr>
                <w:rFonts w:ascii="宋体" w:hAnsi="宋体"/>
                <w:sz w:val="28"/>
                <w:szCs w:val="28"/>
              </w:rPr>
            </w:pPr>
            <w:r>
              <w:rPr>
                <w:rFonts w:hint="eastAsia" w:ascii="宋体" w:hAnsi="宋体"/>
                <w:sz w:val="28"/>
                <w:szCs w:val="28"/>
              </w:rPr>
              <w:t>畅通信访渠道，提高信访事项办理质量和效率。</w:t>
            </w:r>
          </w:p>
        </w:tc>
        <w:tc>
          <w:tcPr>
            <w:tcW w:w="1530" w:type="dxa"/>
            <w:shd w:val="clear" w:color="auto" w:fill="auto"/>
            <w:vAlign w:val="center"/>
          </w:tcPr>
          <w:p w14:paraId="61B7A5D9">
            <w:pPr>
              <w:spacing w:line="300" w:lineRule="exact"/>
              <w:jc w:val="left"/>
              <w:rPr>
                <w:rFonts w:ascii="宋体" w:hAnsi="宋体"/>
                <w:sz w:val="28"/>
                <w:szCs w:val="28"/>
              </w:rPr>
            </w:pPr>
            <w:r>
              <w:rPr>
                <w:rFonts w:hint="eastAsia" w:ascii="宋体" w:hAnsi="宋体"/>
                <w:sz w:val="28"/>
                <w:szCs w:val="28"/>
              </w:rPr>
              <w:t>督办信访案件数</w:t>
            </w:r>
          </w:p>
        </w:tc>
        <w:tc>
          <w:tcPr>
            <w:tcW w:w="570" w:type="dxa"/>
            <w:shd w:val="clear" w:color="auto" w:fill="auto"/>
            <w:vAlign w:val="center"/>
          </w:tcPr>
          <w:p w14:paraId="29C34C89">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8</w:t>
            </w:r>
          </w:p>
        </w:tc>
        <w:tc>
          <w:tcPr>
            <w:tcW w:w="617" w:type="dxa"/>
            <w:shd w:val="clear" w:color="auto" w:fill="auto"/>
            <w:vAlign w:val="center"/>
          </w:tcPr>
          <w:p w14:paraId="477864A1">
            <w:pPr>
              <w:spacing w:line="300" w:lineRule="exact"/>
              <w:jc w:val="center"/>
              <w:rPr>
                <w:rFonts w:ascii="宋体" w:hAnsi="宋体"/>
                <w:sz w:val="28"/>
                <w:szCs w:val="28"/>
              </w:rPr>
            </w:pPr>
            <w:r>
              <w:rPr>
                <w:rFonts w:ascii="宋体" w:hAnsi="宋体"/>
                <w:sz w:val="28"/>
                <w:szCs w:val="28"/>
              </w:rPr>
              <w:t>7</w:t>
            </w:r>
          </w:p>
        </w:tc>
        <w:tc>
          <w:tcPr>
            <w:tcW w:w="737" w:type="dxa"/>
            <w:shd w:val="clear" w:color="auto" w:fill="auto"/>
            <w:vAlign w:val="center"/>
          </w:tcPr>
          <w:p w14:paraId="5848DE99">
            <w:pPr>
              <w:spacing w:line="300" w:lineRule="exact"/>
              <w:jc w:val="center"/>
              <w:rPr>
                <w:rFonts w:ascii="宋体" w:hAnsi="宋体"/>
                <w:sz w:val="28"/>
                <w:szCs w:val="28"/>
              </w:rPr>
            </w:pPr>
            <w:r>
              <w:rPr>
                <w:rFonts w:ascii="宋体" w:hAnsi="宋体"/>
                <w:sz w:val="28"/>
                <w:szCs w:val="28"/>
              </w:rPr>
              <w:t>6</w:t>
            </w:r>
          </w:p>
        </w:tc>
        <w:tc>
          <w:tcPr>
            <w:tcW w:w="903" w:type="dxa"/>
            <w:shd w:val="clear" w:color="auto" w:fill="auto"/>
            <w:vAlign w:val="center"/>
          </w:tcPr>
          <w:p w14:paraId="3BB830F1">
            <w:pPr>
              <w:spacing w:line="300" w:lineRule="exact"/>
              <w:jc w:val="center"/>
              <w:rPr>
                <w:rFonts w:ascii="宋体" w:hAnsi="宋体"/>
                <w:sz w:val="28"/>
                <w:szCs w:val="28"/>
              </w:rPr>
            </w:pPr>
            <w:r>
              <w:rPr>
                <w:rFonts w:ascii="宋体" w:hAnsi="宋体"/>
                <w:sz w:val="28"/>
                <w:szCs w:val="28"/>
              </w:rPr>
              <w:t>&lt;6</w:t>
            </w:r>
          </w:p>
        </w:tc>
      </w:tr>
      <w:tr w14:paraId="23052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1146C79D">
            <w:pPr>
              <w:spacing w:line="300" w:lineRule="exact"/>
              <w:jc w:val="left"/>
              <w:rPr>
                <w:rFonts w:ascii="宋体" w:hAnsi="宋体"/>
                <w:b/>
                <w:sz w:val="28"/>
                <w:szCs w:val="28"/>
              </w:rPr>
            </w:pPr>
            <w:r>
              <w:rPr>
                <w:rFonts w:hint="eastAsia" w:ascii="宋体" w:hAnsi="宋体"/>
                <w:b/>
                <w:sz w:val="28"/>
                <w:szCs w:val="28"/>
              </w:rPr>
              <w:t>财政工作</w:t>
            </w:r>
          </w:p>
        </w:tc>
        <w:tc>
          <w:tcPr>
            <w:tcW w:w="1276" w:type="dxa"/>
            <w:shd w:val="clear" w:color="auto" w:fill="auto"/>
            <w:vAlign w:val="center"/>
          </w:tcPr>
          <w:p w14:paraId="7FD4DA96">
            <w:pPr>
              <w:spacing w:line="300" w:lineRule="exact"/>
              <w:jc w:val="left"/>
              <w:rPr>
                <w:rFonts w:ascii="宋体" w:hAnsi="宋体"/>
                <w:sz w:val="28"/>
                <w:szCs w:val="28"/>
              </w:rPr>
            </w:pPr>
          </w:p>
        </w:tc>
        <w:tc>
          <w:tcPr>
            <w:tcW w:w="3216" w:type="dxa"/>
            <w:shd w:val="clear" w:color="auto" w:fill="auto"/>
            <w:vAlign w:val="center"/>
          </w:tcPr>
          <w:p w14:paraId="779879CE">
            <w:pPr>
              <w:spacing w:line="300" w:lineRule="exact"/>
              <w:jc w:val="left"/>
              <w:rPr>
                <w:rFonts w:ascii="宋体" w:hAnsi="宋体"/>
                <w:sz w:val="28"/>
                <w:szCs w:val="28"/>
              </w:rPr>
            </w:pPr>
            <w:r>
              <w:rPr>
                <w:rFonts w:hint="eastAsia" w:ascii="宋体" w:hAnsi="宋体"/>
                <w:sz w:val="28"/>
                <w:szCs w:val="28"/>
              </w:rPr>
              <w:t>加强财务会计管理工作，依法按照财经制度管理会计事务，做到量入微出</w:t>
            </w:r>
          </w:p>
        </w:tc>
        <w:tc>
          <w:tcPr>
            <w:tcW w:w="2910" w:type="dxa"/>
            <w:shd w:val="clear" w:color="auto" w:fill="auto"/>
            <w:vAlign w:val="center"/>
          </w:tcPr>
          <w:p w14:paraId="705AB678">
            <w:pPr>
              <w:spacing w:line="300" w:lineRule="exact"/>
              <w:jc w:val="left"/>
              <w:rPr>
                <w:rFonts w:ascii="宋体" w:hAnsi="宋体"/>
                <w:sz w:val="28"/>
                <w:szCs w:val="28"/>
              </w:rPr>
            </w:pPr>
            <w:r>
              <w:rPr>
                <w:rFonts w:hint="eastAsia" w:ascii="宋体" w:hAnsi="宋体"/>
                <w:sz w:val="28"/>
                <w:szCs w:val="28"/>
              </w:rPr>
              <w:t>维护财经制度，办理好各项财经事项</w:t>
            </w:r>
          </w:p>
        </w:tc>
        <w:tc>
          <w:tcPr>
            <w:tcW w:w="1530" w:type="dxa"/>
            <w:shd w:val="clear" w:color="auto" w:fill="auto"/>
            <w:vAlign w:val="center"/>
          </w:tcPr>
          <w:p w14:paraId="617739B7">
            <w:pPr>
              <w:spacing w:line="300" w:lineRule="exact"/>
              <w:jc w:val="left"/>
              <w:rPr>
                <w:rFonts w:ascii="宋体" w:hAnsi="宋体"/>
                <w:sz w:val="28"/>
                <w:szCs w:val="28"/>
              </w:rPr>
            </w:pPr>
          </w:p>
        </w:tc>
        <w:tc>
          <w:tcPr>
            <w:tcW w:w="570" w:type="dxa"/>
            <w:shd w:val="clear" w:color="auto" w:fill="auto"/>
            <w:vAlign w:val="center"/>
          </w:tcPr>
          <w:p w14:paraId="6F3E4F20">
            <w:pPr>
              <w:spacing w:line="300" w:lineRule="exact"/>
              <w:jc w:val="center"/>
              <w:rPr>
                <w:rFonts w:ascii="宋体" w:hAnsi="宋体"/>
                <w:sz w:val="28"/>
                <w:szCs w:val="28"/>
              </w:rPr>
            </w:pPr>
          </w:p>
        </w:tc>
        <w:tc>
          <w:tcPr>
            <w:tcW w:w="617" w:type="dxa"/>
            <w:shd w:val="clear" w:color="auto" w:fill="auto"/>
            <w:vAlign w:val="center"/>
          </w:tcPr>
          <w:p w14:paraId="56952EC1">
            <w:pPr>
              <w:spacing w:line="300" w:lineRule="exact"/>
              <w:jc w:val="center"/>
              <w:rPr>
                <w:rFonts w:ascii="宋体" w:hAnsi="宋体"/>
                <w:sz w:val="28"/>
                <w:szCs w:val="28"/>
              </w:rPr>
            </w:pPr>
          </w:p>
        </w:tc>
        <w:tc>
          <w:tcPr>
            <w:tcW w:w="737" w:type="dxa"/>
            <w:shd w:val="clear" w:color="auto" w:fill="auto"/>
            <w:vAlign w:val="center"/>
          </w:tcPr>
          <w:p w14:paraId="104C7617">
            <w:pPr>
              <w:spacing w:line="300" w:lineRule="exact"/>
              <w:jc w:val="center"/>
              <w:rPr>
                <w:rFonts w:ascii="宋体" w:hAnsi="宋体"/>
                <w:sz w:val="28"/>
                <w:szCs w:val="28"/>
              </w:rPr>
            </w:pPr>
          </w:p>
        </w:tc>
        <w:tc>
          <w:tcPr>
            <w:tcW w:w="903" w:type="dxa"/>
            <w:shd w:val="clear" w:color="auto" w:fill="auto"/>
            <w:vAlign w:val="center"/>
          </w:tcPr>
          <w:p w14:paraId="21CEDA01">
            <w:pPr>
              <w:spacing w:line="300" w:lineRule="exact"/>
              <w:jc w:val="center"/>
              <w:rPr>
                <w:rFonts w:ascii="宋体" w:hAnsi="宋体"/>
                <w:sz w:val="28"/>
                <w:szCs w:val="28"/>
              </w:rPr>
            </w:pPr>
          </w:p>
        </w:tc>
      </w:tr>
      <w:tr w14:paraId="78045C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2B480CE5">
            <w:pPr>
              <w:spacing w:line="300" w:lineRule="exact"/>
              <w:jc w:val="left"/>
              <w:rPr>
                <w:rFonts w:ascii="宋体" w:hAnsi="宋体"/>
                <w:b/>
                <w:sz w:val="28"/>
                <w:szCs w:val="28"/>
              </w:rPr>
            </w:pPr>
            <w:r>
              <w:rPr>
                <w:rFonts w:hint="eastAsia" w:ascii="宋体" w:hAnsi="宋体"/>
                <w:b/>
                <w:sz w:val="28"/>
                <w:szCs w:val="28"/>
              </w:rPr>
              <w:t>　　财政管理</w:t>
            </w:r>
          </w:p>
        </w:tc>
        <w:tc>
          <w:tcPr>
            <w:tcW w:w="1276" w:type="dxa"/>
            <w:shd w:val="clear" w:color="auto" w:fill="auto"/>
            <w:vAlign w:val="center"/>
          </w:tcPr>
          <w:p w14:paraId="4EC97525">
            <w:pPr>
              <w:spacing w:line="300" w:lineRule="exact"/>
              <w:jc w:val="left"/>
              <w:rPr>
                <w:rFonts w:ascii="宋体" w:hAnsi="宋体"/>
                <w:sz w:val="28"/>
                <w:szCs w:val="28"/>
              </w:rPr>
            </w:pPr>
          </w:p>
        </w:tc>
        <w:tc>
          <w:tcPr>
            <w:tcW w:w="3216" w:type="dxa"/>
            <w:shd w:val="clear" w:color="auto" w:fill="auto"/>
            <w:vAlign w:val="center"/>
          </w:tcPr>
          <w:p w14:paraId="38A64EA3">
            <w:pPr>
              <w:spacing w:line="300" w:lineRule="exact"/>
              <w:jc w:val="left"/>
              <w:rPr>
                <w:rFonts w:ascii="宋体" w:hAnsi="宋体"/>
                <w:sz w:val="28"/>
                <w:szCs w:val="28"/>
              </w:rPr>
            </w:pPr>
            <w:r>
              <w:rPr>
                <w:rFonts w:hint="eastAsia" w:ascii="宋体" w:hAnsi="宋体"/>
                <w:sz w:val="28"/>
                <w:szCs w:val="28"/>
              </w:rPr>
              <w:t>财政对会计人员进行培训依法、依规、依纪办理会计事务</w:t>
            </w:r>
          </w:p>
        </w:tc>
        <w:tc>
          <w:tcPr>
            <w:tcW w:w="2910" w:type="dxa"/>
            <w:shd w:val="clear" w:color="auto" w:fill="auto"/>
            <w:vAlign w:val="center"/>
          </w:tcPr>
          <w:p w14:paraId="523922C3">
            <w:pPr>
              <w:spacing w:line="300" w:lineRule="exact"/>
              <w:jc w:val="left"/>
              <w:rPr>
                <w:rFonts w:ascii="宋体" w:hAnsi="宋体"/>
                <w:sz w:val="28"/>
                <w:szCs w:val="28"/>
              </w:rPr>
            </w:pPr>
            <w:r>
              <w:rPr>
                <w:rFonts w:hint="eastAsia" w:ascii="宋体" w:hAnsi="宋体"/>
                <w:sz w:val="28"/>
                <w:szCs w:val="28"/>
              </w:rPr>
              <w:t>发挥财政职能，提高理财水平</w:t>
            </w:r>
          </w:p>
        </w:tc>
        <w:tc>
          <w:tcPr>
            <w:tcW w:w="1530" w:type="dxa"/>
            <w:shd w:val="clear" w:color="auto" w:fill="auto"/>
            <w:vAlign w:val="center"/>
          </w:tcPr>
          <w:p w14:paraId="54DF2866">
            <w:pPr>
              <w:spacing w:line="300" w:lineRule="exact"/>
              <w:jc w:val="left"/>
              <w:rPr>
                <w:rFonts w:ascii="宋体" w:hAnsi="宋体"/>
                <w:sz w:val="28"/>
                <w:szCs w:val="28"/>
              </w:rPr>
            </w:pPr>
            <w:r>
              <w:rPr>
                <w:rFonts w:hint="eastAsia" w:ascii="宋体" w:hAnsi="宋体"/>
                <w:sz w:val="28"/>
                <w:szCs w:val="28"/>
              </w:rPr>
              <w:t>财政人员培训率</w:t>
            </w:r>
          </w:p>
        </w:tc>
        <w:tc>
          <w:tcPr>
            <w:tcW w:w="570" w:type="dxa"/>
            <w:shd w:val="clear" w:color="auto" w:fill="auto"/>
            <w:vAlign w:val="center"/>
          </w:tcPr>
          <w:p w14:paraId="54EA906C">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100%</w:t>
            </w:r>
          </w:p>
        </w:tc>
        <w:tc>
          <w:tcPr>
            <w:tcW w:w="617" w:type="dxa"/>
            <w:shd w:val="clear" w:color="auto" w:fill="auto"/>
            <w:vAlign w:val="center"/>
          </w:tcPr>
          <w:p w14:paraId="06B02279">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95%</w:t>
            </w:r>
          </w:p>
        </w:tc>
        <w:tc>
          <w:tcPr>
            <w:tcW w:w="737" w:type="dxa"/>
            <w:shd w:val="clear" w:color="auto" w:fill="auto"/>
            <w:vAlign w:val="center"/>
          </w:tcPr>
          <w:p w14:paraId="4AF922E2">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90%</w:t>
            </w:r>
          </w:p>
        </w:tc>
        <w:tc>
          <w:tcPr>
            <w:tcW w:w="903" w:type="dxa"/>
            <w:shd w:val="clear" w:color="auto" w:fill="auto"/>
            <w:vAlign w:val="center"/>
          </w:tcPr>
          <w:p w14:paraId="047C2654">
            <w:pPr>
              <w:spacing w:line="300" w:lineRule="exact"/>
              <w:jc w:val="center"/>
              <w:rPr>
                <w:rFonts w:ascii="宋体" w:hAnsi="宋体"/>
                <w:sz w:val="28"/>
                <w:szCs w:val="28"/>
              </w:rPr>
            </w:pPr>
            <w:r>
              <w:rPr>
                <w:rFonts w:ascii="宋体" w:hAnsi="宋体"/>
                <w:sz w:val="28"/>
                <w:szCs w:val="28"/>
              </w:rPr>
              <w:t>&lt;90%</w:t>
            </w:r>
          </w:p>
        </w:tc>
      </w:tr>
      <w:tr w14:paraId="6342C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4F3015F5">
            <w:pPr>
              <w:spacing w:line="300" w:lineRule="exact"/>
              <w:jc w:val="left"/>
              <w:rPr>
                <w:rFonts w:ascii="宋体" w:hAnsi="宋体"/>
                <w:b/>
                <w:sz w:val="28"/>
                <w:szCs w:val="28"/>
              </w:rPr>
            </w:pPr>
            <w:r>
              <w:rPr>
                <w:rFonts w:hint="eastAsia" w:ascii="宋体" w:hAnsi="宋体"/>
                <w:b/>
                <w:sz w:val="28"/>
                <w:szCs w:val="28"/>
              </w:rPr>
              <w:t>　　预算管理</w:t>
            </w:r>
          </w:p>
        </w:tc>
        <w:tc>
          <w:tcPr>
            <w:tcW w:w="1276" w:type="dxa"/>
            <w:shd w:val="clear" w:color="auto" w:fill="auto"/>
            <w:vAlign w:val="center"/>
          </w:tcPr>
          <w:p w14:paraId="3938C321">
            <w:pPr>
              <w:spacing w:line="300" w:lineRule="exact"/>
              <w:jc w:val="left"/>
              <w:rPr>
                <w:rFonts w:ascii="宋体" w:hAnsi="宋体"/>
                <w:sz w:val="28"/>
                <w:szCs w:val="28"/>
              </w:rPr>
            </w:pPr>
          </w:p>
        </w:tc>
        <w:tc>
          <w:tcPr>
            <w:tcW w:w="3216" w:type="dxa"/>
            <w:shd w:val="clear" w:color="auto" w:fill="auto"/>
            <w:vAlign w:val="center"/>
          </w:tcPr>
          <w:p w14:paraId="335D7997">
            <w:pPr>
              <w:spacing w:line="300" w:lineRule="exact"/>
              <w:jc w:val="left"/>
              <w:rPr>
                <w:rFonts w:ascii="宋体" w:hAnsi="宋体"/>
                <w:sz w:val="28"/>
                <w:szCs w:val="28"/>
              </w:rPr>
            </w:pPr>
            <w:r>
              <w:rPr>
                <w:rFonts w:hint="eastAsia" w:ascii="宋体" w:hAnsi="宋体"/>
                <w:sz w:val="28"/>
                <w:szCs w:val="28"/>
              </w:rPr>
              <w:t>做好预算编制，预算执行工作</w:t>
            </w:r>
          </w:p>
        </w:tc>
        <w:tc>
          <w:tcPr>
            <w:tcW w:w="2910" w:type="dxa"/>
            <w:shd w:val="clear" w:color="auto" w:fill="auto"/>
            <w:vAlign w:val="center"/>
          </w:tcPr>
          <w:p w14:paraId="308D8C39">
            <w:pPr>
              <w:spacing w:line="300" w:lineRule="exact"/>
              <w:jc w:val="left"/>
              <w:rPr>
                <w:rFonts w:ascii="宋体" w:hAnsi="宋体"/>
                <w:sz w:val="28"/>
                <w:szCs w:val="28"/>
              </w:rPr>
            </w:pPr>
            <w:r>
              <w:rPr>
                <w:rFonts w:hint="eastAsia" w:ascii="宋体" w:hAnsi="宋体"/>
                <w:sz w:val="28"/>
                <w:szCs w:val="28"/>
              </w:rPr>
              <w:t>合理有效使用预算资金发挥资金效能</w:t>
            </w:r>
          </w:p>
        </w:tc>
        <w:tc>
          <w:tcPr>
            <w:tcW w:w="1530" w:type="dxa"/>
            <w:shd w:val="clear" w:color="auto" w:fill="auto"/>
            <w:vAlign w:val="center"/>
          </w:tcPr>
          <w:p w14:paraId="46CE25B9">
            <w:pPr>
              <w:spacing w:line="300" w:lineRule="exact"/>
              <w:jc w:val="left"/>
              <w:rPr>
                <w:rFonts w:ascii="宋体" w:hAnsi="宋体"/>
                <w:sz w:val="28"/>
                <w:szCs w:val="28"/>
              </w:rPr>
            </w:pPr>
            <w:r>
              <w:rPr>
                <w:rFonts w:hint="eastAsia" w:ascii="宋体" w:hAnsi="宋体"/>
                <w:sz w:val="28"/>
                <w:szCs w:val="28"/>
              </w:rPr>
              <w:t>预算资金执行效能</w:t>
            </w:r>
          </w:p>
        </w:tc>
        <w:tc>
          <w:tcPr>
            <w:tcW w:w="570" w:type="dxa"/>
            <w:shd w:val="clear" w:color="auto" w:fill="auto"/>
            <w:vAlign w:val="center"/>
          </w:tcPr>
          <w:p w14:paraId="683918FC">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100%</w:t>
            </w:r>
          </w:p>
        </w:tc>
        <w:tc>
          <w:tcPr>
            <w:tcW w:w="617" w:type="dxa"/>
            <w:shd w:val="clear" w:color="auto" w:fill="auto"/>
            <w:vAlign w:val="center"/>
          </w:tcPr>
          <w:p w14:paraId="0DBC57B5">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95%</w:t>
            </w:r>
          </w:p>
        </w:tc>
        <w:tc>
          <w:tcPr>
            <w:tcW w:w="737" w:type="dxa"/>
            <w:shd w:val="clear" w:color="auto" w:fill="auto"/>
            <w:vAlign w:val="center"/>
          </w:tcPr>
          <w:p w14:paraId="3D5DE697">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90%</w:t>
            </w:r>
          </w:p>
        </w:tc>
        <w:tc>
          <w:tcPr>
            <w:tcW w:w="903" w:type="dxa"/>
            <w:shd w:val="clear" w:color="auto" w:fill="auto"/>
            <w:vAlign w:val="center"/>
          </w:tcPr>
          <w:p w14:paraId="42462D27">
            <w:pPr>
              <w:spacing w:line="300" w:lineRule="exact"/>
              <w:jc w:val="center"/>
              <w:rPr>
                <w:rFonts w:ascii="宋体" w:hAnsi="宋体"/>
                <w:sz w:val="28"/>
                <w:szCs w:val="28"/>
              </w:rPr>
            </w:pPr>
            <w:r>
              <w:rPr>
                <w:rFonts w:ascii="宋体" w:hAnsi="宋体"/>
                <w:sz w:val="28"/>
                <w:szCs w:val="28"/>
              </w:rPr>
              <w:t>&lt;90%</w:t>
            </w:r>
          </w:p>
        </w:tc>
      </w:tr>
      <w:tr w14:paraId="1CED3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5ADB2B3E">
            <w:pPr>
              <w:spacing w:line="300" w:lineRule="exact"/>
              <w:jc w:val="left"/>
              <w:rPr>
                <w:rFonts w:ascii="宋体" w:hAnsi="宋体"/>
                <w:b/>
                <w:sz w:val="28"/>
                <w:szCs w:val="28"/>
              </w:rPr>
            </w:pPr>
            <w:r>
              <w:rPr>
                <w:rFonts w:hint="eastAsia" w:ascii="宋体" w:hAnsi="宋体"/>
                <w:b/>
                <w:sz w:val="28"/>
                <w:szCs w:val="28"/>
              </w:rPr>
              <w:t>　　财政监督管理</w:t>
            </w:r>
          </w:p>
        </w:tc>
        <w:tc>
          <w:tcPr>
            <w:tcW w:w="1276" w:type="dxa"/>
            <w:shd w:val="clear" w:color="auto" w:fill="auto"/>
            <w:vAlign w:val="center"/>
          </w:tcPr>
          <w:p w14:paraId="62930C8B">
            <w:pPr>
              <w:spacing w:line="300" w:lineRule="exact"/>
              <w:jc w:val="left"/>
              <w:rPr>
                <w:rFonts w:ascii="宋体" w:hAnsi="宋体"/>
                <w:sz w:val="28"/>
                <w:szCs w:val="28"/>
              </w:rPr>
            </w:pPr>
          </w:p>
        </w:tc>
        <w:tc>
          <w:tcPr>
            <w:tcW w:w="3216" w:type="dxa"/>
            <w:shd w:val="clear" w:color="auto" w:fill="auto"/>
            <w:vAlign w:val="center"/>
          </w:tcPr>
          <w:p w14:paraId="0763B4F4">
            <w:pPr>
              <w:spacing w:line="300" w:lineRule="exact"/>
              <w:jc w:val="left"/>
              <w:rPr>
                <w:rFonts w:ascii="宋体" w:hAnsi="宋体"/>
                <w:sz w:val="28"/>
                <w:szCs w:val="28"/>
              </w:rPr>
            </w:pPr>
            <w:r>
              <w:rPr>
                <w:rFonts w:hint="eastAsia" w:ascii="宋体" w:hAnsi="宋体"/>
                <w:sz w:val="28"/>
                <w:szCs w:val="28"/>
              </w:rPr>
              <w:t>加强对财经法规制度的执行情况的监督检查</w:t>
            </w:r>
          </w:p>
        </w:tc>
        <w:tc>
          <w:tcPr>
            <w:tcW w:w="2910" w:type="dxa"/>
            <w:shd w:val="clear" w:color="auto" w:fill="auto"/>
            <w:vAlign w:val="center"/>
          </w:tcPr>
          <w:p w14:paraId="3F2087BF">
            <w:pPr>
              <w:spacing w:line="300" w:lineRule="exact"/>
              <w:jc w:val="left"/>
              <w:rPr>
                <w:rFonts w:ascii="宋体" w:hAnsi="宋体"/>
                <w:sz w:val="28"/>
                <w:szCs w:val="28"/>
              </w:rPr>
            </w:pPr>
            <w:r>
              <w:rPr>
                <w:rFonts w:hint="eastAsia" w:ascii="宋体" w:hAnsi="宋体"/>
                <w:sz w:val="28"/>
                <w:szCs w:val="28"/>
              </w:rPr>
              <w:t>做好财政资金监督、绩效评价、投资评审、会计制度检查、农村三资管理的监督</w:t>
            </w:r>
          </w:p>
        </w:tc>
        <w:tc>
          <w:tcPr>
            <w:tcW w:w="1530" w:type="dxa"/>
            <w:shd w:val="clear" w:color="auto" w:fill="auto"/>
            <w:vAlign w:val="center"/>
          </w:tcPr>
          <w:p w14:paraId="0E194768">
            <w:pPr>
              <w:spacing w:line="300" w:lineRule="exact"/>
              <w:jc w:val="left"/>
              <w:rPr>
                <w:rFonts w:ascii="宋体" w:hAnsi="宋体"/>
                <w:sz w:val="28"/>
                <w:szCs w:val="28"/>
              </w:rPr>
            </w:pPr>
            <w:r>
              <w:rPr>
                <w:rFonts w:hint="eastAsia" w:ascii="宋体" w:hAnsi="宋体"/>
                <w:sz w:val="28"/>
                <w:szCs w:val="28"/>
              </w:rPr>
              <w:t>财政监管力度</w:t>
            </w:r>
          </w:p>
        </w:tc>
        <w:tc>
          <w:tcPr>
            <w:tcW w:w="570" w:type="dxa"/>
            <w:shd w:val="clear" w:color="auto" w:fill="auto"/>
            <w:vAlign w:val="center"/>
          </w:tcPr>
          <w:p w14:paraId="0CCECFE8">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100%</w:t>
            </w:r>
          </w:p>
        </w:tc>
        <w:tc>
          <w:tcPr>
            <w:tcW w:w="617" w:type="dxa"/>
            <w:shd w:val="clear" w:color="auto" w:fill="auto"/>
            <w:vAlign w:val="center"/>
          </w:tcPr>
          <w:p w14:paraId="473C2064">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95%</w:t>
            </w:r>
          </w:p>
        </w:tc>
        <w:tc>
          <w:tcPr>
            <w:tcW w:w="737" w:type="dxa"/>
            <w:shd w:val="clear" w:color="auto" w:fill="auto"/>
            <w:vAlign w:val="center"/>
          </w:tcPr>
          <w:p w14:paraId="5F8A2BF6">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90%</w:t>
            </w:r>
          </w:p>
        </w:tc>
        <w:tc>
          <w:tcPr>
            <w:tcW w:w="903" w:type="dxa"/>
            <w:shd w:val="clear" w:color="auto" w:fill="auto"/>
            <w:vAlign w:val="center"/>
          </w:tcPr>
          <w:p w14:paraId="6F3F235F">
            <w:pPr>
              <w:spacing w:line="300" w:lineRule="exact"/>
              <w:jc w:val="center"/>
              <w:rPr>
                <w:rFonts w:ascii="宋体" w:hAnsi="宋体"/>
                <w:sz w:val="28"/>
                <w:szCs w:val="28"/>
              </w:rPr>
            </w:pPr>
            <w:r>
              <w:rPr>
                <w:rFonts w:ascii="宋体" w:hAnsi="宋体"/>
                <w:sz w:val="28"/>
                <w:szCs w:val="28"/>
              </w:rPr>
              <w:t>&lt;90%</w:t>
            </w:r>
          </w:p>
        </w:tc>
      </w:tr>
      <w:tr w14:paraId="796CF9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7ABDFBBE">
            <w:pPr>
              <w:spacing w:line="300" w:lineRule="exact"/>
              <w:jc w:val="left"/>
              <w:rPr>
                <w:rFonts w:ascii="宋体" w:hAnsi="宋体"/>
                <w:b/>
                <w:sz w:val="28"/>
                <w:szCs w:val="28"/>
              </w:rPr>
            </w:pPr>
            <w:r>
              <w:rPr>
                <w:rFonts w:hint="eastAsia" w:ascii="宋体" w:hAnsi="宋体"/>
                <w:b/>
                <w:sz w:val="28"/>
                <w:szCs w:val="28"/>
              </w:rPr>
              <w:t>　　国有资产</w:t>
            </w:r>
          </w:p>
        </w:tc>
        <w:tc>
          <w:tcPr>
            <w:tcW w:w="1276" w:type="dxa"/>
            <w:shd w:val="clear" w:color="auto" w:fill="auto"/>
            <w:vAlign w:val="center"/>
          </w:tcPr>
          <w:p w14:paraId="50A62EF8">
            <w:pPr>
              <w:spacing w:line="300" w:lineRule="exact"/>
              <w:jc w:val="left"/>
              <w:rPr>
                <w:rFonts w:ascii="宋体" w:hAnsi="宋体"/>
                <w:sz w:val="28"/>
                <w:szCs w:val="28"/>
              </w:rPr>
            </w:pPr>
          </w:p>
        </w:tc>
        <w:tc>
          <w:tcPr>
            <w:tcW w:w="3216" w:type="dxa"/>
            <w:shd w:val="clear" w:color="auto" w:fill="auto"/>
            <w:vAlign w:val="center"/>
          </w:tcPr>
          <w:p w14:paraId="09ECF993">
            <w:pPr>
              <w:spacing w:line="300" w:lineRule="exact"/>
              <w:jc w:val="left"/>
              <w:rPr>
                <w:rFonts w:ascii="宋体" w:hAnsi="宋体"/>
                <w:sz w:val="28"/>
                <w:szCs w:val="28"/>
              </w:rPr>
            </w:pPr>
            <w:r>
              <w:rPr>
                <w:rFonts w:hint="eastAsia" w:ascii="宋体" w:hAnsi="宋体"/>
                <w:sz w:val="28"/>
                <w:szCs w:val="28"/>
              </w:rPr>
              <w:t>做好国有资产的维护保养，确保国有资产保值、增值，做好固定资产的登记、造册</w:t>
            </w:r>
          </w:p>
        </w:tc>
        <w:tc>
          <w:tcPr>
            <w:tcW w:w="2910" w:type="dxa"/>
            <w:shd w:val="clear" w:color="auto" w:fill="auto"/>
            <w:vAlign w:val="center"/>
          </w:tcPr>
          <w:p w14:paraId="47DF959A">
            <w:pPr>
              <w:spacing w:line="300" w:lineRule="exact"/>
              <w:jc w:val="left"/>
              <w:rPr>
                <w:rFonts w:ascii="宋体" w:hAnsi="宋体"/>
                <w:sz w:val="28"/>
                <w:szCs w:val="28"/>
              </w:rPr>
            </w:pPr>
            <w:r>
              <w:rPr>
                <w:rFonts w:hint="eastAsia" w:ascii="宋体" w:hAnsi="宋体"/>
                <w:sz w:val="28"/>
                <w:szCs w:val="28"/>
              </w:rPr>
              <w:t>保证国有资产完整，防止国有资产流失</w:t>
            </w:r>
          </w:p>
        </w:tc>
        <w:tc>
          <w:tcPr>
            <w:tcW w:w="1530" w:type="dxa"/>
            <w:shd w:val="clear" w:color="auto" w:fill="auto"/>
            <w:vAlign w:val="center"/>
          </w:tcPr>
          <w:p w14:paraId="5325AA62">
            <w:pPr>
              <w:spacing w:line="300" w:lineRule="exact"/>
              <w:jc w:val="left"/>
              <w:rPr>
                <w:rFonts w:ascii="宋体" w:hAnsi="宋体"/>
                <w:sz w:val="28"/>
                <w:szCs w:val="28"/>
              </w:rPr>
            </w:pPr>
            <w:r>
              <w:rPr>
                <w:rFonts w:hint="eastAsia" w:ascii="宋体" w:hAnsi="宋体"/>
                <w:sz w:val="28"/>
                <w:szCs w:val="28"/>
              </w:rPr>
              <w:t>国有资产保全率</w:t>
            </w:r>
          </w:p>
        </w:tc>
        <w:tc>
          <w:tcPr>
            <w:tcW w:w="570" w:type="dxa"/>
            <w:shd w:val="clear" w:color="auto" w:fill="auto"/>
            <w:vAlign w:val="center"/>
          </w:tcPr>
          <w:p w14:paraId="65BE8AE1">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100%</w:t>
            </w:r>
          </w:p>
        </w:tc>
        <w:tc>
          <w:tcPr>
            <w:tcW w:w="617" w:type="dxa"/>
            <w:shd w:val="clear" w:color="auto" w:fill="auto"/>
            <w:vAlign w:val="center"/>
          </w:tcPr>
          <w:p w14:paraId="4047FE1A">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95%</w:t>
            </w:r>
          </w:p>
        </w:tc>
        <w:tc>
          <w:tcPr>
            <w:tcW w:w="737" w:type="dxa"/>
            <w:shd w:val="clear" w:color="auto" w:fill="auto"/>
            <w:vAlign w:val="center"/>
          </w:tcPr>
          <w:p w14:paraId="39ACFF8E">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90%</w:t>
            </w:r>
          </w:p>
        </w:tc>
        <w:tc>
          <w:tcPr>
            <w:tcW w:w="903" w:type="dxa"/>
            <w:shd w:val="clear" w:color="auto" w:fill="auto"/>
            <w:vAlign w:val="center"/>
          </w:tcPr>
          <w:p w14:paraId="245C9038">
            <w:pPr>
              <w:spacing w:line="300" w:lineRule="exact"/>
              <w:jc w:val="center"/>
              <w:rPr>
                <w:rFonts w:ascii="宋体" w:hAnsi="宋体"/>
                <w:sz w:val="28"/>
                <w:szCs w:val="28"/>
              </w:rPr>
            </w:pPr>
            <w:r>
              <w:rPr>
                <w:rFonts w:ascii="宋体" w:hAnsi="宋体"/>
                <w:sz w:val="28"/>
                <w:szCs w:val="28"/>
              </w:rPr>
              <w:t>&lt;90%</w:t>
            </w:r>
          </w:p>
        </w:tc>
      </w:tr>
      <w:tr w14:paraId="5C5E3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09E58D92">
            <w:pPr>
              <w:spacing w:line="300" w:lineRule="exact"/>
              <w:jc w:val="left"/>
              <w:rPr>
                <w:rFonts w:ascii="宋体" w:hAnsi="宋体"/>
                <w:b/>
                <w:sz w:val="28"/>
                <w:szCs w:val="28"/>
              </w:rPr>
            </w:pPr>
            <w:r>
              <w:rPr>
                <w:rFonts w:hint="eastAsia" w:ascii="宋体" w:hAnsi="宋体"/>
                <w:b/>
                <w:sz w:val="28"/>
                <w:szCs w:val="28"/>
              </w:rPr>
              <w:t>社区事务管理</w:t>
            </w:r>
          </w:p>
        </w:tc>
        <w:tc>
          <w:tcPr>
            <w:tcW w:w="1276" w:type="dxa"/>
            <w:shd w:val="clear" w:color="auto" w:fill="auto"/>
            <w:vAlign w:val="center"/>
          </w:tcPr>
          <w:p w14:paraId="11C653A6">
            <w:pPr>
              <w:spacing w:line="300" w:lineRule="exact"/>
              <w:jc w:val="left"/>
              <w:rPr>
                <w:rFonts w:ascii="宋体" w:hAnsi="宋体"/>
                <w:sz w:val="28"/>
                <w:szCs w:val="28"/>
              </w:rPr>
            </w:pPr>
            <w:r>
              <w:rPr>
                <w:rFonts w:ascii="宋体" w:hAnsi="宋体"/>
                <w:sz w:val="28"/>
                <w:szCs w:val="28"/>
              </w:rPr>
              <w:t>168.88</w:t>
            </w:r>
          </w:p>
        </w:tc>
        <w:tc>
          <w:tcPr>
            <w:tcW w:w="3216" w:type="dxa"/>
            <w:shd w:val="clear" w:color="auto" w:fill="auto"/>
            <w:vAlign w:val="center"/>
          </w:tcPr>
          <w:p w14:paraId="5B7FA81F">
            <w:pPr>
              <w:spacing w:line="300" w:lineRule="exact"/>
              <w:jc w:val="left"/>
              <w:rPr>
                <w:rFonts w:ascii="宋体" w:hAnsi="宋体"/>
                <w:sz w:val="28"/>
                <w:szCs w:val="28"/>
              </w:rPr>
            </w:pPr>
            <w:r>
              <w:rPr>
                <w:rFonts w:hint="eastAsia" w:ascii="宋体" w:hAnsi="宋体"/>
                <w:sz w:val="28"/>
                <w:szCs w:val="28"/>
              </w:rPr>
              <w:t>执行党的各项方针政策，制定本地经济和社会发展规划，并逐一落实</w:t>
            </w:r>
          </w:p>
        </w:tc>
        <w:tc>
          <w:tcPr>
            <w:tcW w:w="2910" w:type="dxa"/>
            <w:shd w:val="clear" w:color="auto" w:fill="auto"/>
            <w:vAlign w:val="center"/>
          </w:tcPr>
          <w:p w14:paraId="4D09F896">
            <w:pPr>
              <w:spacing w:line="300" w:lineRule="exact"/>
              <w:jc w:val="left"/>
              <w:rPr>
                <w:rFonts w:ascii="宋体" w:hAnsi="宋体"/>
                <w:sz w:val="28"/>
                <w:szCs w:val="28"/>
              </w:rPr>
            </w:pPr>
            <w:r>
              <w:rPr>
                <w:rFonts w:hint="eastAsia" w:ascii="宋体" w:hAnsi="宋体"/>
                <w:sz w:val="28"/>
                <w:szCs w:val="28"/>
              </w:rPr>
              <w:t>加强社区基础设施建设，改善民生</w:t>
            </w:r>
          </w:p>
        </w:tc>
        <w:tc>
          <w:tcPr>
            <w:tcW w:w="1530" w:type="dxa"/>
            <w:shd w:val="clear" w:color="auto" w:fill="auto"/>
            <w:vAlign w:val="center"/>
          </w:tcPr>
          <w:p w14:paraId="04F8A62A">
            <w:pPr>
              <w:spacing w:line="300" w:lineRule="exact"/>
              <w:jc w:val="left"/>
              <w:rPr>
                <w:rFonts w:ascii="宋体" w:hAnsi="宋体"/>
                <w:sz w:val="28"/>
                <w:szCs w:val="28"/>
              </w:rPr>
            </w:pPr>
          </w:p>
        </w:tc>
        <w:tc>
          <w:tcPr>
            <w:tcW w:w="570" w:type="dxa"/>
            <w:shd w:val="clear" w:color="auto" w:fill="auto"/>
            <w:vAlign w:val="center"/>
          </w:tcPr>
          <w:p w14:paraId="086FBF27">
            <w:pPr>
              <w:spacing w:line="300" w:lineRule="exact"/>
              <w:jc w:val="center"/>
              <w:rPr>
                <w:rFonts w:ascii="宋体" w:hAnsi="宋体"/>
                <w:sz w:val="28"/>
                <w:szCs w:val="28"/>
              </w:rPr>
            </w:pPr>
          </w:p>
        </w:tc>
        <w:tc>
          <w:tcPr>
            <w:tcW w:w="617" w:type="dxa"/>
            <w:shd w:val="clear" w:color="auto" w:fill="auto"/>
            <w:vAlign w:val="center"/>
          </w:tcPr>
          <w:p w14:paraId="542EAD1F">
            <w:pPr>
              <w:spacing w:line="300" w:lineRule="exact"/>
              <w:jc w:val="center"/>
              <w:rPr>
                <w:rFonts w:ascii="宋体" w:hAnsi="宋体"/>
                <w:sz w:val="28"/>
                <w:szCs w:val="28"/>
              </w:rPr>
            </w:pPr>
          </w:p>
        </w:tc>
        <w:tc>
          <w:tcPr>
            <w:tcW w:w="737" w:type="dxa"/>
            <w:shd w:val="clear" w:color="auto" w:fill="auto"/>
            <w:vAlign w:val="center"/>
          </w:tcPr>
          <w:p w14:paraId="314FB059">
            <w:pPr>
              <w:spacing w:line="300" w:lineRule="exact"/>
              <w:jc w:val="center"/>
              <w:rPr>
                <w:rFonts w:ascii="宋体" w:hAnsi="宋体"/>
                <w:sz w:val="28"/>
                <w:szCs w:val="28"/>
              </w:rPr>
            </w:pPr>
          </w:p>
        </w:tc>
        <w:tc>
          <w:tcPr>
            <w:tcW w:w="903" w:type="dxa"/>
            <w:shd w:val="clear" w:color="auto" w:fill="auto"/>
            <w:vAlign w:val="center"/>
          </w:tcPr>
          <w:p w14:paraId="1BE1CAD7">
            <w:pPr>
              <w:spacing w:line="300" w:lineRule="exact"/>
              <w:jc w:val="center"/>
              <w:rPr>
                <w:rFonts w:ascii="宋体" w:hAnsi="宋体"/>
                <w:sz w:val="28"/>
                <w:szCs w:val="28"/>
              </w:rPr>
            </w:pPr>
          </w:p>
        </w:tc>
      </w:tr>
      <w:tr w14:paraId="22015E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14012B4B">
            <w:pPr>
              <w:spacing w:line="300" w:lineRule="exact"/>
              <w:jc w:val="left"/>
              <w:rPr>
                <w:rFonts w:ascii="宋体" w:hAnsi="宋体"/>
                <w:b/>
                <w:sz w:val="28"/>
                <w:szCs w:val="28"/>
              </w:rPr>
            </w:pPr>
            <w:r>
              <w:rPr>
                <w:rFonts w:hint="eastAsia" w:ascii="宋体" w:hAnsi="宋体"/>
                <w:b/>
                <w:sz w:val="28"/>
                <w:szCs w:val="28"/>
              </w:rPr>
              <w:t>　　社区日常管理</w:t>
            </w:r>
          </w:p>
        </w:tc>
        <w:tc>
          <w:tcPr>
            <w:tcW w:w="1276" w:type="dxa"/>
            <w:shd w:val="clear" w:color="auto" w:fill="auto"/>
            <w:vAlign w:val="center"/>
          </w:tcPr>
          <w:p w14:paraId="125AA4B7">
            <w:pPr>
              <w:spacing w:line="300" w:lineRule="exact"/>
              <w:jc w:val="left"/>
              <w:rPr>
                <w:rFonts w:ascii="宋体" w:hAnsi="宋体"/>
                <w:sz w:val="28"/>
                <w:szCs w:val="28"/>
              </w:rPr>
            </w:pPr>
            <w:r>
              <w:rPr>
                <w:rFonts w:ascii="宋体" w:hAnsi="宋体"/>
                <w:sz w:val="28"/>
                <w:szCs w:val="28"/>
              </w:rPr>
              <w:t>168.88</w:t>
            </w:r>
          </w:p>
        </w:tc>
        <w:tc>
          <w:tcPr>
            <w:tcW w:w="3216" w:type="dxa"/>
            <w:shd w:val="clear" w:color="auto" w:fill="auto"/>
            <w:vAlign w:val="center"/>
          </w:tcPr>
          <w:p w14:paraId="7A14C3F9">
            <w:pPr>
              <w:spacing w:line="300" w:lineRule="exact"/>
              <w:jc w:val="left"/>
              <w:rPr>
                <w:rFonts w:ascii="宋体" w:hAnsi="宋体"/>
                <w:sz w:val="28"/>
                <w:szCs w:val="28"/>
              </w:rPr>
            </w:pPr>
            <w:r>
              <w:rPr>
                <w:rFonts w:hint="eastAsia" w:ascii="宋体" w:hAnsi="宋体"/>
                <w:sz w:val="28"/>
                <w:szCs w:val="28"/>
              </w:rPr>
              <w:t>抓好项目落实，疏通融资渠道</w:t>
            </w:r>
          </w:p>
        </w:tc>
        <w:tc>
          <w:tcPr>
            <w:tcW w:w="2910" w:type="dxa"/>
            <w:shd w:val="clear" w:color="auto" w:fill="auto"/>
            <w:vAlign w:val="center"/>
          </w:tcPr>
          <w:p w14:paraId="7D6136CF">
            <w:pPr>
              <w:spacing w:line="300" w:lineRule="exact"/>
              <w:jc w:val="left"/>
              <w:rPr>
                <w:rFonts w:ascii="宋体" w:hAnsi="宋体"/>
                <w:sz w:val="28"/>
                <w:szCs w:val="28"/>
              </w:rPr>
            </w:pPr>
            <w:r>
              <w:rPr>
                <w:rFonts w:hint="eastAsia" w:ascii="宋体" w:hAnsi="宋体"/>
                <w:sz w:val="28"/>
                <w:szCs w:val="28"/>
              </w:rPr>
              <w:t>加强社区电力、交通、水利、经济活动场所建设，改善民生，助推经济发展</w:t>
            </w:r>
          </w:p>
        </w:tc>
        <w:tc>
          <w:tcPr>
            <w:tcW w:w="1530" w:type="dxa"/>
            <w:shd w:val="clear" w:color="auto" w:fill="auto"/>
            <w:vAlign w:val="center"/>
          </w:tcPr>
          <w:p w14:paraId="474904C7">
            <w:pPr>
              <w:spacing w:line="300" w:lineRule="exact"/>
              <w:jc w:val="left"/>
              <w:rPr>
                <w:rFonts w:ascii="宋体" w:hAnsi="宋体"/>
                <w:sz w:val="28"/>
                <w:szCs w:val="28"/>
              </w:rPr>
            </w:pPr>
            <w:r>
              <w:rPr>
                <w:rFonts w:hint="eastAsia" w:ascii="宋体" w:hAnsi="宋体"/>
                <w:sz w:val="28"/>
                <w:szCs w:val="28"/>
              </w:rPr>
              <w:t>基础设施发展率</w:t>
            </w:r>
          </w:p>
        </w:tc>
        <w:tc>
          <w:tcPr>
            <w:tcW w:w="570" w:type="dxa"/>
            <w:shd w:val="clear" w:color="auto" w:fill="auto"/>
            <w:vAlign w:val="center"/>
          </w:tcPr>
          <w:p w14:paraId="026E88BD">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100%</w:t>
            </w:r>
          </w:p>
        </w:tc>
        <w:tc>
          <w:tcPr>
            <w:tcW w:w="617" w:type="dxa"/>
            <w:shd w:val="clear" w:color="auto" w:fill="auto"/>
            <w:vAlign w:val="center"/>
          </w:tcPr>
          <w:p w14:paraId="76D689E7">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95%</w:t>
            </w:r>
          </w:p>
        </w:tc>
        <w:tc>
          <w:tcPr>
            <w:tcW w:w="737" w:type="dxa"/>
            <w:shd w:val="clear" w:color="auto" w:fill="auto"/>
            <w:vAlign w:val="center"/>
          </w:tcPr>
          <w:p w14:paraId="2EC3F92F">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90%</w:t>
            </w:r>
          </w:p>
        </w:tc>
        <w:tc>
          <w:tcPr>
            <w:tcW w:w="903" w:type="dxa"/>
            <w:shd w:val="clear" w:color="auto" w:fill="auto"/>
            <w:vAlign w:val="center"/>
          </w:tcPr>
          <w:p w14:paraId="09327442">
            <w:pPr>
              <w:spacing w:line="300" w:lineRule="exact"/>
              <w:jc w:val="center"/>
              <w:rPr>
                <w:rFonts w:ascii="宋体" w:hAnsi="宋体"/>
                <w:sz w:val="28"/>
                <w:szCs w:val="28"/>
              </w:rPr>
            </w:pPr>
            <w:r>
              <w:rPr>
                <w:rFonts w:ascii="宋体" w:hAnsi="宋体"/>
                <w:sz w:val="28"/>
                <w:szCs w:val="28"/>
              </w:rPr>
              <w:t>&lt;90%</w:t>
            </w:r>
          </w:p>
        </w:tc>
      </w:tr>
      <w:tr w14:paraId="1FF23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2B52F268">
            <w:pPr>
              <w:spacing w:line="300" w:lineRule="exact"/>
              <w:jc w:val="left"/>
              <w:rPr>
                <w:rFonts w:ascii="宋体" w:hAnsi="宋体"/>
                <w:b/>
                <w:sz w:val="28"/>
                <w:szCs w:val="28"/>
              </w:rPr>
            </w:pPr>
            <w:r>
              <w:rPr>
                <w:rFonts w:hint="eastAsia" w:ascii="宋体" w:hAnsi="宋体"/>
                <w:b/>
                <w:sz w:val="28"/>
                <w:szCs w:val="28"/>
              </w:rPr>
              <w:t>　　社区工作活动</w:t>
            </w:r>
          </w:p>
        </w:tc>
        <w:tc>
          <w:tcPr>
            <w:tcW w:w="1276" w:type="dxa"/>
            <w:shd w:val="clear" w:color="auto" w:fill="auto"/>
            <w:vAlign w:val="center"/>
          </w:tcPr>
          <w:p w14:paraId="29D414FF">
            <w:pPr>
              <w:spacing w:line="300" w:lineRule="exact"/>
              <w:jc w:val="left"/>
              <w:rPr>
                <w:rFonts w:ascii="宋体" w:hAnsi="宋体"/>
                <w:sz w:val="28"/>
                <w:szCs w:val="28"/>
              </w:rPr>
            </w:pPr>
          </w:p>
        </w:tc>
        <w:tc>
          <w:tcPr>
            <w:tcW w:w="3216" w:type="dxa"/>
            <w:shd w:val="clear" w:color="auto" w:fill="auto"/>
            <w:vAlign w:val="center"/>
          </w:tcPr>
          <w:p w14:paraId="5D222741">
            <w:pPr>
              <w:spacing w:line="300" w:lineRule="exact"/>
              <w:jc w:val="left"/>
              <w:rPr>
                <w:rFonts w:ascii="宋体" w:hAnsi="宋体"/>
                <w:sz w:val="28"/>
                <w:szCs w:val="28"/>
              </w:rPr>
            </w:pPr>
            <w:r>
              <w:rPr>
                <w:rFonts w:hint="eastAsia" w:ascii="宋体" w:hAnsi="宋体"/>
                <w:sz w:val="28"/>
                <w:szCs w:val="28"/>
              </w:rPr>
              <w:t>做好信息的上报下达，完成上级交派的各项任务</w:t>
            </w:r>
          </w:p>
        </w:tc>
        <w:tc>
          <w:tcPr>
            <w:tcW w:w="2910" w:type="dxa"/>
            <w:shd w:val="clear" w:color="auto" w:fill="auto"/>
            <w:vAlign w:val="center"/>
          </w:tcPr>
          <w:p w14:paraId="64840D97">
            <w:pPr>
              <w:spacing w:line="300" w:lineRule="exact"/>
              <w:jc w:val="left"/>
              <w:rPr>
                <w:rFonts w:ascii="宋体" w:hAnsi="宋体"/>
                <w:sz w:val="28"/>
                <w:szCs w:val="28"/>
              </w:rPr>
            </w:pPr>
            <w:r>
              <w:rPr>
                <w:rFonts w:hint="eastAsia" w:ascii="宋体" w:hAnsi="宋体"/>
                <w:sz w:val="28"/>
                <w:szCs w:val="28"/>
              </w:rPr>
              <w:t>信息采集及上报及时，按时限完成各项工作</w:t>
            </w:r>
          </w:p>
        </w:tc>
        <w:tc>
          <w:tcPr>
            <w:tcW w:w="1530" w:type="dxa"/>
            <w:shd w:val="clear" w:color="auto" w:fill="auto"/>
            <w:vAlign w:val="center"/>
          </w:tcPr>
          <w:p w14:paraId="65E6937C">
            <w:pPr>
              <w:spacing w:line="300" w:lineRule="exact"/>
              <w:jc w:val="left"/>
              <w:rPr>
                <w:rFonts w:ascii="宋体" w:hAnsi="宋体"/>
                <w:sz w:val="28"/>
                <w:szCs w:val="28"/>
              </w:rPr>
            </w:pPr>
            <w:r>
              <w:rPr>
                <w:rFonts w:hint="eastAsia" w:ascii="宋体" w:hAnsi="宋体"/>
                <w:sz w:val="28"/>
                <w:szCs w:val="28"/>
              </w:rPr>
              <w:t>工作完成率</w:t>
            </w:r>
          </w:p>
        </w:tc>
        <w:tc>
          <w:tcPr>
            <w:tcW w:w="570" w:type="dxa"/>
            <w:shd w:val="clear" w:color="auto" w:fill="auto"/>
            <w:vAlign w:val="center"/>
          </w:tcPr>
          <w:p w14:paraId="48BF652C">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100%</w:t>
            </w:r>
          </w:p>
        </w:tc>
        <w:tc>
          <w:tcPr>
            <w:tcW w:w="617" w:type="dxa"/>
            <w:shd w:val="clear" w:color="auto" w:fill="auto"/>
            <w:vAlign w:val="center"/>
          </w:tcPr>
          <w:p w14:paraId="2058C842">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95%</w:t>
            </w:r>
          </w:p>
        </w:tc>
        <w:tc>
          <w:tcPr>
            <w:tcW w:w="737" w:type="dxa"/>
            <w:shd w:val="clear" w:color="auto" w:fill="auto"/>
            <w:vAlign w:val="center"/>
          </w:tcPr>
          <w:p w14:paraId="3EAB60B8">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90%</w:t>
            </w:r>
          </w:p>
        </w:tc>
        <w:tc>
          <w:tcPr>
            <w:tcW w:w="903" w:type="dxa"/>
            <w:shd w:val="clear" w:color="auto" w:fill="auto"/>
            <w:vAlign w:val="center"/>
          </w:tcPr>
          <w:p w14:paraId="6E4994A6">
            <w:pPr>
              <w:spacing w:line="300" w:lineRule="exact"/>
              <w:jc w:val="center"/>
              <w:rPr>
                <w:rFonts w:ascii="宋体" w:hAnsi="宋体"/>
                <w:sz w:val="28"/>
                <w:szCs w:val="28"/>
              </w:rPr>
            </w:pPr>
            <w:r>
              <w:rPr>
                <w:rFonts w:ascii="宋体" w:hAnsi="宋体"/>
                <w:sz w:val="28"/>
                <w:szCs w:val="28"/>
              </w:rPr>
              <w:t>&lt;90%</w:t>
            </w:r>
          </w:p>
        </w:tc>
      </w:tr>
      <w:tr w14:paraId="73A08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606E5B33">
            <w:pPr>
              <w:spacing w:line="300" w:lineRule="exact"/>
              <w:jc w:val="left"/>
              <w:rPr>
                <w:rFonts w:ascii="宋体" w:hAnsi="宋体"/>
                <w:b/>
                <w:sz w:val="28"/>
                <w:szCs w:val="28"/>
              </w:rPr>
            </w:pPr>
            <w:r>
              <w:rPr>
                <w:rFonts w:hint="eastAsia" w:ascii="宋体" w:hAnsi="宋体"/>
                <w:b/>
                <w:sz w:val="28"/>
                <w:szCs w:val="28"/>
              </w:rPr>
              <w:t>　　信访活动</w:t>
            </w:r>
          </w:p>
        </w:tc>
        <w:tc>
          <w:tcPr>
            <w:tcW w:w="1276" w:type="dxa"/>
            <w:shd w:val="clear" w:color="auto" w:fill="auto"/>
            <w:vAlign w:val="center"/>
          </w:tcPr>
          <w:p w14:paraId="295A9A37">
            <w:pPr>
              <w:spacing w:line="300" w:lineRule="exact"/>
              <w:jc w:val="left"/>
              <w:rPr>
                <w:rFonts w:ascii="宋体" w:hAnsi="宋体"/>
                <w:sz w:val="28"/>
                <w:szCs w:val="28"/>
              </w:rPr>
            </w:pPr>
          </w:p>
        </w:tc>
        <w:tc>
          <w:tcPr>
            <w:tcW w:w="3216" w:type="dxa"/>
            <w:shd w:val="clear" w:color="auto" w:fill="auto"/>
            <w:vAlign w:val="center"/>
          </w:tcPr>
          <w:p w14:paraId="1A5DCB40">
            <w:pPr>
              <w:spacing w:line="300" w:lineRule="exact"/>
              <w:jc w:val="left"/>
              <w:rPr>
                <w:rFonts w:ascii="宋体" w:hAnsi="宋体"/>
                <w:sz w:val="28"/>
                <w:szCs w:val="28"/>
              </w:rPr>
            </w:pPr>
            <w:r>
              <w:rPr>
                <w:rFonts w:hint="eastAsia" w:ascii="宋体" w:hAnsi="宋体"/>
                <w:sz w:val="28"/>
                <w:szCs w:val="28"/>
              </w:rPr>
              <w:t>处理人民群众来信、来访</w:t>
            </w:r>
          </w:p>
        </w:tc>
        <w:tc>
          <w:tcPr>
            <w:tcW w:w="2910" w:type="dxa"/>
            <w:shd w:val="clear" w:color="auto" w:fill="auto"/>
            <w:vAlign w:val="center"/>
          </w:tcPr>
          <w:p w14:paraId="34CE67AB">
            <w:pPr>
              <w:spacing w:line="300" w:lineRule="exact"/>
              <w:jc w:val="left"/>
              <w:rPr>
                <w:rFonts w:ascii="宋体" w:hAnsi="宋体"/>
                <w:sz w:val="28"/>
                <w:szCs w:val="28"/>
              </w:rPr>
            </w:pPr>
            <w:r>
              <w:rPr>
                <w:rFonts w:hint="eastAsia" w:ascii="宋体" w:hAnsi="宋体"/>
                <w:sz w:val="28"/>
                <w:szCs w:val="28"/>
              </w:rPr>
              <w:t>接待和处理人民群众反映的情况和问题</w:t>
            </w:r>
          </w:p>
        </w:tc>
        <w:tc>
          <w:tcPr>
            <w:tcW w:w="1530" w:type="dxa"/>
            <w:shd w:val="clear" w:color="auto" w:fill="auto"/>
            <w:vAlign w:val="center"/>
          </w:tcPr>
          <w:p w14:paraId="58F001B1">
            <w:pPr>
              <w:spacing w:line="300" w:lineRule="exact"/>
              <w:jc w:val="left"/>
              <w:rPr>
                <w:rFonts w:ascii="宋体" w:hAnsi="宋体"/>
                <w:sz w:val="28"/>
                <w:szCs w:val="28"/>
              </w:rPr>
            </w:pPr>
            <w:r>
              <w:rPr>
                <w:rFonts w:hint="eastAsia" w:ascii="宋体" w:hAnsi="宋体"/>
                <w:sz w:val="28"/>
                <w:szCs w:val="28"/>
              </w:rPr>
              <w:t>信访案件处理率</w:t>
            </w:r>
          </w:p>
        </w:tc>
        <w:tc>
          <w:tcPr>
            <w:tcW w:w="570" w:type="dxa"/>
            <w:shd w:val="clear" w:color="auto" w:fill="auto"/>
            <w:vAlign w:val="center"/>
          </w:tcPr>
          <w:p w14:paraId="2DA27990">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100%</w:t>
            </w:r>
          </w:p>
        </w:tc>
        <w:tc>
          <w:tcPr>
            <w:tcW w:w="617" w:type="dxa"/>
            <w:shd w:val="clear" w:color="auto" w:fill="auto"/>
            <w:vAlign w:val="center"/>
          </w:tcPr>
          <w:p w14:paraId="7477FCFA">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95%</w:t>
            </w:r>
          </w:p>
        </w:tc>
        <w:tc>
          <w:tcPr>
            <w:tcW w:w="737" w:type="dxa"/>
            <w:shd w:val="clear" w:color="auto" w:fill="auto"/>
            <w:vAlign w:val="center"/>
          </w:tcPr>
          <w:p w14:paraId="594DD54C">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90%</w:t>
            </w:r>
          </w:p>
        </w:tc>
        <w:tc>
          <w:tcPr>
            <w:tcW w:w="903" w:type="dxa"/>
            <w:shd w:val="clear" w:color="auto" w:fill="auto"/>
            <w:vAlign w:val="center"/>
          </w:tcPr>
          <w:p w14:paraId="267BB508">
            <w:pPr>
              <w:spacing w:line="300" w:lineRule="exact"/>
              <w:jc w:val="center"/>
              <w:rPr>
                <w:rFonts w:ascii="宋体" w:hAnsi="宋体"/>
                <w:sz w:val="28"/>
                <w:szCs w:val="28"/>
              </w:rPr>
            </w:pPr>
            <w:r>
              <w:rPr>
                <w:rFonts w:ascii="宋体" w:hAnsi="宋体"/>
                <w:sz w:val="28"/>
                <w:szCs w:val="28"/>
              </w:rPr>
              <w:t>&lt;90%</w:t>
            </w:r>
          </w:p>
        </w:tc>
      </w:tr>
      <w:tr w14:paraId="66E05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2CD1372F">
            <w:pPr>
              <w:spacing w:line="300" w:lineRule="exact"/>
              <w:jc w:val="left"/>
              <w:rPr>
                <w:rFonts w:ascii="宋体" w:hAnsi="宋体"/>
                <w:b/>
                <w:sz w:val="28"/>
                <w:szCs w:val="28"/>
              </w:rPr>
            </w:pPr>
            <w:r>
              <w:rPr>
                <w:rFonts w:hint="eastAsia" w:ascii="宋体" w:hAnsi="宋体"/>
                <w:b/>
                <w:sz w:val="28"/>
                <w:szCs w:val="28"/>
              </w:rPr>
              <w:t>　　发展社区服务</w:t>
            </w:r>
          </w:p>
        </w:tc>
        <w:tc>
          <w:tcPr>
            <w:tcW w:w="1276" w:type="dxa"/>
            <w:shd w:val="clear" w:color="auto" w:fill="auto"/>
            <w:vAlign w:val="center"/>
          </w:tcPr>
          <w:p w14:paraId="5E532572">
            <w:pPr>
              <w:spacing w:line="300" w:lineRule="exact"/>
              <w:jc w:val="left"/>
              <w:rPr>
                <w:rFonts w:ascii="宋体" w:hAnsi="宋体"/>
                <w:sz w:val="28"/>
                <w:szCs w:val="28"/>
              </w:rPr>
            </w:pPr>
          </w:p>
        </w:tc>
        <w:tc>
          <w:tcPr>
            <w:tcW w:w="3216" w:type="dxa"/>
            <w:shd w:val="clear" w:color="auto" w:fill="auto"/>
            <w:vAlign w:val="center"/>
          </w:tcPr>
          <w:p w14:paraId="03A65CC8">
            <w:pPr>
              <w:spacing w:line="300" w:lineRule="exact"/>
              <w:jc w:val="left"/>
              <w:rPr>
                <w:rFonts w:ascii="宋体" w:hAnsi="宋体"/>
                <w:sz w:val="28"/>
                <w:szCs w:val="28"/>
              </w:rPr>
            </w:pPr>
            <w:r>
              <w:rPr>
                <w:rFonts w:hint="eastAsia" w:ascii="宋体" w:hAnsi="宋体"/>
                <w:sz w:val="28"/>
                <w:szCs w:val="28"/>
              </w:rPr>
              <w:t>开展老年人服务，残疾人服务、精神卫生服务、便民利民服务、民俗改革服务等多种形式服务</w:t>
            </w:r>
          </w:p>
        </w:tc>
        <w:tc>
          <w:tcPr>
            <w:tcW w:w="2910" w:type="dxa"/>
            <w:shd w:val="clear" w:color="auto" w:fill="auto"/>
            <w:vAlign w:val="center"/>
          </w:tcPr>
          <w:p w14:paraId="23162281">
            <w:pPr>
              <w:spacing w:line="300" w:lineRule="exact"/>
              <w:jc w:val="left"/>
              <w:rPr>
                <w:rFonts w:ascii="宋体" w:hAnsi="宋体"/>
                <w:sz w:val="28"/>
                <w:szCs w:val="28"/>
              </w:rPr>
            </w:pPr>
            <w:r>
              <w:rPr>
                <w:rFonts w:hint="eastAsia" w:ascii="宋体" w:hAnsi="宋体"/>
                <w:sz w:val="28"/>
                <w:szCs w:val="28"/>
              </w:rPr>
              <w:t>关爱弱势群体、帮扶困难群众</w:t>
            </w:r>
          </w:p>
        </w:tc>
        <w:tc>
          <w:tcPr>
            <w:tcW w:w="1530" w:type="dxa"/>
            <w:shd w:val="clear" w:color="auto" w:fill="auto"/>
            <w:vAlign w:val="center"/>
          </w:tcPr>
          <w:p w14:paraId="2C78CA54">
            <w:pPr>
              <w:spacing w:line="300" w:lineRule="exact"/>
              <w:jc w:val="left"/>
              <w:rPr>
                <w:rFonts w:ascii="宋体" w:hAnsi="宋体"/>
                <w:sz w:val="28"/>
                <w:szCs w:val="28"/>
              </w:rPr>
            </w:pPr>
            <w:r>
              <w:rPr>
                <w:rFonts w:hint="eastAsia" w:ascii="宋体" w:hAnsi="宋体"/>
                <w:sz w:val="28"/>
                <w:szCs w:val="28"/>
              </w:rPr>
              <w:t>为民服务率</w:t>
            </w:r>
          </w:p>
        </w:tc>
        <w:tc>
          <w:tcPr>
            <w:tcW w:w="570" w:type="dxa"/>
            <w:shd w:val="clear" w:color="auto" w:fill="auto"/>
            <w:vAlign w:val="center"/>
          </w:tcPr>
          <w:p w14:paraId="3BAEA6FB">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98%</w:t>
            </w:r>
          </w:p>
        </w:tc>
        <w:tc>
          <w:tcPr>
            <w:tcW w:w="617" w:type="dxa"/>
            <w:shd w:val="clear" w:color="auto" w:fill="auto"/>
            <w:vAlign w:val="center"/>
          </w:tcPr>
          <w:p w14:paraId="56947058">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95%</w:t>
            </w:r>
          </w:p>
        </w:tc>
        <w:tc>
          <w:tcPr>
            <w:tcW w:w="737" w:type="dxa"/>
            <w:shd w:val="clear" w:color="auto" w:fill="auto"/>
            <w:vAlign w:val="center"/>
          </w:tcPr>
          <w:p w14:paraId="12A84521">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92%</w:t>
            </w:r>
          </w:p>
        </w:tc>
        <w:tc>
          <w:tcPr>
            <w:tcW w:w="903" w:type="dxa"/>
            <w:shd w:val="clear" w:color="auto" w:fill="auto"/>
            <w:vAlign w:val="center"/>
          </w:tcPr>
          <w:p w14:paraId="2C795D5A">
            <w:pPr>
              <w:spacing w:line="300" w:lineRule="exact"/>
              <w:jc w:val="center"/>
              <w:rPr>
                <w:rFonts w:ascii="宋体" w:hAnsi="宋体"/>
                <w:sz w:val="28"/>
                <w:szCs w:val="28"/>
              </w:rPr>
            </w:pPr>
            <w:r>
              <w:rPr>
                <w:rFonts w:ascii="宋体" w:hAnsi="宋体"/>
                <w:sz w:val="28"/>
                <w:szCs w:val="28"/>
              </w:rPr>
              <w:t>&lt;92%</w:t>
            </w:r>
          </w:p>
        </w:tc>
      </w:tr>
      <w:tr w14:paraId="26FDC8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3AB80CC0">
            <w:pPr>
              <w:spacing w:line="300" w:lineRule="exact"/>
              <w:jc w:val="left"/>
              <w:rPr>
                <w:rFonts w:ascii="宋体" w:hAnsi="宋体"/>
                <w:b/>
                <w:sz w:val="28"/>
                <w:szCs w:val="28"/>
              </w:rPr>
            </w:pPr>
            <w:r>
              <w:rPr>
                <w:rFonts w:hint="eastAsia" w:ascii="宋体" w:hAnsi="宋体"/>
                <w:b/>
                <w:sz w:val="28"/>
                <w:szCs w:val="28"/>
              </w:rPr>
              <w:t>　　社区环境治理工作</w:t>
            </w:r>
          </w:p>
        </w:tc>
        <w:tc>
          <w:tcPr>
            <w:tcW w:w="1276" w:type="dxa"/>
            <w:shd w:val="clear" w:color="auto" w:fill="auto"/>
            <w:vAlign w:val="center"/>
          </w:tcPr>
          <w:p w14:paraId="4752ECE7">
            <w:pPr>
              <w:spacing w:line="300" w:lineRule="exact"/>
              <w:jc w:val="left"/>
              <w:rPr>
                <w:rFonts w:ascii="宋体" w:hAnsi="宋体"/>
                <w:sz w:val="28"/>
                <w:szCs w:val="28"/>
              </w:rPr>
            </w:pPr>
          </w:p>
        </w:tc>
        <w:tc>
          <w:tcPr>
            <w:tcW w:w="3216" w:type="dxa"/>
            <w:shd w:val="clear" w:color="auto" w:fill="auto"/>
            <w:vAlign w:val="center"/>
          </w:tcPr>
          <w:p w14:paraId="624EC9E0">
            <w:pPr>
              <w:spacing w:line="300" w:lineRule="exact"/>
              <w:jc w:val="left"/>
              <w:rPr>
                <w:rFonts w:ascii="宋体" w:hAnsi="宋体"/>
                <w:sz w:val="28"/>
                <w:szCs w:val="28"/>
              </w:rPr>
            </w:pPr>
            <w:r>
              <w:rPr>
                <w:rFonts w:hint="eastAsia" w:ascii="宋体" w:hAnsi="宋体"/>
                <w:sz w:val="28"/>
                <w:szCs w:val="28"/>
              </w:rPr>
              <w:t>做好城市市容、环境卫生、市政设施、园林绿化、环境保护</w:t>
            </w:r>
          </w:p>
        </w:tc>
        <w:tc>
          <w:tcPr>
            <w:tcW w:w="2910" w:type="dxa"/>
            <w:shd w:val="clear" w:color="auto" w:fill="auto"/>
            <w:vAlign w:val="center"/>
          </w:tcPr>
          <w:p w14:paraId="52058C5D">
            <w:pPr>
              <w:spacing w:line="300" w:lineRule="exact"/>
              <w:jc w:val="left"/>
              <w:rPr>
                <w:rFonts w:ascii="宋体" w:hAnsi="宋体"/>
                <w:sz w:val="28"/>
                <w:szCs w:val="28"/>
              </w:rPr>
            </w:pPr>
            <w:r>
              <w:rPr>
                <w:rFonts w:hint="eastAsia" w:ascii="宋体" w:hAnsi="宋体"/>
                <w:sz w:val="28"/>
                <w:szCs w:val="28"/>
              </w:rPr>
              <w:t>改善社区生活环境</w:t>
            </w:r>
          </w:p>
        </w:tc>
        <w:tc>
          <w:tcPr>
            <w:tcW w:w="1530" w:type="dxa"/>
            <w:shd w:val="clear" w:color="auto" w:fill="auto"/>
            <w:vAlign w:val="center"/>
          </w:tcPr>
          <w:p w14:paraId="6F06D915">
            <w:pPr>
              <w:spacing w:line="300" w:lineRule="exact"/>
              <w:jc w:val="left"/>
              <w:rPr>
                <w:rFonts w:ascii="宋体" w:hAnsi="宋体"/>
                <w:sz w:val="28"/>
                <w:szCs w:val="28"/>
              </w:rPr>
            </w:pPr>
            <w:r>
              <w:rPr>
                <w:rFonts w:hint="eastAsia" w:ascii="宋体" w:hAnsi="宋体"/>
                <w:sz w:val="28"/>
                <w:szCs w:val="28"/>
              </w:rPr>
              <w:t>改善环境</w:t>
            </w:r>
          </w:p>
        </w:tc>
        <w:tc>
          <w:tcPr>
            <w:tcW w:w="570" w:type="dxa"/>
            <w:shd w:val="clear" w:color="auto" w:fill="auto"/>
            <w:vAlign w:val="center"/>
          </w:tcPr>
          <w:p w14:paraId="5E8EAEA7">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95%</w:t>
            </w:r>
          </w:p>
        </w:tc>
        <w:tc>
          <w:tcPr>
            <w:tcW w:w="617" w:type="dxa"/>
            <w:shd w:val="clear" w:color="auto" w:fill="auto"/>
            <w:vAlign w:val="center"/>
          </w:tcPr>
          <w:p w14:paraId="62DF0DD4">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90%</w:t>
            </w:r>
          </w:p>
        </w:tc>
        <w:tc>
          <w:tcPr>
            <w:tcW w:w="737" w:type="dxa"/>
            <w:shd w:val="clear" w:color="auto" w:fill="auto"/>
            <w:vAlign w:val="center"/>
          </w:tcPr>
          <w:p w14:paraId="225C9FA2">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85%</w:t>
            </w:r>
          </w:p>
        </w:tc>
        <w:tc>
          <w:tcPr>
            <w:tcW w:w="903" w:type="dxa"/>
            <w:shd w:val="clear" w:color="auto" w:fill="auto"/>
            <w:vAlign w:val="center"/>
          </w:tcPr>
          <w:p w14:paraId="0E18903E">
            <w:pPr>
              <w:spacing w:line="300" w:lineRule="exact"/>
              <w:jc w:val="center"/>
              <w:rPr>
                <w:rFonts w:ascii="宋体" w:hAnsi="宋体"/>
                <w:sz w:val="28"/>
                <w:szCs w:val="28"/>
              </w:rPr>
            </w:pPr>
            <w:r>
              <w:rPr>
                <w:rFonts w:ascii="宋体" w:hAnsi="宋体"/>
                <w:sz w:val="28"/>
                <w:szCs w:val="28"/>
              </w:rPr>
              <w:t>&lt;80%</w:t>
            </w:r>
          </w:p>
        </w:tc>
      </w:tr>
      <w:tr w14:paraId="6542A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48E1E988">
            <w:pPr>
              <w:spacing w:line="300" w:lineRule="exact"/>
              <w:jc w:val="left"/>
              <w:rPr>
                <w:rFonts w:ascii="宋体" w:hAnsi="宋体"/>
                <w:b/>
                <w:sz w:val="28"/>
                <w:szCs w:val="28"/>
              </w:rPr>
            </w:pPr>
            <w:r>
              <w:rPr>
                <w:rFonts w:hint="eastAsia" w:ascii="宋体" w:hAnsi="宋体"/>
                <w:b/>
                <w:sz w:val="28"/>
                <w:szCs w:val="28"/>
              </w:rPr>
              <w:t>　　社会保障</w:t>
            </w:r>
          </w:p>
        </w:tc>
        <w:tc>
          <w:tcPr>
            <w:tcW w:w="1276" w:type="dxa"/>
            <w:shd w:val="clear" w:color="auto" w:fill="auto"/>
            <w:vAlign w:val="center"/>
          </w:tcPr>
          <w:p w14:paraId="0243ABF1">
            <w:pPr>
              <w:spacing w:line="300" w:lineRule="exact"/>
              <w:jc w:val="left"/>
              <w:rPr>
                <w:rFonts w:ascii="宋体" w:hAnsi="宋体"/>
                <w:sz w:val="28"/>
                <w:szCs w:val="28"/>
              </w:rPr>
            </w:pPr>
          </w:p>
        </w:tc>
        <w:tc>
          <w:tcPr>
            <w:tcW w:w="3216" w:type="dxa"/>
            <w:shd w:val="clear" w:color="auto" w:fill="auto"/>
            <w:vAlign w:val="center"/>
          </w:tcPr>
          <w:p w14:paraId="7ECB0594">
            <w:pPr>
              <w:spacing w:line="300" w:lineRule="exact"/>
              <w:jc w:val="left"/>
              <w:rPr>
                <w:rFonts w:ascii="宋体" w:hAnsi="宋体"/>
                <w:sz w:val="28"/>
                <w:szCs w:val="28"/>
              </w:rPr>
            </w:pPr>
            <w:r>
              <w:rPr>
                <w:rFonts w:hint="eastAsia" w:ascii="宋体" w:hAnsi="宋体"/>
                <w:sz w:val="28"/>
                <w:szCs w:val="28"/>
              </w:rPr>
              <w:t>做好城镇居民养老保险、医疗保险及下岗无业人员就业安置</w:t>
            </w:r>
          </w:p>
        </w:tc>
        <w:tc>
          <w:tcPr>
            <w:tcW w:w="2910" w:type="dxa"/>
            <w:shd w:val="clear" w:color="auto" w:fill="auto"/>
            <w:vAlign w:val="center"/>
          </w:tcPr>
          <w:p w14:paraId="44A3DA81">
            <w:pPr>
              <w:spacing w:line="300" w:lineRule="exact"/>
              <w:jc w:val="left"/>
              <w:rPr>
                <w:rFonts w:ascii="宋体" w:hAnsi="宋体"/>
                <w:sz w:val="28"/>
                <w:szCs w:val="28"/>
              </w:rPr>
            </w:pPr>
            <w:r>
              <w:rPr>
                <w:rFonts w:hint="eastAsia" w:ascii="宋体" w:hAnsi="宋体"/>
                <w:sz w:val="28"/>
                <w:szCs w:val="28"/>
              </w:rPr>
              <w:t>加强城镇居民社会保障管理按时收缴上报，确保政策的落实</w:t>
            </w:r>
          </w:p>
        </w:tc>
        <w:tc>
          <w:tcPr>
            <w:tcW w:w="1530" w:type="dxa"/>
            <w:shd w:val="clear" w:color="auto" w:fill="auto"/>
            <w:vAlign w:val="center"/>
          </w:tcPr>
          <w:p w14:paraId="2119AD6C">
            <w:pPr>
              <w:spacing w:line="300" w:lineRule="exact"/>
              <w:jc w:val="left"/>
              <w:rPr>
                <w:rFonts w:ascii="宋体" w:hAnsi="宋体"/>
                <w:sz w:val="28"/>
                <w:szCs w:val="28"/>
              </w:rPr>
            </w:pPr>
            <w:r>
              <w:rPr>
                <w:rFonts w:hint="eastAsia" w:ascii="宋体" w:hAnsi="宋体"/>
                <w:sz w:val="28"/>
                <w:szCs w:val="28"/>
              </w:rPr>
              <w:t>参保率</w:t>
            </w:r>
          </w:p>
        </w:tc>
        <w:tc>
          <w:tcPr>
            <w:tcW w:w="570" w:type="dxa"/>
            <w:shd w:val="clear" w:color="auto" w:fill="auto"/>
            <w:vAlign w:val="center"/>
          </w:tcPr>
          <w:p w14:paraId="72ED0EB1">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95%</w:t>
            </w:r>
          </w:p>
        </w:tc>
        <w:tc>
          <w:tcPr>
            <w:tcW w:w="617" w:type="dxa"/>
            <w:shd w:val="clear" w:color="auto" w:fill="auto"/>
            <w:vAlign w:val="center"/>
          </w:tcPr>
          <w:p w14:paraId="5D83628D">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90%</w:t>
            </w:r>
          </w:p>
        </w:tc>
        <w:tc>
          <w:tcPr>
            <w:tcW w:w="737" w:type="dxa"/>
            <w:shd w:val="clear" w:color="auto" w:fill="auto"/>
            <w:vAlign w:val="center"/>
          </w:tcPr>
          <w:p w14:paraId="28F6F42A">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85%</w:t>
            </w:r>
          </w:p>
        </w:tc>
        <w:tc>
          <w:tcPr>
            <w:tcW w:w="903" w:type="dxa"/>
            <w:shd w:val="clear" w:color="auto" w:fill="auto"/>
            <w:vAlign w:val="center"/>
          </w:tcPr>
          <w:p w14:paraId="0C3D73A7">
            <w:pPr>
              <w:spacing w:line="300" w:lineRule="exact"/>
              <w:jc w:val="center"/>
              <w:rPr>
                <w:rFonts w:ascii="宋体" w:hAnsi="宋体"/>
                <w:sz w:val="28"/>
                <w:szCs w:val="28"/>
              </w:rPr>
            </w:pPr>
            <w:r>
              <w:rPr>
                <w:rFonts w:ascii="宋体" w:hAnsi="宋体"/>
                <w:sz w:val="28"/>
                <w:szCs w:val="28"/>
              </w:rPr>
              <w:t>&lt;80%</w:t>
            </w:r>
          </w:p>
        </w:tc>
      </w:tr>
      <w:tr w14:paraId="55494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227D6F9A">
            <w:pPr>
              <w:spacing w:line="300" w:lineRule="exact"/>
              <w:jc w:val="left"/>
              <w:rPr>
                <w:rFonts w:ascii="宋体" w:hAnsi="宋体"/>
                <w:b/>
                <w:sz w:val="28"/>
                <w:szCs w:val="28"/>
              </w:rPr>
            </w:pPr>
            <w:r>
              <w:rPr>
                <w:rFonts w:hint="eastAsia" w:ascii="宋体" w:hAnsi="宋体"/>
                <w:b/>
                <w:sz w:val="28"/>
                <w:szCs w:val="28"/>
              </w:rPr>
              <w:t>　　安保工作</w:t>
            </w:r>
          </w:p>
        </w:tc>
        <w:tc>
          <w:tcPr>
            <w:tcW w:w="1276" w:type="dxa"/>
            <w:shd w:val="clear" w:color="auto" w:fill="auto"/>
            <w:vAlign w:val="center"/>
          </w:tcPr>
          <w:p w14:paraId="5A427576">
            <w:pPr>
              <w:spacing w:line="300" w:lineRule="exact"/>
              <w:jc w:val="left"/>
              <w:rPr>
                <w:rFonts w:ascii="宋体" w:hAnsi="宋体"/>
                <w:sz w:val="28"/>
                <w:szCs w:val="28"/>
              </w:rPr>
            </w:pPr>
          </w:p>
        </w:tc>
        <w:tc>
          <w:tcPr>
            <w:tcW w:w="3216" w:type="dxa"/>
            <w:shd w:val="clear" w:color="auto" w:fill="auto"/>
            <w:vAlign w:val="center"/>
          </w:tcPr>
          <w:p w14:paraId="59C30E59">
            <w:pPr>
              <w:spacing w:line="300" w:lineRule="exact"/>
              <w:jc w:val="left"/>
              <w:rPr>
                <w:rFonts w:ascii="宋体" w:hAnsi="宋体"/>
                <w:sz w:val="28"/>
                <w:szCs w:val="28"/>
              </w:rPr>
            </w:pPr>
            <w:r>
              <w:rPr>
                <w:rFonts w:hint="eastAsia" w:ascii="宋体" w:hAnsi="宋体"/>
                <w:sz w:val="28"/>
                <w:szCs w:val="28"/>
              </w:rPr>
              <w:t>保证社区稳定工作进行，做好对重点人员的监控工作，防止其违法犯罪</w:t>
            </w:r>
          </w:p>
        </w:tc>
        <w:tc>
          <w:tcPr>
            <w:tcW w:w="2910" w:type="dxa"/>
            <w:shd w:val="clear" w:color="auto" w:fill="auto"/>
            <w:vAlign w:val="center"/>
          </w:tcPr>
          <w:p w14:paraId="10698E8B">
            <w:pPr>
              <w:spacing w:line="300" w:lineRule="exact"/>
              <w:jc w:val="left"/>
              <w:rPr>
                <w:rFonts w:ascii="宋体" w:hAnsi="宋体"/>
                <w:sz w:val="28"/>
                <w:szCs w:val="28"/>
              </w:rPr>
            </w:pPr>
            <w:r>
              <w:rPr>
                <w:rFonts w:hint="eastAsia" w:ascii="宋体" w:hAnsi="宋体"/>
                <w:sz w:val="28"/>
                <w:szCs w:val="28"/>
              </w:rPr>
              <w:t>确保社区治安防控工作到位，社会稳定、政治稳定、治安秩序良好。</w:t>
            </w:r>
          </w:p>
        </w:tc>
        <w:tc>
          <w:tcPr>
            <w:tcW w:w="1530" w:type="dxa"/>
            <w:shd w:val="clear" w:color="auto" w:fill="auto"/>
            <w:vAlign w:val="center"/>
          </w:tcPr>
          <w:p w14:paraId="14C9CBA8">
            <w:pPr>
              <w:spacing w:line="300" w:lineRule="exact"/>
              <w:jc w:val="left"/>
              <w:rPr>
                <w:rFonts w:ascii="宋体" w:hAnsi="宋体"/>
                <w:sz w:val="28"/>
                <w:szCs w:val="28"/>
              </w:rPr>
            </w:pPr>
            <w:r>
              <w:rPr>
                <w:rFonts w:hint="eastAsia" w:ascii="宋体" w:hAnsi="宋体"/>
                <w:sz w:val="28"/>
                <w:szCs w:val="28"/>
              </w:rPr>
              <w:t>确保社区稳定</w:t>
            </w:r>
          </w:p>
        </w:tc>
        <w:tc>
          <w:tcPr>
            <w:tcW w:w="570" w:type="dxa"/>
            <w:shd w:val="clear" w:color="auto" w:fill="auto"/>
            <w:vAlign w:val="center"/>
          </w:tcPr>
          <w:p w14:paraId="1BF10015">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95%</w:t>
            </w:r>
          </w:p>
        </w:tc>
        <w:tc>
          <w:tcPr>
            <w:tcW w:w="617" w:type="dxa"/>
            <w:shd w:val="clear" w:color="auto" w:fill="auto"/>
            <w:vAlign w:val="center"/>
          </w:tcPr>
          <w:p w14:paraId="0622B1BB">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90%</w:t>
            </w:r>
          </w:p>
        </w:tc>
        <w:tc>
          <w:tcPr>
            <w:tcW w:w="737" w:type="dxa"/>
            <w:shd w:val="clear" w:color="auto" w:fill="auto"/>
            <w:vAlign w:val="center"/>
          </w:tcPr>
          <w:p w14:paraId="51A9612A">
            <w:pPr>
              <w:spacing w:line="300" w:lineRule="exact"/>
              <w:jc w:val="center"/>
              <w:rPr>
                <w:rFonts w:ascii="宋体" w:hAnsi="宋体"/>
                <w:sz w:val="28"/>
                <w:szCs w:val="28"/>
              </w:rPr>
            </w:pPr>
            <w:r>
              <w:rPr>
                <w:rFonts w:hint="eastAsia" w:ascii="宋体" w:hAnsi="宋体"/>
                <w:sz w:val="28"/>
                <w:szCs w:val="28"/>
              </w:rPr>
              <w:t>≥</w:t>
            </w:r>
            <w:r>
              <w:rPr>
                <w:rFonts w:ascii="宋体" w:hAnsi="宋体"/>
                <w:sz w:val="28"/>
                <w:szCs w:val="28"/>
              </w:rPr>
              <w:t>85%</w:t>
            </w:r>
          </w:p>
        </w:tc>
        <w:tc>
          <w:tcPr>
            <w:tcW w:w="903" w:type="dxa"/>
            <w:shd w:val="clear" w:color="auto" w:fill="auto"/>
            <w:vAlign w:val="center"/>
          </w:tcPr>
          <w:p w14:paraId="6AACA8FD">
            <w:pPr>
              <w:spacing w:line="300" w:lineRule="exact"/>
              <w:jc w:val="center"/>
              <w:rPr>
                <w:rFonts w:ascii="宋体" w:hAnsi="宋体"/>
                <w:sz w:val="28"/>
                <w:szCs w:val="28"/>
              </w:rPr>
            </w:pPr>
            <w:r>
              <w:rPr>
                <w:rFonts w:ascii="宋体" w:hAnsi="宋体"/>
                <w:sz w:val="28"/>
                <w:szCs w:val="28"/>
              </w:rPr>
              <w:t>&lt;80%</w:t>
            </w:r>
          </w:p>
        </w:tc>
      </w:tr>
    </w:tbl>
    <w:p w14:paraId="51848D5F">
      <w:pPr>
        <w:spacing w:line="300" w:lineRule="exact"/>
        <w:jc w:val="left"/>
        <w:outlineLvl w:val="0"/>
        <w:rPr>
          <w:rFonts w:ascii="宋体" w:hAnsi="宋体"/>
          <w:sz w:val="28"/>
          <w:szCs w:val="28"/>
        </w:rPr>
        <w:sectPr>
          <w:pgSz w:w="16839" w:h="11907" w:orient="landscape"/>
          <w:pgMar w:top="1020" w:right="1361" w:bottom="1020" w:left="1361" w:header="851" w:footer="992" w:gutter="0"/>
          <w:cols w:space="425" w:num="1"/>
          <w:docGrid w:type="lines" w:linePitch="312" w:charSpace="0"/>
        </w:sectPr>
      </w:pPr>
    </w:p>
    <w:bookmarkEnd w:id="0"/>
    <w:p w14:paraId="2FA077E4">
      <w:pPr>
        <w:ind w:firstLine="413" w:firstLineChars="147"/>
        <w:jc w:val="left"/>
        <w:rPr>
          <w:rFonts w:ascii="宋体" w:hAnsi="宋体" w:cs="宋体"/>
          <w:b/>
          <w:bCs/>
          <w:color w:val="000000"/>
          <w:kern w:val="0"/>
          <w:sz w:val="28"/>
          <w:szCs w:val="28"/>
        </w:rPr>
      </w:pPr>
    </w:p>
    <w:p w14:paraId="75CE1138">
      <w:pPr>
        <w:ind w:firstLine="413" w:firstLineChars="147"/>
        <w:jc w:val="left"/>
        <w:rPr>
          <w:rFonts w:ascii="宋体" w:hAnsi="宋体" w:cs="宋体"/>
          <w:b/>
          <w:bCs/>
          <w:color w:val="000000"/>
          <w:kern w:val="0"/>
          <w:sz w:val="28"/>
          <w:szCs w:val="28"/>
        </w:rPr>
      </w:pPr>
      <w:r>
        <w:rPr>
          <w:rFonts w:hint="eastAsia" w:ascii="宋体" w:hAnsi="宋体" w:cs="宋体"/>
          <w:b/>
          <w:bCs/>
          <w:color w:val="000000"/>
          <w:kern w:val="0"/>
          <w:sz w:val="28"/>
          <w:szCs w:val="28"/>
        </w:rPr>
        <w:t>六、政府采购预算情况</w:t>
      </w:r>
    </w:p>
    <w:p w14:paraId="27855565">
      <w:pPr>
        <w:ind w:left="420" w:leftChars="200" w:firstLine="565" w:firstLineChars="202"/>
        <w:jc w:val="left"/>
        <w:rPr>
          <w:rFonts w:ascii="宋体" w:hAnsi="宋体" w:cs="宋体"/>
          <w:bCs/>
          <w:color w:val="000000"/>
          <w:kern w:val="0"/>
          <w:sz w:val="28"/>
          <w:szCs w:val="28"/>
        </w:rPr>
      </w:pPr>
      <w:r>
        <w:rPr>
          <w:rFonts w:hint="eastAsia" w:ascii="宋体" w:hAnsi="宋体" w:cs="宋体"/>
          <w:bCs/>
          <w:color w:val="000000"/>
          <w:kern w:val="0"/>
          <w:sz w:val="28"/>
          <w:szCs w:val="28"/>
        </w:rPr>
        <w:t>本年度部门预算共计安排政府采购项目为</w:t>
      </w:r>
      <w:r>
        <w:rPr>
          <w:rFonts w:ascii="宋体" w:hAnsi="宋体" w:cs="宋体"/>
          <w:bCs/>
          <w:color w:val="000000"/>
          <w:kern w:val="0"/>
          <w:sz w:val="28"/>
          <w:szCs w:val="28"/>
        </w:rPr>
        <w:t>1</w:t>
      </w:r>
      <w:r>
        <w:rPr>
          <w:rFonts w:hint="eastAsia" w:ascii="宋体" w:hAnsi="宋体" w:cs="宋体"/>
          <w:bCs/>
          <w:color w:val="000000"/>
          <w:kern w:val="0"/>
          <w:sz w:val="28"/>
          <w:szCs w:val="28"/>
        </w:rPr>
        <w:t>类</w:t>
      </w:r>
      <w:r>
        <w:rPr>
          <w:rFonts w:ascii="宋体" w:hAnsi="宋体" w:cs="宋体"/>
          <w:bCs/>
          <w:color w:val="000000"/>
          <w:kern w:val="0"/>
          <w:sz w:val="28"/>
          <w:szCs w:val="28"/>
        </w:rPr>
        <w:t>2</w:t>
      </w:r>
      <w:r>
        <w:rPr>
          <w:rFonts w:hint="eastAsia" w:ascii="宋体" w:hAnsi="宋体" w:cs="宋体"/>
          <w:bCs/>
          <w:color w:val="000000"/>
          <w:kern w:val="0"/>
          <w:sz w:val="28"/>
          <w:szCs w:val="28"/>
        </w:rPr>
        <w:t>个，涉及金额</w:t>
      </w:r>
      <w:r>
        <w:rPr>
          <w:rFonts w:ascii="宋体" w:hAnsi="宋体" w:cs="宋体"/>
          <w:bCs/>
          <w:color w:val="000000"/>
          <w:kern w:val="0"/>
          <w:sz w:val="28"/>
          <w:szCs w:val="28"/>
        </w:rPr>
        <w:t>100</w:t>
      </w:r>
      <w:r>
        <w:rPr>
          <w:rFonts w:hint="eastAsia" w:ascii="宋体" w:hAnsi="宋体" w:cs="宋体"/>
          <w:bCs/>
          <w:color w:val="000000"/>
          <w:kern w:val="0"/>
          <w:sz w:val="28"/>
          <w:szCs w:val="28"/>
        </w:rPr>
        <w:t>万元。其中，新东城、润城苑高标准社区装修及办公设备购置涉及金额</w:t>
      </w:r>
      <w:r>
        <w:rPr>
          <w:rFonts w:ascii="宋体" w:hAnsi="宋体" w:cs="宋体"/>
          <w:bCs/>
          <w:color w:val="000000"/>
          <w:kern w:val="0"/>
          <w:sz w:val="28"/>
          <w:szCs w:val="28"/>
        </w:rPr>
        <w:t>70</w:t>
      </w:r>
      <w:r>
        <w:rPr>
          <w:rFonts w:hint="eastAsia" w:ascii="宋体" w:hAnsi="宋体" w:cs="宋体"/>
          <w:bCs/>
          <w:color w:val="000000"/>
          <w:kern w:val="0"/>
          <w:sz w:val="28"/>
          <w:szCs w:val="28"/>
        </w:rPr>
        <w:t>万元。塔岗居委会装修涉及金额</w:t>
      </w:r>
      <w:r>
        <w:rPr>
          <w:rFonts w:ascii="宋体" w:hAnsi="宋体" w:cs="宋体"/>
          <w:bCs/>
          <w:color w:val="000000"/>
          <w:kern w:val="0"/>
          <w:sz w:val="28"/>
          <w:szCs w:val="28"/>
        </w:rPr>
        <w:t>30</w:t>
      </w:r>
      <w:r>
        <w:rPr>
          <w:rFonts w:hint="eastAsia" w:ascii="宋体" w:hAnsi="宋体" w:cs="宋体"/>
          <w:bCs/>
          <w:color w:val="000000"/>
          <w:kern w:val="0"/>
          <w:sz w:val="28"/>
          <w:szCs w:val="28"/>
        </w:rPr>
        <w:t>万元。</w:t>
      </w:r>
    </w:p>
    <w:p w14:paraId="3D2E93F9">
      <w:pPr>
        <w:ind w:firstLine="413" w:firstLineChars="147"/>
        <w:jc w:val="left"/>
        <w:rPr>
          <w:rFonts w:ascii="宋体" w:hAnsi="宋体" w:cs="宋体"/>
          <w:b/>
          <w:bCs/>
          <w:color w:val="000000"/>
          <w:kern w:val="0"/>
          <w:sz w:val="28"/>
          <w:szCs w:val="28"/>
        </w:rPr>
      </w:pPr>
      <w:r>
        <w:rPr>
          <w:rFonts w:hint="eastAsia" w:ascii="宋体" w:hAnsi="宋体" w:cs="宋体"/>
          <w:b/>
          <w:bCs/>
          <w:color w:val="000000"/>
          <w:kern w:val="0"/>
          <w:sz w:val="28"/>
          <w:szCs w:val="28"/>
        </w:rPr>
        <w:t>七、国有资产信息情况</w:t>
      </w:r>
    </w:p>
    <w:p w14:paraId="33856A67">
      <w:pPr>
        <w:spacing w:line="520" w:lineRule="exact"/>
        <w:ind w:firstLine="562" w:firstLineChars="200"/>
        <w:rPr>
          <w:rFonts w:ascii="宋体" w:hAnsi="宋体"/>
          <w:sz w:val="28"/>
          <w:szCs w:val="28"/>
        </w:rPr>
      </w:pPr>
      <w:r>
        <w:rPr>
          <w:rFonts w:hint="eastAsia" w:ascii="宋体" w:hAnsi="宋体" w:cs="宋体"/>
          <w:b/>
          <w:bCs/>
          <w:color w:val="000000"/>
          <w:kern w:val="0"/>
          <w:sz w:val="28"/>
          <w:szCs w:val="28"/>
        </w:rPr>
        <w:t xml:space="preserve">    </w:t>
      </w:r>
      <w:r>
        <w:rPr>
          <w:rFonts w:hint="eastAsia" w:ascii="宋体" w:hAnsi="宋体"/>
          <w:sz w:val="28"/>
          <w:szCs w:val="28"/>
        </w:rPr>
        <w:t>涞水县城区社区管理办公室2016年末固定资产总金额127.75万元（详见下表）。 2017年拟购置固定资产19.5万元，主要为计算机、打印机、其他部分办公设备。</w:t>
      </w:r>
    </w:p>
    <w:tbl>
      <w:tblPr>
        <w:tblStyle w:val="6"/>
        <w:tblW w:w="8804" w:type="dxa"/>
        <w:tblInd w:w="93" w:type="dxa"/>
        <w:tblLayout w:type="fixed"/>
        <w:tblCellMar>
          <w:top w:w="0" w:type="dxa"/>
          <w:left w:w="108" w:type="dxa"/>
          <w:bottom w:w="0" w:type="dxa"/>
          <w:right w:w="108" w:type="dxa"/>
        </w:tblCellMar>
      </w:tblPr>
      <w:tblGrid>
        <w:gridCol w:w="3811"/>
        <w:gridCol w:w="1591"/>
        <w:gridCol w:w="3402"/>
      </w:tblGrid>
      <w:tr w14:paraId="74C9A047">
        <w:tblPrEx>
          <w:tblCellMar>
            <w:top w:w="0" w:type="dxa"/>
            <w:left w:w="108" w:type="dxa"/>
            <w:bottom w:w="0" w:type="dxa"/>
            <w:right w:w="108" w:type="dxa"/>
          </w:tblCellMar>
        </w:tblPrEx>
        <w:trPr>
          <w:trHeight w:val="675" w:hRule="atLeast"/>
        </w:trPr>
        <w:tc>
          <w:tcPr>
            <w:tcW w:w="8804" w:type="dxa"/>
            <w:gridSpan w:val="3"/>
            <w:tcBorders>
              <w:top w:val="nil"/>
              <w:left w:val="nil"/>
              <w:bottom w:val="nil"/>
              <w:right w:val="nil"/>
            </w:tcBorders>
            <w:shd w:val="clear" w:color="auto" w:fill="auto"/>
            <w:vAlign w:val="center"/>
          </w:tcPr>
          <w:p w14:paraId="29559C44">
            <w:pPr>
              <w:widowControl/>
              <w:jc w:val="center"/>
              <w:rPr>
                <w:rFonts w:ascii="宋体" w:hAnsi="宋体" w:cs="宋体"/>
                <w:color w:val="000000"/>
                <w:kern w:val="0"/>
                <w:sz w:val="28"/>
                <w:szCs w:val="28"/>
              </w:rPr>
            </w:pPr>
            <w:r>
              <w:rPr>
                <w:rFonts w:hint="eastAsia" w:ascii="宋体" w:hAnsi="宋体"/>
                <w:sz w:val="28"/>
                <w:szCs w:val="28"/>
              </w:rPr>
              <w:t>涞水县城区社区管理办公室</w:t>
            </w:r>
          </w:p>
        </w:tc>
      </w:tr>
      <w:tr w14:paraId="2DD1C066">
        <w:tblPrEx>
          <w:tblCellMar>
            <w:top w:w="0" w:type="dxa"/>
            <w:left w:w="108" w:type="dxa"/>
            <w:bottom w:w="0" w:type="dxa"/>
            <w:right w:w="108" w:type="dxa"/>
          </w:tblCellMar>
        </w:tblPrEx>
        <w:trPr>
          <w:trHeight w:val="465" w:hRule="atLeast"/>
        </w:trPr>
        <w:tc>
          <w:tcPr>
            <w:tcW w:w="8804" w:type="dxa"/>
            <w:gridSpan w:val="3"/>
            <w:tcBorders>
              <w:top w:val="nil"/>
              <w:left w:val="nil"/>
              <w:bottom w:val="single" w:color="auto" w:sz="4" w:space="0"/>
              <w:right w:val="nil"/>
            </w:tcBorders>
            <w:shd w:val="clear" w:color="auto" w:fill="auto"/>
            <w:vAlign w:val="center"/>
          </w:tcPr>
          <w:p w14:paraId="5369C2FA">
            <w:pPr>
              <w:widowControl/>
              <w:jc w:val="center"/>
              <w:rPr>
                <w:rFonts w:ascii="宋体" w:hAnsi="宋体" w:cs="宋体"/>
                <w:color w:val="000000"/>
                <w:kern w:val="0"/>
                <w:sz w:val="28"/>
                <w:szCs w:val="28"/>
              </w:rPr>
            </w:pPr>
            <w:r>
              <w:rPr>
                <w:rFonts w:hint="eastAsia" w:ascii="仿宋_GB2312" w:hAnsi="宋体" w:eastAsia="仿宋_GB2312" w:cs="宋体"/>
                <w:bCs/>
                <w:color w:val="000000"/>
                <w:kern w:val="0"/>
                <w:sz w:val="32"/>
                <w:szCs w:val="32"/>
              </w:rPr>
              <w:t xml:space="preserve">                           </w:t>
            </w:r>
            <w:r>
              <w:rPr>
                <w:rFonts w:hint="eastAsia" w:ascii="宋体" w:hAnsi="宋体" w:cs="宋体"/>
                <w:bCs/>
                <w:color w:val="000000"/>
                <w:kern w:val="0"/>
                <w:sz w:val="28"/>
                <w:szCs w:val="28"/>
              </w:rPr>
              <w:t>截止时间：2016年12月31日</w:t>
            </w:r>
          </w:p>
        </w:tc>
      </w:tr>
      <w:tr w14:paraId="7E43A332">
        <w:tblPrEx>
          <w:tblCellMar>
            <w:top w:w="0" w:type="dxa"/>
            <w:left w:w="108" w:type="dxa"/>
            <w:bottom w:w="0" w:type="dxa"/>
            <w:right w:w="108" w:type="dxa"/>
          </w:tblCellMar>
        </w:tblPrEx>
        <w:trPr>
          <w:trHeight w:val="750" w:hRule="atLeast"/>
        </w:trPr>
        <w:tc>
          <w:tcPr>
            <w:tcW w:w="3811" w:type="dxa"/>
            <w:tcBorders>
              <w:top w:val="nil"/>
              <w:left w:val="single" w:color="auto" w:sz="4" w:space="0"/>
              <w:bottom w:val="single" w:color="auto" w:sz="4" w:space="0"/>
              <w:right w:val="single" w:color="auto" w:sz="4" w:space="0"/>
            </w:tcBorders>
            <w:shd w:val="clear" w:color="auto" w:fill="auto"/>
            <w:vAlign w:val="center"/>
          </w:tcPr>
          <w:p w14:paraId="628AD856">
            <w:pPr>
              <w:widowControl/>
              <w:jc w:val="center"/>
              <w:rPr>
                <w:rFonts w:ascii="宋体" w:hAnsi="宋体" w:cs="宋体"/>
                <w:b/>
                <w:bCs/>
                <w:color w:val="000000"/>
                <w:kern w:val="0"/>
                <w:sz w:val="24"/>
              </w:rPr>
            </w:pPr>
            <w:r>
              <w:rPr>
                <w:rFonts w:hint="eastAsia" w:ascii="宋体" w:hAnsi="宋体" w:cs="宋体"/>
                <w:b/>
                <w:bCs/>
                <w:color w:val="000000"/>
                <w:kern w:val="0"/>
                <w:sz w:val="24"/>
              </w:rPr>
              <w:t>项　　目</w:t>
            </w:r>
          </w:p>
        </w:tc>
        <w:tc>
          <w:tcPr>
            <w:tcW w:w="1591" w:type="dxa"/>
            <w:tcBorders>
              <w:top w:val="nil"/>
              <w:left w:val="nil"/>
              <w:bottom w:val="single" w:color="auto" w:sz="4" w:space="0"/>
              <w:right w:val="single" w:color="auto" w:sz="4" w:space="0"/>
            </w:tcBorders>
            <w:shd w:val="clear" w:color="auto" w:fill="auto"/>
            <w:vAlign w:val="center"/>
          </w:tcPr>
          <w:p w14:paraId="5561F4D5">
            <w:pPr>
              <w:widowControl/>
              <w:jc w:val="center"/>
              <w:rPr>
                <w:rFonts w:ascii="宋体" w:hAnsi="宋体" w:cs="宋体"/>
                <w:b/>
                <w:bCs/>
                <w:color w:val="000000"/>
                <w:kern w:val="0"/>
                <w:sz w:val="24"/>
              </w:rPr>
            </w:pPr>
            <w:r>
              <w:rPr>
                <w:rFonts w:hint="eastAsia" w:ascii="宋体" w:hAnsi="宋体" w:cs="宋体"/>
                <w:b/>
                <w:bCs/>
                <w:color w:val="000000"/>
                <w:kern w:val="0"/>
                <w:sz w:val="24"/>
              </w:rPr>
              <w:t>数量</w:t>
            </w:r>
          </w:p>
        </w:tc>
        <w:tc>
          <w:tcPr>
            <w:tcW w:w="3402" w:type="dxa"/>
            <w:tcBorders>
              <w:top w:val="nil"/>
              <w:left w:val="nil"/>
              <w:bottom w:val="single" w:color="auto" w:sz="4" w:space="0"/>
              <w:right w:val="single" w:color="auto" w:sz="4" w:space="0"/>
            </w:tcBorders>
            <w:shd w:val="clear" w:color="auto" w:fill="auto"/>
            <w:vAlign w:val="center"/>
          </w:tcPr>
          <w:p w14:paraId="18AB739B">
            <w:pPr>
              <w:widowControl/>
              <w:jc w:val="center"/>
              <w:rPr>
                <w:rFonts w:ascii="宋体" w:hAnsi="宋体" w:cs="宋体"/>
                <w:b/>
                <w:bCs/>
                <w:color w:val="000000"/>
                <w:kern w:val="0"/>
                <w:sz w:val="24"/>
              </w:rPr>
            </w:pPr>
            <w:r>
              <w:rPr>
                <w:rFonts w:hint="eastAsia" w:ascii="宋体" w:hAnsi="宋体" w:cs="宋体"/>
                <w:b/>
                <w:bCs/>
                <w:color w:val="000000"/>
                <w:kern w:val="0"/>
                <w:sz w:val="24"/>
              </w:rPr>
              <w:t>价值（单位：万元）</w:t>
            </w:r>
          </w:p>
        </w:tc>
      </w:tr>
      <w:tr w14:paraId="7098BFFF">
        <w:tblPrEx>
          <w:tblCellMar>
            <w:top w:w="0" w:type="dxa"/>
            <w:left w:w="108" w:type="dxa"/>
            <w:bottom w:w="0" w:type="dxa"/>
            <w:right w:w="108" w:type="dxa"/>
          </w:tblCellMar>
        </w:tblPrEx>
        <w:trPr>
          <w:trHeight w:val="495" w:hRule="atLeast"/>
        </w:trPr>
        <w:tc>
          <w:tcPr>
            <w:tcW w:w="3811" w:type="dxa"/>
            <w:tcBorders>
              <w:top w:val="nil"/>
              <w:left w:val="single" w:color="auto" w:sz="4" w:space="0"/>
              <w:bottom w:val="single" w:color="auto" w:sz="4" w:space="0"/>
              <w:right w:val="single" w:color="auto" w:sz="4" w:space="0"/>
            </w:tcBorders>
            <w:shd w:val="clear" w:color="auto" w:fill="auto"/>
            <w:vAlign w:val="center"/>
          </w:tcPr>
          <w:p w14:paraId="6BA690F5">
            <w:pPr>
              <w:widowControl/>
              <w:jc w:val="center"/>
              <w:rPr>
                <w:rFonts w:ascii="宋体" w:hAnsi="宋体" w:cs="宋体"/>
                <w:b/>
                <w:bCs/>
                <w:color w:val="000000"/>
                <w:kern w:val="0"/>
                <w:sz w:val="24"/>
              </w:rPr>
            </w:pPr>
            <w:r>
              <w:rPr>
                <w:rFonts w:hint="eastAsia" w:ascii="宋体" w:hAnsi="宋体" w:cs="宋体"/>
                <w:b/>
                <w:bCs/>
                <w:color w:val="000000"/>
                <w:kern w:val="0"/>
                <w:sz w:val="24"/>
              </w:rPr>
              <w:t>固定资产总额</w:t>
            </w:r>
          </w:p>
        </w:tc>
        <w:tc>
          <w:tcPr>
            <w:tcW w:w="1591" w:type="dxa"/>
            <w:tcBorders>
              <w:top w:val="nil"/>
              <w:left w:val="nil"/>
              <w:bottom w:val="single" w:color="auto" w:sz="4" w:space="0"/>
              <w:right w:val="single" w:color="auto" w:sz="4" w:space="0"/>
            </w:tcBorders>
            <w:shd w:val="clear" w:color="auto" w:fill="auto"/>
            <w:vAlign w:val="center"/>
          </w:tcPr>
          <w:p w14:paraId="04BF51E3">
            <w:pPr>
              <w:widowControl/>
              <w:jc w:val="center"/>
              <w:rPr>
                <w:rFonts w:ascii="宋体" w:hAnsi="宋体" w:cs="宋体"/>
                <w:color w:val="000000"/>
                <w:kern w:val="0"/>
                <w:sz w:val="24"/>
              </w:rPr>
            </w:pPr>
            <w:r>
              <w:rPr>
                <w:rFonts w:hint="eastAsia" w:ascii="宋体" w:hAnsi="宋体" w:cs="宋体"/>
                <w:color w:val="000000"/>
                <w:kern w:val="0"/>
                <w:sz w:val="24"/>
              </w:rPr>
              <w:t>—</w:t>
            </w:r>
          </w:p>
        </w:tc>
        <w:tc>
          <w:tcPr>
            <w:tcW w:w="3402" w:type="dxa"/>
            <w:tcBorders>
              <w:top w:val="nil"/>
              <w:left w:val="nil"/>
              <w:bottom w:val="single" w:color="auto" w:sz="4" w:space="0"/>
              <w:right w:val="single" w:color="auto" w:sz="4" w:space="0"/>
            </w:tcBorders>
            <w:shd w:val="clear" w:color="auto" w:fill="auto"/>
            <w:vAlign w:val="center"/>
          </w:tcPr>
          <w:p w14:paraId="25175EE8">
            <w:pPr>
              <w:widowControl/>
              <w:jc w:val="center"/>
              <w:rPr>
                <w:rFonts w:ascii="宋体" w:hAnsi="宋体" w:cs="宋体"/>
                <w:b/>
                <w:color w:val="000000"/>
                <w:kern w:val="0"/>
                <w:sz w:val="24"/>
              </w:rPr>
            </w:pPr>
            <w:r>
              <w:rPr>
                <w:rFonts w:hint="eastAsia" w:ascii="宋体" w:hAnsi="宋体" w:cs="宋体"/>
                <w:b/>
                <w:color w:val="000000"/>
                <w:kern w:val="0"/>
                <w:sz w:val="24"/>
              </w:rPr>
              <w:t>127.75</w:t>
            </w:r>
          </w:p>
        </w:tc>
      </w:tr>
      <w:tr w14:paraId="6EC40020">
        <w:tblPrEx>
          <w:tblCellMar>
            <w:top w:w="0" w:type="dxa"/>
            <w:left w:w="108" w:type="dxa"/>
            <w:bottom w:w="0" w:type="dxa"/>
            <w:right w:w="108" w:type="dxa"/>
          </w:tblCellMar>
        </w:tblPrEx>
        <w:trPr>
          <w:trHeight w:val="483" w:hRule="atLeast"/>
        </w:trPr>
        <w:tc>
          <w:tcPr>
            <w:tcW w:w="3811" w:type="dxa"/>
            <w:tcBorders>
              <w:top w:val="nil"/>
              <w:left w:val="single" w:color="auto" w:sz="4" w:space="0"/>
              <w:bottom w:val="single" w:color="auto" w:sz="4" w:space="0"/>
              <w:right w:val="single" w:color="auto" w:sz="4" w:space="0"/>
            </w:tcBorders>
            <w:shd w:val="clear" w:color="auto" w:fill="auto"/>
            <w:vAlign w:val="center"/>
          </w:tcPr>
          <w:p w14:paraId="4F85FD78">
            <w:pPr>
              <w:widowControl/>
              <w:jc w:val="left"/>
              <w:rPr>
                <w:rFonts w:ascii="宋体" w:hAnsi="宋体" w:cs="宋体"/>
                <w:color w:val="000000"/>
                <w:kern w:val="0"/>
                <w:sz w:val="24"/>
              </w:rPr>
            </w:pPr>
            <w:r>
              <w:rPr>
                <w:rFonts w:hint="eastAsia" w:ascii="宋体" w:hAnsi="宋体" w:cs="宋体"/>
                <w:color w:val="000000"/>
                <w:kern w:val="0"/>
                <w:sz w:val="24"/>
              </w:rPr>
              <w:t xml:space="preserve">  1、房屋（平方米）</w:t>
            </w:r>
          </w:p>
        </w:tc>
        <w:tc>
          <w:tcPr>
            <w:tcW w:w="1591" w:type="dxa"/>
            <w:tcBorders>
              <w:top w:val="nil"/>
              <w:left w:val="nil"/>
              <w:bottom w:val="single" w:color="auto" w:sz="4" w:space="0"/>
              <w:right w:val="single" w:color="auto" w:sz="4" w:space="0"/>
            </w:tcBorders>
            <w:shd w:val="clear" w:color="auto" w:fill="auto"/>
            <w:vAlign w:val="center"/>
          </w:tcPr>
          <w:p w14:paraId="5A5B318A">
            <w:pPr>
              <w:widowControl/>
              <w:jc w:val="center"/>
              <w:rPr>
                <w:rFonts w:ascii="宋体" w:hAnsi="宋体" w:cs="宋体"/>
                <w:color w:val="000000"/>
                <w:kern w:val="0"/>
                <w:sz w:val="24"/>
              </w:rPr>
            </w:pPr>
          </w:p>
        </w:tc>
        <w:tc>
          <w:tcPr>
            <w:tcW w:w="3402" w:type="dxa"/>
            <w:tcBorders>
              <w:top w:val="nil"/>
              <w:left w:val="nil"/>
              <w:bottom w:val="single" w:color="auto" w:sz="4" w:space="0"/>
              <w:right w:val="single" w:color="auto" w:sz="4" w:space="0"/>
            </w:tcBorders>
            <w:shd w:val="clear" w:color="auto" w:fill="auto"/>
            <w:vAlign w:val="center"/>
          </w:tcPr>
          <w:p w14:paraId="154381C8">
            <w:pPr>
              <w:widowControl/>
              <w:jc w:val="center"/>
              <w:rPr>
                <w:rFonts w:ascii="宋体" w:hAnsi="宋体" w:cs="宋体"/>
                <w:color w:val="000000"/>
                <w:kern w:val="0"/>
                <w:sz w:val="24"/>
              </w:rPr>
            </w:pPr>
          </w:p>
        </w:tc>
      </w:tr>
      <w:tr w14:paraId="612AF375">
        <w:tblPrEx>
          <w:tblCellMar>
            <w:top w:w="0" w:type="dxa"/>
            <w:left w:w="108" w:type="dxa"/>
            <w:bottom w:w="0" w:type="dxa"/>
            <w:right w:w="108" w:type="dxa"/>
          </w:tblCellMar>
        </w:tblPrEx>
        <w:trPr>
          <w:trHeight w:val="419" w:hRule="atLeast"/>
        </w:trPr>
        <w:tc>
          <w:tcPr>
            <w:tcW w:w="3811" w:type="dxa"/>
            <w:tcBorders>
              <w:top w:val="single" w:color="auto" w:sz="4" w:space="0"/>
              <w:left w:val="single" w:color="auto" w:sz="4" w:space="0"/>
              <w:bottom w:val="single" w:color="auto" w:sz="4" w:space="0"/>
              <w:right w:val="single" w:color="auto" w:sz="4" w:space="0"/>
            </w:tcBorders>
            <w:shd w:val="clear" w:color="auto" w:fill="auto"/>
            <w:vAlign w:val="center"/>
          </w:tcPr>
          <w:p w14:paraId="225B5A8B">
            <w:pPr>
              <w:jc w:val="left"/>
              <w:rPr>
                <w:rFonts w:ascii="宋体" w:hAnsi="宋体" w:cs="宋体"/>
                <w:color w:val="000000"/>
                <w:kern w:val="0"/>
                <w:sz w:val="24"/>
              </w:rPr>
            </w:pPr>
            <w:r>
              <w:rPr>
                <w:rFonts w:hint="eastAsia" w:ascii="宋体" w:hAnsi="宋体" w:cs="宋体"/>
                <w:color w:val="000000"/>
                <w:kern w:val="0"/>
                <w:sz w:val="24"/>
              </w:rPr>
              <w:t xml:space="preserve">   其中：办公用房（平方米）</w:t>
            </w:r>
          </w:p>
        </w:tc>
        <w:tc>
          <w:tcPr>
            <w:tcW w:w="1591" w:type="dxa"/>
            <w:tcBorders>
              <w:top w:val="single" w:color="auto" w:sz="4" w:space="0"/>
              <w:left w:val="nil"/>
              <w:bottom w:val="single" w:color="auto" w:sz="4" w:space="0"/>
              <w:right w:val="single" w:color="auto" w:sz="4" w:space="0"/>
            </w:tcBorders>
            <w:shd w:val="clear" w:color="auto" w:fill="auto"/>
            <w:vAlign w:val="center"/>
          </w:tcPr>
          <w:p w14:paraId="1FCE4A2C">
            <w:pPr>
              <w:jc w:val="center"/>
              <w:rPr>
                <w:rFonts w:ascii="宋体" w:hAnsi="宋体" w:cs="宋体"/>
                <w:color w:val="000000"/>
                <w:kern w:val="0"/>
                <w:sz w:val="24"/>
              </w:rPr>
            </w:pPr>
          </w:p>
        </w:tc>
        <w:tc>
          <w:tcPr>
            <w:tcW w:w="3402" w:type="dxa"/>
            <w:tcBorders>
              <w:top w:val="single" w:color="auto" w:sz="4" w:space="0"/>
              <w:left w:val="nil"/>
              <w:bottom w:val="single" w:color="auto" w:sz="4" w:space="0"/>
              <w:right w:val="single" w:color="auto" w:sz="4" w:space="0"/>
            </w:tcBorders>
            <w:shd w:val="clear" w:color="auto" w:fill="auto"/>
            <w:vAlign w:val="center"/>
          </w:tcPr>
          <w:p w14:paraId="7F50B528">
            <w:pPr>
              <w:jc w:val="center"/>
              <w:rPr>
                <w:rFonts w:ascii="宋体" w:hAnsi="宋体" w:cs="宋体"/>
                <w:color w:val="000000"/>
                <w:kern w:val="0"/>
                <w:sz w:val="24"/>
              </w:rPr>
            </w:pPr>
          </w:p>
        </w:tc>
      </w:tr>
      <w:tr w14:paraId="3C816E60">
        <w:tblPrEx>
          <w:tblCellMar>
            <w:top w:w="0" w:type="dxa"/>
            <w:left w:w="108" w:type="dxa"/>
            <w:bottom w:w="0" w:type="dxa"/>
            <w:right w:w="108" w:type="dxa"/>
          </w:tblCellMar>
        </w:tblPrEx>
        <w:trPr>
          <w:trHeight w:val="495" w:hRule="atLeast"/>
        </w:trPr>
        <w:tc>
          <w:tcPr>
            <w:tcW w:w="3811" w:type="dxa"/>
            <w:tcBorders>
              <w:top w:val="nil"/>
              <w:left w:val="single" w:color="auto" w:sz="4" w:space="0"/>
              <w:bottom w:val="single" w:color="auto" w:sz="4" w:space="0"/>
              <w:right w:val="single" w:color="auto" w:sz="4" w:space="0"/>
            </w:tcBorders>
            <w:shd w:val="clear" w:color="auto" w:fill="auto"/>
            <w:vAlign w:val="center"/>
          </w:tcPr>
          <w:p w14:paraId="256D59C3">
            <w:pPr>
              <w:widowControl/>
              <w:jc w:val="left"/>
              <w:rPr>
                <w:rFonts w:ascii="宋体" w:hAnsi="宋体" w:cs="宋体"/>
                <w:color w:val="000000"/>
                <w:kern w:val="0"/>
                <w:sz w:val="24"/>
              </w:rPr>
            </w:pPr>
            <w:r>
              <w:rPr>
                <w:rFonts w:hint="eastAsia" w:ascii="宋体" w:hAnsi="宋体" w:cs="宋体"/>
                <w:color w:val="000000"/>
                <w:kern w:val="0"/>
                <w:sz w:val="24"/>
              </w:rPr>
              <w:t xml:space="preserve">  2、车辆（台、辆）</w:t>
            </w:r>
          </w:p>
        </w:tc>
        <w:tc>
          <w:tcPr>
            <w:tcW w:w="1591" w:type="dxa"/>
            <w:tcBorders>
              <w:top w:val="nil"/>
              <w:left w:val="nil"/>
              <w:bottom w:val="single" w:color="auto" w:sz="4" w:space="0"/>
              <w:right w:val="single" w:color="auto" w:sz="4" w:space="0"/>
            </w:tcBorders>
            <w:shd w:val="clear" w:color="auto" w:fill="auto"/>
            <w:vAlign w:val="center"/>
          </w:tcPr>
          <w:p w14:paraId="2A86037B">
            <w:pPr>
              <w:widowControl/>
              <w:jc w:val="center"/>
              <w:rPr>
                <w:rFonts w:ascii="宋体" w:hAnsi="宋体" w:cs="宋体"/>
                <w:color w:val="000000"/>
                <w:kern w:val="0"/>
                <w:sz w:val="24"/>
              </w:rPr>
            </w:pPr>
          </w:p>
        </w:tc>
        <w:tc>
          <w:tcPr>
            <w:tcW w:w="3402" w:type="dxa"/>
            <w:tcBorders>
              <w:top w:val="nil"/>
              <w:left w:val="nil"/>
              <w:bottom w:val="single" w:color="auto" w:sz="4" w:space="0"/>
              <w:right w:val="single" w:color="auto" w:sz="4" w:space="0"/>
            </w:tcBorders>
            <w:shd w:val="clear" w:color="auto" w:fill="auto"/>
            <w:vAlign w:val="center"/>
          </w:tcPr>
          <w:p w14:paraId="06DF4A49">
            <w:pPr>
              <w:widowControl/>
              <w:jc w:val="center"/>
              <w:rPr>
                <w:rFonts w:ascii="宋体" w:hAnsi="宋体" w:cs="宋体"/>
                <w:color w:val="000000"/>
                <w:kern w:val="0"/>
                <w:sz w:val="24"/>
              </w:rPr>
            </w:pPr>
          </w:p>
        </w:tc>
      </w:tr>
      <w:tr w14:paraId="75644593">
        <w:tblPrEx>
          <w:tblCellMar>
            <w:top w:w="0" w:type="dxa"/>
            <w:left w:w="108" w:type="dxa"/>
            <w:bottom w:w="0" w:type="dxa"/>
            <w:right w:w="108" w:type="dxa"/>
          </w:tblCellMar>
        </w:tblPrEx>
        <w:trPr>
          <w:trHeight w:val="611" w:hRule="atLeast"/>
        </w:trPr>
        <w:tc>
          <w:tcPr>
            <w:tcW w:w="3811" w:type="dxa"/>
            <w:tcBorders>
              <w:top w:val="nil"/>
              <w:left w:val="single" w:color="auto" w:sz="4" w:space="0"/>
              <w:bottom w:val="single" w:color="auto" w:sz="4" w:space="0"/>
              <w:right w:val="single" w:color="auto" w:sz="4" w:space="0"/>
            </w:tcBorders>
            <w:shd w:val="clear" w:color="auto" w:fill="auto"/>
            <w:vAlign w:val="center"/>
          </w:tcPr>
          <w:p w14:paraId="21783F38">
            <w:pPr>
              <w:widowControl/>
              <w:jc w:val="left"/>
              <w:rPr>
                <w:rFonts w:ascii="宋体" w:hAnsi="宋体" w:cs="宋体"/>
                <w:color w:val="000000"/>
                <w:kern w:val="0"/>
                <w:sz w:val="24"/>
              </w:rPr>
            </w:pPr>
            <w:r>
              <w:rPr>
                <w:rFonts w:hint="eastAsia" w:ascii="宋体" w:hAnsi="宋体" w:cs="宋体"/>
                <w:color w:val="000000"/>
                <w:kern w:val="0"/>
                <w:sz w:val="24"/>
              </w:rPr>
              <w:t xml:space="preserve">  3、单价在20万元以上的设备</w:t>
            </w:r>
          </w:p>
        </w:tc>
        <w:tc>
          <w:tcPr>
            <w:tcW w:w="1591" w:type="dxa"/>
            <w:tcBorders>
              <w:top w:val="nil"/>
              <w:left w:val="nil"/>
              <w:bottom w:val="single" w:color="auto" w:sz="4" w:space="0"/>
              <w:right w:val="single" w:color="auto" w:sz="4" w:space="0"/>
            </w:tcBorders>
            <w:shd w:val="clear" w:color="auto" w:fill="auto"/>
            <w:vAlign w:val="center"/>
          </w:tcPr>
          <w:p w14:paraId="4767215E">
            <w:pPr>
              <w:widowControl/>
              <w:jc w:val="center"/>
              <w:rPr>
                <w:rFonts w:ascii="宋体" w:hAnsi="宋体" w:cs="宋体"/>
                <w:color w:val="000000"/>
                <w:kern w:val="0"/>
                <w:sz w:val="24"/>
              </w:rPr>
            </w:pPr>
            <w:r>
              <w:rPr>
                <w:rFonts w:hint="eastAsia" w:ascii="宋体" w:hAnsi="宋体" w:cs="宋体"/>
                <w:color w:val="000000"/>
                <w:kern w:val="0"/>
                <w:sz w:val="24"/>
              </w:rPr>
              <w:t>—</w:t>
            </w:r>
          </w:p>
        </w:tc>
        <w:tc>
          <w:tcPr>
            <w:tcW w:w="3402" w:type="dxa"/>
            <w:tcBorders>
              <w:top w:val="nil"/>
              <w:left w:val="nil"/>
              <w:bottom w:val="single" w:color="auto" w:sz="4" w:space="0"/>
              <w:right w:val="single" w:color="auto" w:sz="4" w:space="0"/>
            </w:tcBorders>
            <w:shd w:val="clear" w:color="auto" w:fill="auto"/>
            <w:vAlign w:val="center"/>
          </w:tcPr>
          <w:p w14:paraId="6A15B07C">
            <w:pPr>
              <w:widowControl/>
              <w:jc w:val="center"/>
              <w:rPr>
                <w:rFonts w:ascii="宋体" w:hAnsi="宋体" w:cs="宋体"/>
                <w:color w:val="000000"/>
                <w:kern w:val="0"/>
                <w:sz w:val="24"/>
              </w:rPr>
            </w:pPr>
          </w:p>
        </w:tc>
      </w:tr>
      <w:tr w14:paraId="246BE07F">
        <w:tblPrEx>
          <w:tblCellMar>
            <w:top w:w="0" w:type="dxa"/>
            <w:left w:w="108" w:type="dxa"/>
            <w:bottom w:w="0" w:type="dxa"/>
            <w:right w:w="108" w:type="dxa"/>
          </w:tblCellMar>
        </w:tblPrEx>
        <w:trPr>
          <w:trHeight w:val="432" w:hRule="atLeast"/>
        </w:trPr>
        <w:tc>
          <w:tcPr>
            <w:tcW w:w="3811" w:type="dxa"/>
            <w:tcBorders>
              <w:top w:val="single" w:color="auto" w:sz="4" w:space="0"/>
              <w:left w:val="single" w:color="auto" w:sz="4" w:space="0"/>
              <w:bottom w:val="single" w:color="auto" w:sz="4" w:space="0"/>
              <w:right w:val="single" w:color="auto" w:sz="4" w:space="0"/>
            </w:tcBorders>
            <w:shd w:val="clear" w:color="auto" w:fill="auto"/>
            <w:vAlign w:val="center"/>
          </w:tcPr>
          <w:p w14:paraId="28C9B00B">
            <w:pPr>
              <w:jc w:val="left"/>
              <w:rPr>
                <w:rFonts w:ascii="宋体" w:hAnsi="宋体" w:cs="宋体"/>
                <w:color w:val="000000"/>
                <w:kern w:val="0"/>
                <w:sz w:val="24"/>
              </w:rPr>
            </w:pPr>
            <w:r>
              <w:rPr>
                <w:rFonts w:hint="eastAsia" w:ascii="宋体" w:hAnsi="宋体" w:cs="宋体"/>
                <w:color w:val="000000"/>
                <w:kern w:val="0"/>
                <w:sz w:val="24"/>
              </w:rPr>
              <w:t xml:space="preserve">  4、其他固定资产</w:t>
            </w:r>
          </w:p>
        </w:tc>
        <w:tc>
          <w:tcPr>
            <w:tcW w:w="1591" w:type="dxa"/>
            <w:tcBorders>
              <w:top w:val="single" w:color="auto" w:sz="4" w:space="0"/>
              <w:left w:val="nil"/>
              <w:bottom w:val="single" w:color="auto" w:sz="4" w:space="0"/>
              <w:right w:val="single" w:color="auto" w:sz="4" w:space="0"/>
            </w:tcBorders>
            <w:shd w:val="clear" w:color="auto" w:fill="auto"/>
            <w:vAlign w:val="center"/>
          </w:tcPr>
          <w:p w14:paraId="77B90C98">
            <w:pPr>
              <w:jc w:val="center"/>
              <w:rPr>
                <w:rFonts w:ascii="宋体" w:hAnsi="宋体" w:cs="宋体"/>
                <w:color w:val="000000"/>
                <w:kern w:val="0"/>
                <w:sz w:val="24"/>
              </w:rPr>
            </w:pPr>
            <w:r>
              <w:rPr>
                <w:rFonts w:hint="eastAsia" w:ascii="宋体" w:hAnsi="宋体" w:cs="宋体"/>
                <w:color w:val="000000"/>
                <w:kern w:val="0"/>
                <w:sz w:val="24"/>
              </w:rPr>
              <w:t>—</w:t>
            </w:r>
          </w:p>
        </w:tc>
        <w:tc>
          <w:tcPr>
            <w:tcW w:w="3402" w:type="dxa"/>
            <w:tcBorders>
              <w:top w:val="single" w:color="auto" w:sz="4" w:space="0"/>
              <w:left w:val="nil"/>
              <w:bottom w:val="single" w:color="auto" w:sz="4" w:space="0"/>
              <w:right w:val="single" w:color="auto" w:sz="4" w:space="0"/>
            </w:tcBorders>
            <w:shd w:val="clear" w:color="auto" w:fill="auto"/>
            <w:vAlign w:val="center"/>
          </w:tcPr>
          <w:p w14:paraId="77061F2C">
            <w:pPr>
              <w:jc w:val="center"/>
              <w:rPr>
                <w:rFonts w:ascii="宋体" w:hAnsi="宋体" w:cs="宋体"/>
                <w:color w:val="000000"/>
                <w:kern w:val="0"/>
                <w:sz w:val="24"/>
              </w:rPr>
            </w:pPr>
            <w:r>
              <w:rPr>
                <w:rFonts w:hint="eastAsia" w:ascii="宋体" w:hAnsi="宋体" w:cs="宋体"/>
                <w:color w:val="000000"/>
                <w:kern w:val="0"/>
                <w:sz w:val="24"/>
              </w:rPr>
              <w:t>127.75</w:t>
            </w:r>
          </w:p>
        </w:tc>
      </w:tr>
    </w:tbl>
    <w:p w14:paraId="41211541">
      <w:pPr>
        <w:ind w:firstLine="560" w:firstLineChars="200"/>
        <w:jc w:val="left"/>
        <w:rPr>
          <w:rFonts w:ascii="宋体" w:hAnsi="宋体" w:cs="仿宋"/>
          <w:color w:val="000000"/>
          <w:kern w:val="0"/>
          <w:sz w:val="28"/>
          <w:szCs w:val="28"/>
        </w:rPr>
      </w:pPr>
      <w:r>
        <w:rPr>
          <w:rFonts w:hint="eastAsia" w:ascii="宋体" w:hAnsi="宋体" w:cs="仿宋"/>
          <w:color w:val="000000"/>
          <w:kern w:val="0"/>
          <w:sz w:val="28"/>
          <w:szCs w:val="28"/>
        </w:rPr>
        <w:t>我部门办公用房为租赁房，无公务用车，其他固定资产价值总额127.75万元，（包括7个居委会办公设备、桌椅电器等）。</w:t>
      </w:r>
    </w:p>
    <w:p w14:paraId="54CCFA93">
      <w:pPr>
        <w:spacing w:line="440" w:lineRule="exact"/>
        <w:ind w:firstLine="551" w:firstLineChars="196"/>
        <w:rPr>
          <w:rFonts w:ascii="宋体" w:hAnsi="宋体" w:cs="仿宋_GB2312"/>
          <w:b/>
          <w:sz w:val="28"/>
          <w:szCs w:val="28"/>
        </w:rPr>
      </w:pPr>
      <w:r>
        <w:rPr>
          <w:rFonts w:hint="eastAsia" w:ascii="宋体" w:hAnsi="宋体" w:cs="仿宋_GB2312"/>
          <w:b/>
          <w:sz w:val="28"/>
          <w:szCs w:val="28"/>
        </w:rPr>
        <w:t>八、专业名词解释</w:t>
      </w:r>
    </w:p>
    <w:p w14:paraId="48D74FFB">
      <w:pPr>
        <w:spacing w:line="440" w:lineRule="exact"/>
        <w:ind w:firstLine="551" w:firstLineChars="196"/>
        <w:rPr>
          <w:rFonts w:ascii="宋体" w:hAnsi="宋体" w:cs="仿宋_GB2312"/>
          <w:b/>
          <w:sz w:val="28"/>
          <w:szCs w:val="28"/>
        </w:rPr>
      </w:pPr>
    </w:p>
    <w:p w14:paraId="17383985">
      <w:pPr>
        <w:spacing w:line="440" w:lineRule="exact"/>
        <w:ind w:firstLine="551" w:firstLineChars="196"/>
        <w:rPr>
          <w:rFonts w:ascii="宋体" w:hAnsi="宋体"/>
          <w:sz w:val="28"/>
          <w:szCs w:val="28"/>
        </w:rPr>
      </w:pPr>
      <w:r>
        <w:rPr>
          <w:rFonts w:ascii="宋体" w:hAnsi="宋体"/>
          <w:b/>
          <w:bCs/>
          <w:sz w:val="28"/>
          <w:szCs w:val="28"/>
        </w:rPr>
        <w:t>1</w:t>
      </w:r>
      <w:r>
        <w:rPr>
          <w:rFonts w:hint="eastAsia" w:ascii="宋体" w:hAnsi="宋体"/>
          <w:b/>
          <w:bCs/>
          <w:sz w:val="28"/>
          <w:szCs w:val="28"/>
        </w:rPr>
        <w:t>、一般公共预算财政拨款收入：</w:t>
      </w:r>
      <w:r>
        <w:rPr>
          <w:rFonts w:hint="eastAsia" w:ascii="宋体" w:hAnsi="宋体"/>
          <w:sz w:val="28"/>
          <w:szCs w:val="28"/>
        </w:rPr>
        <w:t>县级财政当年拨付的资金。</w:t>
      </w:r>
    </w:p>
    <w:p w14:paraId="4057B131">
      <w:pPr>
        <w:pStyle w:val="5"/>
        <w:widowControl/>
        <w:spacing w:line="440" w:lineRule="exact"/>
        <w:ind w:firstLine="506" w:firstLineChars="180"/>
        <w:rPr>
          <w:rFonts w:ascii="宋体" w:hAnsi="宋体" w:cs="仿宋_GB2312"/>
          <w:sz w:val="28"/>
          <w:szCs w:val="28"/>
        </w:rPr>
      </w:pPr>
      <w:r>
        <w:rPr>
          <w:rStyle w:val="8"/>
          <w:rFonts w:ascii="宋体" w:hAnsi="宋体" w:cs="仿宋_GB2312"/>
          <w:sz w:val="28"/>
          <w:szCs w:val="28"/>
          <w:shd w:val="clear" w:color="auto" w:fill="FFFFFF"/>
        </w:rPr>
        <w:t>2</w:t>
      </w:r>
      <w:r>
        <w:rPr>
          <w:rStyle w:val="8"/>
          <w:rFonts w:hint="eastAsia" w:ascii="宋体" w:hAnsi="宋体" w:cs="仿宋_GB2312"/>
          <w:sz w:val="28"/>
          <w:szCs w:val="28"/>
          <w:shd w:val="clear" w:color="auto" w:fill="FFFFFF"/>
        </w:rPr>
        <w:t>、其他收入：</w:t>
      </w:r>
      <w:r>
        <w:rPr>
          <w:rFonts w:hint="eastAsia" w:ascii="宋体" w:hAnsi="宋体" w:cs="仿宋_GB2312"/>
          <w:sz w:val="28"/>
          <w:szCs w:val="28"/>
          <w:shd w:val="clear" w:color="auto" w:fill="FFFFFF"/>
        </w:rPr>
        <w:t>指除上述财政拨款收入以外的收入。主要是存款利息收入。</w:t>
      </w:r>
    </w:p>
    <w:p w14:paraId="35DE7101">
      <w:pPr>
        <w:pStyle w:val="5"/>
        <w:widowControl/>
        <w:spacing w:line="440" w:lineRule="exact"/>
        <w:ind w:firstLine="506" w:firstLineChars="180"/>
        <w:rPr>
          <w:rFonts w:ascii="宋体" w:hAnsi="宋体"/>
          <w:sz w:val="28"/>
          <w:szCs w:val="28"/>
        </w:rPr>
      </w:pPr>
      <w:r>
        <w:rPr>
          <w:rStyle w:val="8"/>
          <w:rFonts w:ascii="宋体" w:hAnsi="宋体" w:cs="仿宋_GB2312"/>
          <w:color w:val="000000"/>
          <w:sz w:val="28"/>
          <w:szCs w:val="28"/>
          <w:shd w:val="clear" w:color="auto" w:fill="FFFFFF"/>
        </w:rPr>
        <w:t>3</w:t>
      </w:r>
      <w:r>
        <w:rPr>
          <w:rFonts w:hint="eastAsia" w:ascii="宋体" w:hAnsi="宋体"/>
          <w:b/>
          <w:bCs/>
          <w:sz w:val="28"/>
          <w:szCs w:val="28"/>
        </w:rPr>
        <w:t>、基本支出：</w:t>
      </w:r>
      <w:r>
        <w:rPr>
          <w:rFonts w:hint="eastAsia" w:ascii="宋体" w:hAnsi="宋体"/>
          <w:sz w:val="28"/>
          <w:szCs w:val="28"/>
        </w:rPr>
        <w:t>指为保障机构正常运转、完成日常工作任务而发生的人员支出和公用支出。</w:t>
      </w:r>
    </w:p>
    <w:p w14:paraId="0FD54511">
      <w:pPr>
        <w:pStyle w:val="5"/>
        <w:widowControl/>
        <w:spacing w:line="440" w:lineRule="exact"/>
        <w:rPr>
          <w:rFonts w:ascii="宋体" w:hAnsi="宋体"/>
          <w:sz w:val="28"/>
          <w:szCs w:val="28"/>
        </w:rPr>
      </w:pPr>
      <w:r>
        <w:rPr>
          <w:rFonts w:ascii="宋体" w:hAnsi="宋体"/>
          <w:b/>
          <w:bCs/>
          <w:sz w:val="28"/>
          <w:szCs w:val="28"/>
        </w:rPr>
        <w:t xml:space="preserve">    4</w:t>
      </w:r>
      <w:r>
        <w:rPr>
          <w:rFonts w:hint="eastAsia" w:ascii="宋体" w:hAnsi="宋体"/>
          <w:b/>
          <w:bCs/>
          <w:sz w:val="28"/>
          <w:szCs w:val="28"/>
        </w:rPr>
        <w:t>、项目支出</w:t>
      </w:r>
      <w:r>
        <w:rPr>
          <w:rFonts w:hint="eastAsia" w:ascii="宋体" w:hAnsi="宋体"/>
          <w:sz w:val="28"/>
          <w:szCs w:val="28"/>
        </w:rPr>
        <w:t>：指在基本支出之外为完成特定行政任务和事业发展目标所发生的支出。</w:t>
      </w:r>
    </w:p>
    <w:p w14:paraId="4950E6C7">
      <w:pPr>
        <w:pStyle w:val="5"/>
        <w:widowControl/>
        <w:spacing w:line="440" w:lineRule="exact"/>
        <w:ind w:firstLine="562" w:firstLineChars="200"/>
        <w:rPr>
          <w:rFonts w:ascii="宋体" w:hAnsi="宋体"/>
          <w:sz w:val="28"/>
          <w:szCs w:val="28"/>
        </w:rPr>
      </w:pPr>
      <w:r>
        <w:rPr>
          <w:rFonts w:ascii="宋体" w:hAnsi="宋体"/>
          <w:b/>
          <w:bCs/>
          <w:sz w:val="28"/>
          <w:szCs w:val="28"/>
        </w:rPr>
        <w:t>5</w:t>
      </w:r>
      <w:r>
        <w:rPr>
          <w:rFonts w:hint="eastAsia" w:ascii="宋体" w:hAnsi="宋体"/>
          <w:b/>
          <w:bCs/>
          <w:sz w:val="28"/>
          <w:szCs w:val="28"/>
        </w:rPr>
        <w:t>、“三公”经费：</w:t>
      </w:r>
      <w:r>
        <w:rPr>
          <w:rFonts w:hint="eastAsia" w:ascii="宋体" w:hAnsi="宋体"/>
          <w:sz w:val="28"/>
          <w:szCs w:val="28"/>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3293BC5E">
      <w:pPr>
        <w:pStyle w:val="5"/>
        <w:widowControl/>
        <w:spacing w:line="440" w:lineRule="exact"/>
        <w:ind w:firstLine="562" w:firstLineChars="200"/>
        <w:rPr>
          <w:rFonts w:ascii="宋体" w:hAnsi="宋体"/>
          <w:sz w:val="28"/>
          <w:szCs w:val="28"/>
        </w:rPr>
      </w:pPr>
      <w:r>
        <w:rPr>
          <w:rFonts w:ascii="宋体" w:hAnsi="宋体"/>
          <w:b/>
          <w:bCs/>
          <w:sz w:val="28"/>
          <w:szCs w:val="28"/>
        </w:rPr>
        <w:t>6</w:t>
      </w:r>
      <w:r>
        <w:rPr>
          <w:rFonts w:hint="eastAsia" w:ascii="宋体" w:hAnsi="宋体"/>
          <w:b/>
          <w:bCs/>
          <w:sz w:val="28"/>
          <w:szCs w:val="28"/>
        </w:rPr>
        <w:t>、机关运行经费：</w:t>
      </w:r>
      <w:r>
        <w:rPr>
          <w:rFonts w:hint="eastAsia" w:ascii="宋体" w:hAnsi="宋体"/>
          <w:sz w:val="28"/>
          <w:szCs w:val="28"/>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97DB5BB">
      <w:pPr>
        <w:pStyle w:val="5"/>
        <w:widowControl/>
        <w:spacing w:line="440" w:lineRule="exact"/>
        <w:ind w:firstLine="560" w:firstLineChars="200"/>
        <w:rPr>
          <w:rFonts w:ascii="宋体" w:hAnsi="宋体"/>
          <w:sz w:val="28"/>
          <w:szCs w:val="28"/>
        </w:rPr>
      </w:pPr>
    </w:p>
    <w:p w14:paraId="5BF6A01F">
      <w:pPr>
        <w:rPr>
          <w:rFonts w:ascii="宋体" w:hAnsi="宋体" w:cs="黑体"/>
          <w:sz w:val="28"/>
          <w:szCs w:val="28"/>
        </w:rPr>
      </w:pPr>
      <w:r>
        <w:rPr>
          <w:rFonts w:hint="eastAsia" w:ascii="宋体" w:hAnsi="宋体"/>
          <w:sz w:val="28"/>
          <w:szCs w:val="28"/>
        </w:rPr>
        <w:t xml:space="preserve">     </w:t>
      </w:r>
      <w:r>
        <w:rPr>
          <w:rFonts w:hint="eastAsia" w:ascii="宋体" w:hAnsi="宋体" w:cs="黑体"/>
          <w:sz w:val="28"/>
          <w:szCs w:val="28"/>
        </w:rPr>
        <w:t xml:space="preserve"> 九、其他需要说明的事项</w:t>
      </w:r>
    </w:p>
    <w:p w14:paraId="68C462B6">
      <w:pPr>
        <w:spacing w:line="500" w:lineRule="exact"/>
        <w:ind w:firstLine="560" w:firstLineChars="200"/>
        <w:jc w:val="left"/>
        <w:outlineLvl w:val="0"/>
        <w:rPr>
          <w:rFonts w:ascii="宋体" w:hAnsi="宋体"/>
          <w:sz w:val="28"/>
          <w:szCs w:val="28"/>
        </w:rPr>
      </w:pPr>
      <w:r>
        <w:rPr>
          <w:rFonts w:hint="eastAsia" w:ascii="宋体" w:hAnsi="宋体" w:cs="黑体"/>
          <w:sz w:val="28"/>
          <w:szCs w:val="28"/>
        </w:rPr>
        <w:t xml:space="preserve">    </w:t>
      </w:r>
      <w:r>
        <w:rPr>
          <w:rFonts w:hint="eastAsia" w:ascii="宋体" w:hAnsi="宋体"/>
          <w:sz w:val="28"/>
          <w:szCs w:val="28"/>
        </w:rPr>
        <w:t>我部门无政府性基金预算及国有资本经营预算，空表列示。</w:t>
      </w:r>
    </w:p>
    <w:p w14:paraId="197A61D7">
      <w:pPr>
        <w:rPr>
          <w:rFonts w:ascii="宋体" w:hAnsi="宋体"/>
          <w:sz w:val="28"/>
          <w:szCs w:val="28"/>
        </w:rPr>
      </w:pPr>
      <w:r>
        <w:rPr>
          <w:rFonts w:hint="eastAsia" w:ascii="宋体" w:hAnsi="宋体" w:cs="黑体"/>
          <w:sz w:val="28"/>
          <w:szCs w:val="28"/>
        </w:rPr>
        <w:t xml:space="preserve"> </w:t>
      </w:r>
    </w:p>
    <w:p w14:paraId="3C1C9E16">
      <w:pPr>
        <w:rPr>
          <w:rFonts w:ascii="宋体" w:hAnsi="宋体"/>
          <w:sz w:val="28"/>
          <w:szCs w:val="28"/>
        </w:rPr>
      </w:pPr>
    </w:p>
    <w:p w14:paraId="45F3A2BB">
      <w:pPr>
        <w:jc w:val="left"/>
        <w:rPr>
          <w:rFonts w:ascii="宋体" w:hAnsi="宋体" w:cs="仿宋"/>
          <w:spacing w:val="24"/>
          <w:sz w:val="28"/>
          <w:szCs w:val="28"/>
        </w:rPr>
      </w:pPr>
    </w:p>
    <w:p w14:paraId="500B29E0">
      <w:pPr>
        <w:spacing w:line="300" w:lineRule="exact"/>
        <w:jc w:val="left"/>
        <w:outlineLvl w:val="0"/>
        <w:rPr>
          <w:rFonts w:ascii="宋体" w:hAnsi="宋体" w:cs="仿宋"/>
          <w:sz w:val="28"/>
          <w:szCs w:val="28"/>
        </w:rPr>
      </w:pPr>
    </w:p>
    <w:p w14:paraId="14150058">
      <w:pPr>
        <w:jc w:val="left"/>
        <w:rPr>
          <w:rFonts w:ascii="宋体" w:hAnsi="宋体" w:cs="宋体"/>
          <w:bCs/>
          <w:color w:val="000000"/>
          <w:kern w:val="0"/>
          <w:sz w:val="28"/>
          <w:szCs w:val="28"/>
        </w:rPr>
      </w:pPr>
    </w:p>
    <w:sectPr>
      <w:pgSz w:w="11906" w:h="16838"/>
      <w:pgMar w:top="1361" w:right="1020" w:bottom="1361" w:left="1020" w:header="851" w:footer="992" w:gutter="0"/>
      <w:cols w:space="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D09034"/>
    <w:multiLevelType w:val="singleLevel"/>
    <w:tmpl w:val="58D09034"/>
    <w:lvl w:ilvl="0" w:tentative="0">
      <w:start w:val="2"/>
      <w:numFmt w:val="chineseCounting"/>
      <w:suff w:val="nothing"/>
      <w:lvlText w:val="%1、"/>
      <w:lvlJc w:val="left"/>
      <w:rPr>
        <w:rFonts w:cs="Times New Roman"/>
      </w:rPr>
    </w:lvl>
  </w:abstractNum>
  <w:abstractNum w:abstractNumId="1">
    <w:nsid w:val="594C77F3"/>
    <w:multiLevelType w:val="singleLevel"/>
    <w:tmpl w:val="594C77F3"/>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1"/>
  <w:bordersDoNotSurroundFooter w:val="1"/>
  <w:doNotTrackMoves/>
  <w:documentProtection w:enforcement="0"/>
  <w:defaultTabStop w:val="420"/>
  <w:drawingGridVerticalSpacing w:val="157"/>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4741"/>
    <w:rsid w:val="00004741"/>
    <w:rsid w:val="00023AF6"/>
    <w:rsid w:val="00093F75"/>
    <w:rsid w:val="002B4BE4"/>
    <w:rsid w:val="00313A0C"/>
    <w:rsid w:val="004901B7"/>
    <w:rsid w:val="004B3F41"/>
    <w:rsid w:val="004C20AE"/>
    <w:rsid w:val="00503CAF"/>
    <w:rsid w:val="00563708"/>
    <w:rsid w:val="005A4383"/>
    <w:rsid w:val="005B2643"/>
    <w:rsid w:val="006665AC"/>
    <w:rsid w:val="006D5325"/>
    <w:rsid w:val="007005EF"/>
    <w:rsid w:val="00773307"/>
    <w:rsid w:val="00837730"/>
    <w:rsid w:val="0086620A"/>
    <w:rsid w:val="00874DB7"/>
    <w:rsid w:val="008A0499"/>
    <w:rsid w:val="008A6448"/>
    <w:rsid w:val="008E2F7F"/>
    <w:rsid w:val="008F311E"/>
    <w:rsid w:val="00934ADC"/>
    <w:rsid w:val="00A07CF8"/>
    <w:rsid w:val="00A15478"/>
    <w:rsid w:val="00A7444E"/>
    <w:rsid w:val="00AE7E4B"/>
    <w:rsid w:val="00BA6729"/>
    <w:rsid w:val="00C2320F"/>
    <w:rsid w:val="00C46FB9"/>
    <w:rsid w:val="00C653A9"/>
    <w:rsid w:val="00CD18F9"/>
    <w:rsid w:val="00D1143C"/>
    <w:rsid w:val="00D5375B"/>
    <w:rsid w:val="00D65AE0"/>
    <w:rsid w:val="00DA7CCB"/>
    <w:rsid w:val="00DF197B"/>
    <w:rsid w:val="00E7717F"/>
    <w:rsid w:val="00E8298D"/>
    <w:rsid w:val="00EE0087"/>
    <w:rsid w:val="00F349DB"/>
    <w:rsid w:val="00F61832"/>
    <w:rsid w:val="00F73236"/>
    <w:rsid w:val="00FB42B5"/>
    <w:rsid w:val="0CF33480"/>
    <w:rsid w:val="314B1F34"/>
    <w:rsid w:val="36D76EBE"/>
    <w:rsid w:val="36F44A76"/>
    <w:rsid w:val="38D02EB3"/>
    <w:rsid w:val="3A2F64E9"/>
    <w:rsid w:val="3B014247"/>
    <w:rsid w:val="45B3407D"/>
    <w:rsid w:val="4768366A"/>
    <w:rsid w:val="4E8D255B"/>
    <w:rsid w:val="54D60A24"/>
    <w:rsid w:val="5AB97620"/>
    <w:rsid w:val="5E0C0D31"/>
    <w:rsid w:val="613A74E3"/>
    <w:rsid w:val="6CFD5C0B"/>
    <w:rsid w:val="746135FC"/>
    <w:rsid w:val="7F7F78F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9"/>
    <w:qFormat/>
    <w:uiPriority w:val="99"/>
    <w:pPr>
      <w:keepNext/>
      <w:keepLines/>
      <w:spacing w:line="576" w:lineRule="auto"/>
      <w:outlineLvl w:val="0"/>
    </w:pPr>
    <w:rPr>
      <w:b/>
      <w:kern w:val="44"/>
      <w:sz w:val="44"/>
    </w:rPr>
  </w:style>
  <w:style w:type="character" w:default="1" w:styleId="7">
    <w:name w:val="Default Paragraph Font"/>
    <w:unhideWhenUsed/>
    <w:uiPriority w:val="1"/>
  </w:style>
  <w:style w:type="table" w:default="1" w:styleId="6">
    <w:name w:val="Normal Table"/>
    <w:unhideWhenUsed/>
    <w:uiPriority w:val="99"/>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jc w:val="left"/>
    </w:pPr>
    <w:rPr>
      <w:rFonts w:ascii="Times New Roman" w:hAnsi="Times New Roman"/>
      <w:kern w:val="0"/>
      <w:sz w:val="24"/>
    </w:rPr>
  </w:style>
  <w:style w:type="character" w:styleId="8">
    <w:name w:val="Strong"/>
    <w:qFormat/>
    <w:locked/>
    <w:uiPriority w:val="0"/>
    <w:rPr>
      <w:b/>
    </w:rPr>
  </w:style>
  <w:style w:type="character" w:customStyle="1" w:styleId="9">
    <w:name w:val="标题 1 Char"/>
    <w:link w:val="2"/>
    <w:qFormat/>
    <w:locked/>
    <w:uiPriority w:val="99"/>
    <w:rPr>
      <w:rFonts w:cs="Times New Roman"/>
      <w:b/>
      <w:bCs/>
      <w:kern w:val="44"/>
      <w:sz w:val="44"/>
      <w:szCs w:val="44"/>
    </w:rPr>
  </w:style>
  <w:style w:type="character" w:customStyle="1" w:styleId="10">
    <w:name w:val="页眉 Char"/>
    <w:link w:val="4"/>
    <w:qFormat/>
    <w:uiPriority w:val="99"/>
    <w:rPr>
      <w:kern w:val="2"/>
      <w:sz w:val="18"/>
      <w:szCs w:val="18"/>
    </w:rPr>
  </w:style>
  <w:style w:type="character" w:customStyle="1" w:styleId="11">
    <w:name w:val="页脚 Char"/>
    <w:link w:val="3"/>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4299</Words>
  <Characters>4723</Characters>
  <Lines>35</Lines>
  <Paragraphs>9</Paragraphs>
  <TotalTime>4</TotalTime>
  <ScaleCrop>false</ScaleCrop>
  <LinksUpToDate>false</LinksUpToDate>
  <CharactersWithSpaces>4836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八爪小鱼</cp:lastModifiedBy>
  <cp:lastPrinted>2017-03-31T03:27:00Z</cp:lastPrinted>
  <dcterms:modified xsi:type="dcterms:W3CDTF">2025-03-10T06:34:33Z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eyJoZGlkIjoiNTY3NzU0NDM5MWFkMmY4ZmZmZjJjODBjMzI2N2ZmYWUiLCJ1c2VySWQiOiI0MDE5OTQ3MTgifQ==</vt:lpwstr>
  </property>
  <property fmtid="{D5CDD505-2E9C-101B-9397-08002B2CF9AE}" pid="4" name="ICV">
    <vt:lpwstr>0379568E56D8401A86D06EA376458E2D_12</vt:lpwstr>
  </property>
</Properties>
</file>