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pPr>
      <w:r>
        <w:rPr>
          <w:rFonts w:hint="eastAsia" w:ascii="黑体" w:hAnsi="黑体" w:eastAsia="黑体" w:cs="黑体"/>
          <w:b/>
          <w:color w:val="000000"/>
          <w:sz w:val="30"/>
          <w:lang w:val="en-US" w:eastAsia="zh-CN"/>
        </w:rPr>
        <w:t>涞水县永阳镇人民政府</w:t>
      </w:r>
      <w:r>
        <w:rPr>
          <w:rFonts w:hint="eastAsia" w:ascii="黑体" w:hAnsi="黑体" w:eastAsia="黑体" w:cs="黑体"/>
          <w:b/>
          <w:color w:val="000000"/>
          <w:sz w:val="30"/>
        </w:rPr>
        <w:t>所属单位预算</w:t>
      </w:r>
    </w:p>
    <w:p>
      <w:pPr>
        <w:pStyle w:val="6"/>
        <w:tabs>
          <w:tab w:val="right" w:leader="dot" w:pos="14572"/>
        </w:tabs>
      </w:pPr>
      <w:r>
        <w:fldChar w:fldCharType="begin"/>
      </w:r>
      <w:r>
        <w:instrText xml:space="preserve">TOC \o "4-4" \h \z \u</w:instrText>
      </w:r>
      <w:r>
        <w:fldChar w:fldCharType="separate"/>
      </w:r>
      <w:r>
        <w:fldChar w:fldCharType="begin"/>
      </w:r>
      <w:r>
        <w:instrText xml:space="preserve"> HYPERLINK \l _Toc21214 </w:instrText>
      </w:r>
      <w:r>
        <w:fldChar w:fldCharType="separate"/>
      </w:r>
      <w:r>
        <w:rPr>
          <w:rFonts w:hint="eastAsia" w:ascii="方正小标宋_GBK" w:hAnsi="方正小标宋_GBK" w:eastAsia="方正小标宋_GBK" w:cs="方正小标宋_GBK"/>
        </w:rPr>
        <w:t>一、</w:t>
      </w:r>
      <w:r>
        <w:rPr>
          <w:rFonts w:hint="eastAsia" w:ascii="方正小标宋_GBK" w:hAnsi="方正小标宋_GBK" w:eastAsia="方正小标宋_GBK" w:cs="方正小标宋_GBK"/>
          <w:lang w:eastAsia="zh-CN"/>
        </w:rPr>
        <w:t>涞水县永阳镇人民政府</w:t>
      </w:r>
      <w:r>
        <w:rPr>
          <w:rFonts w:hint="eastAsia" w:ascii="方正小标宋_GBK" w:hAnsi="方正小标宋_GBK" w:eastAsia="方正小标宋_GBK" w:cs="方正小标宋_GBK"/>
        </w:rPr>
        <w:t>（本级）收支预算</w:t>
      </w:r>
      <w:r>
        <w:tab/>
      </w:r>
      <w:r>
        <w:fldChar w:fldCharType="begin"/>
      </w:r>
      <w:r>
        <w:instrText xml:space="preserve"> PAGEREF _Toc21214 </w:instrText>
      </w:r>
      <w:r>
        <w:fldChar w:fldCharType="separate"/>
      </w:r>
      <w:r>
        <w:t>1</w:t>
      </w:r>
      <w:r>
        <w:fldChar w:fldCharType="end"/>
      </w:r>
      <w:r>
        <w:fldChar w:fldCharType="end"/>
      </w:r>
    </w:p>
    <w:p>
      <w:pPr>
        <w:pStyle w:val="6"/>
        <w:tabs>
          <w:tab w:val="right" w:leader="dot" w:pos="14572"/>
        </w:tabs>
      </w:pPr>
    </w:p>
    <w:p>
      <w:pPr>
        <w:pStyle w:val="6"/>
        <w:tabs>
          <w:tab w:val="right" w:leader="dot" w:pos="14572"/>
        </w:tabs>
      </w:pPr>
      <w:r>
        <w:fldChar w:fldCharType="begin"/>
      </w:r>
      <w:r>
        <w:instrText xml:space="preserve"> HYPERLINK \l _Toc26485 </w:instrText>
      </w:r>
      <w:r>
        <w:fldChar w:fldCharType="separate"/>
      </w:r>
      <w:r>
        <w:fldChar w:fldCharType="end"/>
      </w:r>
    </w:p>
    <w:p>
      <w:pPr>
        <w:sectPr>
          <w:headerReference r:id="rId3" w:type="even"/>
          <w:pgSz w:w="16840" w:h="11900" w:orient="landscape"/>
          <w:pgMar w:top="1587" w:right="1134" w:bottom="1361" w:left="1134" w:header="720" w:footer="720" w:gutter="0"/>
          <w:pgNumType w:fmt="decimal" w:start="1"/>
          <w:cols w:space="720" w:num="1"/>
        </w:sectPr>
      </w:pPr>
      <w:r>
        <w:fldChar w:fldCharType="end"/>
      </w: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pgNumType w:fmt="decimal"/>
          <w:cols w:space="720" w:num="1"/>
        </w:sectPr>
      </w:pPr>
    </w:p>
    <w:p>
      <w:pPr>
        <w:jc w:val="both"/>
        <w:outlineLvl w:val="3"/>
        <w:rPr>
          <w:rFonts w:ascii="方正小标宋_GBK" w:hAnsi="方正小标宋_GBK" w:cs="方正小标宋_GBK" w:eastAsiaTheme="minorEastAsia"/>
          <w:color w:val="000000"/>
          <w:sz w:val="44"/>
          <w:lang w:eastAsia="zh-CN"/>
        </w:rPr>
      </w:pPr>
    </w:p>
    <w:p>
      <w:pPr>
        <w:jc w:val="center"/>
        <w:outlineLvl w:val="3"/>
        <w:rPr>
          <w:rFonts w:hint="eastAsia" w:ascii="方正小标宋_GBK" w:hAnsi="方正小标宋_GBK" w:eastAsia="方正小标宋_GBK" w:cs="方正小标宋_GBK"/>
          <w:color w:val="000000"/>
          <w:sz w:val="44"/>
        </w:r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cols w:space="720" w:num="1"/>
        </w:sectPr>
      </w:pPr>
      <w:bookmarkStart w:id="0" w:name="_Toc21214"/>
    </w:p>
    <w:p>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涞水县永阳镇人民政府</w:t>
      </w:r>
      <w:r>
        <w:rPr>
          <w:rFonts w:hint="eastAsia" w:ascii="方正小标宋_GBK" w:hAnsi="方正小标宋_GBK" w:eastAsia="方正小标宋_GBK" w:cs="方正小标宋_GBK"/>
          <w:color w:val="000000"/>
          <w:sz w:val="44"/>
        </w:rPr>
        <w:t>（本级）收支预算</w:t>
      </w:r>
      <w:bookmarkEnd w:id="0"/>
    </w:p>
    <w:p>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rPr>
                <w:rFonts w:hint="eastAsia"/>
                <w:lang w:eastAsia="zh-CN"/>
              </w:rPr>
              <w:t>804</w:t>
            </w:r>
            <w:r>
              <w:t>001</w:t>
            </w:r>
            <w:r>
              <w:rPr>
                <w:rFonts w:hint="eastAsia"/>
                <w:lang w:eastAsia="zh-CN"/>
              </w:rPr>
              <w:t>涞水县永阳镇人民政府</w:t>
            </w:r>
            <w:r>
              <w:rPr>
                <w:rFonts w:hint="eastAsia"/>
              </w:rPr>
              <w:t>（本级）</w:t>
            </w:r>
          </w:p>
        </w:tc>
        <w:tc>
          <w:tcPr>
            <w:tcW w:w="2126"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6662" w:type="dxa"/>
            <w:gridSpan w:val="2"/>
            <w:vAlign w:val="center"/>
          </w:tcPr>
          <w:p>
            <w:pPr>
              <w:pStyle w:val="16"/>
            </w:pPr>
            <w:r>
              <w:rPr>
                <w:rFonts w:hint="eastAsia"/>
              </w:rPr>
              <w:t>收入</w:t>
            </w:r>
          </w:p>
        </w:tc>
        <w:tc>
          <w:tcPr>
            <w:tcW w:w="6661" w:type="dxa"/>
            <w:gridSpan w:val="2"/>
            <w:vAlign w:val="center"/>
          </w:tcPr>
          <w:p>
            <w:pPr>
              <w:pStyle w:val="16"/>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rPr>
                <w:rFonts w:hint="eastAsia"/>
              </w:rPr>
              <w:t>项</w:t>
            </w:r>
            <w:r>
              <w:t xml:space="preserve">  </w:t>
            </w:r>
            <w:r>
              <w:rPr>
                <w:rFonts w:hint="eastAsia"/>
              </w:rPr>
              <w:t>目</w:t>
            </w:r>
          </w:p>
        </w:tc>
        <w:tc>
          <w:tcPr>
            <w:tcW w:w="2126" w:type="dxa"/>
            <w:vAlign w:val="center"/>
          </w:tcPr>
          <w:p>
            <w:pPr>
              <w:pStyle w:val="16"/>
            </w:pPr>
            <w:r>
              <w:rPr>
                <w:rFonts w:hint="eastAsia"/>
              </w:rPr>
              <w:t>预算数</w:t>
            </w:r>
          </w:p>
        </w:tc>
        <w:tc>
          <w:tcPr>
            <w:tcW w:w="4535" w:type="dxa"/>
            <w:vAlign w:val="center"/>
          </w:tcPr>
          <w:p>
            <w:pPr>
              <w:pStyle w:val="16"/>
            </w:pPr>
            <w:r>
              <w:rPr>
                <w:rFonts w:hint="eastAsia"/>
              </w:rPr>
              <w:t>项</w:t>
            </w:r>
            <w:r>
              <w:t xml:space="preserve">  </w:t>
            </w:r>
            <w:r>
              <w:rPr>
                <w:rFonts w:hint="eastAsia"/>
              </w:rPr>
              <w:t>目</w:t>
            </w:r>
          </w:p>
        </w:tc>
        <w:tc>
          <w:tcPr>
            <w:tcW w:w="2126" w:type="dxa"/>
            <w:vAlign w:val="center"/>
          </w:tcPr>
          <w:p>
            <w:pPr>
              <w:pStyle w:val="16"/>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4536" w:type="dxa"/>
            <w:vAlign w:val="center"/>
          </w:tcPr>
          <w:p>
            <w:pPr>
              <w:pStyle w:val="18"/>
            </w:pPr>
            <w:r>
              <w:rPr>
                <w:rFonts w:hint="eastAsia"/>
              </w:rPr>
              <w:t>一、一般公共预算拨款收入</w:t>
            </w:r>
          </w:p>
        </w:tc>
        <w:tc>
          <w:tcPr>
            <w:tcW w:w="2126" w:type="dxa"/>
            <w:vAlign w:val="center"/>
          </w:tcPr>
          <w:p>
            <w:pPr>
              <w:pStyle w:val="17"/>
              <w:rPr>
                <w:rFonts w:eastAsiaTheme="minorEastAsia"/>
                <w:lang w:eastAsia="zh-CN"/>
              </w:rPr>
            </w:pPr>
            <w:r>
              <w:rPr>
                <w:rFonts w:hint="eastAsia"/>
                <w:lang w:val="en-US" w:eastAsia="zh-CN"/>
              </w:rPr>
              <w:t>603.38</w:t>
            </w:r>
          </w:p>
        </w:tc>
        <w:tc>
          <w:tcPr>
            <w:tcW w:w="4535" w:type="dxa"/>
            <w:vAlign w:val="center"/>
          </w:tcPr>
          <w:p>
            <w:pPr>
              <w:pStyle w:val="18"/>
            </w:pPr>
            <w:r>
              <w:rPr>
                <w:rFonts w:hint="eastAsia"/>
              </w:rPr>
              <w:t>一、一般公共服务支出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523.28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4536" w:type="dxa"/>
            <w:vAlign w:val="center"/>
          </w:tcPr>
          <w:p>
            <w:pPr>
              <w:pStyle w:val="18"/>
            </w:pPr>
            <w:r>
              <w:rPr>
                <w:rFonts w:hint="eastAsia"/>
              </w:rPr>
              <w:t>二、政府性基金预算拨款收入</w:t>
            </w:r>
          </w:p>
        </w:tc>
        <w:tc>
          <w:tcPr>
            <w:tcW w:w="2126" w:type="dxa"/>
            <w:vAlign w:val="center"/>
          </w:tcPr>
          <w:p>
            <w:pPr>
              <w:pStyle w:val="17"/>
            </w:pPr>
          </w:p>
        </w:tc>
        <w:tc>
          <w:tcPr>
            <w:tcW w:w="4535" w:type="dxa"/>
            <w:vAlign w:val="center"/>
          </w:tcPr>
          <w:p>
            <w:pPr>
              <w:pStyle w:val="18"/>
            </w:pPr>
            <w:r>
              <w:rPr>
                <w:rFonts w:hint="eastAsia"/>
              </w:rPr>
              <w:t>二、外交支出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4536" w:type="dxa"/>
            <w:vAlign w:val="center"/>
          </w:tcPr>
          <w:p>
            <w:pPr>
              <w:pStyle w:val="18"/>
            </w:pPr>
            <w:r>
              <w:rPr>
                <w:rFonts w:hint="eastAsia"/>
              </w:rPr>
              <w:t>三、国有资本经营预算拨款收入</w:t>
            </w:r>
          </w:p>
        </w:tc>
        <w:tc>
          <w:tcPr>
            <w:tcW w:w="2126" w:type="dxa"/>
            <w:vAlign w:val="center"/>
          </w:tcPr>
          <w:p>
            <w:pPr>
              <w:pStyle w:val="17"/>
            </w:pPr>
          </w:p>
        </w:tc>
        <w:tc>
          <w:tcPr>
            <w:tcW w:w="4535" w:type="dxa"/>
            <w:vAlign w:val="center"/>
          </w:tcPr>
          <w:p>
            <w:pPr>
              <w:pStyle w:val="18"/>
            </w:pPr>
            <w:r>
              <w:rPr>
                <w:rFonts w:hint="eastAsia"/>
              </w:rPr>
              <w:t>三、国防支出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4536" w:type="dxa"/>
            <w:vAlign w:val="center"/>
          </w:tcPr>
          <w:p>
            <w:pPr>
              <w:pStyle w:val="18"/>
            </w:pPr>
            <w:r>
              <w:rPr>
                <w:rFonts w:hint="eastAsia"/>
              </w:rPr>
              <w:t>四、财政专户管理资金收入</w:t>
            </w:r>
          </w:p>
        </w:tc>
        <w:tc>
          <w:tcPr>
            <w:tcW w:w="2126" w:type="dxa"/>
            <w:vAlign w:val="center"/>
          </w:tcPr>
          <w:p>
            <w:pPr>
              <w:pStyle w:val="17"/>
            </w:pPr>
          </w:p>
        </w:tc>
        <w:tc>
          <w:tcPr>
            <w:tcW w:w="4535" w:type="dxa"/>
            <w:vAlign w:val="center"/>
          </w:tcPr>
          <w:p>
            <w:pPr>
              <w:pStyle w:val="18"/>
            </w:pPr>
            <w:r>
              <w:rPr>
                <w:rFonts w:hint="eastAsia"/>
              </w:rPr>
              <w:t>四、公共安全支出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4536" w:type="dxa"/>
            <w:vAlign w:val="center"/>
          </w:tcPr>
          <w:p>
            <w:pPr>
              <w:pStyle w:val="18"/>
            </w:pPr>
            <w:r>
              <w:rPr>
                <w:rFonts w:hint="eastAsia"/>
              </w:rPr>
              <w:t>五、事业收入</w:t>
            </w:r>
          </w:p>
        </w:tc>
        <w:tc>
          <w:tcPr>
            <w:tcW w:w="2126" w:type="dxa"/>
            <w:vAlign w:val="center"/>
          </w:tcPr>
          <w:p>
            <w:pPr>
              <w:pStyle w:val="17"/>
            </w:pPr>
          </w:p>
        </w:tc>
        <w:tc>
          <w:tcPr>
            <w:tcW w:w="4535" w:type="dxa"/>
            <w:vAlign w:val="center"/>
          </w:tcPr>
          <w:p>
            <w:pPr>
              <w:pStyle w:val="18"/>
            </w:pPr>
            <w:r>
              <w:rPr>
                <w:rFonts w:hint="eastAsia"/>
              </w:rPr>
              <w:t>五、教育支出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4536" w:type="dxa"/>
            <w:vAlign w:val="center"/>
          </w:tcPr>
          <w:p>
            <w:pPr>
              <w:pStyle w:val="18"/>
            </w:pPr>
            <w:r>
              <w:rPr>
                <w:rFonts w:hint="eastAsia"/>
              </w:rPr>
              <w:t>六、事业单位经营收入</w:t>
            </w:r>
          </w:p>
        </w:tc>
        <w:tc>
          <w:tcPr>
            <w:tcW w:w="2126" w:type="dxa"/>
            <w:vAlign w:val="center"/>
          </w:tcPr>
          <w:p>
            <w:pPr>
              <w:pStyle w:val="17"/>
            </w:pPr>
          </w:p>
        </w:tc>
        <w:tc>
          <w:tcPr>
            <w:tcW w:w="4535" w:type="dxa"/>
            <w:vAlign w:val="center"/>
          </w:tcPr>
          <w:p>
            <w:pPr>
              <w:pStyle w:val="18"/>
            </w:pPr>
            <w:r>
              <w:rPr>
                <w:rFonts w:hint="eastAsia"/>
              </w:rPr>
              <w:t>六、科学技术支出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4536" w:type="dxa"/>
            <w:vAlign w:val="center"/>
          </w:tcPr>
          <w:p>
            <w:pPr>
              <w:pStyle w:val="18"/>
            </w:pPr>
            <w:r>
              <w:rPr>
                <w:rFonts w:hint="eastAsia"/>
              </w:rPr>
              <w:t>七、上级补助收入</w:t>
            </w:r>
          </w:p>
        </w:tc>
        <w:tc>
          <w:tcPr>
            <w:tcW w:w="2126" w:type="dxa"/>
            <w:vAlign w:val="center"/>
          </w:tcPr>
          <w:p>
            <w:pPr>
              <w:pStyle w:val="17"/>
            </w:pPr>
          </w:p>
        </w:tc>
        <w:tc>
          <w:tcPr>
            <w:tcW w:w="4535" w:type="dxa"/>
            <w:vAlign w:val="center"/>
          </w:tcPr>
          <w:p>
            <w:pPr>
              <w:pStyle w:val="18"/>
            </w:pPr>
            <w:r>
              <w:rPr>
                <w:rFonts w:hint="eastAsia"/>
              </w:rPr>
              <w:t>七、文化旅游体育与传媒支出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4536" w:type="dxa"/>
            <w:vAlign w:val="center"/>
          </w:tcPr>
          <w:p>
            <w:pPr>
              <w:pStyle w:val="18"/>
            </w:pPr>
            <w:r>
              <w:rPr>
                <w:rFonts w:hint="eastAsia"/>
              </w:rPr>
              <w:t>八、附属单位上缴收入</w:t>
            </w:r>
          </w:p>
        </w:tc>
        <w:tc>
          <w:tcPr>
            <w:tcW w:w="2126" w:type="dxa"/>
            <w:vAlign w:val="center"/>
          </w:tcPr>
          <w:p>
            <w:pPr>
              <w:pStyle w:val="17"/>
            </w:pPr>
          </w:p>
        </w:tc>
        <w:tc>
          <w:tcPr>
            <w:tcW w:w="4535" w:type="dxa"/>
            <w:vAlign w:val="center"/>
          </w:tcPr>
          <w:p>
            <w:pPr>
              <w:pStyle w:val="18"/>
            </w:pPr>
            <w:r>
              <w:rPr>
                <w:rFonts w:hint="eastAsia"/>
              </w:rPr>
              <w:t>八、社会保障和就业支出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36.6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4536" w:type="dxa"/>
            <w:vAlign w:val="center"/>
          </w:tcPr>
          <w:p>
            <w:pPr>
              <w:pStyle w:val="18"/>
            </w:pPr>
            <w:r>
              <w:rPr>
                <w:rFonts w:hint="eastAsia"/>
              </w:rPr>
              <w:t>九、其他收入</w:t>
            </w:r>
          </w:p>
        </w:tc>
        <w:tc>
          <w:tcPr>
            <w:tcW w:w="2126" w:type="dxa"/>
            <w:vAlign w:val="center"/>
          </w:tcPr>
          <w:p>
            <w:pPr>
              <w:pStyle w:val="17"/>
            </w:pPr>
          </w:p>
        </w:tc>
        <w:tc>
          <w:tcPr>
            <w:tcW w:w="4535" w:type="dxa"/>
            <w:vAlign w:val="center"/>
          </w:tcPr>
          <w:p>
            <w:pPr>
              <w:pStyle w:val="18"/>
            </w:pPr>
            <w:r>
              <w:rPr>
                <w:rFonts w:hint="eastAsia"/>
              </w:rPr>
              <w:t>九、社会保险基金支出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十、卫生健康支出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十一、节能环保支出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十二、城乡社区支出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十三、农林水支出</w:t>
            </w:r>
          </w:p>
        </w:tc>
        <w:tc>
          <w:tcPr>
            <w:tcW w:w="2126"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十四、交通运输支出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15</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十五、资源勘探工业信息等支出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16</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十六、商业服务业等支出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17</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十七、金融支出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18</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十八、援助其他地区支出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19</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十九、自然资源海洋气象等支出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20</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二十、住房保障支出</w:t>
            </w:r>
          </w:p>
        </w:tc>
        <w:tc>
          <w:tcPr>
            <w:tcW w:w="2126" w:type="dxa"/>
            <w:vAlign w:val="center"/>
          </w:tcPr>
          <w:p>
            <w:pPr>
              <w:pStyle w:val="17"/>
              <w:rPr>
                <w:rFonts w:hint="default"/>
                <w:lang w:val="en-US" w:eastAsia="zh-CN"/>
              </w:rPr>
            </w:pPr>
            <w:r>
              <w:rPr>
                <w:rFonts w:hint="eastAsia"/>
                <w:lang w:val="en-US" w:eastAsia="zh-CN"/>
              </w:rPr>
              <w:t>21.45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21</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二十一、粮油物资储备支出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22</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二十二、国有资本经营预算支出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23</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二十三、灾害防治及应急管理支出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24</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二十四、预备费</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25</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二十五、其他支出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26</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二十六、转移性支出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27</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二十七、债务还本支出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28</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二十八、债务付息支出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29</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二十九、债务发行费用支出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30</w:t>
            </w:r>
          </w:p>
        </w:tc>
        <w:tc>
          <w:tcPr>
            <w:tcW w:w="4536"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三十、抗疫特别国债安排的支出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31</w:t>
            </w:r>
          </w:p>
        </w:tc>
        <w:tc>
          <w:tcPr>
            <w:tcW w:w="4536" w:type="dxa"/>
            <w:vAlign w:val="center"/>
          </w:tcPr>
          <w:p>
            <w:pPr>
              <w:pStyle w:val="20"/>
            </w:pPr>
            <w:r>
              <w:rPr>
                <w:rFonts w:hint="eastAsia"/>
              </w:rPr>
              <w:t>本年收入合计</w:t>
            </w:r>
          </w:p>
        </w:tc>
        <w:tc>
          <w:tcPr>
            <w:tcW w:w="2126" w:type="dxa"/>
            <w:vAlign w:val="center"/>
          </w:tcPr>
          <w:p>
            <w:pPr>
              <w:pStyle w:val="21"/>
              <w:rPr>
                <w:rFonts w:hint="default" w:eastAsiaTheme="minorEastAsia"/>
                <w:lang w:val="en-US" w:eastAsia="zh-CN"/>
              </w:rPr>
            </w:pPr>
            <w:r>
              <w:rPr>
                <w:rFonts w:hint="eastAsia" w:eastAsiaTheme="minorEastAsia"/>
                <w:lang w:val="en-US" w:eastAsia="zh-CN"/>
              </w:rPr>
              <w:t>603.38</w:t>
            </w:r>
          </w:p>
        </w:tc>
        <w:tc>
          <w:tcPr>
            <w:tcW w:w="4535" w:type="dxa"/>
            <w:vAlign w:val="center"/>
          </w:tcPr>
          <w:p>
            <w:pPr>
              <w:pStyle w:val="20"/>
            </w:pPr>
            <w:r>
              <w:rPr>
                <w:rFonts w:hint="eastAsia"/>
              </w:rPr>
              <w:t>本年支出合计</w:t>
            </w:r>
          </w:p>
        </w:tc>
        <w:tc>
          <w:tcPr>
            <w:tcW w:w="2126" w:type="dxa"/>
            <w:vAlign w:val="center"/>
          </w:tcPr>
          <w:p>
            <w:pPr>
              <w:pStyle w:val="21"/>
              <w:rPr>
                <w:rFonts w:hint="default"/>
                <w:lang w:val="en-US" w:eastAsia="zh-CN"/>
              </w:rPr>
            </w:pPr>
            <w:r>
              <w:rPr>
                <w:rFonts w:hint="eastAsia"/>
                <w:lang w:val="en-US" w:eastAsia="zh-CN"/>
              </w:rPr>
              <w:t>603.38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32</w:t>
            </w:r>
          </w:p>
        </w:tc>
        <w:tc>
          <w:tcPr>
            <w:tcW w:w="4536" w:type="dxa"/>
            <w:vAlign w:val="center"/>
          </w:tcPr>
          <w:p>
            <w:pPr>
              <w:pStyle w:val="18"/>
            </w:pPr>
            <w:r>
              <w:rPr>
                <w:rFonts w:hint="eastAsia"/>
              </w:rPr>
              <w:t>上年结转结余</w:t>
            </w:r>
          </w:p>
        </w:tc>
        <w:tc>
          <w:tcPr>
            <w:tcW w:w="2126" w:type="dxa"/>
            <w:vAlign w:val="center"/>
          </w:tcPr>
          <w:p>
            <w:pPr>
              <w:pStyle w:val="17"/>
            </w:pPr>
          </w:p>
        </w:tc>
        <w:tc>
          <w:tcPr>
            <w:tcW w:w="4535" w:type="dxa"/>
            <w:vAlign w:val="center"/>
          </w:tcPr>
          <w:p>
            <w:pPr>
              <w:pStyle w:val="18"/>
            </w:pPr>
            <w:r>
              <w:rPr>
                <w:rFonts w:hint="eastAsia"/>
              </w:rPr>
              <w:t>年终结转结余</w:t>
            </w:r>
          </w:p>
        </w:tc>
        <w:tc>
          <w:tcPr>
            <w:tcW w:w="2126" w:type="dxa"/>
            <w:vAlign w:val="center"/>
          </w:tcPr>
          <w:p>
            <w:pPr>
              <w:pStyle w:val="17"/>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33</w:t>
            </w:r>
          </w:p>
        </w:tc>
        <w:tc>
          <w:tcPr>
            <w:tcW w:w="4536" w:type="dxa"/>
            <w:vAlign w:val="center"/>
          </w:tcPr>
          <w:p>
            <w:pPr>
              <w:pStyle w:val="20"/>
            </w:pPr>
            <w:r>
              <w:rPr>
                <w:rFonts w:hint="eastAsia"/>
              </w:rPr>
              <w:t>收入总计</w:t>
            </w:r>
          </w:p>
        </w:tc>
        <w:tc>
          <w:tcPr>
            <w:tcW w:w="2126" w:type="dxa"/>
            <w:vAlign w:val="center"/>
          </w:tcPr>
          <w:p>
            <w:pPr>
              <w:pStyle w:val="21"/>
              <w:rPr>
                <w:rFonts w:hint="default" w:eastAsiaTheme="minorEastAsia"/>
                <w:lang w:val="en-US" w:eastAsia="zh-CN"/>
              </w:rPr>
            </w:pPr>
            <w:r>
              <w:rPr>
                <w:rFonts w:hint="eastAsia" w:eastAsiaTheme="minorEastAsia"/>
                <w:lang w:val="en-US" w:eastAsia="zh-CN"/>
              </w:rPr>
              <w:t>603.38</w:t>
            </w:r>
          </w:p>
        </w:tc>
        <w:tc>
          <w:tcPr>
            <w:tcW w:w="4535" w:type="dxa"/>
            <w:vAlign w:val="center"/>
          </w:tcPr>
          <w:p>
            <w:pPr>
              <w:pStyle w:val="20"/>
            </w:pPr>
            <w:r>
              <w:rPr>
                <w:rFonts w:hint="eastAsia"/>
              </w:rPr>
              <w:t>支出总计</w:t>
            </w:r>
          </w:p>
        </w:tc>
        <w:tc>
          <w:tcPr>
            <w:tcW w:w="2126" w:type="dxa"/>
            <w:vAlign w:val="center"/>
          </w:tcPr>
          <w:p>
            <w:pPr>
              <w:pStyle w:val="21"/>
              <w:rPr>
                <w:rFonts w:hint="default"/>
                <w:lang w:val="en-US" w:eastAsia="zh-CN"/>
              </w:rPr>
            </w:pPr>
            <w:r>
              <w:rPr>
                <w:rFonts w:hint="eastAsia"/>
                <w:lang w:val="en-US" w:eastAsia="zh-CN"/>
              </w:rPr>
              <w:t>603.38</w:t>
            </w:r>
          </w:p>
        </w:tc>
      </w:tr>
    </w:tbl>
    <w:p>
      <w:pPr>
        <w:sectPr>
          <w:footerReference r:id="rId10" w:type="default"/>
          <w:footerReference r:id="rId11" w:type="even"/>
          <w:pgSz w:w="16840" w:h="11900" w:orient="landscape"/>
          <w:pgMar w:top="1361" w:right="1021" w:bottom="1134" w:left="1021" w:header="720" w:footer="720" w:gutter="0"/>
          <w:pgNumType w:fmt="decimal" w:start="1"/>
          <w:cols w:space="720" w:num="1"/>
        </w:sect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146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4"/>
        <w:gridCol w:w="1147"/>
        <w:gridCol w:w="1860"/>
        <w:gridCol w:w="906"/>
        <w:gridCol w:w="1190"/>
        <w:gridCol w:w="2"/>
        <w:gridCol w:w="1038"/>
        <w:gridCol w:w="987"/>
        <w:gridCol w:w="1124"/>
        <w:gridCol w:w="2"/>
        <w:gridCol w:w="1155"/>
        <w:gridCol w:w="1142"/>
        <w:gridCol w:w="1140"/>
        <w:gridCol w:w="1141"/>
        <w:gridCol w:w="114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blHeader/>
          <w:jc w:val="center"/>
        </w:trPr>
        <w:tc>
          <w:tcPr>
            <w:tcW w:w="5789" w:type="dxa"/>
            <w:gridSpan w:val="6"/>
            <w:tcBorders>
              <w:top w:val="single" w:color="FFFFFF" w:sz="6" w:space="0"/>
              <w:left w:val="single" w:color="FFFFFF" w:sz="6" w:space="0"/>
              <w:right w:val="single" w:color="FFFFFF" w:sz="6" w:space="0"/>
            </w:tcBorders>
            <w:vAlign w:val="center"/>
          </w:tcPr>
          <w:p>
            <w:pPr>
              <w:pStyle w:val="15"/>
            </w:pPr>
            <w:r>
              <w:rPr>
                <w:rFonts w:hint="eastAsia"/>
                <w:lang w:eastAsia="zh-CN"/>
              </w:rPr>
              <w:t>804</w:t>
            </w:r>
            <w:r>
              <w:t>001</w:t>
            </w:r>
            <w:r>
              <w:rPr>
                <w:rFonts w:hint="eastAsia"/>
                <w:lang w:eastAsia="zh-CN"/>
              </w:rPr>
              <w:t>涞水县永阳镇人民政府</w:t>
            </w:r>
            <w:r>
              <w:rPr>
                <w:rFonts w:hint="eastAsia"/>
              </w:rPr>
              <w:t>（本级）</w:t>
            </w:r>
          </w:p>
        </w:tc>
        <w:tc>
          <w:tcPr>
            <w:tcW w:w="3151" w:type="dxa"/>
            <w:gridSpan w:val="4"/>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720" w:type="dxa"/>
            <w:gridSpan w:val="5"/>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tblHeader/>
          <w:jc w:val="center"/>
        </w:trPr>
        <w:tc>
          <w:tcPr>
            <w:tcW w:w="684" w:type="dxa"/>
            <w:vMerge w:val="restart"/>
            <w:vAlign w:val="center"/>
          </w:tcPr>
          <w:p>
            <w:pPr>
              <w:pStyle w:val="16"/>
            </w:pPr>
            <w:r>
              <w:rPr>
                <w:rFonts w:hint="eastAsia"/>
              </w:rPr>
              <w:t>序号</w:t>
            </w:r>
          </w:p>
        </w:tc>
        <w:tc>
          <w:tcPr>
            <w:tcW w:w="3007" w:type="dxa"/>
            <w:gridSpan w:val="2"/>
            <w:vAlign w:val="center"/>
          </w:tcPr>
          <w:p>
            <w:pPr>
              <w:pStyle w:val="16"/>
            </w:pPr>
            <w:r>
              <w:rPr>
                <w:rFonts w:hint="eastAsia"/>
              </w:rPr>
              <w:t>功能分类科目</w:t>
            </w:r>
          </w:p>
        </w:tc>
        <w:tc>
          <w:tcPr>
            <w:tcW w:w="906" w:type="dxa"/>
            <w:vMerge w:val="restart"/>
            <w:vAlign w:val="center"/>
          </w:tcPr>
          <w:p>
            <w:pPr>
              <w:pStyle w:val="16"/>
            </w:pPr>
            <w:r>
              <w:rPr>
                <w:rFonts w:hint="eastAsia"/>
              </w:rPr>
              <w:t>合计</w:t>
            </w:r>
          </w:p>
        </w:tc>
        <w:tc>
          <w:tcPr>
            <w:tcW w:w="8921" w:type="dxa"/>
            <w:gridSpan w:val="10"/>
            <w:vAlign w:val="center"/>
          </w:tcPr>
          <w:p>
            <w:pPr>
              <w:pStyle w:val="16"/>
            </w:pPr>
            <w:r>
              <w:rPr>
                <w:rFonts w:hint="eastAsia"/>
              </w:rPr>
              <w:t>本年收入</w:t>
            </w:r>
          </w:p>
        </w:tc>
        <w:tc>
          <w:tcPr>
            <w:tcW w:w="1142" w:type="dxa"/>
            <w:vAlign w:val="center"/>
          </w:tcPr>
          <w:p>
            <w:pPr>
              <w:pStyle w:val="16"/>
            </w:pPr>
            <w:r>
              <w:rPr>
                <w:rFonts w:hint="eastAsia"/>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6" w:hRule="atLeast"/>
          <w:tblHeader/>
          <w:jc w:val="center"/>
        </w:trPr>
        <w:tc>
          <w:tcPr>
            <w:tcW w:w="684" w:type="dxa"/>
            <w:vMerge w:val="continue"/>
          </w:tcPr>
          <w:p/>
        </w:tc>
        <w:tc>
          <w:tcPr>
            <w:tcW w:w="1147" w:type="dxa"/>
            <w:vAlign w:val="center"/>
          </w:tcPr>
          <w:p>
            <w:pPr>
              <w:pStyle w:val="16"/>
            </w:pPr>
            <w:r>
              <w:rPr>
                <w:rFonts w:hint="eastAsia"/>
              </w:rPr>
              <w:t>科目</w:t>
            </w:r>
            <w:r>
              <w:t xml:space="preserve">    </w:t>
            </w:r>
            <w:r>
              <w:rPr>
                <w:rFonts w:hint="eastAsia"/>
              </w:rPr>
              <w:t>编码</w:t>
            </w:r>
          </w:p>
        </w:tc>
        <w:tc>
          <w:tcPr>
            <w:tcW w:w="1860" w:type="dxa"/>
            <w:vAlign w:val="center"/>
          </w:tcPr>
          <w:p>
            <w:pPr>
              <w:pStyle w:val="16"/>
            </w:pPr>
            <w:r>
              <w:rPr>
                <w:rFonts w:hint="eastAsia"/>
              </w:rPr>
              <w:t>科目名称</w:t>
            </w:r>
          </w:p>
        </w:tc>
        <w:tc>
          <w:tcPr>
            <w:tcW w:w="906" w:type="dxa"/>
            <w:vMerge w:val="continue"/>
          </w:tcPr>
          <w:p/>
        </w:tc>
        <w:tc>
          <w:tcPr>
            <w:tcW w:w="1190" w:type="dxa"/>
            <w:vAlign w:val="center"/>
          </w:tcPr>
          <w:p>
            <w:pPr>
              <w:pStyle w:val="16"/>
            </w:pPr>
            <w:r>
              <w:rPr>
                <w:rFonts w:hint="eastAsia"/>
              </w:rPr>
              <w:t>小计</w:t>
            </w:r>
          </w:p>
        </w:tc>
        <w:tc>
          <w:tcPr>
            <w:tcW w:w="1040" w:type="dxa"/>
            <w:gridSpan w:val="2"/>
            <w:vAlign w:val="center"/>
          </w:tcPr>
          <w:p>
            <w:pPr>
              <w:pStyle w:val="16"/>
            </w:pPr>
            <w:r>
              <w:rPr>
                <w:rFonts w:hint="eastAsia"/>
              </w:rPr>
              <w:t>财政拨款</w:t>
            </w:r>
            <w:r>
              <w:t xml:space="preserve"> </w:t>
            </w:r>
            <w:r>
              <w:rPr>
                <w:rFonts w:hint="eastAsia"/>
              </w:rPr>
              <w:t>收入</w:t>
            </w:r>
          </w:p>
        </w:tc>
        <w:tc>
          <w:tcPr>
            <w:tcW w:w="987" w:type="dxa"/>
            <w:vAlign w:val="center"/>
          </w:tcPr>
          <w:p>
            <w:pPr>
              <w:pStyle w:val="16"/>
            </w:pPr>
            <w:r>
              <w:rPr>
                <w:rFonts w:hint="eastAsia"/>
              </w:rPr>
              <w:t>财政专户</w:t>
            </w:r>
            <w:r>
              <w:t xml:space="preserve"> </w:t>
            </w:r>
            <w:r>
              <w:rPr>
                <w:rFonts w:hint="eastAsia"/>
              </w:rPr>
              <w:t>收入</w:t>
            </w:r>
          </w:p>
        </w:tc>
        <w:tc>
          <w:tcPr>
            <w:tcW w:w="1124" w:type="dxa"/>
            <w:vAlign w:val="center"/>
          </w:tcPr>
          <w:p>
            <w:pPr>
              <w:pStyle w:val="16"/>
            </w:pPr>
            <w:r>
              <w:rPr>
                <w:rFonts w:hint="eastAsia"/>
              </w:rPr>
              <w:t>事业收入</w:t>
            </w:r>
          </w:p>
        </w:tc>
        <w:tc>
          <w:tcPr>
            <w:tcW w:w="1157" w:type="dxa"/>
            <w:gridSpan w:val="2"/>
            <w:vAlign w:val="center"/>
          </w:tcPr>
          <w:p>
            <w:pPr>
              <w:pStyle w:val="16"/>
            </w:pPr>
            <w:r>
              <w:rPr>
                <w:rFonts w:hint="eastAsia"/>
              </w:rPr>
              <w:t>经营收入</w:t>
            </w:r>
          </w:p>
        </w:tc>
        <w:tc>
          <w:tcPr>
            <w:tcW w:w="1142" w:type="dxa"/>
            <w:vAlign w:val="center"/>
          </w:tcPr>
          <w:p>
            <w:pPr>
              <w:pStyle w:val="16"/>
            </w:pPr>
            <w:r>
              <w:rPr>
                <w:rFonts w:hint="eastAsia"/>
              </w:rPr>
              <w:t>上级补助收入</w:t>
            </w:r>
          </w:p>
        </w:tc>
        <w:tc>
          <w:tcPr>
            <w:tcW w:w="1140" w:type="dxa"/>
            <w:vAlign w:val="center"/>
          </w:tcPr>
          <w:p>
            <w:pPr>
              <w:pStyle w:val="16"/>
            </w:pPr>
            <w:r>
              <w:rPr>
                <w:rFonts w:hint="eastAsia"/>
              </w:rPr>
              <w:t>附属单位上缴收入</w:t>
            </w:r>
          </w:p>
        </w:tc>
        <w:tc>
          <w:tcPr>
            <w:tcW w:w="1141" w:type="dxa"/>
            <w:vAlign w:val="center"/>
          </w:tcPr>
          <w:p>
            <w:pPr>
              <w:pStyle w:val="16"/>
            </w:pPr>
            <w:r>
              <w:rPr>
                <w:rFonts w:hint="eastAsia"/>
              </w:rPr>
              <w:t>其他收入</w:t>
            </w:r>
          </w:p>
        </w:tc>
        <w:tc>
          <w:tcPr>
            <w:tcW w:w="1142"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tblHeader/>
          <w:jc w:val="center"/>
        </w:trPr>
        <w:tc>
          <w:tcPr>
            <w:tcW w:w="684" w:type="dxa"/>
            <w:vAlign w:val="center"/>
          </w:tcPr>
          <w:p>
            <w:pPr>
              <w:pStyle w:val="16"/>
            </w:pPr>
            <w:r>
              <w:rPr>
                <w:rFonts w:hint="eastAsia"/>
              </w:rPr>
              <w:t>栏次</w:t>
            </w:r>
          </w:p>
        </w:tc>
        <w:tc>
          <w:tcPr>
            <w:tcW w:w="1147" w:type="dxa"/>
            <w:vAlign w:val="center"/>
          </w:tcPr>
          <w:p>
            <w:pPr>
              <w:pStyle w:val="16"/>
            </w:pPr>
            <w:r>
              <w:t>1</w:t>
            </w:r>
          </w:p>
        </w:tc>
        <w:tc>
          <w:tcPr>
            <w:tcW w:w="1860" w:type="dxa"/>
            <w:vAlign w:val="center"/>
          </w:tcPr>
          <w:p>
            <w:pPr>
              <w:pStyle w:val="16"/>
            </w:pPr>
            <w:r>
              <w:t>2</w:t>
            </w:r>
          </w:p>
        </w:tc>
        <w:tc>
          <w:tcPr>
            <w:tcW w:w="906" w:type="dxa"/>
            <w:vAlign w:val="center"/>
          </w:tcPr>
          <w:p>
            <w:pPr>
              <w:pStyle w:val="16"/>
            </w:pPr>
            <w:r>
              <w:t>3</w:t>
            </w:r>
          </w:p>
        </w:tc>
        <w:tc>
          <w:tcPr>
            <w:tcW w:w="1190" w:type="dxa"/>
            <w:vAlign w:val="center"/>
          </w:tcPr>
          <w:p>
            <w:pPr>
              <w:pStyle w:val="16"/>
            </w:pPr>
            <w:r>
              <w:t>4</w:t>
            </w:r>
          </w:p>
        </w:tc>
        <w:tc>
          <w:tcPr>
            <w:tcW w:w="1040" w:type="dxa"/>
            <w:gridSpan w:val="2"/>
            <w:vAlign w:val="center"/>
          </w:tcPr>
          <w:p>
            <w:pPr>
              <w:pStyle w:val="16"/>
            </w:pPr>
            <w:r>
              <w:t>5</w:t>
            </w:r>
          </w:p>
        </w:tc>
        <w:tc>
          <w:tcPr>
            <w:tcW w:w="987" w:type="dxa"/>
            <w:vAlign w:val="center"/>
          </w:tcPr>
          <w:p>
            <w:pPr>
              <w:pStyle w:val="16"/>
            </w:pPr>
            <w:r>
              <w:t>6</w:t>
            </w:r>
          </w:p>
        </w:tc>
        <w:tc>
          <w:tcPr>
            <w:tcW w:w="1124" w:type="dxa"/>
            <w:vAlign w:val="center"/>
          </w:tcPr>
          <w:p>
            <w:pPr>
              <w:pStyle w:val="16"/>
            </w:pPr>
            <w:r>
              <w:t>7</w:t>
            </w:r>
          </w:p>
        </w:tc>
        <w:tc>
          <w:tcPr>
            <w:tcW w:w="1157" w:type="dxa"/>
            <w:gridSpan w:val="2"/>
            <w:vAlign w:val="center"/>
          </w:tcPr>
          <w:p>
            <w:pPr>
              <w:pStyle w:val="16"/>
            </w:pPr>
            <w:r>
              <w:t>8</w:t>
            </w:r>
          </w:p>
        </w:tc>
        <w:tc>
          <w:tcPr>
            <w:tcW w:w="1142" w:type="dxa"/>
            <w:vAlign w:val="center"/>
          </w:tcPr>
          <w:p>
            <w:pPr>
              <w:pStyle w:val="16"/>
            </w:pPr>
            <w:r>
              <w:t>9</w:t>
            </w:r>
          </w:p>
        </w:tc>
        <w:tc>
          <w:tcPr>
            <w:tcW w:w="1140" w:type="dxa"/>
            <w:vAlign w:val="center"/>
          </w:tcPr>
          <w:p>
            <w:pPr>
              <w:pStyle w:val="16"/>
            </w:pPr>
            <w:r>
              <w:t>10</w:t>
            </w:r>
          </w:p>
        </w:tc>
        <w:tc>
          <w:tcPr>
            <w:tcW w:w="1141" w:type="dxa"/>
            <w:vAlign w:val="center"/>
          </w:tcPr>
          <w:p>
            <w:pPr>
              <w:pStyle w:val="16"/>
            </w:pPr>
            <w:r>
              <w:t>11</w:t>
            </w:r>
          </w:p>
        </w:tc>
        <w:tc>
          <w:tcPr>
            <w:tcW w:w="1142"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684" w:type="dxa"/>
            <w:vAlign w:val="center"/>
          </w:tcPr>
          <w:p>
            <w:pPr>
              <w:pStyle w:val="19"/>
            </w:pPr>
            <w:r>
              <w:t>1</w:t>
            </w:r>
          </w:p>
        </w:tc>
        <w:tc>
          <w:tcPr>
            <w:tcW w:w="1147" w:type="dxa"/>
            <w:vAlign w:val="center"/>
          </w:tcPr>
          <w:p>
            <w:pPr>
              <w:pStyle w:val="22"/>
            </w:pPr>
          </w:p>
        </w:tc>
        <w:tc>
          <w:tcPr>
            <w:tcW w:w="1860" w:type="dxa"/>
            <w:vAlign w:val="center"/>
          </w:tcPr>
          <w:p>
            <w:pPr>
              <w:pStyle w:val="20"/>
            </w:pPr>
            <w:r>
              <w:rPr>
                <w:rFonts w:hint="eastAsia"/>
              </w:rPr>
              <w:t>合计</w:t>
            </w:r>
          </w:p>
        </w:tc>
        <w:tc>
          <w:tcPr>
            <w:tcW w:w="906" w:type="dxa"/>
            <w:vAlign w:val="center"/>
          </w:tcPr>
          <w:p>
            <w:pPr>
              <w:pStyle w:val="21"/>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603.38</w:t>
            </w:r>
          </w:p>
        </w:tc>
        <w:tc>
          <w:tcPr>
            <w:tcW w:w="1190" w:type="dxa"/>
            <w:vAlign w:val="center"/>
          </w:tcPr>
          <w:p>
            <w:pPr>
              <w:pStyle w:val="21"/>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603.38</w:t>
            </w:r>
          </w:p>
        </w:tc>
        <w:tc>
          <w:tcPr>
            <w:tcW w:w="1040" w:type="dxa"/>
            <w:gridSpan w:val="2"/>
            <w:vAlign w:val="center"/>
          </w:tcPr>
          <w:p>
            <w:pPr>
              <w:pStyle w:val="21"/>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603.38</w:t>
            </w:r>
          </w:p>
        </w:tc>
        <w:tc>
          <w:tcPr>
            <w:tcW w:w="987" w:type="dxa"/>
            <w:vAlign w:val="center"/>
          </w:tcPr>
          <w:p>
            <w:pPr>
              <w:pStyle w:val="21"/>
            </w:pPr>
          </w:p>
        </w:tc>
        <w:tc>
          <w:tcPr>
            <w:tcW w:w="1124" w:type="dxa"/>
            <w:vAlign w:val="center"/>
          </w:tcPr>
          <w:p>
            <w:pPr>
              <w:pStyle w:val="21"/>
            </w:pPr>
          </w:p>
        </w:tc>
        <w:tc>
          <w:tcPr>
            <w:tcW w:w="1157" w:type="dxa"/>
            <w:gridSpan w:val="2"/>
            <w:vAlign w:val="center"/>
          </w:tcPr>
          <w:p>
            <w:pPr>
              <w:pStyle w:val="21"/>
            </w:pPr>
          </w:p>
        </w:tc>
        <w:tc>
          <w:tcPr>
            <w:tcW w:w="1142" w:type="dxa"/>
            <w:vAlign w:val="center"/>
          </w:tcPr>
          <w:p>
            <w:pPr>
              <w:pStyle w:val="21"/>
            </w:pPr>
          </w:p>
        </w:tc>
        <w:tc>
          <w:tcPr>
            <w:tcW w:w="1140" w:type="dxa"/>
            <w:vAlign w:val="center"/>
          </w:tcPr>
          <w:p>
            <w:pPr>
              <w:pStyle w:val="21"/>
            </w:pPr>
          </w:p>
        </w:tc>
        <w:tc>
          <w:tcPr>
            <w:tcW w:w="1141" w:type="dxa"/>
            <w:vAlign w:val="center"/>
          </w:tcPr>
          <w:p>
            <w:pPr>
              <w:pStyle w:val="21"/>
            </w:pPr>
          </w:p>
        </w:tc>
        <w:tc>
          <w:tcPr>
            <w:tcW w:w="1142" w:type="dxa"/>
            <w:vAlign w:val="center"/>
          </w:tcPr>
          <w:p>
            <w:pPr>
              <w:pStyle w:val="21"/>
              <w:rPr>
                <w:rFonts w:hint="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一般公共服务支出</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523.28</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523.28</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523.28</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19"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政府办公厅（室）及相关机构事务</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523.28</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523.28</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523.28</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4</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301</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行政运行</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485.03</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485.03</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485.03</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5</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302</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一般行政管理事务</w:t>
            </w:r>
          </w:p>
        </w:tc>
        <w:tc>
          <w:tcPr>
            <w:tcW w:w="906"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38.25</w:t>
            </w:r>
          </w:p>
        </w:tc>
        <w:tc>
          <w:tcPr>
            <w:tcW w:w="1190"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38.25</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38.25</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6</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207</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文化旅游体育与传媒支出</w:t>
            </w:r>
          </w:p>
        </w:tc>
        <w:tc>
          <w:tcPr>
            <w:tcW w:w="906"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190"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rPr>
                <w:rFonts w:hint="eastAsia" w:eastAsia="方正书宋_GBK"/>
                <w:lang w:val="en-US" w:eastAsia="zh-CN"/>
              </w:rPr>
            </w:pPr>
            <w:r>
              <w:rPr>
                <w:rFonts w:hint="default"/>
              </w:rPr>
              <w:t>7</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文化与旅游</w:t>
            </w:r>
          </w:p>
        </w:tc>
        <w:tc>
          <w:tcPr>
            <w:tcW w:w="906"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190"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8</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70199</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其他文化与旅游支出</w:t>
            </w:r>
          </w:p>
        </w:tc>
        <w:tc>
          <w:tcPr>
            <w:tcW w:w="906"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190"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9</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208</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社会保障和就业支出</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36.60</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36.60</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36.60</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10</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20805</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行政事业单位养老支出</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36.60</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36.60</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36.60</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19"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default"/>
              </w:rPr>
              <w:t>11</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208050</w:t>
            </w:r>
            <w:r>
              <w:rPr>
                <w:rFonts w:hint="eastAsia"/>
                <w:lang w:val="en-US" w:eastAsia="zh-CN"/>
              </w:rPr>
              <w:t>5</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机关事业单位基本养老缴费支出</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12</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210</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卫生健康支出</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13</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21011</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sz w:val="18"/>
                <w:szCs w:val="18"/>
              </w:rPr>
              <w:t>行政事业单位</w:t>
            </w:r>
            <w:r>
              <w:rPr>
                <w:rFonts w:hint="eastAsia"/>
                <w:sz w:val="18"/>
                <w:szCs w:val="18"/>
                <w:lang w:val="en-US" w:eastAsia="zh-CN"/>
              </w:rPr>
              <w:t>医疗</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14</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2101101</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行政单位医疗</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15.73</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15.73</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15.73</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15</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210110</w:t>
            </w:r>
            <w:r>
              <w:rPr>
                <w:rFonts w:hint="eastAsia"/>
                <w:lang w:val="en-US" w:eastAsia="zh-CN"/>
              </w:rPr>
              <w:t>3</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公务员医疗补助</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4.75</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4.75</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4.75</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16</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221</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住房保障支出</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rPr>
                <w:rFonts w:hint="eastAsia" w:eastAsiaTheme="minor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17</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22102</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住房改革支出</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rPr>
                <w:rFonts w:hint="eastAsia" w:eastAsiaTheme="minor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0" w:hRule="atLeast"/>
          <w:jc w:val="center"/>
        </w:trPr>
        <w:tc>
          <w:tcPr>
            <w:tcW w:w="684"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18</w:t>
            </w:r>
          </w:p>
        </w:tc>
        <w:tc>
          <w:tcPr>
            <w:tcW w:w="114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2210201</w:t>
            </w:r>
          </w:p>
        </w:tc>
        <w:tc>
          <w:tcPr>
            <w:tcW w:w="1860"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住房公积金</w:t>
            </w:r>
          </w:p>
        </w:tc>
        <w:tc>
          <w:tcPr>
            <w:tcW w:w="90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190"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040"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987" w:type="dxa"/>
            <w:vAlign w:val="center"/>
          </w:tcPr>
          <w:p>
            <w:pPr>
              <w:pStyle w:val="17"/>
            </w:pPr>
          </w:p>
        </w:tc>
        <w:tc>
          <w:tcPr>
            <w:tcW w:w="1124" w:type="dxa"/>
            <w:vAlign w:val="center"/>
          </w:tcPr>
          <w:p>
            <w:pPr>
              <w:pStyle w:val="17"/>
            </w:pPr>
          </w:p>
        </w:tc>
        <w:tc>
          <w:tcPr>
            <w:tcW w:w="1157" w:type="dxa"/>
            <w:gridSpan w:val="2"/>
            <w:vAlign w:val="center"/>
          </w:tcPr>
          <w:p>
            <w:pPr>
              <w:pStyle w:val="17"/>
            </w:pPr>
          </w:p>
        </w:tc>
        <w:tc>
          <w:tcPr>
            <w:tcW w:w="1142" w:type="dxa"/>
            <w:vAlign w:val="center"/>
          </w:tcPr>
          <w:p>
            <w:pPr>
              <w:pStyle w:val="17"/>
            </w:pPr>
          </w:p>
        </w:tc>
        <w:tc>
          <w:tcPr>
            <w:tcW w:w="1140" w:type="dxa"/>
            <w:vAlign w:val="center"/>
          </w:tcPr>
          <w:p>
            <w:pPr>
              <w:pStyle w:val="17"/>
            </w:pPr>
          </w:p>
        </w:tc>
        <w:tc>
          <w:tcPr>
            <w:tcW w:w="1141" w:type="dxa"/>
            <w:vAlign w:val="center"/>
          </w:tcPr>
          <w:p>
            <w:pPr>
              <w:pStyle w:val="17"/>
            </w:pPr>
          </w:p>
        </w:tc>
        <w:tc>
          <w:tcPr>
            <w:tcW w:w="1142" w:type="dxa"/>
            <w:vAlign w:val="center"/>
          </w:tcPr>
          <w:p>
            <w:pPr>
              <w:pStyle w:val="17"/>
              <w:rPr>
                <w:rFonts w:hint="eastAsia" w:eastAsiaTheme="minorEastAsia"/>
                <w:lang w:eastAsia="zh-CN"/>
              </w:rPr>
            </w:pPr>
          </w:p>
        </w:tc>
      </w:tr>
    </w:tbl>
    <w:p>
      <w:pPr>
        <w:sectPr>
          <w:type w:val="continuous"/>
          <w:pgSz w:w="16840" w:h="11900" w:orient="landscape"/>
          <w:pgMar w:top="1361" w:right="1021" w:bottom="1134" w:left="1021" w:header="720" w:footer="720" w:gutter="0"/>
          <w:pgNumType w:fmt="decimal"/>
          <w:cols w:space="720" w:num="1"/>
        </w:sectPr>
      </w:pPr>
    </w:p>
    <w:p>
      <w:pPr>
        <w:jc w:val="both"/>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14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3"/>
        <w:gridCol w:w="1007"/>
        <w:gridCol w:w="4623"/>
        <w:gridCol w:w="1386"/>
        <w:gridCol w:w="1385"/>
        <w:gridCol w:w="1387"/>
        <w:gridCol w:w="1387"/>
        <w:gridCol w:w="1384"/>
        <w:gridCol w:w="13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5" w:hRule="atLeast"/>
          <w:tblHeader/>
          <w:jc w:val="center"/>
        </w:trPr>
        <w:tc>
          <w:tcPr>
            <w:tcW w:w="6493"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804</w:t>
            </w:r>
            <w:r>
              <w:t>001</w:t>
            </w:r>
            <w:r>
              <w:rPr>
                <w:rFonts w:hint="eastAsia"/>
                <w:lang w:eastAsia="zh-CN"/>
              </w:rPr>
              <w:t>涞水县永阳镇人民政府</w:t>
            </w:r>
            <w:r>
              <w:rPr>
                <w:rFonts w:hint="eastAsia"/>
              </w:rPr>
              <w:t>（本级）</w:t>
            </w:r>
          </w:p>
        </w:tc>
        <w:tc>
          <w:tcPr>
            <w:tcW w:w="2771" w:type="dxa"/>
            <w:gridSpan w:val="2"/>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536" w:type="dxa"/>
            <w:gridSpan w:val="4"/>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tblHeader/>
          <w:jc w:val="center"/>
        </w:trPr>
        <w:tc>
          <w:tcPr>
            <w:tcW w:w="863" w:type="dxa"/>
            <w:vMerge w:val="restart"/>
            <w:vAlign w:val="center"/>
          </w:tcPr>
          <w:p>
            <w:pPr>
              <w:pStyle w:val="16"/>
            </w:pPr>
            <w:r>
              <w:rPr>
                <w:rFonts w:hint="eastAsia"/>
              </w:rPr>
              <w:t>序号</w:t>
            </w:r>
          </w:p>
        </w:tc>
        <w:tc>
          <w:tcPr>
            <w:tcW w:w="5630" w:type="dxa"/>
            <w:gridSpan w:val="2"/>
            <w:vAlign w:val="center"/>
          </w:tcPr>
          <w:p>
            <w:pPr>
              <w:pStyle w:val="16"/>
            </w:pPr>
            <w:r>
              <w:rPr>
                <w:rFonts w:hint="eastAsia"/>
              </w:rPr>
              <w:t>功能分类科目</w:t>
            </w:r>
          </w:p>
        </w:tc>
        <w:tc>
          <w:tcPr>
            <w:tcW w:w="1386" w:type="dxa"/>
            <w:vMerge w:val="restart"/>
            <w:vAlign w:val="center"/>
          </w:tcPr>
          <w:p>
            <w:pPr>
              <w:pStyle w:val="16"/>
            </w:pPr>
            <w:r>
              <w:rPr>
                <w:rFonts w:hint="eastAsia"/>
              </w:rPr>
              <w:t>合计</w:t>
            </w:r>
          </w:p>
        </w:tc>
        <w:tc>
          <w:tcPr>
            <w:tcW w:w="1385" w:type="dxa"/>
            <w:vMerge w:val="restart"/>
            <w:vAlign w:val="center"/>
          </w:tcPr>
          <w:p>
            <w:pPr>
              <w:pStyle w:val="16"/>
            </w:pPr>
            <w:r>
              <w:rPr>
                <w:rFonts w:hint="eastAsia"/>
              </w:rPr>
              <w:t>基本支出</w:t>
            </w:r>
          </w:p>
        </w:tc>
        <w:tc>
          <w:tcPr>
            <w:tcW w:w="1387" w:type="dxa"/>
            <w:vMerge w:val="restart"/>
            <w:vAlign w:val="center"/>
          </w:tcPr>
          <w:p>
            <w:pPr>
              <w:pStyle w:val="16"/>
            </w:pPr>
            <w:r>
              <w:rPr>
                <w:rFonts w:hint="eastAsia"/>
              </w:rPr>
              <w:t>项目支出</w:t>
            </w:r>
          </w:p>
        </w:tc>
        <w:tc>
          <w:tcPr>
            <w:tcW w:w="1387" w:type="dxa"/>
            <w:vMerge w:val="restart"/>
            <w:vAlign w:val="center"/>
          </w:tcPr>
          <w:p>
            <w:pPr>
              <w:pStyle w:val="16"/>
            </w:pPr>
            <w:r>
              <w:rPr>
                <w:rFonts w:hint="eastAsia"/>
              </w:rPr>
              <w:t>经营支出</w:t>
            </w:r>
          </w:p>
        </w:tc>
        <w:tc>
          <w:tcPr>
            <w:tcW w:w="1384" w:type="dxa"/>
            <w:vMerge w:val="restart"/>
            <w:vAlign w:val="center"/>
          </w:tcPr>
          <w:p>
            <w:pPr>
              <w:pStyle w:val="16"/>
            </w:pPr>
            <w:r>
              <w:rPr>
                <w:rFonts w:hint="eastAsia"/>
              </w:rPr>
              <w:t>上解上级</w:t>
            </w:r>
            <w:r>
              <w:t xml:space="preserve">     </w:t>
            </w:r>
            <w:r>
              <w:rPr>
                <w:rFonts w:hint="eastAsia"/>
              </w:rPr>
              <w:t>支出</w:t>
            </w:r>
          </w:p>
        </w:tc>
        <w:tc>
          <w:tcPr>
            <w:tcW w:w="1378" w:type="dxa"/>
            <w:vMerge w:val="restart"/>
            <w:vAlign w:val="center"/>
          </w:tcPr>
          <w:p>
            <w:pPr>
              <w:pStyle w:val="16"/>
            </w:pPr>
            <w:r>
              <w:rPr>
                <w:rFonts w:hint="eastAsia"/>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9" w:hRule="atLeast"/>
          <w:tblHeader/>
          <w:jc w:val="center"/>
        </w:trPr>
        <w:tc>
          <w:tcPr>
            <w:tcW w:w="863" w:type="dxa"/>
            <w:vMerge w:val="continue"/>
          </w:tcPr>
          <w:p/>
        </w:tc>
        <w:tc>
          <w:tcPr>
            <w:tcW w:w="1007" w:type="dxa"/>
            <w:vAlign w:val="center"/>
          </w:tcPr>
          <w:p>
            <w:pPr>
              <w:pStyle w:val="16"/>
            </w:pPr>
            <w:r>
              <w:rPr>
                <w:rFonts w:hint="eastAsia"/>
              </w:rPr>
              <w:t>科目</w:t>
            </w:r>
            <w:r>
              <w:t xml:space="preserve">    </w:t>
            </w:r>
            <w:r>
              <w:rPr>
                <w:rFonts w:hint="eastAsia"/>
              </w:rPr>
              <w:t>编码</w:t>
            </w:r>
          </w:p>
        </w:tc>
        <w:tc>
          <w:tcPr>
            <w:tcW w:w="4623" w:type="dxa"/>
            <w:vAlign w:val="center"/>
          </w:tcPr>
          <w:p>
            <w:pPr>
              <w:pStyle w:val="16"/>
            </w:pPr>
            <w:r>
              <w:rPr>
                <w:rFonts w:hint="eastAsia"/>
              </w:rPr>
              <w:t>科目名称</w:t>
            </w:r>
          </w:p>
        </w:tc>
        <w:tc>
          <w:tcPr>
            <w:tcW w:w="1386" w:type="dxa"/>
            <w:vMerge w:val="continue"/>
          </w:tcPr>
          <w:p/>
        </w:tc>
        <w:tc>
          <w:tcPr>
            <w:tcW w:w="1385" w:type="dxa"/>
            <w:vMerge w:val="continue"/>
          </w:tcPr>
          <w:p/>
        </w:tc>
        <w:tc>
          <w:tcPr>
            <w:tcW w:w="1387" w:type="dxa"/>
            <w:vMerge w:val="continue"/>
          </w:tcPr>
          <w:p/>
        </w:tc>
        <w:tc>
          <w:tcPr>
            <w:tcW w:w="1387" w:type="dxa"/>
            <w:vMerge w:val="continue"/>
          </w:tcPr>
          <w:p/>
        </w:tc>
        <w:tc>
          <w:tcPr>
            <w:tcW w:w="1384" w:type="dxa"/>
            <w:vMerge w:val="continue"/>
          </w:tcPr>
          <w:p/>
        </w:tc>
        <w:tc>
          <w:tcPr>
            <w:tcW w:w="137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tblHeader/>
          <w:jc w:val="center"/>
        </w:trPr>
        <w:tc>
          <w:tcPr>
            <w:tcW w:w="863" w:type="dxa"/>
            <w:vAlign w:val="center"/>
          </w:tcPr>
          <w:p>
            <w:pPr>
              <w:pStyle w:val="16"/>
            </w:pPr>
            <w:r>
              <w:rPr>
                <w:rFonts w:hint="eastAsia"/>
              </w:rPr>
              <w:t>栏次</w:t>
            </w:r>
          </w:p>
        </w:tc>
        <w:tc>
          <w:tcPr>
            <w:tcW w:w="1007" w:type="dxa"/>
            <w:vAlign w:val="center"/>
          </w:tcPr>
          <w:p>
            <w:pPr>
              <w:pStyle w:val="16"/>
            </w:pPr>
            <w:r>
              <w:t>1</w:t>
            </w:r>
          </w:p>
        </w:tc>
        <w:tc>
          <w:tcPr>
            <w:tcW w:w="4623" w:type="dxa"/>
            <w:vAlign w:val="center"/>
          </w:tcPr>
          <w:p>
            <w:pPr>
              <w:pStyle w:val="16"/>
            </w:pPr>
            <w:r>
              <w:t>2</w:t>
            </w:r>
          </w:p>
        </w:tc>
        <w:tc>
          <w:tcPr>
            <w:tcW w:w="1386" w:type="dxa"/>
            <w:vAlign w:val="center"/>
          </w:tcPr>
          <w:p>
            <w:pPr>
              <w:pStyle w:val="16"/>
            </w:pPr>
            <w:r>
              <w:t>3</w:t>
            </w:r>
          </w:p>
        </w:tc>
        <w:tc>
          <w:tcPr>
            <w:tcW w:w="1385" w:type="dxa"/>
            <w:vAlign w:val="center"/>
          </w:tcPr>
          <w:p>
            <w:pPr>
              <w:pStyle w:val="16"/>
            </w:pPr>
            <w:r>
              <w:t>4</w:t>
            </w:r>
          </w:p>
        </w:tc>
        <w:tc>
          <w:tcPr>
            <w:tcW w:w="1387" w:type="dxa"/>
            <w:vAlign w:val="center"/>
          </w:tcPr>
          <w:p>
            <w:pPr>
              <w:pStyle w:val="16"/>
            </w:pPr>
            <w:r>
              <w:t>5</w:t>
            </w:r>
          </w:p>
        </w:tc>
        <w:tc>
          <w:tcPr>
            <w:tcW w:w="1387" w:type="dxa"/>
            <w:vAlign w:val="center"/>
          </w:tcPr>
          <w:p>
            <w:pPr>
              <w:pStyle w:val="16"/>
            </w:pPr>
            <w:r>
              <w:t>6</w:t>
            </w:r>
          </w:p>
        </w:tc>
        <w:tc>
          <w:tcPr>
            <w:tcW w:w="1384" w:type="dxa"/>
            <w:vAlign w:val="center"/>
          </w:tcPr>
          <w:p>
            <w:pPr>
              <w:pStyle w:val="16"/>
            </w:pPr>
            <w:r>
              <w:t>7</w:t>
            </w:r>
          </w:p>
        </w:tc>
        <w:tc>
          <w:tcPr>
            <w:tcW w:w="1378"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pPr>
            <w:r>
              <w:t>1</w:t>
            </w:r>
          </w:p>
        </w:tc>
        <w:tc>
          <w:tcPr>
            <w:tcW w:w="1007" w:type="dxa"/>
            <w:vAlign w:val="center"/>
          </w:tcPr>
          <w:p>
            <w:pPr>
              <w:pStyle w:val="22"/>
            </w:pPr>
          </w:p>
        </w:tc>
        <w:tc>
          <w:tcPr>
            <w:tcW w:w="4623" w:type="dxa"/>
            <w:vAlign w:val="center"/>
          </w:tcPr>
          <w:p>
            <w:pPr>
              <w:pStyle w:val="20"/>
            </w:pPr>
            <w:r>
              <w:rPr>
                <w:rFonts w:hint="eastAsia"/>
              </w:rPr>
              <w:t>合计</w:t>
            </w:r>
          </w:p>
        </w:tc>
        <w:tc>
          <w:tcPr>
            <w:tcW w:w="1386" w:type="dxa"/>
            <w:vAlign w:val="center"/>
          </w:tcPr>
          <w:p>
            <w:pPr>
              <w:pStyle w:val="21"/>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603.38</w:t>
            </w:r>
          </w:p>
        </w:tc>
        <w:tc>
          <w:tcPr>
            <w:tcW w:w="1385" w:type="dxa"/>
            <w:vAlign w:val="center"/>
          </w:tcPr>
          <w:p>
            <w:pPr>
              <w:pStyle w:val="21"/>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563.38</w:t>
            </w:r>
          </w:p>
        </w:tc>
        <w:tc>
          <w:tcPr>
            <w:tcW w:w="1387" w:type="dxa"/>
            <w:vAlign w:val="center"/>
          </w:tcPr>
          <w:p>
            <w:pPr>
              <w:pStyle w:val="21"/>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40.00</w:t>
            </w:r>
          </w:p>
        </w:tc>
        <w:tc>
          <w:tcPr>
            <w:tcW w:w="1387" w:type="dxa"/>
            <w:vAlign w:val="center"/>
          </w:tcPr>
          <w:p>
            <w:pPr>
              <w:pStyle w:val="21"/>
            </w:pPr>
          </w:p>
        </w:tc>
        <w:tc>
          <w:tcPr>
            <w:tcW w:w="1384" w:type="dxa"/>
            <w:vAlign w:val="center"/>
          </w:tcPr>
          <w:p>
            <w:pPr>
              <w:pStyle w:val="21"/>
            </w:pPr>
          </w:p>
        </w:tc>
        <w:tc>
          <w:tcPr>
            <w:tcW w:w="137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w:t>
            </w:r>
          </w:p>
        </w:tc>
        <w:tc>
          <w:tcPr>
            <w:tcW w:w="100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w:t>
            </w:r>
          </w:p>
        </w:tc>
        <w:tc>
          <w:tcPr>
            <w:tcW w:w="4623"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一般公共服务支出</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523.28</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485.03</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38.25</w:t>
            </w: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w:t>
            </w:r>
          </w:p>
        </w:tc>
        <w:tc>
          <w:tcPr>
            <w:tcW w:w="100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w:t>
            </w:r>
          </w:p>
        </w:tc>
        <w:tc>
          <w:tcPr>
            <w:tcW w:w="4623"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政府办公厅（室）及相关机构事务</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523.28</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485.03</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38.25</w:t>
            </w: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4</w:t>
            </w:r>
          </w:p>
        </w:tc>
        <w:tc>
          <w:tcPr>
            <w:tcW w:w="100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301</w:t>
            </w:r>
          </w:p>
        </w:tc>
        <w:tc>
          <w:tcPr>
            <w:tcW w:w="4623"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行政运行</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485.03</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485.03</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5</w:t>
            </w:r>
          </w:p>
        </w:tc>
        <w:tc>
          <w:tcPr>
            <w:tcW w:w="100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302</w:t>
            </w:r>
          </w:p>
        </w:tc>
        <w:tc>
          <w:tcPr>
            <w:tcW w:w="4623"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一般行政管理事务</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38.25</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38.25</w:t>
            </w: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6</w:t>
            </w:r>
          </w:p>
        </w:tc>
        <w:tc>
          <w:tcPr>
            <w:tcW w:w="1007"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207</w:t>
            </w:r>
          </w:p>
        </w:tc>
        <w:tc>
          <w:tcPr>
            <w:tcW w:w="4623"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文化旅游体育与传媒支出</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7</w:t>
            </w:r>
          </w:p>
        </w:tc>
        <w:tc>
          <w:tcPr>
            <w:tcW w:w="100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w:t>
            </w:r>
          </w:p>
        </w:tc>
        <w:tc>
          <w:tcPr>
            <w:tcW w:w="4623"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文化与旅游</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8</w:t>
            </w:r>
          </w:p>
        </w:tc>
        <w:tc>
          <w:tcPr>
            <w:tcW w:w="100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70199</w:t>
            </w:r>
          </w:p>
        </w:tc>
        <w:tc>
          <w:tcPr>
            <w:tcW w:w="4623"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其他文化与旅游支出</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9</w:t>
            </w:r>
          </w:p>
        </w:tc>
        <w:tc>
          <w:tcPr>
            <w:tcW w:w="100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208</w:t>
            </w:r>
          </w:p>
        </w:tc>
        <w:tc>
          <w:tcPr>
            <w:tcW w:w="4623"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社会保障和就业支出</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10</w:t>
            </w:r>
          </w:p>
        </w:tc>
        <w:tc>
          <w:tcPr>
            <w:tcW w:w="1007"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20805</w:t>
            </w:r>
          </w:p>
        </w:tc>
        <w:tc>
          <w:tcPr>
            <w:tcW w:w="4623"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行政事业单位养老支出</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11</w:t>
            </w:r>
          </w:p>
        </w:tc>
        <w:tc>
          <w:tcPr>
            <w:tcW w:w="1007"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208050</w:t>
            </w:r>
            <w:r>
              <w:rPr>
                <w:rFonts w:hint="eastAsia"/>
                <w:lang w:val="en-US" w:eastAsia="zh-CN"/>
              </w:rPr>
              <w:t>5</w:t>
            </w:r>
          </w:p>
        </w:tc>
        <w:tc>
          <w:tcPr>
            <w:tcW w:w="4623"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eastAsia"/>
                <w:lang w:val="en-US" w:eastAsia="zh-CN"/>
              </w:rPr>
              <w:t>机关事业单位基本养老缴费支出</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12</w:t>
            </w:r>
          </w:p>
        </w:tc>
        <w:tc>
          <w:tcPr>
            <w:tcW w:w="1007"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210</w:t>
            </w:r>
          </w:p>
        </w:tc>
        <w:tc>
          <w:tcPr>
            <w:tcW w:w="4623"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卫生健康支出</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13</w:t>
            </w:r>
          </w:p>
        </w:tc>
        <w:tc>
          <w:tcPr>
            <w:tcW w:w="1007"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21011</w:t>
            </w:r>
          </w:p>
        </w:tc>
        <w:tc>
          <w:tcPr>
            <w:tcW w:w="4623"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行政事业单位</w:t>
            </w:r>
            <w:r>
              <w:rPr>
                <w:rFonts w:hint="eastAsia"/>
                <w:lang w:val="en-US" w:eastAsia="zh-CN"/>
              </w:rPr>
              <w:t>医疗</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14</w:t>
            </w:r>
          </w:p>
        </w:tc>
        <w:tc>
          <w:tcPr>
            <w:tcW w:w="1007"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2101101</w:t>
            </w:r>
          </w:p>
        </w:tc>
        <w:tc>
          <w:tcPr>
            <w:tcW w:w="4623"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行政单位医疗</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15.73</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15.73</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15</w:t>
            </w:r>
          </w:p>
        </w:tc>
        <w:tc>
          <w:tcPr>
            <w:tcW w:w="1007"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210110</w:t>
            </w:r>
            <w:r>
              <w:rPr>
                <w:rFonts w:hint="eastAsia"/>
                <w:lang w:val="en-US" w:eastAsia="zh-CN"/>
              </w:rPr>
              <w:t>3</w:t>
            </w:r>
          </w:p>
        </w:tc>
        <w:tc>
          <w:tcPr>
            <w:tcW w:w="4623"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eastAsia"/>
                <w:lang w:val="en-US" w:eastAsia="zh-CN"/>
              </w:rPr>
              <w:t>公务员医疗补助</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4.57</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4.57</w:t>
            </w:r>
          </w:p>
        </w:tc>
        <w:tc>
          <w:tcPr>
            <w:tcW w:w="1387"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16</w:t>
            </w:r>
          </w:p>
        </w:tc>
        <w:tc>
          <w:tcPr>
            <w:tcW w:w="1007"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221</w:t>
            </w:r>
          </w:p>
        </w:tc>
        <w:tc>
          <w:tcPr>
            <w:tcW w:w="4623"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住房保障支出</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387" w:type="dxa"/>
            <w:vAlign w:val="center"/>
          </w:tcPr>
          <w:p>
            <w:pPr>
              <w:pStyle w:val="19"/>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17</w:t>
            </w:r>
          </w:p>
        </w:tc>
        <w:tc>
          <w:tcPr>
            <w:tcW w:w="1007"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22102</w:t>
            </w:r>
          </w:p>
        </w:tc>
        <w:tc>
          <w:tcPr>
            <w:tcW w:w="4623"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住房改革支出</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387" w:type="dxa"/>
            <w:vAlign w:val="center"/>
          </w:tcPr>
          <w:p>
            <w:pPr>
              <w:pStyle w:val="19"/>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63"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18</w:t>
            </w:r>
          </w:p>
        </w:tc>
        <w:tc>
          <w:tcPr>
            <w:tcW w:w="1007"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2210201</w:t>
            </w:r>
          </w:p>
        </w:tc>
        <w:tc>
          <w:tcPr>
            <w:tcW w:w="4623"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住房公积金</w:t>
            </w:r>
          </w:p>
        </w:tc>
        <w:tc>
          <w:tcPr>
            <w:tcW w:w="1386"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38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1387" w:type="dxa"/>
            <w:vAlign w:val="center"/>
          </w:tcPr>
          <w:p>
            <w:pPr>
              <w:pStyle w:val="19"/>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7"/>
            </w:pPr>
          </w:p>
        </w:tc>
        <w:tc>
          <w:tcPr>
            <w:tcW w:w="1384" w:type="dxa"/>
            <w:vAlign w:val="center"/>
          </w:tcPr>
          <w:p>
            <w:pPr>
              <w:pStyle w:val="17"/>
            </w:pPr>
          </w:p>
        </w:tc>
        <w:tc>
          <w:tcPr>
            <w:tcW w:w="1378" w:type="dxa"/>
            <w:vAlign w:val="center"/>
          </w:tcPr>
          <w:p>
            <w:pPr>
              <w:pStyle w:val="17"/>
            </w:pPr>
          </w:p>
        </w:tc>
      </w:tr>
    </w:tbl>
    <w:p>
      <w:pPr>
        <w:sectPr>
          <w:type w:val="continuous"/>
          <w:pgSz w:w="16840" w:h="11900" w:orient="landscape"/>
          <w:pgMar w:top="1361" w:right="1021" w:bottom="1134" w:left="1021" w:header="720" w:footer="720" w:gutter="0"/>
          <w:pgNumType w:fmt="decimal"/>
          <w:cols w:space="720" w:num="1"/>
        </w:sectPr>
      </w:pPr>
    </w:p>
    <w:p>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804</w:t>
            </w:r>
            <w:r>
              <w:t>001</w:t>
            </w:r>
            <w:r>
              <w:rPr>
                <w:rFonts w:hint="eastAsia"/>
                <w:lang w:eastAsia="zh-CN"/>
              </w:rPr>
              <w:t>涞水县永阳镇人民政府</w:t>
            </w:r>
            <w:r>
              <w:rPr>
                <w:rFonts w:hint="eastAsia"/>
              </w:rPr>
              <w:t>（本级）</w:t>
            </w:r>
          </w:p>
        </w:tc>
        <w:tc>
          <w:tcPr>
            <w:tcW w:w="3402"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4876" w:type="dxa"/>
            <w:gridSpan w:val="2"/>
            <w:vAlign w:val="center"/>
          </w:tcPr>
          <w:p>
            <w:pPr>
              <w:pStyle w:val="16"/>
            </w:pPr>
            <w:r>
              <w:rPr>
                <w:rFonts w:hint="eastAsia"/>
              </w:rPr>
              <w:t>收入</w:t>
            </w:r>
          </w:p>
        </w:tc>
        <w:tc>
          <w:tcPr>
            <w:tcW w:w="9298" w:type="dxa"/>
            <w:gridSpan w:val="5"/>
            <w:vAlign w:val="center"/>
          </w:tcPr>
          <w:p>
            <w:pPr>
              <w:pStyle w:val="16"/>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rPr>
                <w:rFonts w:hint="eastAsia"/>
              </w:rPr>
              <w:t>项</w:t>
            </w:r>
            <w:r>
              <w:t xml:space="preserve">  </w:t>
            </w:r>
            <w:r>
              <w:rPr>
                <w:rFonts w:hint="eastAsia"/>
              </w:rPr>
              <w:t>目</w:t>
            </w:r>
          </w:p>
        </w:tc>
        <w:tc>
          <w:tcPr>
            <w:tcW w:w="1474" w:type="dxa"/>
            <w:vAlign w:val="center"/>
          </w:tcPr>
          <w:p>
            <w:pPr>
              <w:pStyle w:val="16"/>
            </w:pPr>
            <w:r>
              <w:rPr>
                <w:rFonts w:hint="eastAsia"/>
              </w:rPr>
              <w:t>金额</w:t>
            </w:r>
          </w:p>
        </w:tc>
        <w:tc>
          <w:tcPr>
            <w:tcW w:w="3402" w:type="dxa"/>
            <w:vAlign w:val="center"/>
          </w:tcPr>
          <w:p>
            <w:pPr>
              <w:pStyle w:val="16"/>
            </w:pPr>
            <w:r>
              <w:rPr>
                <w:rFonts w:hint="eastAsia"/>
              </w:rPr>
              <w:t>项</w:t>
            </w:r>
            <w:r>
              <w:t xml:space="preserve">  </w:t>
            </w:r>
            <w:r>
              <w:rPr>
                <w:rFonts w:hint="eastAsia"/>
              </w:rPr>
              <w:t>目</w:t>
            </w:r>
          </w:p>
        </w:tc>
        <w:tc>
          <w:tcPr>
            <w:tcW w:w="1474" w:type="dxa"/>
            <w:vAlign w:val="center"/>
          </w:tcPr>
          <w:p>
            <w:pPr>
              <w:pStyle w:val="16"/>
            </w:pPr>
            <w:r>
              <w:rPr>
                <w:rFonts w:hint="eastAsia"/>
              </w:rPr>
              <w:t>合计</w:t>
            </w:r>
          </w:p>
        </w:tc>
        <w:tc>
          <w:tcPr>
            <w:tcW w:w="1474" w:type="dxa"/>
            <w:vAlign w:val="center"/>
          </w:tcPr>
          <w:p>
            <w:pPr>
              <w:pStyle w:val="16"/>
            </w:pPr>
            <w:r>
              <w:rPr>
                <w:rFonts w:hint="eastAsia"/>
              </w:rPr>
              <w:t>一般公共预算财政拨款</w:t>
            </w:r>
          </w:p>
        </w:tc>
        <w:tc>
          <w:tcPr>
            <w:tcW w:w="1474" w:type="dxa"/>
            <w:vAlign w:val="center"/>
          </w:tcPr>
          <w:p>
            <w:pPr>
              <w:pStyle w:val="16"/>
            </w:pPr>
            <w:r>
              <w:rPr>
                <w:rFonts w:hint="eastAsia"/>
              </w:rPr>
              <w:t>政府性基金预算财政</w:t>
            </w:r>
            <w:r>
              <w:t xml:space="preserve">    </w:t>
            </w:r>
            <w:r>
              <w:rPr>
                <w:rFonts w:hint="eastAsia"/>
              </w:rPr>
              <w:t>拨款</w:t>
            </w:r>
          </w:p>
        </w:tc>
        <w:tc>
          <w:tcPr>
            <w:tcW w:w="1474" w:type="dxa"/>
            <w:vAlign w:val="center"/>
          </w:tcPr>
          <w:p>
            <w:pPr>
              <w:pStyle w:val="16"/>
            </w:pPr>
            <w:r>
              <w:rPr>
                <w:rFonts w:hint="eastAsia"/>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3402" w:type="dxa"/>
            <w:vAlign w:val="center"/>
          </w:tcPr>
          <w:p>
            <w:pPr>
              <w:pStyle w:val="18"/>
            </w:pPr>
            <w:r>
              <w:rPr>
                <w:rFonts w:hint="eastAsia"/>
              </w:rPr>
              <w:t>一、一般公共预算拨款</w:t>
            </w:r>
          </w:p>
        </w:tc>
        <w:tc>
          <w:tcPr>
            <w:tcW w:w="1474" w:type="dxa"/>
            <w:vAlign w:val="center"/>
          </w:tcPr>
          <w:p>
            <w:pPr>
              <w:pStyle w:val="17"/>
              <w:rPr>
                <w:rFonts w:hint="default"/>
                <w:lang w:val="en-US" w:eastAsia="zh-CN"/>
              </w:rPr>
            </w:pPr>
            <w:r>
              <w:rPr>
                <w:rFonts w:hint="eastAsia"/>
                <w:lang w:val="en-US" w:eastAsia="zh-CN"/>
              </w:rPr>
              <w:t>603.38</w:t>
            </w:r>
          </w:p>
        </w:tc>
        <w:tc>
          <w:tcPr>
            <w:tcW w:w="3402" w:type="dxa"/>
            <w:vAlign w:val="center"/>
          </w:tcPr>
          <w:p>
            <w:pPr>
              <w:pStyle w:val="18"/>
            </w:pPr>
            <w:r>
              <w:rPr>
                <w:rFonts w:hint="eastAsia"/>
              </w:rPr>
              <w:t>一、一般公共服务支出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523.28</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523.28</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3402" w:type="dxa"/>
            <w:vAlign w:val="center"/>
          </w:tcPr>
          <w:p>
            <w:pPr>
              <w:pStyle w:val="18"/>
            </w:pPr>
            <w:r>
              <w:rPr>
                <w:rFonts w:hint="eastAsia"/>
              </w:rPr>
              <w:t>二、政府性基金预算拨款</w:t>
            </w:r>
          </w:p>
        </w:tc>
        <w:tc>
          <w:tcPr>
            <w:tcW w:w="1474" w:type="dxa"/>
            <w:vAlign w:val="center"/>
          </w:tcPr>
          <w:p>
            <w:pPr>
              <w:pStyle w:val="17"/>
            </w:pPr>
          </w:p>
        </w:tc>
        <w:tc>
          <w:tcPr>
            <w:tcW w:w="3402" w:type="dxa"/>
            <w:vAlign w:val="center"/>
          </w:tcPr>
          <w:p>
            <w:pPr>
              <w:pStyle w:val="18"/>
            </w:pPr>
            <w:r>
              <w:rPr>
                <w:rFonts w:hint="eastAsia"/>
              </w:rPr>
              <w:t>二、外交支出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3402" w:type="dxa"/>
            <w:vAlign w:val="center"/>
          </w:tcPr>
          <w:p>
            <w:pPr>
              <w:pStyle w:val="18"/>
            </w:pPr>
            <w:r>
              <w:rPr>
                <w:rFonts w:hint="eastAsia"/>
              </w:rPr>
              <w:t>三、国有资本经营预算拨款</w:t>
            </w:r>
          </w:p>
        </w:tc>
        <w:tc>
          <w:tcPr>
            <w:tcW w:w="1474" w:type="dxa"/>
            <w:vAlign w:val="center"/>
          </w:tcPr>
          <w:p>
            <w:pPr>
              <w:pStyle w:val="17"/>
            </w:pPr>
          </w:p>
        </w:tc>
        <w:tc>
          <w:tcPr>
            <w:tcW w:w="3402" w:type="dxa"/>
            <w:vAlign w:val="center"/>
          </w:tcPr>
          <w:p>
            <w:pPr>
              <w:pStyle w:val="18"/>
            </w:pPr>
            <w:r>
              <w:rPr>
                <w:rFonts w:hint="eastAsia"/>
              </w:rPr>
              <w:t>三、国防支出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四、公共安全支出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五、教育支出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六、科学技术支出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七、文化旅游体育与传媒支出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1.75</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1.75</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八、社会保障和就业支出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36.60</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36.60</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九、社会保险基金支出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十、卫生健康支出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20.30</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20.30</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十一、节能环保支出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十二、城乡社区支出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keepNext w:val="0"/>
              <w:keepLines w:val="0"/>
              <w:widowControl/>
              <w:suppressLineNumbers w:val="0"/>
              <w:spacing w:before="0" w:beforeAutospacing="0" w:after="0" w:afterAutospacing="0"/>
              <w:ind w:left="0" w:leftChars="0" w:right="0" w:rightChars="0"/>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十三、农林水支出</w:t>
            </w:r>
          </w:p>
        </w:tc>
        <w:tc>
          <w:tcPr>
            <w:tcW w:w="1474" w:type="dxa"/>
            <w:vAlign w:val="center"/>
          </w:tcPr>
          <w:p>
            <w:pPr>
              <w:pStyle w:val="17"/>
              <w:rPr>
                <w:rFonts w:hint="eastAsia"/>
                <w:lang w:eastAsia="zh-CN"/>
              </w:rPr>
            </w:pPr>
          </w:p>
        </w:tc>
        <w:tc>
          <w:tcPr>
            <w:tcW w:w="1474" w:type="dxa"/>
            <w:vAlign w:val="center"/>
          </w:tcPr>
          <w:p>
            <w:pPr>
              <w:pStyle w:val="17"/>
              <w:rPr>
                <w:rFonts w:hint="eastAsia"/>
                <w:lang w:eastAsia="zh-CN"/>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十四、交通运输支出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15</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十五、资源勘探工业信息等支出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16</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十六、商业服务业等支出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17</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十七、金融支出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18</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十八、援助其他地区支出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19</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十九、自然资源海洋气象等支出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20</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二十、住房保障支出</w:t>
            </w:r>
          </w:p>
        </w:tc>
        <w:tc>
          <w:tcPr>
            <w:tcW w:w="1474" w:type="dxa"/>
            <w:vAlign w:val="center"/>
          </w:tcPr>
          <w:p>
            <w:pPr>
              <w:pStyle w:val="17"/>
              <w:rPr>
                <w:rFonts w:hint="default"/>
                <w:lang w:val="en-US" w:eastAsia="zh-CN"/>
              </w:rPr>
            </w:pPr>
            <w:r>
              <w:rPr>
                <w:rFonts w:hint="eastAsia"/>
                <w:lang w:val="en-US" w:eastAsia="zh-CN"/>
              </w:rPr>
              <w:t>21.45</w:t>
            </w:r>
          </w:p>
        </w:tc>
        <w:tc>
          <w:tcPr>
            <w:tcW w:w="1474" w:type="dxa"/>
            <w:vAlign w:val="center"/>
          </w:tcPr>
          <w:p>
            <w:pPr>
              <w:pStyle w:val="17"/>
              <w:rPr>
                <w:rFonts w:hint="default"/>
                <w:lang w:val="en-US" w:eastAsia="zh-CN"/>
              </w:rPr>
            </w:pPr>
            <w:r>
              <w:rPr>
                <w:rFonts w:hint="eastAsia"/>
                <w:lang w:val="en-US" w:eastAsia="zh-CN"/>
              </w:rPr>
              <w:t>21.45</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21</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二十一、粮油物资储备支出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22</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二十二、国有资本经营预算支出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23</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二十三、灾害防治及应急管理支出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24</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二十四、预备费</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25</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二十五、其他支出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26</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二十六、转移性支出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27</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二十七、债务还本支出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28</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二十八、债务付息支出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29</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二十九、债务发行费用支出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30</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三十、抗疫特别国债安排的支出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31</w:t>
            </w:r>
          </w:p>
        </w:tc>
        <w:tc>
          <w:tcPr>
            <w:tcW w:w="3402" w:type="dxa"/>
            <w:vAlign w:val="center"/>
          </w:tcPr>
          <w:p>
            <w:pPr>
              <w:pStyle w:val="20"/>
            </w:pPr>
            <w:r>
              <w:rPr>
                <w:rFonts w:hint="eastAsia"/>
              </w:rPr>
              <w:t>本年收入合计</w:t>
            </w:r>
          </w:p>
        </w:tc>
        <w:tc>
          <w:tcPr>
            <w:tcW w:w="1474" w:type="dxa"/>
            <w:vAlign w:val="center"/>
          </w:tcPr>
          <w:p>
            <w:pPr>
              <w:pStyle w:val="21"/>
              <w:rPr>
                <w:rFonts w:hint="default"/>
                <w:lang w:val="en-US"/>
              </w:rPr>
            </w:pPr>
            <w:r>
              <w:rPr>
                <w:rFonts w:hint="eastAsia"/>
                <w:lang w:val="en-US" w:eastAsia="zh-CN"/>
              </w:rPr>
              <w:t>603.38</w:t>
            </w:r>
          </w:p>
        </w:tc>
        <w:tc>
          <w:tcPr>
            <w:tcW w:w="3402" w:type="dxa"/>
            <w:vAlign w:val="center"/>
          </w:tcPr>
          <w:p>
            <w:pPr>
              <w:pStyle w:val="20"/>
            </w:pPr>
            <w:r>
              <w:rPr>
                <w:rFonts w:hint="eastAsia"/>
              </w:rPr>
              <w:t>本年支出合计</w:t>
            </w:r>
          </w:p>
        </w:tc>
        <w:tc>
          <w:tcPr>
            <w:tcW w:w="1474" w:type="dxa"/>
            <w:vAlign w:val="center"/>
          </w:tcPr>
          <w:p>
            <w:pPr>
              <w:pStyle w:val="21"/>
              <w:rPr>
                <w:rFonts w:hint="default"/>
                <w:lang w:val="en-US" w:eastAsia="zh-CN"/>
              </w:rPr>
            </w:pPr>
            <w:r>
              <w:rPr>
                <w:rFonts w:hint="eastAsia"/>
                <w:lang w:val="en-US" w:eastAsia="zh-CN"/>
              </w:rPr>
              <w:t>603.38</w:t>
            </w:r>
          </w:p>
        </w:tc>
        <w:tc>
          <w:tcPr>
            <w:tcW w:w="1474" w:type="dxa"/>
            <w:vAlign w:val="center"/>
          </w:tcPr>
          <w:p>
            <w:pPr>
              <w:pStyle w:val="21"/>
              <w:rPr>
                <w:rFonts w:hint="default"/>
                <w:lang w:val="en-US" w:eastAsia="zh-CN"/>
              </w:rPr>
            </w:pPr>
            <w:r>
              <w:rPr>
                <w:rFonts w:hint="eastAsia"/>
                <w:lang w:val="en-US" w:eastAsia="zh-CN"/>
              </w:rPr>
              <w:t>603.38</w:t>
            </w: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32</w:t>
            </w:r>
          </w:p>
        </w:tc>
        <w:tc>
          <w:tcPr>
            <w:tcW w:w="3402" w:type="dxa"/>
            <w:vAlign w:val="center"/>
          </w:tcPr>
          <w:p>
            <w:pPr>
              <w:pStyle w:val="18"/>
            </w:pPr>
            <w:r>
              <w:rPr>
                <w:rFonts w:hint="eastAsia"/>
              </w:rPr>
              <w:t>年初财政拨款结转和结余</w:t>
            </w:r>
          </w:p>
        </w:tc>
        <w:tc>
          <w:tcPr>
            <w:tcW w:w="1474" w:type="dxa"/>
            <w:vAlign w:val="center"/>
          </w:tcPr>
          <w:p>
            <w:pPr>
              <w:pStyle w:val="17"/>
              <w:rPr>
                <w:rFonts w:hint="eastAsia"/>
                <w:lang w:eastAsia="zh-CN"/>
              </w:rPr>
            </w:pPr>
          </w:p>
        </w:tc>
        <w:tc>
          <w:tcPr>
            <w:tcW w:w="3402" w:type="dxa"/>
            <w:vAlign w:val="center"/>
          </w:tcPr>
          <w:p>
            <w:pPr>
              <w:pStyle w:val="18"/>
            </w:pPr>
            <w:r>
              <w:rPr>
                <w:rFonts w:hint="eastAsia"/>
              </w:rPr>
              <w:t>年末财政拨款结转和结余</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33</w:t>
            </w:r>
          </w:p>
        </w:tc>
        <w:tc>
          <w:tcPr>
            <w:tcW w:w="3402" w:type="dxa"/>
            <w:vAlign w:val="center"/>
          </w:tcPr>
          <w:p>
            <w:pPr>
              <w:pStyle w:val="18"/>
            </w:pPr>
            <w:r>
              <w:rPr>
                <w:rFonts w:hint="eastAsia"/>
              </w:rPr>
              <w:t>一、一般公共预算拨款</w:t>
            </w:r>
          </w:p>
        </w:tc>
        <w:tc>
          <w:tcPr>
            <w:tcW w:w="1474" w:type="dxa"/>
            <w:vAlign w:val="center"/>
          </w:tcPr>
          <w:p>
            <w:pPr>
              <w:pStyle w:val="17"/>
              <w:rPr>
                <w:rFonts w:hint="eastAsia"/>
                <w:lang w:eastAsia="zh-CN"/>
              </w:rPr>
            </w:pPr>
          </w:p>
        </w:tc>
        <w:tc>
          <w:tcPr>
            <w:tcW w:w="3402" w:type="dxa"/>
            <w:vAlign w:val="center"/>
          </w:tcPr>
          <w:p>
            <w:pPr>
              <w:pStyle w:val="18"/>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34</w:t>
            </w:r>
          </w:p>
        </w:tc>
        <w:tc>
          <w:tcPr>
            <w:tcW w:w="3402" w:type="dxa"/>
            <w:vAlign w:val="center"/>
          </w:tcPr>
          <w:p>
            <w:pPr>
              <w:pStyle w:val="18"/>
            </w:pPr>
            <w:r>
              <w:rPr>
                <w:rFonts w:hint="eastAsia"/>
              </w:rPr>
              <w:t>二、政府性基金预算拨款</w:t>
            </w:r>
          </w:p>
        </w:tc>
        <w:tc>
          <w:tcPr>
            <w:tcW w:w="1474" w:type="dxa"/>
            <w:vAlign w:val="center"/>
          </w:tcPr>
          <w:p>
            <w:pPr>
              <w:pStyle w:val="17"/>
            </w:pPr>
          </w:p>
        </w:tc>
        <w:tc>
          <w:tcPr>
            <w:tcW w:w="3402" w:type="dxa"/>
            <w:vAlign w:val="center"/>
          </w:tcPr>
          <w:p>
            <w:pPr>
              <w:pStyle w:val="18"/>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35</w:t>
            </w:r>
          </w:p>
        </w:tc>
        <w:tc>
          <w:tcPr>
            <w:tcW w:w="3402" w:type="dxa"/>
            <w:vAlign w:val="center"/>
          </w:tcPr>
          <w:p>
            <w:pPr>
              <w:pStyle w:val="18"/>
            </w:pPr>
            <w:r>
              <w:rPr>
                <w:rFonts w:hint="eastAsia"/>
              </w:rPr>
              <w:t>三、国有资本经营预算拨款</w:t>
            </w:r>
          </w:p>
        </w:tc>
        <w:tc>
          <w:tcPr>
            <w:tcW w:w="1474" w:type="dxa"/>
            <w:vAlign w:val="center"/>
          </w:tcPr>
          <w:p>
            <w:pPr>
              <w:pStyle w:val="17"/>
            </w:pPr>
          </w:p>
        </w:tc>
        <w:tc>
          <w:tcPr>
            <w:tcW w:w="3402" w:type="dxa"/>
            <w:vAlign w:val="center"/>
          </w:tcPr>
          <w:p>
            <w:pPr>
              <w:pStyle w:val="18"/>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36</w:t>
            </w:r>
          </w:p>
        </w:tc>
        <w:tc>
          <w:tcPr>
            <w:tcW w:w="3402" w:type="dxa"/>
            <w:vAlign w:val="center"/>
          </w:tcPr>
          <w:p>
            <w:pPr>
              <w:pStyle w:val="20"/>
            </w:pPr>
            <w:r>
              <w:rPr>
                <w:rFonts w:hint="eastAsia"/>
              </w:rPr>
              <w:t>收入总计</w:t>
            </w:r>
          </w:p>
        </w:tc>
        <w:tc>
          <w:tcPr>
            <w:tcW w:w="1474" w:type="dxa"/>
            <w:vAlign w:val="center"/>
          </w:tcPr>
          <w:p>
            <w:pPr>
              <w:pStyle w:val="21"/>
              <w:rPr>
                <w:rFonts w:hint="default"/>
                <w:lang w:val="en-US"/>
              </w:rPr>
            </w:pPr>
            <w:r>
              <w:rPr>
                <w:rFonts w:hint="eastAsia"/>
                <w:lang w:val="en-US" w:eastAsia="zh-CN"/>
              </w:rPr>
              <w:t>603.38</w:t>
            </w:r>
          </w:p>
        </w:tc>
        <w:tc>
          <w:tcPr>
            <w:tcW w:w="3402" w:type="dxa"/>
            <w:vAlign w:val="center"/>
          </w:tcPr>
          <w:p>
            <w:pPr>
              <w:pStyle w:val="20"/>
            </w:pPr>
            <w:r>
              <w:rPr>
                <w:rFonts w:hint="eastAsia"/>
              </w:rPr>
              <w:t>支出总计</w:t>
            </w:r>
          </w:p>
        </w:tc>
        <w:tc>
          <w:tcPr>
            <w:tcW w:w="1474" w:type="dxa"/>
            <w:vAlign w:val="center"/>
          </w:tcPr>
          <w:p>
            <w:pPr>
              <w:pStyle w:val="21"/>
              <w:rPr>
                <w:rFonts w:hint="default"/>
                <w:lang w:val="en-US" w:eastAsia="zh-CN"/>
              </w:rPr>
            </w:pPr>
            <w:r>
              <w:rPr>
                <w:rFonts w:hint="eastAsia"/>
                <w:lang w:val="en-US" w:eastAsia="zh-CN"/>
              </w:rPr>
              <w:t>603.38</w:t>
            </w:r>
          </w:p>
        </w:tc>
        <w:tc>
          <w:tcPr>
            <w:tcW w:w="1474" w:type="dxa"/>
            <w:vAlign w:val="center"/>
          </w:tcPr>
          <w:p>
            <w:pPr>
              <w:pStyle w:val="21"/>
              <w:rPr>
                <w:rFonts w:hint="default"/>
                <w:lang w:val="en-US" w:eastAsia="zh-CN"/>
              </w:rPr>
            </w:pPr>
            <w:r>
              <w:rPr>
                <w:rFonts w:hint="eastAsia"/>
                <w:lang w:val="en-US" w:eastAsia="zh-CN"/>
              </w:rPr>
              <w:t>603.38</w:t>
            </w:r>
          </w:p>
        </w:tc>
        <w:tc>
          <w:tcPr>
            <w:tcW w:w="1474" w:type="dxa"/>
            <w:vAlign w:val="center"/>
          </w:tcPr>
          <w:p>
            <w:pPr>
              <w:pStyle w:val="21"/>
            </w:pPr>
          </w:p>
        </w:tc>
        <w:tc>
          <w:tcPr>
            <w:tcW w:w="1474" w:type="dxa"/>
            <w:vAlign w:val="center"/>
          </w:tcPr>
          <w:p>
            <w:pPr>
              <w:pStyle w:val="21"/>
            </w:pPr>
          </w:p>
        </w:tc>
      </w:tr>
    </w:tbl>
    <w:p>
      <w:pPr>
        <w:jc w:val="both"/>
        <w:rPr>
          <w:lang w:eastAsia="zh-CN"/>
        </w:rPr>
        <w:sectPr>
          <w:type w:val="continuous"/>
          <w:pgSz w:w="16840" w:h="11900" w:orient="landscape"/>
          <w:pgMar w:top="1361" w:right="1021" w:bottom="1134" w:left="1021" w:header="720" w:footer="720" w:gutter="0"/>
          <w:pgNumType w:fmt="decimal"/>
          <w:cols w:space="720" w:num="1"/>
        </w:sectPr>
      </w:pPr>
    </w:p>
    <w:p>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142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9"/>
        <w:gridCol w:w="1191"/>
        <w:gridCol w:w="4551"/>
        <w:gridCol w:w="2555"/>
        <w:gridCol w:w="2555"/>
        <w:gridCol w:w="25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4" w:hRule="atLeast"/>
          <w:tblHeader/>
          <w:jc w:val="center"/>
        </w:trPr>
        <w:tc>
          <w:tcPr>
            <w:tcW w:w="6591"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804</w:t>
            </w:r>
            <w:r>
              <w:t>001</w:t>
            </w:r>
            <w:r>
              <w:rPr>
                <w:rFonts w:hint="eastAsia"/>
                <w:lang w:eastAsia="zh-CN"/>
              </w:rPr>
              <w:t>涞水县永阳镇人民政府</w:t>
            </w:r>
            <w:r>
              <w:rPr>
                <w:rFonts w:hint="eastAsia"/>
              </w:rPr>
              <w:t>（本级）</w:t>
            </w:r>
          </w:p>
        </w:tc>
        <w:tc>
          <w:tcPr>
            <w:tcW w:w="2555"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114"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tblHeader/>
          <w:jc w:val="center"/>
        </w:trPr>
        <w:tc>
          <w:tcPr>
            <w:tcW w:w="849" w:type="dxa"/>
            <w:vMerge w:val="restart"/>
            <w:vAlign w:val="center"/>
          </w:tcPr>
          <w:p>
            <w:pPr>
              <w:pStyle w:val="16"/>
            </w:pPr>
            <w:r>
              <w:rPr>
                <w:rFonts w:hint="eastAsia"/>
              </w:rPr>
              <w:t>序号</w:t>
            </w:r>
          </w:p>
        </w:tc>
        <w:tc>
          <w:tcPr>
            <w:tcW w:w="5742" w:type="dxa"/>
            <w:gridSpan w:val="2"/>
            <w:vAlign w:val="center"/>
          </w:tcPr>
          <w:p>
            <w:pPr>
              <w:pStyle w:val="16"/>
            </w:pPr>
            <w:r>
              <w:rPr>
                <w:rFonts w:hint="eastAsia"/>
              </w:rPr>
              <w:t>功能分类科目</w:t>
            </w:r>
          </w:p>
        </w:tc>
        <w:tc>
          <w:tcPr>
            <w:tcW w:w="2555" w:type="dxa"/>
            <w:vMerge w:val="restart"/>
            <w:vAlign w:val="center"/>
          </w:tcPr>
          <w:p>
            <w:pPr>
              <w:pStyle w:val="16"/>
            </w:pPr>
            <w:r>
              <w:rPr>
                <w:rFonts w:hint="eastAsia"/>
              </w:rPr>
              <w:t>合计</w:t>
            </w:r>
          </w:p>
        </w:tc>
        <w:tc>
          <w:tcPr>
            <w:tcW w:w="2555" w:type="dxa"/>
            <w:vMerge w:val="restart"/>
            <w:vAlign w:val="center"/>
          </w:tcPr>
          <w:p>
            <w:pPr>
              <w:pStyle w:val="16"/>
            </w:pPr>
            <w:r>
              <w:rPr>
                <w:rFonts w:hint="eastAsia"/>
              </w:rPr>
              <w:t>基本支出</w:t>
            </w:r>
          </w:p>
        </w:tc>
        <w:tc>
          <w:tcPr>
            <w:tcW w:w="2559" w:type="dxa"/>
            <w:vMerge w:val="restart"/>
            <w:vAlign w:val="center"/>
          </w:tcPr>
          <w:p>
            <w:pPr>
              <w:pStyle w:val="16"/>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tblHeader/>
          <w:jc w:val="center"/>
        </w:trPr>
        <w:tc>
          <w:tcPr>
            <w:tcW w:w="849" w:type="dxa"/>
            <w:vMerge w:val="continue"/>
          </w:tcPr>
          <w:p/>
        </w:tc>
        <w:tc>
          <w:tcPr>
            <w:tcW w:w="1191" w:type="dxa"/>
            <w:vAlign w:val="center"/>
          </w:tcPr>
          <w:p>
            <w:pPr>
              <w:pStyle w:val="16"/>
            </w:pPr>
            <w:r>
              <w:rPr>
                <w:rFonts w:hint="eastAsia"/>
              </w:rPr>
              <w:t>科目编码</w:t>
            </w:r>
          </w:p>
        </w:tc>
        <w:tc>
          <w:tcPr>
            <w:tcW w:w="4551" w:type="dxa"/>
            <w:vAlign w:val="center"/>
          </w:tcPr>
          <w:p>
            <w:pPr>
              <w:pStyle w:val="16"/>
            </w:pPr>
            <w:r>
              <w:rPr>
                <w:rFonts w:hint="eastAsia"/>
              </w:rPr>
              <w:t>科目名称</w:t>
            </w:r>
          </w:p>
        </w:tc>
        <w:tc>
          <w:tcPr>
            <w:tcW w:w="2555" w:type="dxa"/>
            <w:vMerge w:val="continue"/>
          </w:tcPr>
          <w:p/>
        </w:tc>
        <w:tc>
          <w:tcPr>
            <w:tcW w:w="2555" w:type="dxa"/>
            <w:vMerge w:val="continue"/>
          </w:tcPr>
          <w:p/>
        </w:tc>
        <w:tc>
          <w:tcPr>
            <w:tcW w:w="2559"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tblHeader/>
          <w:jc w:val="center"/>
        </w:trPr>
        <w:tc>
          <w:tcPr>
            <w:tcW w:w="849" w:type="dxa"/>
            <w:vAlign w:val="center"/>
          </w:tcPr>
          <w:p>
            <w:pPr>
              <w:pStyle w:val="16"/>
            </w:pPr>
            <w:r>
              <w:rPr>
                <w:rFonts w:hint="eastAsia"/>
              </w:rPr>
              <w:t>栏次</w:t>
            </w:r>
          </w:p>
        </w:tc>
        <w:tc>
          <w:tcPr>
            <w:tcW w:w="1191" w:type="dxa"/>
            <w:vAlign w:val="center"/>
          </w:tcPr>
          <w:p>
            <w:pPr>
              <w:pStyle w:val="16"/>
            </w:pPr>
            <w:r>
              <w:t>1</w:t>
            </w:r>
          </w:p>
        </w:tc>
        <w:tc>
          <w:tcPr>
            <w:tcW w:w="4551" w:type="dxa"/>
            <w:vAlign w:val="center"/>
          </w:tcPr>
          <w:p>
            <w:pPr>
              <w:pStyle w:val="16"/>
            </w:pPr>
            <w:r>
              <w:t>2</w:t>
            </w:r>
          </w:p>
        </w:tc>
        <w:tc>
          <w:tcPr>
            <w:tcW w:w="2555" w:type="dxa"/>
            <w:vAlign w:val="center"/>
          </w:tcPr>
          <w:p>
            <w:pPr>
              <w:pStyle w:val="16"/>
            </w:pPr>
            <w:r>
              <w:t>3</w:t>
            </w:r>
          </w:p>
        </w:tc>
        <w:tc>
          <w:tcPr>
            <w:tcW w:w="2555" w:type="dxa"/>
            <w:vAlign w:val="center"/>
          </w:tcPr>
          <w:p>
            <w:pPr>
              <w:pStyle w:val="16"/>
            </w:pPr>
            <w:r>
              <w:t>4</w:t>
            </w:r>
          </w:p>
        </w:tc>
        <w:tc>
          <w:tcPr>
            <w:tcW w:w="2559"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tcPr>
          <w:p>
            <w:pPr>
              <w:jc w:val="center"/>
              <w:rPr>
                <w:rFonts w:ascii="Calibri" w:hAnsi="Calibri" w:eastAsia="等线" w:cs="宋体"/>
                <w:color w:val="000000"/>
                <w:sz w:val="22"/>
                <w:szCs w:val="22"/>
              </w:rPr>
            </w:pPr>
            <w:r>
              <w:rPr>
                <w:rFonts w:ascii="Calibri" w:hAnsi="Calibri" w:eastAsia="等线"/>
                <w:color w:val="000000"/>
                <w:sz w:val="22"/>
                <w:szCs w:val="22"/>
              </w:rPr>
              <w:t>1</w:t>
            </w:r>
          </w:p>
        </w:tc>
        <w:tc>
          <w:tcPr>
            <w:tcW w:w="1191" w:type="dxa"/>
            <w:vAlign w:val="center"/>
          </w:tcPr>
          <w:p>
            <w:pPr>
              <w:rPr>
                <w:rFonts w:ascii="等线" w:hAnsi="宋体" w:eastAsia="等线" w:cs="宋体"/>
                <w:sz w:val="22"/>
                <w:szCs w:val="22"/>
              </w:rPr>
            </w:pPr>
            <w:r>
              <w:rPr>
                <w:rFonts w:hint="eastAsia" w:ascii="等线" w:eastAsia="等线"/>
                <w:sz w:val="22"/>
                <w:szCs w:val="22"/>
              </w:rPr>
              <w:t>　</w:t>
            </w:r>
          </w:p>
        </w:tc>
        <w:tc>
          <w:tcPr>
            <w:tcW w:w="4551" w:type="dxa"/>
          </w:tcPr>
          <w:p>
            <w:pPr>
              <w:rPr>
                <w:rFonts w:ascii="Calibri" w:hAnsi="Calibri" w:eastAsia="等线" w:cs="宋体"/>
                <w:color w:val="000000"/>
                <w:sz w:val="22"/>
                <w:szCs w:val="22"/>
              </w:rPr>
            </w:pPr>
            <w:r>
              <w:rPr>
                <w:rFonts w:ascii="Calibri" w:hAnsi="Calibri" w:eastAsia="等线"/>
                <w:color w:val="000000"/>
                <w:sz w:val="22"/>
                <w:szCs w:val="22"/>
              </w:rPr>
              <w:t>合计</w:t>
            </w:r>
          </w:p>
        </w:tc>
        <w:tc>
          <w:tcPr>
            <w:tcW w:w="2555" w:type="dxa"/>
            <w:vAlign w:val="center"/>
          </w:tcPr>
          <w:p>
            <w:pPr>
              <w:pStyle w:val="21"/>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603.38</w:t>
            </w:r>
          </w:p>
        </w:tc>
        <w:tc>
          <w:tcPr>
            <w:tcW w:w="2555" w:type="dxa"/>
            <w:vAlign w:val="center"/>
          </w:tcPr>
          <w:p>
            <w:pPr>
              <w:pStyle w:val="21"/>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563.38</w:t>
            </w:r>
          </w:p>
        </w:tc>
        <w:tc>
          <w:tcPr>
            <w:tcW w:w="2559" w:type="dxa"/>
            <w:vAlign w:val="center"/>
          </w:tcPr>
          <w:p>
            <w:pPr>
              <w:pStyle w:val="21"/>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2</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一般公共服务支出</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523.28</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485.03</w:t>
            </w:r>
          </w:p>
        </w:tc>
        <w:tc>
          <w:tcPr>
            <w:tcW w:w="2559"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38.25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3</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政府办公厅（室）及相关机构事务</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523.28</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485.03</w:t>
            </w:r>
          </w:p>
        </w:tc>
        <w:tc>
          <w:tcPr>
            <w:tcW w:w="2559"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38.25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4</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301</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行政运行</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485.03</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485.03</w:t>
            </w:r>
          </w:p>
        </w:tc>
        <w:tc>
          <w:tcPr>
            <w:tcW w:w="2559"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5</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302</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一般行政管理事务</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38.25</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59"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38.25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6</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207</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文化旅游体育与传媒支出</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59"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7</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文化与旅游</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59"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8</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70199</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其他文化与旅游支出</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59"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9</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208</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社会保障和就业支出</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2559"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10</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20805</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行政事业单位养老支出</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2559"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11</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208050</w:t>
            </w:r>
            <w:r>
              <w:rPr>
                <w:rFonts w:hint="eastAsia"/>
                <w:lang w:val="en-US" w:eastAsia="zh-CN"/>
              </w:rPr>
              <w:t>5</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机关事业单位基本养老缴费支出</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36.60</w:t>
            </w:r>
          </w:p>
        </w:tc>
        <w:tc>
          <w:tcPr>
            <w:tcW w:w="2559"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12</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210</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卫生健康支出</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2559" w:type="dxa"/>
            <w:vAlign w:val="center"/>
          </w:tcPr>
          <w:p>
            <w:pPr>
              <w:pStyle w:val="19"/>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13</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21011</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行政事业单位</w:t>
            </w:r>
            <w:r>
              <w:rPr>
                <w:rFonts w:hint="eastAsia"/>
                <w:lang w:val="en-US" w:eastAsia="zh-CN"/>
              </w:rPr>
              <w:t>医疗</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20.30</w:t>
            </w:r>
          </w:p>
        </w:tc>
        <w:tc>
          <w:tcPr>
            <w:tcW w:w="2559" w:type="dxa"/>
            <w:vAlign w:val="center"/>
          </w:tcPr>
          <w:p>
            <w:pPr>
              <w:pStyle w:val="19"/>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14</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2101101</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行政单位医疗</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15.73</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15.73</w:t>
            </w:r>
          </w:p>
        </w:tc>
        <w:tc>
          <w:tcPr>
            <w:tcW w:w="2559" w:type="dxa"/>
            <w:vAlign w:val="center"/>
          </w:tcPr>
          <w:p>
            <w:pPr>
              <w:pStyle w:val="19"/>
              <w:keepNext w:val="0"/>
              <w:keepLines w:val="0"/>
              <w:widowControl/>
              <w:suppressLineNumbers w:val="0"/>
              <w:spacing w:before="0" w:beforeAutospacing="0" w:after="0" w:afterAutospacing="0"/>
              <w:ind w:left="0" w:leftChars="0" w:right="0" w:rightChars="0"/>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15</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210110</w:t>
            </w:r>
            <w:r>
              <w:rPr>
                <w:rFonts w:hint="eastAsia"/>
                <w:lang w:val="en-US" w:eastAsia="zh-CN"/>
              </w:rPr>
              <w:t>3</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公务员医疗补助</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4.57</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4.57</w:t>
            </w:r>
          </w:p>
        </w:tc>
        <w:tc>
          <w:tcPr>
            <w:tcW w:w="2559" w:type="dxa"/>
            <w:vAlign w:val="center"/>
          </w:tcPr>
          <w:p>
            <w:pPr>
              <w:pStyle w:val="19"/>
              <w:keepNext w:val="0"/>
              <w:keepLines w:val="0"/>
              <w:widowControl/>
              <w:suppressLineNumbers w:val="0"/>
              <w:spacing w:before="0" w:beforeAutospacing="0" w:after="0" w:afterAutospacing="0"/>
              <w:ind w:left="0" w:leftChars="0" w:right="0" w:rightChars="0"/>
              <w:rPr>
                <w:rFonts w:hint="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16</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221</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住房保障支出</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2559" w:type="dxa"/>
            <w:vAlign w:val="center"/>
          </w:tcPr>
          <w:p>
            <w:pPr>
              <w:pStyle w:val="19"/>
              <w:keepNext w:val="0"/>
              <w:keepLines w:val="0"/>
              <w:widowControl/>
              <w:suppressLineNumbers w:val="0"/>
              <w:spacing w:before="0" w:beforeAutospacing="0" w:after="0" w:afterAutospacing="0"/>
              <w:ind w:left="0" w:leftChars="0" w:right="0" w:rightChars="0"/>
              <w:rPr>
                <w:rFonts w:hint="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17</w:t>
            </w:r>
          </w:p>
        </w:tc>
        <w:tc>
          <w:tcPr>
            <w:tcW w:w="119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22102</w:t>
            </w:r>
          </w:p>
        </w:tc>
        <w:tc>
          <w:tcPr>
            <w:tcW w:w="4551"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住房改革支出</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21.45</w:t>
            </w:r>
          </w:p>
        </w:tc>
        <w:tc>
          <w:tcPr>
            <w:tcW w:w="2559" w:type="dxa"/>
            <w:vAlign w:val="center"/>
          </w:tcPr>
          <w:p>
            <w:pPr>
              <w:pStyle w:val="19"/>
              <w:keepNext w:val="0"/>
              <w:keepLines w:val="0"/>
              <w:widowControl/>
              <w:suppressLineNumbers w:val="0"/>
              <w:spacing w:before="0" w:beforeAutospacing="0" w:after="0" w:afterAutospacing="0"/>
              <w:ind w:left="0" w:leftChars="0" w:right="0" w:rightChars="0"/>
              <w:rPr>
                <w:rFonts w:hint="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849" w:type="dxa"/>
            <w:vAlign w:val="center"/>
          </w:tcPr>
          <w:p>
            <w:pPr>
              <w:pStyle w:val="19"/>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18</w:t>
            </w:r>
          </w:p>
        </w:tc>
        <w:tc>
          <w:tcPr>
            <w:tcW w:w="1191"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2210201</w:t>
            </w:r>
          </w:p>
        </w:tc>
        <w:tc>
          <w:tcPr>
            <w:tcW w:w="4551"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住房公积金</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21.45</w:t>
            </w:r>
          </w:p>
        </w:tc>
        <w:tc>
          <w:tcPr>
            <w:tcW w:w="2555" w:type="dxa"/>
            <w:vAlign w:val="center"/>
          </w:tcPr>
          <w:p>
            <w:pPr>
              <w:pStyle w:val="17"/>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21.45</w:t>
            </w:r>
          </w:p>
        </w:tc>
        <w:tc>
          <w:tcPr>
            <w:tcW w:w="2559" w:type="dxa"/>
            <w:vAlign w:val="center"/>
          </w:tcPr>
          <w:p>
            <w:pPr>
              <w:pStyle w:val="19"/>
              <w:keepNext w:val="0"/>
              <w:keepLines w:val="0"/>
              <w:widowControl/>
              <w:suppressLineNumbers w:val="0"/>
              <w:spacing w:before="0" w:beforeAutospacing="0" w:after="0" w:afterAutospacing="0"/>
              <w:ind w:left="0" w:leftChars="0" w:right="0" w:rightChars="0"/>
              <w:rPr>
                <w:rFonts w:hint="eastAsia"/>
                <w:lang w:eastAsia="zh-CN"/>
              </w:rPr>
            </w:pPr>
          </w:p>
        </w:tc>
      </w:tr>
    </w:tbl>
    <w:p>
      <w:pPr>
        <w:sectPr>
          <w:type w:val="continuous"/>
          <w:pgSz w:w="16840" w:h="11900" w:orient="landscape"/>
          <w:pgMar w:top="1361" w:right="1021" w:bottom="1134" w:left="1021" w:header="720" w:footer="720" w:gutter="0"/>
          <w:pgNumType w:fmt="decimal"/>
          <w:cols w:space="720" w:num="1"/>
        </w:sectPr>
      </w:pPr>
    </w:p>
    <w:p>
      <w:pPr>
        <w:jc w:val="center"/>
        <w:outlineLvl w:val="4"/>
        <w:rPr>
          <w:rFonts w:ascii="方正小标宋_GBK" w:hAnsi="方正小标宋_GBK" w:eastAsia="方正小标宋_GBK" w:cs="方正小标宋_GBK"/>
          <w:color w:val="000000"/>
          <w:sz w:val="36"/>
          <w:lang w:eastAsia="zh-CN"/>
        </w:rPr>
      </w:pPr>
    </w:p>
    <w:p>
      <w:pPr>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br w:type="page"/>
      </w:r>
    </w:p>
    <w:p>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pPr w:leftFromText="180" w:rightFromText="180" w:vertAnchor="text" w:horzAnchor="page" w:tblpX="1520" w:tblpY="152"/>
        <w:tblOverlap w:val="never"/>
        <w:tblW w:w="143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7"/>
        <w:gridCol w:w="1204"/>
        <w:gridCol w:w="4574"/>
        <w:gridCol w:w="2571"/>
        <w:gridCol w:w="5"/>
        <w:gridCol w:w="2571"/>
        <w:gridCol w:w="25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8" w:hRule="atLeast"/>
          <w:tblHeader/>
        </w:trPr>
        <w:tc>
          <w:tcPr>
            <w:tcW w:w="6635"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804</w:t>
            </w:r>
            <w:r>
              <w:t>001</w:t>
            </w:r>
            <w:r>
              <w:rPr>
                <w:rFonts w:hint="eastAsia"/>
                <w:lang w:eastAsia="zh-CN"/>
              </w:rPr>
              <w:t>涞水县永阳镇人民政府</w:t>
            </w:r>
            <w:r>
              <w:rPr>
                <w:rFonts w:hint="eastAsia"/>
              </w:rPr>
              <w:t>（本级）</w:t>
            </w:r>
          </w:p>
        </w:tc>
        <w:tc>
          <w:tcPr>
            <w:tcW w:w="2576" w:type="dxa"/>
            <w:gridSpan w:val="2"/>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149"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blHeader/>
        </w:trPr>
        <w:tc>
          <w:tcPr>
            <w:tcW w:w="857" w:type="dxa"/>
            <w:vMerge w:val="restart"/>
            <w:vAlign w:val="center"/>
          </w:tcPr>
          <w:p>
            <w:pPr>
              <w:pStyle w:val="16"/>
            </w:pPr>
            <w:r>
              <w:rPr>
                <w:rFonts w:hint="eastAsia"/>
              </w:rPr>
              <w:t>序号</w:t>
            </w:r>
          </w:p>
        </w:tc>
        <w:tc>
          <w:tcPr>
            <w:tcW w:w="5778" w:type="dxa"/>
            <w:gridSpan w:val="2"/>
            <w:vAlign w:val="center"/>
          </w:tcPr>
          <w:p>
            <w:pPr>
              <w:pStyle w:val="16"/>
            </w:pPr>
            <w:r>
              <w:rPr>
                <w:rFonts w:hint="eastAsia"/>
              </w:rPr>
              <w:t>支出部门经济分类科目</w:t>
            </w:r>
          </w:p>
        </w:tc>
        <w:tc>
          <w:tcPr>
            <w:tcW w:w="7725" w:type="dxa"/>
            <w:gridSpan w:val="4"/>
            <w:vAlign w:val="center"/>
          </w:tcPr>
          <w:p>
            <w:pPr>
              <w:pStyle w:val="16"/>
            </w:pPr>
            <w:r>
              <w:rPr>
                <w:rFonts w:hint="eastAsia"/>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blHeader/>
        </w:trPr>
        <w:tc>
          <w:tcPr>
            <w:tcW w:w="857" w:type="dxa"/>
            <w:vMerge w:val="continue"/>
          </w:tcPr>
          <w:p/>
        </w:tc>
        <w:tc>
          <w:tcPr>
            <w:tcW w:w="1204" w:type="dxa"/>
            <w:vAlign w:val="center"/>
          </w:tcPr>
          <w:p>
            <w:pPr>
              <w:pStyle w:val="16"/>
            </w:pPr>
            <w:r>
              <w:rPr>
                <w:rFonts w:hint="eastAsia"/>
              </w:rPr>
              <w:t>科目编码</w:t>
            </w:r>
          </w:p>
        </w:tc>
        <w:tc>
          <w:tcPr>
            <w:tcW w:w="4574" w:type="dxa"/>
            <w:vAlign w:val="center"/>
          </w:tcPr>
          <w:p>
            <w:pPr>
              <w:pStyle w:val="16"/>
            </w:pPr>
            <w:r>
              <w:rPr>
                <w:rFonts w:hint="eastAsia"/>
              </w:rPr>
              <w:t>科目名称</w:t>
            </w:r>
          </w:p>
        </w:tc>
        <w:tc>
          <w:tcPr>
            <w:tcW w:w="2571" w:type="dxa"/>
            <w:vAlign w:val="center"/>
          </w:tcPr>
          <w:p>
            <w:pPr>
              <w:pStyle w:val="16"/>
            </w:pPr>
            <w:r>
              <w:rPr>
                <w:rFonts w:hint="eastAsia"/>
              </w:rPr>
              <w:t>合计</w:t>
            </w:r>
          </w:p>
        </w:tc>
        <w:tc>
          <w:tcPr>
            <w:tcW w:w="2576" w:type="dxa"/>
            <w:gridSpan w:val="2"/>
            <w:vAlign w:val="center"/>
          </w:tcPr>
          <w:p>
            <w:pPr>
              <w:pStyle w:val="16"/>
            </w:pPr>
            <w:r>
              <w:rPr>
                <w:rFonts w:hint="eastAsia"/>
              </w:rPr>
              <w:t>人员经费</w:t>
            </w:r>
          </w:p>
        </w:tc>
        <w:tc>
          <w:tcPr>
            <w:tcW w:w="2578" w:type="dxa"/>
            <w:vAlign w:val="center"/>
          </w:tcPr>
          <w:p>
            <w:pPr>
              <w:pStyle w:val="16"/>
            </w:pPr>
            <w:r>
              <w:rPr>
                <w:rFonts w:hint="eastAsia"/>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blHeader/>
        </w:trPr>
        <w:tc>
          <w:tcPr>
            <w:tcW w:w="857" w:type="dxa"/>
            <w:vAlign w:val="center"/>
          </w:tcPr>
          <w:p>
            <w:pPr>
              <w:pStyle w:val="16"/>
            </w:pPr>
            <w:r>
              <w:rPr>
                <w:rFonts w:hint="eastAsia"/>
              </w:rPr>
              <w:t>栏次</w:t>
            </w:r>
          </w:p>
        </w:tc>
        <w:tc>
          <w:tcPr>
            <w:tcW w:w="1204" w:type="dxa"/>
            <w:vAlign w:val="center"/>
          </w:tcPr>
          <w:p>
            <w:pPr>
              <w:pStyle w:val="16"/>
            </w:pPr>
            <w:r>
              <w:t>1</w:t>
            </w:r>
          </w:p>
        </w:tc>
        <w:tc>
          <w:tcPr>
            <w:tcW w:w="4574" w:type="dxa"/>
            <w:vAlign w:val="center"/>
          </w:tcPr>
          <w:p>
            <w:pPr>
              <w:pStyle w:val="16"/>
            </w:pPr>
            <w:r>
              <w:t>2</w:t>
            </w:r>
          </w:p>
        </w:tc>
        <w:tc>
          <w:tcPr>
            <w:tcW w:w="2571" w:type="dxa"/>
            <w:vAlign w:val="center"/>
          </w:tcPr>
          <w:p>
            <w:pPr>
              <w:pStyle w:val="16"/>
            </w:pPr>
            <w:r>
              <w:t>3</w:t>
            </w:r>
          </w:p>
        </w:tc>
        <w:tc>
          <w:tcPr>
            <w:tcW w:w="2576" w:type="dxa"/>
            <w:gridSpan w:val="2"/>
            <w:vAlign w:val="center"/>
          </w:tcPr>
          <w:p>
            <w:pPr>
              <w:pStyle w:val="16"/>
            </w:pPr>
            <w:r>
              <w:t>4</w:t>
            </w:r>
          </w:p>
        </w:tc>
        <w:tc>
          <w:tcPr>
            <w:tcW w:w="2578"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pPr>
            <w:r>
              <w:t>1</w:t>
            </w:r>
          </w:p>
        </w:tc>
        <w:tc>
          <w:tcPr>
            <w:tcW w:w="1204" w:type="dxa"/>
            <w:vAlign w:val="center"/>
          </w:tcPr>
          <w:p>
            <w:pPr>
              <w:pStyle w:val="22"/>
            </w:pPr>
          </w:p>
        </w:tc>
        <w:tc>
          <w:tcPr>
            <w:tcW w:w="4574" w:type="dxa"/>
            <w:vAlign w:val="center"/>
          </w:tcPr>
          <w:p>
            <w:pPr>
              <w:pStyle w:val="20"/>
            </w:pPr>
            <w:r>
              <w:rPr>
                <w:rFonts w:hint="eastAsia"/>
              </w:rPr>
              <w:t>合计</w:t>
            </w:r>
          </w:p>
        </w:tc>
        <w:tc>
          <w:tcPr>
            <w:tcW w:w="2571" w:type="dxa"/>
            <w:vAlign w:val="center"/>
          </w:tcPr>
          <w:p>
            <w:pPr>
              <w:pStyle w:val="21"/>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563.38</w:t>
            </w:r>
          </w:p>
        </w:tc>
        <w:tc>
          <w:tcPr>
            <w:tcW w:w="2576" w:type="dxa"/>
            <w:gridSpan w:val="2"/>
            <w:vAlign w:val="center"/>
          </w:tcPr>
          <w:p>
            <w:pPr>
              <w:pStyle w:val="21"/>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492.57</w:t>
            </w:r>
          </w:p>
        </w:tc>
        <w:tc>
          <w:tcPr>
            <w:tcW w:w="2578" w:type="dxa"/>
            <w:vAlign w:val="center"/>
          </w:tcPr>
          <w:p>
            <w:pPr>
              <w:pStyle w:val="21"/>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70.81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301</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工资福利支出</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488.21</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488.21</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30101</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基本工资</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245.26</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245.26</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4</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30102</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津贴补贴</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85.53</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85.53</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5</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30103</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奖金</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44.87</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44.87</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default"/>
              </w:rPr>
              <w:t>6</w:t>
            </w:r>
          </w:p>
        </w:tc>
        <w:tc>
          <w:tcPr>
            <w:tcW w:w="120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30107</w:t>
            </w:r>
          </w:p>
        </w:tc>
        <w:tc>
          <w:tcPr>
            <w:tcW w:w="457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绩效工资</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32.43</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32.43</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default"/>
              </w:rPr>
              <w:t>7</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30108</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机关事业单位基本养老保险缴费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36.60</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36.60</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default"/>
              </w:rPr>
              <w:t>8</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30110</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城镇职工基本医疗保险缴费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15.73</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15.73</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9</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30111</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公务员医疗补助缴费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4.57</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4.57</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10</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30112</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其他社会保障缴费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1.77</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1.77</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11</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30113</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住房公积金</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21.45</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21.45</w:t>
            </w: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12</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302</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商品和服务支出</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70.81</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70.81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13</w:t>
            </w:r>
          </w:p>
        </w:tc>
        <w:tc>
          <w:tcPr>
            <w:tcW w:w="120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30201</w:t>
            </w:r>
          </w:p>
        </w:tc>
        <w:tc>
          <w:tcPr>
            <w:tcW w:w="457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办公费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7.55</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7.55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14</w:t>
            </w:r>
          </w:p>
        </w:tc>
        <w:tc>
          <w:tcPr>
            <w:tcW w:w="120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3020</w:t>
            </w:r>
            <w:r>
              <w:rPr>
                <w:rFonts w:hint="eastAsia"/>
                <w:lang w:val="en-US" w:eastAsia="zh-CN"/>
              </w:rPr>
              <w:t>8</w:t>
            </w:r>
          </w:p>
        </w:tc>
        <w:tc>
          <w:tcPr>
            <w:tcW w:w="457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取暖费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5.00</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15</w:t>
            </w:r>
          </w:p>
        </w:tc>
        <w:tc>
          <w:tcPr>
            <w:tcW w:w="120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302</w:t>
            </w:r>
            <w:r>
              <w:rPr>
                <w:rFonts w:hint="eastAsia"/>
                <w:lang w:val="en-US" w:eastAsia="zh-CN"/>
              </w:rPr>
              <w:t>17</w:t>
            </w:r>
          </w:p>
        </w:tc>
        <w:tc>
          <w:tcPr>
            <w:tcW w:w="457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公务接待费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5.50</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16</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30226</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劳务费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24.31</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24.31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17</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30228</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工会经费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4.32</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18</w:t>
            </w:r>
          </w:p>
        </w:tc>
        <w:tc>
          <w:tcPr>
            <w:tcW w:w="120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30229</w:t>
            </w:r>
          </w:p>
        </w:tc>
        <w:tc>
          <w:tcPr>
            <w:tcW w:w="4574"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福利费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5.61</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19</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30231</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公务用车运行维护费</w:t>
            </w:r>
          </w:p>
        </w:tc>
        <w:tc>
          <w:tcPr>
            <w:tcW w:w="2571"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6.50</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20</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30239</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其他交通费用</w:t>
            </w:r>
          </w:p>
        </w:tc>
        <w:tc>
          <w:tcPr>
            <w:tcW w:w="2571"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11.58</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pPr>
          </w:p>
        </w:tc>
        <w:tc>
          <w:tcPr>
            <w:tcW w:w="2578"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11.58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21</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30299</w:t>
            </w:r>
          </w:p>
        </w:tc>
        <w:tc>
          <w:tcPr>
            <w:tcW w:w="457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其他商品和服务支出</w:t>
            </w:r>
          </w:p>
        </w:tc>
        <w:tc>
          <w:tcPr>
            <w:tcW w:w="2571" w:type="dxa"/>
            <w:vAlign w:val="center"/>
          </w:tcPr>
          <w:p>
            <w:pPr>
              <w:pStyle w:val="17"/>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0.44</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lang w:eastAsia="zh-CN"/>
              </w:rPr>
            </w:pPr>
          </w:p>
        </w:tc>
        <w:tc>
          <w:tcPr>
            <w:tcW w:w="2578" w:type="dxa"/>
            <w:vAlign w:val="center"/>
          </w:tcPr>
          <w:p>
            <w:pPr>
              <w:pStyle w:val="17"/>
              <w:keepNext w:val="0"/>
              <w:keepLines w:val="0"/>
              <w:widowControl/>
              <w:suppressLineNumbers w:val="0"/>
              <w:spacing w:before="0" w:beforeAutospacing="0" w:after="0" w:afterAutospacing="0"/>
              <w:ind w:left="0" w:leftChars="0" w:right="0" w:rightChars="0"/>
            </w:pPr>
            <w:r>
              <w:rPr>
                <w:rFonts w:hint="eastAsia"/>
                <w:lang w:val="en-US" w:eastAsia="zh-CN"/>
              </w:rPr>
              <w:t>0.44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pPr>
              <w:pStyle w:val="19"/>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22</w:t>
            </w:r>
          </w:p>
        </w:tc>
        <w:tc>
          <w:tcPr>
            <w:tcW w:w="1204" w:type="dxa"/>
            <w:vAlign w:val="center"/>
          </w:tcPr>
          <w:p>
            <w:pPr>
              <w:pStyle w:val="18"/>
              <w:keepNext w:val="0"/>
              <w:keepLines w:val="0"/>
              <w:widowControl/>
              <w:suppressLineNumbers w:val="0"/>
              <w:spacing w:before="0" w:beforeAutospacing="0" w:after="0" w:afterAutospacing="0"/>
              <w:ind w:left="0" w:leftChars="0" w:right="0" w:rightChars="0"/>
            </w:pPr>
            <w:r>
              <w:rPr>
                <w:rFonts w:hint="default"/>
              </w:rPr>
              <w:t>303</w:t>
            </w:r>
          </w:p>
        </w:tc>
        <w:tc>
          <w:tcPr>
            <w:tcW w:w="4574" w:type="dxa"/>
            <w:vAlign w:val="center"/>
          </w:tcPr>
          <w:p>
            <w:pPr>
              <w:pStyle w:val="18"/>
              <w:keepNext w:val="0"/>
              <w:keepLines w:val="0"/>
              <w:widowControl/>
              <w:suppressLineNumbers w:val="0"/>
              <w:spacing w:before="0" w:beforeAutospacing="0" w:after="0" w:afterAutospacing="0"/>
              <w:ind w:left="0" w:leftChars="0" w:right="0" w:rightChars="0"/>
              <w:rPr>
                <w:rFonts w:hint="eastAsia"/>
              </w:rPr>
            </w:pPr>
            <w:r>
              <w:rPr>
                <w:rFonts w:hint="default"/>
              </w:rPr>
              <w:t>对个人和家庭的补助</w:t>
            </w:r>
          </w:p>
        </w:tc>
        <w:tc>
          <w:tcPr>
            <w:tcW w:w="2571" w:type="dxa"/>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4.36</w:t>
            </w:r>
          </w:p>
        </w:tc>
        <w:tc>
          <w:tcPr>
            <w:tcW w:w="2576" w:type="dxa"/>
            <w:gridSpan w:val="2"/>
            <w:vAlign w:val="center"/>
          </w:tcPr>
          <w:p>
            <w:pPr>
              <w:pStyle w:val="17"/>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4.36</w:t>
            </w:r>
          </w:p>
        </w:tc>
        <w:tc>
          <w:tcPr>
            <w:tcW w:w="2578" w:type="dxa"/>
            <w:vAlign w:val="center"/>
          </w:tcPr>
          <w:p>
            <w:pPr>
              <w:pStyle w:val="17"/>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5" w:hRule="atLeast"/>
        </w:trPr>
        <w:tc>
          <w:tcPr>
            <w:tcW w:w="857" w:type="dxa"/>
            <w:vAlign w:val="center"/>
          </w:tcPr>
          <w:p>
            <w:pPr>
              <w:pStyle w:val="19"/>
              <w:rPr>
                <w:lang w:eastAsia="zh-CN"/>
              </w:rPr>
            </w:pPr>
            <w:r>
              <w:rPr>
                <w:rFonts w:hint="eastAsia"/>
                <w:lang w:eastAsia="zh-CN"/>
              </w:rPr>
              <w:t>22</w:t>
            </w:r>
          </w:p>
        </w:tc>
        <w:tc>
          <w:tcPr>
            <w:tcW w:w="1204" w:type="dxa"/>
            <w:vAlign w:val="center"/>
          </w:tcPr>
          <w:p>
            <w:pPr>
              <w:pStyle w:val="18"/>
            </w:pPr>
            <w:r>
              <w:t>30305</w:t>
            </w:r>
          </w:p>
        </w:tc>
        <w:tc>
          <w:tcPr>
            <w:tcW w:w="4574" w:type="dxa"/>
            <w:vAlign w:val="center"/>
          </w:tcPr>
          <w:p>
            <w:pPr>
              <w:pStyle w:val="18"/>
            </w:pPr>
            <w:r>
              <w:rPr>
                <w:rFonts w:hint="eastAsia"/>
              </w:rPr>
              <w:t>生活补助</w:t>
            </w:r>
          </w:p>
        </w:tc>
        <w:tc>
          <w:tcPr>
            <w:tcW w:w="2571" w:type="dxa"/>
            <w:vAlign w:val="center"/>
          </w:tcPr>
          <w:p>
            <w:pPr>
              <w:pStyle w:val="17"/>
            </w:pPr>
            <w:r>
              <w:rPr>
                <w:rFonts w:hint="eastAsia"/>
                <w:lang w:eastAsia="zh-CN"/>
              </w:rPr>
              <w:t>4.36</w:t>
            </w:r>
          </w:p>
        </w:tc>
        <w:tc>
          <w:tcPr>
            <w:tcW w:w="2576" w:type="dxa"/>
            <w:gridSpan w:val="2"/>
            <w:vAlign w:val="center"/>
          </w:tcPr>
          <w:p>
            <w:pPr>
              <w:pStyle w:val="17"/>
              <w:rPr>
                <w:lang w:eastAsia="zh-CN"/>
              </w:rPr>
            </w:pPr>
            <w:r>
              <w:rPr>
                <w:rFonts w:hint="eastAsia"/>
                <w:lang w:eastAsia="zh-CN"/>
              </w:rPr>
              <w:t>4.36</w:t>
            </w:r>
          </w:p>
        </w:tc>
        <w:tc>
          <w:tcPr>
            <w:tcW w:w="2578" w:type="dxa"/>
            <w:vAlign w:val="center"/>
          </w:tcPr>
          <w:p>
            <w:pPr>
              <w:pStyle w:val="17"/>
            </w:pPr>
          </w:p>
        </w:tc>
      </w:tr>
    </w:tbl>
    <w:p>
      <w:pPr>
        <w:sectPr>
          <w:type w:val="continuous"/>
          <w:pgSz w:w="16840" w:h="11900" w:orient="landscape"/>
          <w:pgMar w:top="1361" w:right="1021" w:bottom="1134" w:left="1021" w:header="720" w:footer="720" w:gutter="0"/>
          <w:pgNumType w:fmt="decimal"/>
          <w:cols w:space="720" w:num="1"/>
        </w:sectPr>
      </w:pPr>
    </w:p>
    <w:p>
      <w:pPr>
        <w:jc w:val="center"/>
        <w:outlineLvl w:val="4"/>
        <w:rPr>
          <w:rFonts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804</w:t>
            </w:r>
            <w:r>
              <w:t>001</w:t>
            </w:r>
            <w:r>
              <w:rPr>
                <w:rFonts w:hint="eastAsia"/>
                <w:lang w:eastAsia="zh-CN"/>
              </w:rPr>
              <w:t>涞水县永阳镇人民政府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5726" w:type="dxa"/>
            <w:gridSpan w:val="2"/>
            <w:vAlign w:val="center"/>
          </w:tcPr>
          <w:p>
            <w:pPr>
              <w:pStyle w:val="16"/>
            </w:pPr>
            <w:r>
              <w:rPr>
                <w:rFonts w:hint="eastAsia"/>
              </w:rPr>
              <w:t>功能分类科目</w:t>
            </w:r>
          </w:p>
        </w:tc>
        <w:tc>
          <w:tcPr>
            <w:tcW w:w="2551" w:type="dxa"/>
            <w:vMerge w:val="restart"/>
            <w:vAlign w:val="center"/>
          </w:tcPr>
          <w:p>
            <w:pPr>
              <w:pStyle w:val="16"/>
            </w:pPr>
            <w:r>
              <w:rPr>
                <w:rFonts w:hint="eastAsia"/>
              </w:rPr>
              <w:t>合计</w:t>
            </w:r>
          </w:p>
        </w:tc>
        <w:tc>
          <w:tcPr>
            <w:tcW w:w="2551" w:type="dxa"/>
            <w:vMerge w:val="restart"/>
            <w:vAlign w:val="center"/>
          </w:tcPr>
          <w:p>
            <w:pPr>
              <w:pStyle w:val="16"/>
            </w:pPr>
            <w:r>
              <w:rPr>
                <w:rFonts w:hint="eastAsia"/>
              </w:rPr>
              <w:t>基本支出</w:t>
            </w:r>
          </w:p>
        </w:tc>
        <w:tc>
          <w:tcPr>
            <w:tcW w:w="2551" w:type="dxa"/>
            <w:vMerge w:val="restart"/>
            <w:vAlign w:val="center"/>
          </w:tcPr>
          <w:p>
            <w:pPr>
              <w:pStyle w:val="16"/>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rPr>
                <w:rFonts w:hint="eastAsia"/>
              </w:rPr>
              <w:t>科目编码</w:t>
            </w:r>
          </w:p>
        </w:tc>
        <w:tc>
          <w:tcPr>
            <w:tcW w:w="4535" w:type="dxa"/>
            <w:vAlign w:val="center"/>
          </w:tcPr>
          <w:p>
            <w:pPr>
              <w:pStyle w:val="16"/>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p>
        </w:tc>
        <w:tc>
          <w:tcPr>
            <w:tcW w:w="1191" w:type="dxa"/>
            <w:vAlign w:val="center"/>
          </w:tcPr>
          <w:p>
            <w:pPr>
              <w:pStyle w:val="18"/>
            </w:pPr>
          </w:p>
        </w:tc>
        <w:tc>
          <w:tcPr>
            <w:tcW w:w="4535" w:type="dxa"/>
            <w:vAlign w:val="center"/>
          </w:tcPr>
          <w:p>
            <w:pPr>
              <w:pStyle w:val="18"/>
            </w:pPr>
          </w:p>
        </w:tc>
        <w:tc>
          <w:tcPr>
            <w:tcW w:w="2551" w:type="dxa"/>
            <w:vAlign w:val="center"/>
          </w:tcPr>
          <w:p>
            <w:pPr>
              <w:pStyle w:val="17"/>
            </w:pPr>
          </w:p>
        </w:tc>
        <w:tc>
          <w:tcPr>
            <w:tcW w:w="2551" w:type="dxa"/>
            <w:vAlign w:val="center"/>
          </w:tcPr>
          <w:p>
            <w:pPr>
              <w:pStyle w:val="17"/>
            </w:pPr>
          </w:p>
        </w:tc>
        <w:tc>
          <w:tcPr>
            <w:tcW w:w="2551" w:type="dxa"/>
            <w:vAlign w:val="center"/>
          </w:tcPr>
          <w:p>
            <w:pPr>
              <w:pStyle w:val="17"/>
            </w:pPr>
          </w:p>
        </w:tc>
      </w:tr>
    </w:tbl>
    <w:p>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2023年，我单位</w:t>
      </w:r>
      <w:r>
        <w:rPr>
          <w:rFonts w:hint="eastAsia" w:ascii="方正书宋_GBK" w:hAnsi="方正书宋_GBK" w:eastAsia="方正书宋_GBK" w:cs="方正书宋_GBK"/>
          <w:color w:val="000000"/>
          <w:sz w:val="21"/>
        </w:rPr>
        <w:t>无政府基金预算财政拨款预算，空表列示。</w:t>
      </w:r>
    </w:p>
    <w:p>
      <w:pPr>
        <w:outlineLvl w:val="4"/>
        <w:rPr>
          <w:rFonts w:ascii="方正小标宋_GBK" w:hAnsi="方正小标宋_GBK" w:eastAsia="方正小标宋_GBK" w:cs="方正小标宋_GBK"/>
          <w:color w:val="000000"/>
          <w:sz w:val="36"/>
          <w:lang w:eastAsia="zh-CN"/>
        </w:rPr>
      </w:pPr>
    </w:p>
    <w:p>
      <w:pPr>
        <w:rPr>
          <w:rFonts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br w:type="page"/>
      </w:r>
    </w:p>
    <w:p>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804</w:t>
            </w:r>
            <w:r>
              <w:t>001</w:t>
            </w:r>
            <w:r>
              <w:rPr>
                <w:rFonts w:hint="eastAsia"/>
                <w:lang w:eastAsia="zh-CN"/>
              </w:rPr>
              <w:t>涞水县永阳镇人民政府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5726" w:type="dxa"/>
            <w:gridSpan w:val="2"/>
            <w:vAlign w:val="center"/>
          </w:tcPr>
          <w:p>
            <w:pPr>
              <w:pStyle w:val="16"/>
            </w:pPr>
            <w:r>
              <w:rPr>
                <w:rFonts w:hint="eastAsia"/>
              </w:rPr>
              <w:t>功能分类科目</w:t>
            </w:r>
          </w:p>
        </w:tc>
        <w:tc>
          <w:tcPr>
            <w:tcW w:w="2551" w:type="dxa"/>
            <w:vMerge w:val="restart"/>
            <w:vAlign w:val="center"/>
          </w:tcPr>
          <w:p>
            <w:pPr>
              <w:pStyle w:val="16"/>
            </w:pPr>
            <w:r>
              <w:rPr>
                <w:rFonts w:hint="eastAsia"/>
              </w:rPr>
              <w:t>合计</w:t>
            </w:r>
          </w:p>
        </w:tc>
        <w:tc>
          <w:tcPr>
            <w:tcW w:w="2551" w:type="dxa"/>
            <w:vMerge w:val="restart"/>
            <w:vAlign w:val="center"/>
          </w:tcPr>
          <w:p>
            <w:pPr>
              <w:pStyle w:val="16"/>
            </w:pPr>
            <w:r>
              <w:rPr>
                <w:rFonts w:hint="eastAsia"/>
              </w:rPr>
              <w:t>基本支出</w:t>
            </w:r>
          </w:p>
        </w:tc>
        <w:tc>
          <w:tcPr>
            <w:tcW w:w="2551" w:type="dxa"/>
            <w:vMerge w:val="restart"/>
            <w:vAlign w:val="center"/>
          </w:tcPr>
          <w:p>
            <w:pPr>
              <w:pStyle w:val="16"/>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rPr>
                <w:rFonts w:hint="eastAsia"/>
              </w:rPr>
              <w:t>科目编码</w:t>
            </w:r>
          </w:p>
        </w:tc>
        <w:tc>
          <w:tcPr>
            <w:tcW w:w="4535" w:type="dxa"/>
            <w:vAlign w:val="center"/>
          </w:tcPr>
          <w:p>
            <w:pPr>
              <w:pStyle w:val="16"/>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p>
        </w:tc>
        <w:tc>
          <w:tcPr>
            <w:tcW w:w="1191" w:type="dxa"/>
            <w:vAlign w:val="center"/>
          </w:tcPr>
          <w:p>
            <w:pPr>
              <w:pStyle w:val="18"/>
            </w:pPr>
          </w:p>
        </w:tc>
        <w:tc>
          <w:tcPr>
            <w:tcW w:w="4535" w:type="dxa"/>
            <w:vAlign w:val="center"/>
          </w:tcPr>
          <w:p>
            <w:pPr>
              <w:pStyle w:val="18"/>
            </w:pPr>
          </w:p>
        </w:tc>
        <w:tc>
          <w:tcPr>
            <w:tcW w:w="2551" w:type="dxa"/>
            <w:vAlign w:val="center"/>
          </w:tcPr>
          <w:p>
            <w:pPr>
              <w:pStyle w:val="17"/>
            </w:pPr>
          </w:p>
        </w:tc>
        <w:tc>
          <w:tcPr>
            <w:tcW w:w="2551" w:type="dxa"/>
            <w:vAlign w:val="center"/>
          </w:tcPr>
          <w:p>
            <w:pPr>
              <w:pStyle w:val="17"/>
            </w:pPr>
          </w:p>
        </w:tc>
        <w:tc>
          <w:tcPr>
            <w:tcW w:w="2551" w:type="dxa"/>
            <w:vAlign w:val="center"/>
          </w:tcPr>
          <w:p>
            <w:pPr>
              <w:pStyle w:val="17"/>
            </w:pPr>
          </w:p>
        </w:tc>
      </w:tr>
    </w:tbl>
    <w:p>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2023年，我单位</w:t>
      </w:r>
      <w:r>
        <w:rPr>
          <w:rFonts w:hint="eastAsia" w:ascii="方正书宋_GBK" w:hAnsi="方正书宋_GBK" w:eastAsia="方正书宋_GBK" w:cs="方正书宋_GBK"/>
          <w:color w:val="000000"/>
          <w:sz w:val="21"/>
        </w:rPr>
        <w:t>无国有资本经营预算财政拨款预算，空表列示</w:t>
      </w:r>
      <w:r>
        <w:rPr>
          <w:rFonts w:hint="eastAsia" w:ascii="方正书宋_GBK" w:hAnsi="方正书宋_GBK" w:eastAsia="方正书宋_GBK" w:cs="方正书宋_GBK"/>
          <w:color w:val="000000"/>
          <w:sz w:val="21"/>
          <w:lang w:eastAsia="zh-CN"/>
        </w:rPr>
        <w:t>。</w:t>
      </w:r>
    </w:p>
    <w:p>
      <w:pPr>
        <w:outlineLvl w:val="4"/>
        <w:rPr>
          <w:rFonts w:ascii="方正小标宋_GBK" w:hAnsi="方正小标宋_GBK" w:cs="方正小标宋_GBK" w:eastAsiaTheme="minorEastAsia"/>
          <w:color w:val="000000"/>
          <w:sz w:val="36"/>
          <w:lang w:eastAsia="zh-CN"/>
        </w:rPr>
      </w:pPr>
    </w:p>
    <w:p>
      <w:pPr>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br w:type="page"/>
      </w:r>
    </w:p>
    <w:p>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804</w:t>
            </w:r>
            <w:r>
              <w:t>001</w:t>
            </w:r>
            <w:r>
              <w:rPr>
                <w:rFonts w:hint="eastAsia"/>
                <w:lang w:eastAsia="zh-CN"/>
              </w:rPr>
              <w:t>涞水县永阳镇人民政府</w:t>
            </w:r>
            <w:r>
              <w:rPr>
                <w:rFonts w:hint="eastAsia"/>
              </w:rPr>
              <w:t>（本级）</w:t>
            </w:r>
          </w:p>
        </w:tc>
        <w:tc>
          <w:tcPr>
            <w:tcW w:w="2381"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3798" w:type="dxa"/>
            <w:vMerge w:val="restart"/>
            <w:vAlign w:val="center"/>
          </w:tcPr>
          <w:p>
            <w:pPr>
              <w:pStyle w:val="16"/>
            </w:pPr>
            <w:r>
              <w:rPr>
                <w:rFonts w:hint="eastAsia"/>
              </w:rPr>
              <w:t>项</w:t>
            </w:r>
            <w:r>
              <w:t xml:space="preserve">  </w:t>
            </w:r>
            <w:r>
              <w:rPr>
                <w:rFonts w:hint="eastAsia"/>
              </w:rPr>
              <w:t>目</w:t>
            </w:r>
          </w:p>
        </w:tc>
        <w:tc>
          <w:tcPr>
            <w:tcW w:w="9525" w:type="dxa"/>
            <w:gridSpan w:val="4"/>
            <w:vAlign w:val="center"/>
          </w:tcPr>
          <w:p>
            <w:pPr>
              <w:pStyle w:val="16"/>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rPr>
                <w:rFonts w:hint="eastAsia"/>
              </w:rPr>
              <w:t>合计</w:t>
            </w:r>
          </w:p>
        </w:tc>
        <w:tc>
          <w:tcPr>
            <w:tcW w:w="2381" w:type="dxa"/>
            <w:vAlign w:val="center"/>
          </w:tcPr>
          <w:p>
            <w:pPr>
              <w:pStyle w:val="16"/>
            </w:pPr>
            <w:r>
              <w:rPr>
                <w:rFonts w:hint="eastAsia"/>
              </w:rPr>
              <w:t>一般公共预算</w:t>
            </w:r>
            <w:r>
              <w:t xml:space="preserve">              </w:t>
            </w:r>
            <w:r>
              <w:rPr>
                <w:rFonts w:hint="eastAsia"/>
              </w:rPr>
              <w:t>财政拨款</w:t>
            </w:r>
          </w:p>
        </w:tc>
        <w:tc>
          <w:tcPr>
            <w:tcW w:w="2381" w:type="dxa"/>
            <w:vAlign w:val="center"/>
          </w:tcPr>
          <w:p>
            <w:pPr>
              <w:pStyle w:val="16"/>
            </w:pPr>
            <w:r>
              <w:rPr>
                <w:rFonts w:hint="eastAsia"/>
              </w:rPr>
              <w:t>政府性基金</w:t>
            </w:r>
            <w:r>
              <w:t xml:space="preserve">                  </w:t>
            </w:r>
            <w:r>
              <w:rPr>
                <w:rFonts w:hint="eastAsia"/>
              </w:rPr>
              <w:t>预算拨款</w:t>
            </w:r>
          </w:p>
        </w:tc>
        <w:tc>
          <w:tcPr>
            <w:tcW w:w="2381" w:type="dxa"/>
            <w:vAlign w:val="center"/>
          </w:tcPr>
          <w:p>
            <w:pPr>
              <w:pStyle w:val="16"/>
            </w:pPr>
            <w:r>
              <w:rPr>
                <w:rFonts w:hint="eastAsia"/>
              </w:rPr>
              <w:t>国有资本经营</w:t>
            </w:r>
            <w:r>
              <w:t xml:space="preserve">              </w:t>
            </w:r>
            <w:r>
              <w:rPr>
                <w:rFonts w:hint="eastAsia"/>
              </w:rPr>
              <w:t>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rPr>
                <w:rFonts w:hint="eastAsia"/>
              </w:rP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1</w:t>
            </w:r>
          </w:p>
        </w:tc>
        <w:tc>
          <w:tcPr>
            <w:tcW w:w="3798" w:type="dxa"/>
            <w:vAlign w:val="center"/>
          </w:tcPr>
          <w:p>
            <w:pPr>
              <w:pStyle w:val="20"/>
            </w:pPr>
            <w:r>
              <w:rPr>
                <w:rFonts w:hint="eastAsia"/>
              </w:rPr>
              <w:t>合计</w:t>
            </w:r>
          </w:p>
        </w:tc>
        <w:tc>
          <w:tcPr>
            <w:tcW w:w="2382" w:type="dxa"/>
            <w:vAlign w:val="center"/>
          </w:tcPr>
          <w:p>
            <w:pPr>
              <w:pStyle w:val="21"/>
              <w:rPr>
                <w:rFonts w:hint="default" w:eastAsia="方正书宋_GBK"/>
                <w:lang w:val="en-US" w:eastAsia="zh-CN"/>
              </w:rPr>
            </w:pPr>
            <w:r>
              <w:rPr>
                <w:rFonts w:hint="eastAsia"/>
                <w:lang w:val="en-US" w:eastAsia="zh-CN"/>
              </w:rPr>
              <w:t>12.00</w:t>
            </w:r>
          </w:p>
        </w:tc>
        <w:tc>
          <w:tcPr>
            <w:tcW w:w="2381" w:type="dxa"/>
            <w:vAlign w:val="center"/>
          </w:tcPr>
          <w:p>
            <w:pPr>
              <w:pStyle w:val="21"/>
              <w:rPr>
                <w:rFonts w:hint="default" w:eastAsia="方正书宋_GBK"/>
                <w:lang w:val="en-US" w:eastAsia="zh-CN"/>
              </w:rPr>
            </w:pPr>
            <w:r>
              <w:rPr>
                <w:rFonts w:hint="eastAsia"/>
                <w:lang w:val="en-US" w:eastAsia="zh-CN"/>
              </w:rPr>
              <w:t>12.00</w:t>
            </w:r>
          </w:p>
        </w:tc>
        <w:tc>
          <w:tcPr>
            <w:tcW w:w="2381" w:type="dxa"/>
            <w:vAlign w:val="center"/>
          </w:tcPr>
          <w:p>
            <w:pPr>
              <w:pStyle w:val="21"/>
            </w:pPr>
          </w:p>
        </w:tc>
        <w:tc>
          <w:tcPr>
            <w:tcW w:w="2381"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2</w:t>
            </w:r>
          </w:p>
        </w:tc>
        <w:tc>
          <w:tcPr>
            <w:tcW w:w="3798" w:type="dxa"/>
            <w:vAlign w:val="center"/>
          </w:tcPr>
          <w:p>
            <w:pPr>
              <w:pStyle w:val="18"/>
            </w:pPr>
            <w:r>
              <w:rPr>
                <w:rFonts w:hint="eastAsia"/>
              </w:rPr>
              <w:t>“三公”经费小计</w:t>
            </w:r>
          </w:p>
        </w:tc>
        <w:tc>
          <w:tcPr>
            <w:tcW w:w="2382" w:type="dxa"/>
            <w:vAlign w:val="center"/>
          </w:tcPr>
          <w:p>
            <w:pPr>
              <w:pStyle w:val="17"/>
              <w:rPr>
                <w:rFonts w:hint="default" w:eastAsia="方正书宋_GBK"/>
                <w:lang w:val="en-US" w:eastAsia="zh-CN"/>
              </w:rPr>
            </w:pPr>
            <w:r>
              <w:rPr>
                <w:rFonts w:hint="eastAsia"/>
                <w:lang w:val="en-US" w:eastAsia="zh-CN"/>
              </w:rPr>
              <w:t>12.00</w:t>
            </w:r>
          </w:p>
        </w:tc>
        <w:tc>
          <w:tcPr>
            <w:tcW w:w="2381" w:type="dxa"/>
            <w:vAlign w:val="center"/>
          </w:tcPr>
          <w:p>
            <w:pPr>
              <w:pStyle w:val="17"/>
              <w:rPr>
                <w:rFonts w:hint="default" w:eastAsia="方正书宋_GBK"/>
                <w:lang w:val="en-US" w:eastAsia="zh-CN"/>
              </w:rPr>
            </w:pPr>
            <w:r>
              <w:rPr>
                <w:rFonts w:hint="eastAsia"/>
                <w:lang w:val="en-US" w:eastAsia="zh-CN"/>
              </w:rPr>
              <w:t>12.00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3</w:t>
            </w:r>
          </w:p>
        </w:tc>
        <w:tc>
          <w:tcPr>
            <w:tcW w:w="3798" w:type="dxa"/>
            <w:vAlign w:val="center"/>
          </w:tcPr>
          <w:p>
            <w:pPr>
              <w:pStyle w:val="18"/>
            </w:pPr>
            <w:r>
              <w:rPr>
                <w:rFonts w:hint="eastAsia"/>
              </w:rPr>
              <w:t>一、因公出国（境）费</w:t>
            </w:r>
          </w:p>
        </w:tc>
        <w:tc>
          <w:tcPr>
            <w:tcW w:w="2382" w:type="dxa"/>
            <w:vAlign w:val="center"/>
          </w:tcPr>
          <w:p>
            <w:pPr>
              <w:pStyle w:val="17"/>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4</w:t>
            </w:r>
          </w:p>
        </w:tc>
        <w:tc>
          <w:tcPr>
            <w:tcW w:w="3798" w:type="dxa"/>
            <w:vAlign w:val="center"/>
          </w:tcPr>
          <w:p>
            <w:pPr>
              <w:pStyle w:val="18"/>
            </w:pPr>
            <w:r>
              <w:t xml:space="preserve">    </w:t>
            </w:r>
            <w:r>
              <w:rPr>
                <w:rFonts w:hint="eastAsia"/>
              </w:rPr>
              <w:t>其中：教学科研人员因公出国（境）费</w:t>
            </w:r>
          </w:p>
        </w:tc>
        <w:tc>
          <w:tcPr>
            <w:tcW w:w="2382" w:type="dxa"/>
            <w:vAlign w:val="center"/>
          </w:tcPr>
          <w:p>
            <w:pPr>
              <w:pStyle w:val="17"/>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5</w:t>
            </w:r>
          </w:p>
        </w:tc>
        <w:tc>
          <w:tcPr>
            <w:tcW w:w="3798" w:type="dxa"/>
            <w:vAlign w:val="center"/>
          </w:tcPr>
          <w:p>
            <w:pPr>
              <w:pStyle w:val="18"/>
            </w:pPr>
            <w:r>
              <w:t xml:space="preserve">          </w:t>
            </w:r>
            <w:r>
              <w:rPr>
                <w:rFonts w:hint="eastAsia"/>
              </w:rPr>
              <w:t>其他因公出国（境）费</w:t>
            </w:r>
          </w:p>
        </w:tc>
        <w:tc>
          <w:tcPr>
            <w:tcW w:w="2382" w:type="dxa"/>
            <w:vAlign w:val="center"/>
          </w:tcPr>
          <w:p>
            <w:pPr>
              <w:pStyle w:val="17"/>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6</w:t>
            </w:r>
          </w:p>
        </w:tc>
        <w:tc>
          <w:tcPr>
            <w:tcW w:w="3798" w:type="dxa"/>
            <w:vAlign w:val="center"/>
          </w:tcPr>
          <w:p>
            <w:pPr>
              <w:pStyle w:val="18"/>
            </w:pPr>
            <w:r>
              <w:rPr>
                <w:rFonts w:hint="eastAsia"/>
              </w:rPr>
              <w:t>二、公务用车购置及运维费</w:t>
            </w:r>
          </w:p>
        </w:tc>
        <w:tc>
          <w:tcPr>
            <w:tcW w:w="2382" w:type="dxa"/>
            <w:vAlign w:val="center"/>
          </w:tcPr>
          <w:p>
            <w:pPr>
              <w:pStyle w:val="17"/>
              <w:rPr>
                <w:rFonts w:hint="default" w:eastAsia="方正书宋_GBK"/>
                <w:lang w:val="en-US" w:eastAsia="zh-CN"/>
              </w:rPr>
            </w:pPr>
            <w:r>
              <w:rPr>
                <w:rFonts w:hint="eastAsia"/>
                <w:lang w:val="en-US" w:eastAsia="zh-CN"/>
              </w:rPr>
              <w:t>6.50</w:t>
            </w:r>
          </w:p>
        </w:tc>
        <w:tc>
          <w:tcPr>
            <w:tcW w:w="2381" w:type="dxa"/>
            <w:vAlign w:val="center"/>
          </w:tcPr>
          <w:p>
            <w:pPr>
              <w:pStyle w:val="17"/>
              <w:rPr>
                <w:rFonts w:hint="default" w:eastAsia="方正书宋_GBK"/>
                <w:lang w:val="en-US" w:eastAsia="zh-CN"/>
              </w:rPr>
            </w:pPr>
            <w:r>
              <w:rPr>
                <w:rFonts w:hint="eastAsia"/>
                <w:lang w:val="en-US" w:eastAsia="zh-CN"/>
              </w:rPr>
              <w:t>6.50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7</w:t>
            </w:r>
          </w:p>
        </w:tc>
        <w:tc>
          <w:tcPr>
            <w:tcW w:w="3798" w:type="dxa"/>
            <w:vAlign w:val="center"/>
          </w:tcPr>
          <w:p>
            <w:pPr>
              <w:pStyle w:val="18"/>
            </w:pPr>
            <w:r>
              <w:t xml:space="preserve">    </w:t>
            </w:r>
            <w:r>
              <w:rPr>
                <w:rFonts w:hint="eastAsia"/>
              </w:rPr>
              <w:t>其中：公务用车购置费</w:t>
            </w:r>
          </w:p>
        </w:tc>
        <w:tc>
          <w:tcPr>
            <w:tcW w:w="2382" w:type="dxa"/>
            <w:vAlign w:val="center"/>
          </w:tcPr>
          <w:p>
            <w:pPr>
              <w:pStyle w:val="17"/>
              <w:rPr>
                <w:lang w:eastAsia="zh-CN"/>
              </w:rPr>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8</w:t>
            </w:r>
          </w:p>
        </w:tc>
        <w:tc>
          <w:tcPr>
            <w:tcW w:w="3798" w:type="dxa"/>
            <w:vAlign w:val="center"/>
          </w:tcPr>
          <w:p>
            <w:pPr>
              <w:pStyle w:val="18"/>
            </w:pPr>
            <w:r>
              <w:t xml:space="preserve">          </w:t>
            </w:r>
            <w:r>
              <w:rPr>
                <w:rFonts w:hint="eastAsia"/>
              </w:rPr>
              <w:t>公务用车运行维护费</w:t>
            </w:r>
          </w:p>
        </w:tc>
        <w:tc>
          <w:tcPr>
            <w:tcW w:w="2382" w:type="dxa"/>
            <w:vAlign w:val="center"/>
          </w:tcPr>
          <w:p>
            <w:pPr>
              <w:pStyle w:val="17"/>
              <w:rPr>
                <w:lang w:eastAsia="zh-CN"/>
              </w:rPr>
            </w:pPr>
            <w:r>
              <w:rPr>
                <w:rFonts w:hint="eastAsia"/>
                <w:lang w:eastAsia="zh-CN"/>
              </w:rPr>
              <w:t>6.50</w:t>
            </w:r>
          </w:p>
        </w:tc>
        <w:tc>
          <w:tcPr>
            <w:tcW w:w="2381" w:type="dxa"/>
            <w:vAlign w:val="center"/>
          </w:tcPr>
          <w:p>
            <w:pPr>
              <w:pStyle w:val="17"/>
              <w:rPr>
                <w:lang w:eastAsia="zh-CN"/>
              </w:rPr>
            </w:pPr>
            <w:r>
              <w:rPr>
                <w:rFonts w:hint="eastAsia"/>
                <w:lang w:eastAsia="zh-CN"/>
              </w:rPr>
              <w:t>6.50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9</w:t>
            </w:r>
          </w:p>
        </w:tc>
        <w:tc>
          <w:tcPr>
            <w:tcW w:w="3798" w:type="dxa"/>
            <w:vAlign w:val="center"/>
          </w:tcPr>
          <w:p>
            <w:pPr>
              <w:pStyle w:val="18"/>
            </w:pPr>
            <w:r>
              <w:rPr>
                <w:rFonts w:hint="eastAsia"/>
              </w:rPr>
              <w:t>三、公务接待费</w:t>
            </w:r>
          </w:p>
        </w:tc>
        <w:tc>
          <w:tcPr>
            <w:tcW w:w="2382" w:type="dxa"/>
            <w:vAlign w:val="center"/>
          </w:tcPr>
          <w:p>
            <w:pPr>
              <w:pStyle w:val="17"/>
              <w:rPr>
                <w:lang w:eastAsia="zh-CN"/>
              </w:rPr>
            </w:pPr>
            <w:r>
              <w:rPr>
                <w:rFonts w:hint="eastAsia"/>
                <w:lang w:eastAsia="zh-CN"/>
              </w:rPr>
              <w:t>5.50</w:t>
            </w:r>
          </w:p>
        </w:tc>
        <w:tc>
          <w:tcPr>
            <w:tcW w:w="2381" w:type="dxa"/>
            <w:vAlign w:val="center"/>
          </w:tcPr>
          <w:p>
            <w:pPr>
              <w:pStyle w:val="17"/>
              <w:rPr>
                <w:lang w:eastAsia="zh-CN"/>
              </w:rPr>
            </w:pPr>
            <w:r>
              <w:rPr>
                <w:rFonts w:hint="eastAsia"/>
                <w:lang w:eastAsia="zh-CN"/>
              </w:rPr>
              <w:t>5.50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pPr>
              <w:pStyle w:val="19"/>
            </w:pPr>
            <w:r>
              <w:t>10</w:t>
            </w:r>
          </w:p>
        </w:tc>
        <w:tc>
          <w:tcPr>
            <w:tcW w:w="3798" w:type="dxa"/>
            <w:vAlign w:val="center"/>
          </w:tcPr>
          <w:p>
            <w:pPr>
              <w:pStyle w:val="18"/>
            </w:pPr>
            <w:r>
              <w:rPr>
                <w:rFonts w:hint="eastAsia"/>
              </w:rPr>
              <w:t>四、会议费</w:t>
            </w:r>
          </w:p>
        </w:tc>
        <w:tc>
          <w:tcPr>
            <w:tcW w:w="2382" w:type="dxa"/>
            <w:vAlign w:val="center"/>
          </w:tcPr>
          <w:p>
            <w:pPr>
              <w:pStyle w:val="17"/>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pStyle w:val="19"/>
            </w:pPr>
            <w:r>
              <w:t>11</w:t>
            </w:r>
          </w:p>
        </w:tc>
        <w:tc>
          <w:tcPr>
            <w:tcW w:w="3798" w:type="dxa"/>
            <w:vAlign w:val="center"/>
          </w:tcPr>
          <w:p>
            <w:pPr>
              <w:pStyle w:val="18"/>
            </w:pPr>
            <w:r>
              <w:rPr>
                <w:rFonts w:hint="eastAsia"/>
              </w:rPr>
              <w:t>五、培训费</w:t>
            </w:r>
          </w:p>
        </w:tc>
        <w:tc>
          <w:tcPr>
            <w:tcW w:w="2382" w:type="dxa"/>
            <w:vAlign w:val="center"/>
          </w:tcPr>
          <w:p>
            <w:pPr>
              <w:pStyle w:val="17"/>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bl>
    <w:p>
      <w:pPr>
        <w:sectPr>
          <w:type w:val="continuous"/>
          <w:pgSz w:w="16840" w:h="11900" w:orient="landscape"/>
          <w:pgMar w:top="1361" w:right="1021" w:bottom="1361" w:left="1021" w:header="720" w:footer="720" w:gutter="0"/>
          <w:pgNumType w:fmt="decimal"/>
          <w:cols w:space="720" w:num="1"/>
        </w:sectPr>
      </w:pPr>
    </w:p>
    <w:p>
      <w:pPr>
        <w:jc w:val="center"/>
        <w:outlineLvl w:val="4"/>
        <w:rPr>
          <w:rFonts w:ascii="方正小标宋_GBK" w:hAnsi="方正小标宋_GBK" w:eastAsia="方正小标宋_GBK" w:cs="方正小标宋_GBK"/>
          <w:color w:val="000000"/>
          <w:sz w:val="44"/>
          <w:lang w:eastAsia="zh-CN"/>
        </w:rPr>
      </w:pPr>
    </w:p>
    <w:p>
      <w:pPr>
        <w:jc w:val="center"/>
        <w:outlineLvl w:val="4"/>
      </w:pPr>
      <w:r>
        <w:rPr>
          <w:rFonts w:hint="eastAsia" w:ascii="方正小标宋_GBK" w:hAnsi="方正小标宋_GBK" w:eastAsia="方正小标宋_GBK" w:cs="方正小标宋_GBK"/>
          <w:color w:val="000000"/>
          <w:sz w:val="44"/>
          <w:lang w:eastAsia="zh-CN"/>
        </w:rPr>
        <w:t>涞水县永阳镇人民政府</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涞水县永阳镇人民政府</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年单位预算公开如下：</w:t>
      </w:r>
    </w:p>
    <w:p>
      <w:pPr>
        <w:spacing w:before="10" w:after="10"/>
        <w:ind w:firstLine="640"/>
        <w:outlineLvl w:val="5"/>
      </w:pPr>
      <w:r>
        <w:rPr>
          <w:rFonts w:hint="eastAsia" w:ascii="黑体" w:hAnsi="黑体" w:eastAsia="黑体" w:cs="黑体"/>
          <w:color w:val="000000"/>
          <w:sz w:val="32"/>
        </w:rPr>
        <w:t>一、单位职责及机构设置情况</w:t>
      </w:r>
    </w:p>
    <w:p>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pPr>
        <w:pStyle w:val="23"/>
      </w:pPr>
      <w:r>
        <w:rPr>
          <w:rFonts w:hint="eastAsia"/>
          <w:lang w:eastAsia="zh-CN"/>
        </w:rPr>
        <w:t>（</w:t>
      </w:r>
      <w:r>
        <w:t>一</w:t>
      </w:r>
      <w:r>
        <w:rPr>
          <w:rFonts w:hint="eastAsia"/>
          <w:lang w:eastAsia="zh-CN"/>
        </w:rPr>
        <w:t>）</w:t>
      </w:r>
      <w:r>
        <w:rPr>
          <w:rFonts w:hint="eastAsia"/>
          <w:lang w:val="uk-UA"/>
        </w:rPr>
        <w:t>党的基层组织建设</w:t>
      </w:r>
    </w:p>
    <w:p>
      <w:pPr>
        <w:pStyle w:val="23"/>
      </w:pPr>
      <w:r>
        <w:rPr>
          <w:rFonts w:hint="eastAsia"/>
          <w:lang w:val="uk-UA"/>
        </w:rPr>
        <w:t>党的基层组织建设、党的纪律检查工作；机关日常党务、政务协调管理；人大、群团、武装等相关工作。</w:t>
      </w:r>
    </w:p>
    <w:p>
      <w:pPr>
        <w:pStyle w:val="23"/>
      </w:pPr>
      <w:r>
        <w:rPr>
          <w:rFonts w:hint="eastAsia"/>
          <w:lang w:val="uk-UA"/>
        </w:rPr>
        <w:t>提升基层党组织的凝聚力、战斗力，巩固党的执政基础。扩大党的工作的覆盖面。建设服务型党组织，密切党群、干群关系。落实村级补助专项资金，确保农村党的基层组织正常运转。</w:t>
      </w:r>
    </w:p>
    <w:p>
      <w:pPr>
        <w:pStyle w:val="23"/>
      </w:pPr>
      <w:r>
        <w:rPr>
          <w:rFonts w:hint="eastAsia"/>
          <w:lang w:eastAsia="zh-CN"/>
        </w:rPr>
        <w:t>（二）</w:t>
      </w:r>
      <w:r>
        <w:rPr>
          <w:rFonts w:hint="eastAsia"/>
          <w:lang w:val="uk-UA"/>
        </w:rPr>
        <w:t>农业技术推广</w:t>
      </w:r>
    </w:p>
    <w:p>
      <w:pPr>
        <w:pStyle w:val="23"/>
      </w:pPr>
      <w:r>
        <w:rPr>
          <w:rFonts w:hint="eastAsia"/>
          <w:lang w:val="uk-UA"/>
        </w:rPr>
        <w:t>农业新技术品种推广，农机、畜牧水产、水利、林业等服务工作。</w:t>
      </w:r>
    </w:p>
    <w:p>
      <w:pPr>
        <w:pStyle w:val="23"/>
      </w:pPr>
      <w:r>
        <w:rPr>
          <w:rFonts w:hint="eastAsia"/>
          <w:lang w:val="uk-UA"/>
        </w:rPr>
        <w:t>现代农业水平有新提高，农民人均纯收入有新增长。加强防火防汛工作，力争灾情发生率及损失率降至最低。</w:t>
      </w:r>
    </w:p>
    <w:p>
      <w:pPr>
        <w:pStyle w:val="23"/>
      </w:pPr>
      <w:r>
        <w:rPr>
          <w:rFonts w:hint="eastAsia"/>
          <w:lang w:eastAsia="zh-CN"/>
        </w:rPr>
        <w:t>（三）</w:t>
      </w:r>
      <w:r>
        <w:rPr>
          <w:rFonts w:hint="eastAsia"/>
          <w:lang w:val="uk-UA"/>
        </w:rPr>
        <w:t>经济发展及安全生产</w:t>
      </w:r>
    </w:p>
    <w:p>
      <w:pPr>
        <w:pStyle w:val="23"/>
      </w:pPr>
      <w:r>
        <w:rPr>
          <w:rFonts w:hint="eastAsia"/>
          <w:lang w:val="uk-UA"/>
        </w:rPr>
        <w:t>研究本乡镇经济发展战略，组织编制中长期发展规划和年度计划。负责本辖区安全生产监督指导和环境保护工作。</w:t>
      </w:r>
    </w:p>
    <w:p>
      <w:pPr>
        <w:pStyle w:val="23"/>
      </w:pPr>
      <w:r>
        <w:rPr>
          <w:rFonts w:hint="eastAsia"/>
          <w:lang w:val="uk-UA"/>
        </w:rPr>
        <w:t>制订、推动战略实施，培育主导产业和骨干企业，增强财政支撑力。加强本辖区安全生产和环境保护工作，推动镇域经济持续健康发展。</w:t>
      </w:r>
    </w:p>
    <w:p>
      <w:pPr>
        <w:pStyle w:val="23"/>
      </w:pPr>
      <w:r>
        <w:rPr>
          <w:rFonts w:hint="eastAsia"/>
          <w:lang w:eastAsia="zh-CN"/>
        </w:rPr>
        <w:t>（四）</w:t>
      </w:r>
      <w:r>
        <w:rPr>
          <w:rFonts w:hint="eastAsia"/>
          <w:lang w:val="uk-UA"/>
        </w:rPr>
        <w:t>综合治理及信访稳定</w:t>
      </w:r>
    </w:p>
    <w:p>
      <w:pPr>
        <w:pStyle w:val="23"/>
      </w:pPr>
      <w:r>
        <w:rPr>
          <w:rFonts w:hint="eastAsia"/>
          <w:lang w:val="uk-UA"/>
        </w:rPr>
        <w:t>加强综合治理，妥善处理突发性、群体性事件，调节和处理好各种利益矛盾和纠纷；落实各项管理措施，维护农村社会稳定；负责本乡镇的普法宣传教育及法律服务；负责信访稳定工作。</w:t>
      </w:r>
    </w:p>
    <w:p>
      <w:pPr>
        <w:pStyle w:val="23"/>
      </w:pPr>
      <w:r>
        <w:rPr>
          <w:rFonts w:hint="eastAsia"/>
          <w:lang w:val="uk-UA"/>
        </w:rPr>
        <w:t>落实各项管理措施，促进社会和谐稳定。</w:t>
      </w:r>
    </w:p>
    <w:p>
      <w:pPr>
        <w:pStyle w:val="23"/>
      </w:pPr>
      <w:r>
        <w:rPr>
          <w:rFonts w:hint="eastAsia"/>
          <w:lang w:eastAsia="zh-CN"/>
        </w:rPr>
        <w:t>（五）</w:t>
      </w:r>
      <w:r>
        <w:rPr>
          <w:rFonts w:hint="eastAsia"/>
          <w:lang w:val="uk-UA"/>
        </w:rPr>
        <w:t>扶贫开发</w:t>
      </w:r>
    </w:p>
    <w:p>
      <w:pPr>
        <w:pStyle w:val="23"/>
      </w:pPr>
      <w:r>
        <w:rPr>
          <w:rFonts w:hint="eastAsia"/>
          <w:lang w:val="uk-U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pPr>
        <w:pStyle w:val="23"/>
        <w:rPr>
          <w:rFonts w:hint="eastAsia"/>
          <w:lang w:val="uk-UA" w:eastAsia="zh-CN"/>
        </w:rPr>
      </w:pPr>
      <w:r>
        <w:rPr>
          <w:rFonts w:hint="eastAsia"/>
          <w:lang w:val="uk-UA"/>
        </w:rPr>
        <w:t>贯彻落实国家扶贫开发法律、法规和方针政策，完成县委、县政府下达各项任务指标</w:t>
      </w:r>
      <w:r>
        <w:rPr>
          <w:rFonts w:hint="eastAsia"/>
          <w:lang w:val="uk-UA" w:eastAsia="zh-CN"/>
        </w:rPr>
        <w:t>。</w:t>
      </w:r>
    </w:p>
    <w:p>
      <w:pPr>
        <w:pStyle w:val="23"/>
      </w:pPr>
      <w:bookmarkStart w:id="2" w:name="_GoBack"/>
      <w:bookmarkEnd w:id="2"/>
      <w:r>
        <w:rPr>
          <w:rFonts w:hint="eastAsia"/>
          <w:lang w:eastAsia="zh-CN"/>
        </w:rPr>
        <w:t>（六）</w:t>
      </w:r>
      <w:r>
        <w:rPr>
          <w:rFonts w:hint="eastAsia"/>
          <w:lang w:val="uk-UA"/>
        </w:rPr>
        <w:t>农村面貌改造提升及农村环境综合建设</w:t>
      </w:r>
    </w:p>
    <w:p>
      <w:pPr>
        <w:pStyle w:val="23"/>
      </w:pPr>
      <w:r>
        <w:rPr>
          <w:rFonts w:hint="eastAsia"/>
          <w:lang w:val="uk-UA"/>
        </w:rPr>
        <w:t>实施农村面貌改造提升行动，集中开展农村环境综合整治</w:t>
      </w:r>
      <w:r>
        <w:rPr>
          <w:rFonts w:hint="eastAsia"/>
          <w:lang w:val="uk-UA" w:eastAsia="zh-CN"/>
        </w:rPr>
        <w:t>，</w:t>
      </w:r>
      <w:r>
        <w:rPr>
          <w:rFonts w:hint="eastAsia"/>
          <w:lang w:val="uk-UA"/>
        </w:rPr>
        <w:t>打造</w:t>
      </w:r>
      <w:r>
        <w:t>“</w:t>
      </w:r>
      <w:r>
        <w:rPr>
          <w:rFonts w:hint="eastAsia"/>
          <w:lang w:val="uk-UA"/>
        </w:rPr>
        <w:t>环境整洁、设施配套、田园风光、舒适宜居</w:t>
      </w:r>
      <w:r>
        <w:t>”</w:t>
      </w:r>
      <w:r>
        <w:rPr>
          <w:rFonts w:hint="eastAsia"/>
          <w:lang w:val="uk-UA"/>
        </w:rPr>
        <w:t>的</w:t>
      </w:r>
      <w:r>
        <w:t>“</w:t>
      </w:r>
      <w:r>
        <w:rPr>
          <w:rFonts w:hint="eastAsia"/>
          <w:lang w:val="uk-UA"/>
        </w:rPr>
        <w:t>美丽乡村</w:t>
      </w:r>
      <w:r>
        <w:t>”</w:t>
      </w:r>
      <w:r>
        <w:rPr>
          <w:rFonts w:hint="eastAsia"/>
          <w:lang w:val="uk-UA"/>
        </w:rPr>
        <w:t>，提高农民生活舒适度。</w:t>
      </w:r>
    </w:p>
    <w:p>
      <w:pPr>
        <w:pStyle w:val="23"/>
      </w:pPr>
      <w:r>
        <w:rPr>
          <w:rFonts w:hint="eastAsia"/>
          <w:lang w:eastAsia="zh-CN"/>
        </w:rPr>
        <w:t>（七）</w:t>
      </w:r>
      <w:r>
        <w:rPr>
          <w:rFonts w:hint="eastAsia"/>
          <w:lang w:val="uk-UA"/>
        </w:rPr>
        <w:t>美丽乡村建设</w:t>
      </w:r>
    </w:p>
    <w:p>
      <w:pPr>
        <w:pStyle w:val="23"/>
      </w:pPr>
      <w:r>
        <w:rPr>
          <w:rFonts w:hint="eastAsia"/>
          <w:lang w:val="uk-UA"/>
        </w:rPr>
        <w:t>认真落实</w:t>
      </w:r>
      <w:r>
        <w:t>“</w:t>
      </w:r>
      <w:r>
        <w:rPr>
          <w:rFonts w:hint="eastAsia"/>
          <w:lang w:val="uk-UA"/>
        </w:rPr>
        <w:t>四个全面</w:t>
      </w:r>
      <w:r>
        <w:t>”</w:t>
      </w:r>
      <w:r>
        <w:rPr>
          <w:rFonts w:hint="eastAsia"/>
          <w:lang w:val="uk-UA"/>
        </w:rPr>
        <w:t>战略布局，实施</w:t>
      </w:r>
      <w:r>
        <w:t>“</w:t>
      </w:r>
      <w:r>
        <w:rPr>
          <w:rFonts w:hint="eastAsia"/>
          <w:lang w:val="uk-UA"/>
        </w:rPr>
        <w:t>四美五改</w:t>
      </w:r>
      <w:r>
        <w:t>·</w:t>
      </w:r>
      <w:r>
        <w:rPr>
          <w:rFonts w:hint="eastAsia"/>
          <w:lang w:val="uk-UA"/>
        </w:rPr>
        <w:t>美丽乡村</w:t>
      </w:r>
      <w:r>
        <w:t>”</w:t>
      </w:r>
      <w:r>
        <w:rPr>
          <w:rFonts w:hint="eastAsia"/>
          <w:lang w:val="uk-UA"/>
        </w:rPr>
        <w:t>行动，切实改善农民生产生活条件。</w:t>
      </w:r>
    </w:p>
    <w:p>
      <w:pPr>
        <w:pStyle w:val="23"/>
      </w:pPr>
      <w:r>
        <w:rPr>
          <w:rFonts w:hint="eastAsia"/>
          <w:lang w:eastAsia="zh-CN"/>
        </w:rPr>
        <w:t>（八）</w:t>
      </w:r>
      <w:r>
        <w:rPr>
          <w:rFonts w:hint="eastAsia"/>
          <w:lang w:val="uk-UA"/>
        </w:rPr>
        <w:t>社会事务</w:t>
      </w:r>
    </w:p>
    <w:p>
      <w:pPr>
        <w:pStyle w:val="23"/>
      </w:pPr>
      <w:r>
        <w:rPr>
          <w:rFonts w:hint="eastAsia"/>
          <w:lang w:val="uk-UA"/>
        </w:rPr>
        <w:t>加强农村基层组织建设，完善村民自治制度，提高农民自我管理能力，组织指导村级换届选举，健全社会自律体系；负责本镇社会弱势群体救助工作；负责民族宗教政策贯彻落实。</w:t>
      </w:r>
    </w:p>
    <w:p>
      <w:pPr>
        <w:pStyle w:val="23"/>
      </w:pPr>
      <w:r>
        <w:rPr>
          <w:rFonts w:hint="eastAsia"/>
          <w:lang w:val="uk-UA"/>
        </w:rPr>
        <w:t>完善村民自治制度，提高村级基层组织服务能力和水平。为民解困，弱势群体关注、救助常态化；民族宗教政策全面落实。</w:t>
      </w:r>
    </w:p>
    <w:p>
      <w:pPr>
        <w:pStyle w:val="23"/>
      </w:pPr>
      <w:r>
        <w:rPr>
          <w:rFonts w:hint="eastAsia"/>
          <w:lang w:eastAsia="zh-CN"/>
        </w:rPr>
        <w:t>（九）</w:t>
      </w:r>
      <w:r>
        <w:rPr>
          <w:rFonts w:hint="eastAsia"/>
          <w:lang w:val="uk-UA"/>
        </w:rPr>
        <w:t>乡镇其他相关工作</w:t>
      </w:r>
    </w:p>
    <w:p>
      <w:pPr>
        <w:pStyle w:val="23"/>
      </w:pPr>
      <w:r>
        <w:rPr>
          <w:rFonts w:hint="eastAsia"/>
          <w:lang w:val="uk-UA"/>
        </w:rPr>
        <w:t>卫生计划生育：负责贯彻落实党和国家有关计划生育的方针、政策，执行卫生和计划生育的法律、法规和规章。</w:t>
      </w:r>
    </w:p>
    <w:p>
      <w:pPr>
        <w:pStyle w:val="23"/>
        <w:rPr>
          <w:rFonts w:hint="eastAsia"/>
          <w:lang w:val="uk-UA"/>
        </w:rPr>
      </w:pPr>
      <w:r>
        <w:rPr>
          <w:rFonts w:hint="eastAsia"/>
          <w:lang w:val="uk-UA"/>
        </w:rPr>
        <w:t>食品安全：配合县有关部门开展食品安全联合执法，开展辖区内食品安全隐患排查治理。</w:t>
      </w:r>
    </w:p>
    <w:p>
      <w:pPr>
        <w:pStyle w:val="23"/>
      </w:pPr>
      <w:r>
        <w:rPr>
          <w:rFonts w:hint="eastAsia"/>
          <w:lang w:val="uk-UA"/>
        </w:rPr>
        <w:t>劳动保障：劳动力资源开发、富余劳动力转移、本乡镇社会保险、劳动用工管理；劳动就业和社会保障服务工作。城镇规划建设：加强村镇规划建设管理</w:t>
      </w:r>
      <w:r>
        <w:t>,</w:t>
      </w:r>
      <w:r>
        <w:rPr>
          <w:rFonts w:hint="eastAsia"/>
          <w:lang w:val="uk-UA"/>
        </w:rPr>
        <w:t>监管村镇规划实施。</w:t>
      </w:r>
    </w:p>
    <w:p>
      <w:pPr>
        <w:pStyle w:val="23"/>
      </w:pPr>
      <w:r>
        <w:rPr>
          <w:rFonts w:hint="eastAsia"/>
          <w:lang w:val="uk-UA"/>
        </w:rPr>
        <w:t>综合文化及群众工作：组织开展群众文体娱乐活动，做好群众工作。</w:t>
      </w:r>
    </w:p>
    <w:p>
      <w:pPr>
        <w:pStyle w:val="23"/>
      </w:pPr>
      <w:r>
        <w:rPr>
          <w:rFonts w:hint="eastAsia"/>
          <w:lang w:val="uk-UA"/>
        </w:rPr>
        <w:t>农村经济经营服务：村级财务管理，为农村、农业发展提供法律咨询及政策服务。统计工作：相关数据统计上报。</w:t>
      </w:r>
    </w:p>
    <w:p>
      <w:pPr>
        <w:pStyle w:val="23"/>
        <w:rPr>
          <w:rFonts w:hint="eastAsia"/>
          <w:lang w:val="uk-UA"/>
        </w:rPr>
      </w:pPr>
      <w:r>
        <w:rPr>
          <w:rFonts w:hint="eastAsia"/>
          <w:lang w:val="uk-UA"/>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pPr>
        <w:pStyle w:val="23"/>
      </w:pPr>
    </w:p>
    <w:p>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rPr>
        <w:t>单位机构设置情况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6"/>
            </w:pPr>
            <w:r>
              <w:rPr>
                <w:rFonts w:hint="eastAsia"/>
              </w:rPr>
              <w:t>单位名称</w:t>
            </w:r>
          </w:p>
        </w:tc>
        <w:tc>
          <w:tcPr>
            <w:tcW w:w="1843" w:type="dxa"/>
            <w:vAlign w:val="center"/>
          </w:tcPr>
          <w:p>
            <w:pPr>
              <w:pStyle w:val="16"/>
            </w:pPr>
            <w:r>
              <w:rPr>
                <w:rFonts w:hint="eastAsia"/>
              </w:rPr>
              <w:t>单位性质</w:t>
            </w:r>
          </w:p>
        </w:tc>
        <w:tc>
          <w:tcPr>
            <w:tcW w:w="2126" w:type="dxa"/>
            <w:vAlign w:val="center"/>
          </w:tcPr>
          <w:p>
            <w:pPr>
              <w:pStyle w:val="16"/>
            </w:pPr>
            <w:r>
              <w:rPr>
                <w:rFonts w:hint="eastAsia"/>
              </w:rPr>
              <w:t>单位规格</w:t>
            </w:r>
          </w:p>
        </w:tc>
        <w:tc>
          <w:tcPr>
            <w:tcW w:w="3827" w:type="dxa"/>
            <w:vAlign w:val="center"/>
          </w:tcPr>
          <w:p>
            <w:pPr>
              <w:pStyle w:val="16"/>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8"/>
            </w:pPr>
            <w:r>
              <w:rPr>
                <w:rFonts w:hint="eastAsia"/>
                <w:lang w:eastAsia="zh-CN"/>
              </w:rPr>
              <w:t>涞水县永阳镇人民政府</w:t>
            </w:r>
            <w:r>
              <w:rPr>
                <w:rFonts w:hint="eastAsia"/>
              </w:rPr>
              <w:t>（本级）</w:t>
            </w:r>
          </w:p>
        </w:tc>
        <w:tc>
          <w:tcPr>
            <w:tcW w:w="1843" w:type="dxa"/>
            <w:vAlign w:val="center"/>
          </w:tcPr>
          <w:p>
            <w:pPr>
              <w:pStyle w:val="19"/>
            </w:pPr>
            <w:r>
              <w:rPr>
                <w:rFonts w:hint="eastAsia"/>
              </w:rPr>
              <w:t>行政</w:t>
            </w:r>
          </w:p>
        </w:tc>
        <w:tc>
          <w:tcPr>
            <w:tcW w:w="2126" w:type="dxa"/>
            <w:vAlign w:val="center"/>
          </w:tcPr>
          <w:p>
            <w:pPr>
              <w:pStyle w:val="19"/>
            </w:pPr>
            <w:r>
              <w:rPr>
                <w:rFonts w:hint="eastAsia"/>
              </w:rPr>
              <w:t>正科级</w:t>
            </w:r>
          </w:p>
        </w:tc>
        <w:tc>
          <w:tcPr>
            <w:tcW w:w="3827" w:type="dxa"/>
            <w:vAlign w:val="center"/>
          </w:tcPr>
          <w:p>
            <w:pPr>
              <w:pStyle w:val="19"/>
            </w:pPr>
            <w:r>
              <w:rPr>
                <w:rFonts w:hint="eastAsia"/>
              </w:rPr>
              <w:t>财政拨款</w:t>
            </w:r>
          </w:p>
        </w:tc>
      </w:tr>
    </w:tbl>
    <w:p>
      <w:pPr>
        <w:spacing w:before="10" w:after="10"/>
        <w:ind w:firstLine="640"/>
        <w:outlineLvl w:val="5"/>
        <w:rPr>
          <w:rFonts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二、单位预算安排的总体情况</w:t>
      </w:r>
    </w:p>
    <w:p>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pPr>
        <w:pStyle w:val="32"/>
      </w:pPr>
    </w:p>
    <w:p>
      <w:pPr>
        <w:spacing w:before="10" w:after="10"/>
        <w:ind w:firstLine="640"/>
        <w:outlineLvl w:val="5"/>
      </w:pPr>
      <w:r>
        <w:rPr>
          <w:rFonts w:hint="eastAsia" w:ascii="黑体" w:hAnsi="黑体" w:eastAsia="黑体" w:cs="黑体"/>
          <w:color w:val="000000"/>
          <w:sz w:val="32"/>
        </w:rPr>
        <w:t>三、机关运行经费安排情况</w:t>
      </w:r>
    </w:p>
    <w:p>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涞水县永阳镇人民政府</w:t>
      </w:r>
      <w:r>
        <w:rPr>
          <w:rFonts w:hint="eastAsia" w:eastAsia="方正仿宋_GBK"/>
          <w:color w:val="000000"/>
          <w:sz w:val="28"/>
        </w:rPr>
        <w:t>（本级）部门预算安排机关运行经费支出</w:t>
      </w:r>
      <w:r>
        <w:rPr>
          <w:rFonts w:hint="eastAsia" w:eastAsia="方正仿宋_GBK"/>
          <w:color w:val="000000"/>
          <w:sz w:val="28"/>
          <w:lang w:val="en-US" w:eastAsia="zh-CN"/>
        </w:rPr>
        <w:t>70.81</w:t>
      </w:r>
      <w:r>
        <w:rPr>
          <w:rFonts w:hint="eastAsia" w:eastAsia="方正仿宋_GBK"/>
          <w:color w:val="000000"/>
          <w:sz w:val="28"/>
        </w:rPr>
        <w:t>万元，</w:t>
      </w:r>
      <w:r>
        <w:rPr>
          <w:rFonts w:hint="eastAsia" w:hAnsi="方正仿宋_GBK" w:eastAsia="方正仿宋_GBK" w:cs="方正仿宋_GBK"/>
          <w:color w:val="000000"/>
          <w:sz w:val="28"/>
          <w:lang w:eastAsia="zh-CN"/>
        </w:rPr>
        <w:t>其中包含办公费</w:t>
      </w:r>
      <w:r>
        <w:rPr>
          <w:rFonts w:hint="eastAsia" w:eastAsia="方正仿宋_GBK"/>
          <w:color w:val="000000"/>
          <w:sz w:val="28"/>
          <w:lang w:eastAsia="zh-CN"/>
        </w:rPr>
        <w:t>7.55</w:t>
      </w:r>
      <w:r>
        <w:rPr>
          <w:rFonts w:hint="eastAsia" w:hAnsi="方正仿宋_GBK" w:eastAsia="方正仿宋_GBK" w:cs="方正仿宋_GBK"/>
          <w:color w:val="000000"/>
          <w:sz w:val="28"/>
          <w:lang w:eastAsia="zh-CN"/>
        </w:rPr>
        <w:t>万元，取暖费</w:t>
      </w:r>
      <w:r>
        <w:rPr>
          <w:rFonts w:eastAsia="方正仿宋_GBK"/>
          <w:color w:val="000000"/>
          <w:sz w:val="28"/>
          <w:lang w:eastAsia="zh-CN"/>
        </w:rPr>
        <w:t>5</w:t>
      </w:r>
      <w:r>
        <w:rPr>
          <w:rFonts w:hint="eastAsia" w:hAnsi="方正仿宋_GBK" w:eastAsia="方正仿宋_GBK" w:cs="方正仿宋_GBK"/>
          <w:color w:val="000000"/>
          <w:sz w:val="28"/>
          <w:lang w:eastAsia="zh-CN"/>
        </w:rPr>
        <w:t>万元，公务接待费</w:t>
      </w:r>
      <w:r>
        <w:rPr>
          <w:rFonts w:hint="eastAsia" w:eastAsia="方正仿宋_GBK"/>
          <w:color w:val="000000"/>
          <w:sz w:val="28"/>
          <w:lang w:eastAsia="zh-CN"/>
        </w:rPr>
        <w:t>5.5</w:t>
      </w:r>
      <w:r>
        <w:rPr>
          <w:rFonts w:hint="eastAsia" w:hAnsi="方正仿宋_GBK" w:eastAsia="方正仿宋_GBK" w:cs="方正仿宋_GBK"/>
          <w:color w:val="000000"/>
          <w:sz w:val="28"/>
          <w:lang w:eastAsia="zh-CN"/>
        </w:rPr>
        <w:t>万元，劳务费</w:t>
      </w:r>
      <w:r>
        <w:rPr>
          <w:rFonts w:hint="eastAsia" w:eastAsia="方正仿宋_GBK"/>
          <w:color w:val="000000"/>
          <w:sz w:val="28"/>
          <w:lang w:val="en-US" w:eastAsia="zh-CN"/>
        </w:rPr>
        <w:t>24.31</w:t>
      </w:r>
      <w:r>
        <w:rPr>
          <w:rFonts w:hint="eastAsia" w:hAnsi="方正仿宋_GBK" w:eastAsia="方正仿宋_GBK" w:cs="方正仿宋_GBK"/>
          <w:color w:val="000000"/>
          <w:sz w:val="28"/>
          <w:lang w:eastAsia="zh-CN"/>
        </w:rPr>
        <w:t>万元，工会经费</w:t>
      </w:r>
      <w:r>
        <w:rPr>
          <w:rFonts w:hint="eastAsia" w:hAnsi="方正仿宋_GBK" w:eastAsia="方正仿宋_GBK" w:cs="方正仿宋_GBK"/>
          <w:color w:val="000000"/>
          <w:sz w:val="28"/>
          <w:lang w:val="en-US" w:eastAsia="zh-CN"/>
        </w:rPr>
        <w:t>4.32</w:t>
      </w:r>
      <w:r>
        <w:rPr>
          <w:rFonts w:hint="eastAsia" w:hAnsi="方正仿宋_GBK" w:eastAsia="方正仿宋_GBK" w:cs="方正仿宋_GBK"/>
          <w:color w:val="000000"/>
          <w:sz w:val="28"/>
          <w:lang w:eastAsia="zh-CN"/>
        </w:rPr>
        <w:t>万元，福利费</w:t>
      </w:r>
      <w:r>
        <w:rPr>
          <w:rFonts w:hint="eastAsia" w:hAnsi="方正仿宋_GBK" w:eastAsia="方正仿宋_GBK" w:cs="方正仿宋_GBK"/>
          <w:color w:val="000000"/>
          <w:sz w:val="28"/>
          <w:lang w:val="en-US" w:eastAsia="zh-CN"/>
        </w:rPr>
        <w:t>5.61</w:t>
      </w:r>
      <w:r>
        <w:rPr>
          <w:rFonts w:hint="eastAsia" w:hAnsi="方正仿宋_GBK" w:eastAsia="方正仿宋_GBK" w:cs="方正仿宋_GBK"/>
          <w:color w:val="000000"/>
          <w:sz w:val="28"/>
          <w:lang w:eastAsia="zh-CN"/>
        </w:rPr>
        <w:t>万元，公务用车运行维护费6.5万元，公务交通补贴</w:t>
      </w:r>
      <w:r>
        <w:rPr>
          <w:rFonts w:hint="eastAsia" w:eastAsia="方正仿宋_GBK"/>
          <w:color w:val="000000"/>
          <w:sz w:val="28"/>
          <w:lang w:eastAsia="zh-CN"/>
        </w:rPr>
        <w:t>11.</w:t>
      </w:r>
      <w:r>
        <w:rPr>
          <w:rFonts w:hint="eastAsia" w:eastAsia="方正仿宋_GBK"/>
          <w:color w:val="000000"/>
          <w:sz w:val="28"/>
          <w:lang w:val="en-US" w:eastAsia="zh-CN"/>
        </w:rPr>
        <w:t>58</w:t>
      </w:r>
      <w:r>
        <w:rPr>
          <w:rFonts w:hint="eastAsia" w:hAnsi="方正仿宋_GBK" w:eastAsia="方正仿宋_GBK" w:cs="方正仿宋_GBK"/>
          <w:color w:val="000000"/>
          <w:sz w:val="28"/>
          <w:lang w:eastAsia="zh-CN"/>
        </w:rPr>
        <w:t>万元，离、退休人员公用经费0.4</w:t>
      </w:r>
      <w:r>
        <w:rPr>
          <w:rFonts w:hint="eastAsia" w:hAnsi="方正仿宋_GBK" w:eastAsia="方正仿宋_GBK" w:cs="方正仿宋_GBK"/>
          <w:color w:val="000000"/>
          <w:sz w:val="28"/>
          <w:lang w:val="en-US" w:eastAsia="zh-CN"/>
        </w:rPr>
        <w:t>4</w:t>
      </w:r>
      <w:r>
        <w:rPr>
          <w:rFonts w:hint="eastAsia" w:hAnsi="方正仿宋_GBK" w:eastAsia="方正仿宋_GBK" w:cs="方正仿宋_GBK"/>
          <w:color w:val="000000"/>
          <w:sz w:val="28"/>
          <w:lang w:eastAsia="zh-CN"/>
        </w:rPr>
        <w:t>万元。</w:t>
      </w:r>
    </w:p>
    <w:p>
      <w:pPr>
        <w:pStyle w:val="33"/>
      </w:pPr>
    </w:p>
    <w:p>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我单位202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年三公经费预算拨款12万元，其中公务车运行维护费6.5万元，公务接待费5.5万元，预计接待210批次，累计1900人次。无因公出国（境）费。</w:t>
      </w:r>
    </w:p>
    <w:p>
      <w:pPr>
        <w:keepNext w:val="0"/>
        <w:keepLines w:val="0"/>
        <w:widowControl/>
        <w:suppressLineNumbers w:val="0"/>
        <w:spacing w:before="0" w:beforeAutospacing="0" w:after="0" w:afterAutospacing="0" w:line="500" w:lineRule="exact"/>
        <w:ind w:left="0" w:right="0" w:firstLine="560"/>
        <w:jc w:val="left"/>
        <w:rPr>
          <w:rFonts w:hint="default"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 xml:space="preserve"> 我单位202</w:t>
      </w:r>
      <w:r>
        <w:rPr>
          <w:rFonts w:hint="eastAsia" w:hAnsi="方正仿宋_GBK" w:eastAsia="方正仿宋_GBK" w:cs="方正仿宋_GBK"/>
          <w:color w:val="000000"/>
          <w:kern w:val="0"/>
          <w:sz w:val="28"/>
          <w:szCs w:val="24"/>
          <w:lang w:val="en-US" w:eastAsia="zh-CN" w:bidi="ar"/>
        </w:rPr>
        <w:t>2</w:t>
      </w:r>
      <w:r>
        <w:rPr>
          <w:rFonts w:hint="eastAsia" w:ascii="Times New Roman" w:hAnsi="方正仿宋_GBK" w:eastAsia="方正仿宋_GBK" w:cs="方正仿宋_GBK"/>
          <w:color w:val="000000"/>
          <w:kern w:val="0"/>
          <w:sz w:val="28"/>
          <w:szCs w:val="24"/>
          <w:lang w:val="en-US" w:eastAsia="zh-CN" w:bidi="ar"/>
        </w:rPr>
        <w:t>年“三公经费”合计</w:t>
      </w:r>
      <w:r>
        <w:rPr>
          <w:rFonts w:hint="eastAsia" w:hAnsi="方正仿宋_GBK" w:eastAsia="方正仿宋_GBK" w:cs="方正仿宋_GBK"/>
          <w:color w:val="000000"/>
          <w:kern w:val="0"/>
          <w:sz w:val="28"/>
          <w:szCs w:val="24"/>
          <w:lang w:val="en-US" w:eastAsia="zh-CN" w:bidi="ar"/>
        </w:rPr>
        <w:t>12</w:t>
      </w:r>
      <w:r>
        <w:rPr>
          <w:rFonts w:hint="eastAsia" w:ascii="Times New Roman" w:hAnsi="方正仿宋_GBK" w:eastAsia="方正仿宋_GBK" w:cs="方正仿宋_GBK"/>
          <w:color w:val="000000"/>
          <w:kern w:val="0"/>
          <w:sz w:val="28"/>
          <w:szCs w:val="24"/>
          <w:lang w:val="en-US" w:eastAsia="zh-CN" w:bidi="ar"/>
        </w:rPr>
        <w:t>万元，其中公务用车运行维护费6.5万元，公务接待费5.5万元，无因公出国（境）费</w:t>
      </w:r>
      <w:r>
        <w:rPr>
          <w:rFonts w:hint="eastAsia" w:hAnsi="方正仿宋_GBK" w:eastAsia="方正仿宋_GBK" w:cs="方正仿宋_GBK"/>
          <w:color w:val="000000"/>
          <w:kern w:val="0"/>
          <w:sz w:val="28"/>
          <w:szCs w:val="24"/>
          <w:lang w:val="en-US" w:eastAsia="zh-CN" w:bidi="ar"/>
        </w:rPr>
        <w:t>。</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年“三公经费”总额与202</w:t>
      </w:r>
      <w:r>
        <w:rPr>
          <w:rFonts w:hint="eastAsia" w:hAnsi="方正仿宋_GBK" w:eastAsia="方正仿宋_GBK" w:cs="方正仿宋_GBK"/>
          <w:color w:val="000000"/>
          <w:kern w:val="0"/>
          <w:sz w:val="28"/>
          <w:szCs w:val="24"/>
          <w:lang w:val="en-US" w:eastAsia="zh-CN" w:bidi="ar"/>
        </w:rPr>
        <w:t>2</w:t>
      </w:r>
      <w:r>
        <w:rPr>
          <w:rFonts w:hint="eastAsia" w:ascii="Times New Roman" w:hAnsi="方正仿宋_GBK" w:eastAsia="方正仿宋_GBK" w:cs="方正仿宋_GBK"/>
          <w:color w:val="000000"/>
          <w:kern w:val="0"/>
          <w:sz w:val="28"/>
          <w:szCs w:val="24"/>
          <w:lang w:val="en-US" w:eastAsia="zh-CN" w:bidi="ar"/>
        </w:rPr>
        <w:t>年</w:t>
      </w:r>
      <w:r>
        <w:rPr>
          <w:rFonts w:hint="eastAsia" w:hAnsi="方正仿宋_GBK" w:eastAsia="方正仿宋_GBK" w:cs="方正仿宋_GBK"/>
          <w:color w:val="000000"/>
          <w:kern w:val="0"/>
          <w:sz w:val="28"/>
          <w:szCs w:val="24"/>
          <w:lang w:val="en-US" w:eastAsia="zh-CN" w:bidi="ar"/>
        </w:rPr>
        <w:t>总额保持一致，</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年我单位计划对公车加强管理、控制车辆使用，对公车日常养护、加油实行定点专人管理。我单位202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年计划对公务接待的次数和人数进行控制，严格控制公务接待的规模，深入贯彻落实《党政机关厉行节约反对浪费条例》，因此未发生变化。</w:t>
      </w:r>
    </w:p>
    <w:p>
      <w:pPr>
        <w:numPr>
          <w:ilvl w:val="0"/>
          <w:numId w:val="0"/>
        </w:numPr>
        <w:spacing w:before="10" w:after="10"/>
        <w:outlineLvl w:val="5"/>
        <w:rPr>
          <w:rFonts w:hint="eastAsia" w:ascii="黑体" w:hAnsi="黑体" w:eastAsia="黑体" w:cs="黑体"/>
          <w:color w:val="000000"/>
          <w:sz w:val="32"/>
        </w:rPr>
      </w:pPr>
    </w:p>
    <w:p>
      <w:pPr>
        <w:numPr>
          <w:ilvl w:val="0"/>
          <w:numId w:val="0"/>
        </w:numPr>
        <w:spacing w:before="10" w:after="10"/>
        <w:outlineLvl w:val="5"/>
        <w:rPr>
          <w:rFonts w:hint="eastAsia" w:ascii="黑体" w:hAnsi="黑体" w:eastAsia="黑体" w:cs="黑体"/>
          <w:color w:val="000000"/>
          <w:sz w:val="32"/>
        </w:rPr>
      </w:pPr>
    </w:p>
    <w:p>
      <w:pPr>
        <w:numPr>
          <w:ilvl w:val="0"/>
          <w:numId w:val="0"/>
        </w:numPr>
        <w:spacing w:before="10" w:after="10"/>
        <w:outlineLvl w:val="5"/>
        <w:rPr>
          <w:rFonts w:hint="eastAsia" w:ascii="黑体" w:hAnsi="黑体" w:eastAsia="黑体" w:cs="黑体"/>
          <w:color w:val="000000"/>
          <w:sz w:val="32"/>
        </w:rPr>
      </w:pPr>
    </w:p>
    <w:tbl>
      <w:tblPr>
        <w:tblStyle w:val="9"/>
        <w:tblW w:w="9900" w:type="dxa"/>
        <w:jc w:val="center"/>
        <w:tblLayout w:type="fixed"/>
        <w:tblCellMar>
          <w:top w:w="0" w:type="dxa"/>
          <w:left w:w="108" w:type="dxa"/>
          <w:bottom w:w="0" w:type="dxa"/>
          <w:right w:w="108" w:type="dxa"/>
        </w:tblCellMar>
      </w:tblPr>
      <w:tblGrid>
        <w:gridCol w:w="2146"/>
        <w:gridCol w:w="1725"/>
        <w:gridCol w:w="1724"/>
        <w:gridCol w:w="1183"/>
        <w:gridCol w:w="3122"/>
      </w:tblGrid>
      <w:tr>
        <w:tblPrEx>
          <w:tblCellMar>
            <w:top w:w="0" w:type="dxa"/>
            <w:left w:w="108" w:type="dxa"/>
            <w:bottom w:w="0" w:type="dxa"/>
            <w:right w:w="108" w:type="dxa"/>
          </w:tblCellMar>
        </w:tblPrEx>
        <w:trPr>
          <w:trHeight w:val="329" w:hRule="atLeast"/>
          <w:jc w:val="center"/>
        </w:trPr>
        <w:tc>
          <w:tcPr>
            <w:tcW w:w="2146" w:type="dxa"/>
            <w:tcBorders>
              <w:top w:val="nil"/>
              <w:left w:val="nil"/>
              <w:bottom w:val="nil"/>
              <w:right w:val="nil"/>
            </w:tcBorders>
            <w:vAlign w:val="center"/>
          </w:tcPr>
          <w:p>
            <w:pPr>
              <w:rPr>
                <w:rFonts w:ascii="宋体" w:hAnsi="宋体" w:cs="宋体"/>
              </w:rPr>
            </w:pPr>
          </w:p>
        </w:tc>
        <w:tc>
          <w:tcPr>
            <w:tcW w:w="1725" w:type="dxa"/>
            <w:tcBorders>
              <w:top w:val="nil"/>
              <w:left w:val="nil"/>
              <w:bottom w:val="nil"/>
              <w:right w:val="nil"/>
            </w:tcBorders>
            <w:vAlign w:val="center"/>
          </w:tcPr>
          <w:p>
            <w:pPr>
              <w:rPr>
                <w:rFonts w:ascii="宋体" w:hAnsi="宋体" w:cs="宋体"/>
              </w:rPr>
            </w:pPr>
          </w:p>
        </w:tc>
        <w:tc>
          <w:tcPr>
            <w:tcW w:w="1724" w:type="dxa"/>
            <w:tcBorders>
              <w:top w:val="nil"/>
              <w:left w:val="nil"/>
              <w:bottom w:val="nil"/>
              <w:right w:val="nil"/>
            </w:tcBorders>
            <w:vAlign w:val="center"/>
          </w:tcPr>
          <w:p>
            <w:pPr>
              <w:rPr>
                <w:rFonts w:ascii="宋体" w:hAnsi="宋体" w:cs="宋体"/>
              </w:rPr>
            </w:pPr>
          </w:p>
        </w:tc>
        <w:tc>
          <w:tcPr>
            <w:tcW w:w="1183" w:type="dxa"/>
            <w:tcBorders>
              <w:top w:val="nil"/>
              <w:left w:val="nil"/>
              <w:bottom w:val="nil"/>
              <w:right w:val="nil"/>
            </w:tcBorders>
            <w:vAlign w:val="center"/>
          </w:tcPr>
          <w:p>
            <w:pPr>
              <w:rPr>
                <w:rFonts w:ascii="宋体" w:hAnsi="宋体" w:cs="宋体"/>
              </w:rPr>
            </w:pPr>
          </w:p>
        </w:tc>
        <w:tc>
          <w:tcPr>
            <w:tcW w:w="3122" w:type="dxa"/>
            <w:tcBorders>
              <w:top w:val="nil"/>
              <w:left w:val="nil"/>
              <w:bottom w:val="nil"/>
              <w:right w:val="nil"/>
            </w:tcBorders>
            <w:vAlign w:val="center"/>
          </w:tcPr>
          <w:p>
            <w:pPr>
              <w:jc w:val="right"/>
              <w:rPr>
                <w:rFonts w:ascii="宋体" w:hAnsi="宋体" w:cs="宋体"/>
              </w:rPr>
            </w:pPr>
            <w:r>
              <w:rPr>
                <w:rFonts w:hint="eastAsia" w:ascii="宋体" w:hAnsi="宋体"/>
              </w:rPr>
              <w:t>单位：万元</w:t>
            </w:r>
          </w:p>
        </w:tc>
      </w:tr>
      <w:tr>
        <w:tblPrEx>
          <w:tblCellMar>
            <w:top w:w="0" w:type="dxa"/>
            <w:left w:w="108" w:type="dxa"/>
            <w:bottom w:w="0" w:type="dxa"/>
            <w:right w:w="108" w:type="dxa"/>
          </w:tblCellMar>
        </w:tblPrEx>
        <w:trPr>
          <w:trHeight w:val="340" w:hRule="atLeast"/>
          <w:jc w:val="center"/>
        </w:trPr>
        <w:tc>
          <w:tcPr>
            <w:tcW w:w="21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172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172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183"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3122"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tblPrEx>
          <w:tblCellMar>
            <w:top w:w="0" w:type="dxa"/>
            <w:left w:w="108" w:type="dxa"/>
            <w:bottom w:w="0" w:type="dxa"/>
            <w:right w:w="108" w:type="dxa"/>
          </w:tblCellMar>
        </w:tblPrEx>
        <w:trPr>
          <w:trHeight w:val="340" w:hRule="atLeast"/>
          <w:jc w:val="center"/>
        </w:trPr>
        <w:tc>
          <w:tcPr>
            <w:tcW w:w="214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1725"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724"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183"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122"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340" w:hRule="atLeast"/>
          <w:jc w:val="center"/>
        </w:trPr>
        <w:tc>
          <w:tcPr>
            <w:tcW w:w="214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17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724"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0</w:t>
            </w:r>
          </w:p>
        </w:tc>
        <w:tc>
          <w:tcPr>
            <w:tcW w:w="118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3122"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614" w:hRule="atLeast"/>
          <w:jc w:val="center"/>
        </w:trPr>
        <w:tc>
          <w:tcPr>
            <w:tcW w:w="214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17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17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1183"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122"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916" w:hRule="atLeast"/>
          <w:jc w:val="center"/>
        </w:trPr>
        <w:tc>
          <w:tcPr>
            <w:tcW w:w="214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17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eastAsia="zh-CN"/>
              </w:rPr>
              <w:t>5.5</w:t>
            </w:r>
            <w:r>
              <w:rPr>
                <w:rFonts w:hint="eastAsia" w:ascii="仿宋_GB2312" w:hAnsi="宋体" w:eastAsia="仿宋_GB2312"/>
                <w:lang w:val="en-US" w:eastAsia="zh-CN"/>
              </w:rPr>
              <w:t>0</w:t>
            </w:r>
          </w:p>
        </w:tc>
        <w:tc>
          <w:tcPr>
            <w:tcW w:w="17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eastAsia="zh-CN"/>
              </w:rPr>
              <w:t>5.5</w:t>
            </w:r>
            <w:r>
              <w:rPr>
                <w:rFonts w:hint="eastAsia" w:ascii="仿宋_GB2312" w:hAnsi="宋体" w:eastAsia="仿宋_GB2312"/>
                <w:lang w:val="en-US" w:eastAsia="zh-CN"/>
              </w:rPr>
              <w:t>0</w:t>
            </w:r>
          </w:p>
        </w:tc>
        <w:tc>
          <w:tcPr>
            <w:tcW w:w="1183"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eastAsia="zh-CN"/>
              </w:rPr>
              <w:t>0</w:t>
            </w:r>
          </w:p>
        </w:tc>
        <w:tc>
          <w:tcPr>
            <w:tcW w:w="3122"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1229" w:hRule="atLeast"/>
          <w:jc w:val="center"/>
        </w:trPr>
        <w:tc>
          <w:tcPr>
            <w:tcW w:w="214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17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17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12</w:t>
            </w:r>
          </w:p>
        </w:tc>
        <w:tc>
          <w:tcPr>
            <w:tcW w:w="118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3122"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bl>
    <w:p>
      <w:pPr>
        <w:pStyle w:val="34"/>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五、预算绩效信息</w:t>
      </w: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sectPr>
          <w:type w:val="continuous"/>
          <w:pgSz w:w="16840" w:h="11900" w:orient="landscape"/>
          <w:pgMar w:top="1361" w:right="1021" w:bottom="1361" w:left="1021" w:header="720" w:footer="720" w:gutter="0"/>
          <w:pgNumType w:fmt="decimal"/>
          <w:cols w:space="720" w:num="1"/>
        </w:sectPr>
      </w:pPr>
    </w:p>
    <w:p>
      <w:pPr>
        <w:ind w:firstLine="560" w:firstLineChars="2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财政事务工作经费（年初）绩效目标表</w:t>
      </w:r>
    </w:p>
    <w:tbl>
      <w:tblPr>
        <w:tblStyle w:val="9"/>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"配合乡镇完成各项上级财政拨款，落实到位，保障惠民政策落实到位，做好财政国库支付电子化工作。</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9"/>
        <w:tblW w:w="141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9"/>
        <w:gridCol w:w="2837"/>
        <w:gridCol w:w="2837"/>
        <w:gridCol w:w="2550"/>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一级指标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绩效指标描述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产出指标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工作开展完成率（%）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工作实际开展占计划工作的比率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资金有效使用率(%)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资金实际使用金额占拨付金额的比率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年度项目按规定时间点完成</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kern w:val="0"/>
                <w:sz w:val="21"/>
                <w:szCs w:val="24"/>
                <w:lang w:val="en-US" w:eastAsia="zh-CN" w:bidi="ar"/>
              </w:rPr>
              <w:t>≤</w:t>
            </w:r>
            <w:r>
              <w:rPr>
                <w:rFonts w:hint="eastAsia" w:ascii="方正书宋_GBK" w:hAnsi="方正书宋_GBK" w:eastAsia="方正书宋_GBK" w:cs="方正书宋_GBK"/>
                <w:sz w:val="21"/>
                <w:lang w:eastAsia="zh-CN"/>
              </w:rPr>
              <w:t>1万元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效益指标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经济效益指标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kern w:val="0"/>
                <w:sz w:val="21"/>
                <w:szCs w:val="24"/>
                <w:lang w:val="en-US" w:eastAsia="zh-CN" w:bidi="ar"/>
              </w:rPr>
              <w:t>对全县财政事业发展的促进推动作用</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kern w:val="0"/>
                <w:sz w:val="21"/>
                <w:szCs w:val="24"/>
                <w:lang w:val="en-US" w:eastAsia="zh-CN" w:bidi="ar"/>
              </w:rPr>
              <w:t>通过开展乡镇财政工作，带动全县财政事业发展的效果</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kern w:val="0"/>
                <w:sz w:val="21"/>
                <w:szCs w:val="24"/>
                <w:lang w:val="en-US" w:eastAsia="zh-CN" w:bidi="ar"/>
              </w:rPr>
              <w:t>乡镇经济发展能力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kern w:val="0"/>
                <w:sz w:val="21"/>
                <w:szCs w:val="24"/>
                <w:lang w:val="en-US" w:eastAsia="zh-CN" w:bidi="ar"/>
              </w:rPr>
              <w:t>通过开展乡镇财政工作促进乡镇经济逐步提高</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保障服务水平</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保障服务水平</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6"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满意度指标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bl>
    <w:p>
      <w:pPr>
        <w:sectPr>
          <w:type w:val="continuous"/>
          <w:pgSz w:w="16840" w:h="11900" w:orient="landscape"/>
          <w:pgMar w:top="1361" w:right="1021" w:bottom="1134" w:left="1021" w:header="720" w:footer="720" w:gutter="0"/>
          <w:pgNumType w:fmt="decimal"/>
          <w:cols w:space="720" w:num="1"/>
        </w:sectPr>
      </w:pPr>
    </w:p>
    <w:p>
      <w:pPr>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br w:type="page"/>
      </w:r>
    </w:p>
    <w:p>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纪检经费（年初）绩效目标表</w:t>
      </w:r>
    </w:p>
    <w:tbl>
      <w:tblPr>
        <w:tblStyle w:val="9"/>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认真落实纪检部门各项任务，加强监督检查，促进党风廉政。发挥乡纪检监督职能，做到有案必查，有腐必惩，深化廉政教育学习。</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9"/>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1"/>
        <w:gridCol w:w="2276"/>
        <w:gridCol w:w="2844"/>
        <w:gridCol w:w="2845"/>
        <w:gridCol w:w="2558"/>
        <w:gridCol w:w="2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6"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组织监督检查会议次数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组织召开监督检查会议的次数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案件办结率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办结案件数量占立案案件总数的比率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≤1万元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问题整改率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已整改问题数量占发现问题总数的比率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社会稳定水平</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通过实施纪检监督政策促进社会稳定水平逐步提高</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群众满意度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群众对当年纪检监督工作的整体满意度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6"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组织监督检查会议次数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组织召开监督检查会议的次数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bl>
    <w:p>
      <w:pPr>
        <w:sectPr>
          <w:type w:val="continuous"/>
          <w:pgSz w:w="16840" w:h="11900" w:orient="landscape"/>
          <w:pgMar w:top="1361" w:right="1021" w:bottom="1134" w:left="1021" w:header="720" w:footer="720" w:gutter="0"/>
          <w:pgNumType w:fmt="decimal"/>
          <w:cols w:space="720" w:num="1"/>
        </w:sect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rPr>
          <w:rFonts w:ascii="方正仿宋_GBK" w:hAnsi="方正仿宋_GBK" w:eastAsia="方正仿宋_GBK" w:cs="方正仿宋_GBK"/>
          <w:b/>
          <w:color w:val="000000"/>
          <w:sz w:val="28"/>
        </w:rPr>
      </w:pPr>
    </w:p>
    <w:p>
      <w:pPr>
        <w:numPr>
          <w:ilvl w:val="0"/>
          <w:numId w:val="2"/>
        </w:num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农村文化建设资金（年初）绩效目标表</w:t>
      </w:r>
    </w:p>
    <w:tbl>
      <w:tblPr>
        <w:tblStyle w:val="9"/>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9"/>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70"/>
        <w:gridCol w:w="2837"/>
        <w:gridCol w:w="2837"/>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公共文化服务活动数量</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各类公共文化服务活动组织开展的数量</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≥10次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文化设施达标率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省内实际文化设施达标数量占文化设施总数的比率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kern w:val="0"/>
                <w:sz w:val="21"/>
                <w:szCs w:val="24"/>
                <w:lang w:val="en-US" w:eastAsia="zh-CN" w:bidi="ar"/>
              </w:rPr>
              <w:t>≤1.75万元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退役安置满意度（%）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对退役安置满意和较满意的人数占调查总人数的比率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社会稳定水平</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通过维稳工作开展，促进社会稳定水平逐步提高</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接受乡镇政府服务的人群对乡镇政府所提供服务的满意程度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公共文化服务活动数量</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各类公共文化服务活动组织开展的数量</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≥10次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bl>
    <w:p>
      <w:pPr>
        <w:sectPr>
          <w:type w:val="continuous"/>
          <w:pgSz w:w="16840" w:h="11900" w:orient="landscape"/>
          <w:pgMar w:top="1361" w:right="1021" w:bottom="1134" w:left="1021" w:header="720" w:footer="720" w:gutter="0"/>
          <w:pgNumType w:fmt="decimal"/>
          <w:cols w:space="720" w:num="1"/>
        </w:sect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人大主席团活动经费（年初）绩效目标表</w:t>
      </w:r>
    </w:p>
    <w:tbl>
      <w:tblPr>
        <w:tblStyle w:val="9"/>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为了更好落实中央2015（18）号文件精神和省委市委落实中央18号文件的意见，切实加强基层人大建设，保障乡人大主席团的正常运转。</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9"/>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70"/>
        <w:gridCol w:w="2837"/>
        <w:gridCol w:w="2837"/>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人大主席团活动开展情况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已开展活动占应开展活动的比率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人大主席团活动开展效果</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效果良好的活动占已开展活动的比率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kern w:val="0"/>
                <w:sz w:val="21"/>
                <w:szCs w:val="24"/>
                <w:lang w:val="en-US" w:eastAsia="zh-CN" w:bidi="ar"/>
              </w:rPr>
              <w:t>≤2万元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参与政府决策活动次数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参与决策咨询活动次数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在本地区产生的重要影响，得到广大受众的充分认可。</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群众对当年人大主席团工作的整体满意度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人大主席团活动开展情况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已开展活动占应开展活动的比率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人大主席团活动开展效果</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效果良好的活动占已开展活动的比率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bl>
    <w:p>
      <w:pPr>
        <w:sectPr>
          <w:type w:val="continuous"/>
          <w:pgSz w:w="16840" w:h="11900" w:orient="landscape"/>
          <w:pgMar w:top="1361" w:right="1021" w:bottom="1134" w:left="1021" w:header="720" w:footer="720" w:gutter="0"/>
          <w:pgNumType w:fmt="decimal"/>
          <w:cols w:space="720" w:num="1"/>
        </w:sect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食安经费（年初）绩效目标表</w:t>
      </w:r>
    </w:p>
    <w:tbl>
      <w:tblPr>
        <w:tblStyle w:val="9"/>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组织开展食品安全调查及专项统计调查工作，了解基层情况和动态提供统计信息和咨询建议，确保食品安全调查和专项统计调查工作顺利完成。</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9"/>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1"/>
        <w:gridCol w:w="2276"/>
        <w:gridCol w:w="2844"/>
        <w:gridCol w:w="2845"/>
        <w:gridCol w:w="2558"/>
        <w:gridCol w:w="2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组织宣传活动次数（次）</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组织宣传活动次数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抽查覆盖率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抽查对象的数量占全部对象的比率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≤0.6</w:t>
            </w:r>
            <w:r>
              <w:rPr>
                <w:rFonts w:hint="eastAsia" w:ascii="方正书宋_GBK" w:hAnsi="方正书宋_GBK" w:eastAsia="方正书宋_GBK" w:cs="方正书宋_GBK"/>
                <w:sz w:val="21"/>
                <w:lang w:val="en-US" w:eastAsia="zh-CN"/>
              </w:rPr>
              <w:t>9</w:t>
            </w:r>
            <w:r>
              <w:rPr>
                <w:rFonts w:hint="eastAsia" w:ascii="方正书宋_GBK" w:hAnsi="方正书宋_GBK" w:eastAsia="方正书宋_GBK" w:cs="方正书宋_GBK"/>
                <w:sz w:val="21"/>
                <w:lang w:eastAsia="zh-CN"/>
              </w:rPr>
              <w:t>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对食品安全的监管作用</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通过对食品安全的监管，确保本地区食品安全</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社会影响力</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在本地区产生的重要影响，得到广大受众的充分认可。</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95"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接受食品安全监管的人群对食品安全监管工作的满意程度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bl>
    <w:p>
      <w:pPr>
        <w:sectPr>
          <w:type w:val="continuous"/>
          <w:pgSz w:w="16840" w:h="11900" w:orient="landscape"/>
          <w:pgMar w:top="1361" w:right="1021" w:bottom="1134" w:left="1021" w:header="720" w:footer="720" w:gutter="0"/>
          <w:pgNumType w:fmt="decimal"/>
          <w:cols w:space="720" w:num="1"/>
        </w:sectPr>
      </w:pPr>
    </w:p>
    <w:p>
      <w:pPr>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br w:type="page"/>
      </w:r>
    </w:p>
    <w:p>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6、团委经费（年初）绩效目标表</w:t>
      </w:r>
    </w:p>
    <w:tbl>
      <w:tblPr>
        <w:tblStyle w:val="9"/>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1.科学地继承和发扬共青团的优良传统，创新团的工作，找准新时代的中心定位，把各项改革措施不折不扣落实到位。</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9"/>
        <w:tblW w:w="141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9"/>
        <w:gridCol w:w="2837"/>
        <w:gridCol w:w="2837"/>
        <w:gridCol w:w="2550"/>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一级指标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绩效指标描述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产出指标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开办宣传专栏数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在新闻媒体开办宣传专栏的数量</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≥5个</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制作宣传品</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制作宣传品的数量</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≥1000份</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年度项目按规定时间点完成</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≤2万元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效益指标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参与政府决策活动次数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参与决策咨询活动次数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在本地区产生的重要影响，得到广大受众的充分认可。</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满意度指标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群众对团委工作的整体满意度</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bl>
    <w:p/>
    <w:p>
      <w:r>
        <w:rPr>
          <w:rFonts w:eastAsia="Times New Roman"/>
        </w:rPr>
        <w:br w:type="page"/>
      </w:r>
    </w:p>
    <w:p>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7、维稳经费（年初）绩效目标表</w:t>
      </w:r>
    </w:p>
    <w:tbl>
      <w:tblPr>
        <w:tblStyle w:val="9"/>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1.做好信访稳控工作，减少越级访、群访等恶性事件，有效的遏制非法上访；处理人民群众来信、来访，接待和处理人民群众反映的情况和问题。</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9"/>
        <w:tblW w:w="142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9"/>
        <w:gridCol w:w="2273"/>
        <w:gridCol w:w="2840"/>
        <w:gridCol w:w="2841"/>
        <w:gridCol w:w="2554"/>
        <w:gridCol w:w="22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tblHeader/>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一级指标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二级指标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三级指标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绩效指标描述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产出指标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数量指标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重要时期专项护路任务次数（次）</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重要时期专项护路任务次数（次）</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≥2次</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质量指标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矛盾纠纷调处率(%)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矛盾纠纷调处率(%)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时效指标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各项任务完成及时率（%）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各项任务完成及时率（%）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成本指标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≤8万元</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效益指标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退役安置满意度（%）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对退役安置满意和较满意的人数占调查总人数的比率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社会稳定水平</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通过维稳工作开展，促进社会稳定水平逐步提高</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满意度指标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信访群众满意度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信访群众满意度</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bl>
    <w:p/>
    <w:p>
      <w:r>
        <w:rPr>
          <w:rFonts w:eastAsia="Times New Roman"/>
        </w:rPr>
        <w:br w:type="page"/>
      </w:r>
    </w:p>
    <w:p/>
    <w:p>
      <w:pPr>
        <w:ind w:firstLine="560"/>
      </w:pPr>
      <w:r>
        <w:rPr>
          <w:rFonts w:hint="eastAsia" w:ascii="方正仿宋_GBK" w:hAnsi="方正仿宋_GBK" w:eastAsia="方正仿宋_GBK" w:cs="方正仿宋_GBK"/>
          <w:b/>
          <w:color w:val="000000"/>
          <w:sz w:val="28"/>
          <w:lang w:eastAsia="zh-CN"/>
        </w:rPr>
        <w:t>8、小型修缮经费（年初）绩效目标表</w:t>
      </w:r>
    </w:p>
    <w:tbl>
      <w:tblPr>
        <w:tblStyle w:val="9"/>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1.修复墙体裂缝，修复墙面脱落，修复楼梯踏板，修复房顶风化和削落，修复屋顶渗，修复电线老化</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9"/>
        <w:tblW w:w="141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9"/>
        <w:gridCol w:w="2837"/>
        <w:gridCol w:w="2837"/>
        <w:gridCol w:w="2550"/>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0"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一级指标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绩效指标描述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产出指标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修缮项目验收合格率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通过验收的工程量占建设、改造、修缮总量的比率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修缮项目完成率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实际完成工程量占计划完成工程量的比率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年度项目按规定时间点完成</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经费控制数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kern w:val="0"/>
                <w:sz w:val="21"/>
                <w:szCs w:val="24"/>
                <w:lang w:val="en-US" w:eastAsia="zh-CN" w:bidi="ar"/>
              </w:rPr>
              <w:t>≤</w:t>
            </w:r>
            <w:r>
              <w:rPr>
                <w:rFonts w:hint="eastAsia" w:ascii="方正书宋_GBK" w:hAnsi="方正书宋_GBK" w:eastAsia="方正书宋_GBK" w:cs="方正书宋_GBK"/>
                <w:sz w:val="21"/>
                <w:lang w:val="en-US" w:eastAsia="zh-CN"/>
              </w:rPr>
              <w:t>3.56</w:t>
            </w:r>
            <w:r>
              <w:rPr>
                <w:rFonts w:hint="eastAsia" w:ascii="方正书宋_GBK" w:hAnsi="方正书宋_GBK" w:eastAsia="方正书宋_GBK" w:cs="方正书宋_GBK"/>
                <w:sz w:val="21"/>
                <w:lang w:eastAsia="zh-CN"/>
              </w:rPr>
              <w:t>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效益指标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公共服务水平提升情况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购置对公共服务水平的提升情况</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办公设施的改善成效</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反映修缮后办公设施改善情况</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5"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满意度指标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服务对象满意度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乡镇工作人员对修缮后的办公设备器材的满意度</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≥851</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pPr>
            <w:r>
              <w:rPr>
                <w:rFonts w:hint="eastAsia" w:ascii="方正书宋_GBK" w:hAnsi="方正书宋_GBK" w:eastAsia="方正书宋_GBK" w:cs="方正书宋_GBK"/>
                <w:sz w:val="21"/>
                <w:lang w:eastAsia="zh-CN"/>
              </w:rPr>
              <w:t>依据工作方案</w:t>
            </w:r>
          </w:p>
        </w:tc>
      </w:tr>
    </w:tbl>
    <w:p/>
    <w:p>
      <w:pPr>
        <w:ind w:firstLine="560"/>
        <w:outlineLvl w:val="3"/>
      </w:pPr>
      <w:r>
        <w:rPr>
          <w:rFonts w:eastAsia="Times New Roman"/>
        </w:rPr>
        <w:br w:type="page"/>
      </w:r>
      <w:bookmarkStart w:id="1" w:name="_Toc1462"/>
      <w:r>
        <w:rPr>
          <w:rFonts w:hint="eastAsia" w:ascii="方正仿宋_GBK" w:hAnsi="方正仿宋_GBK" w:eastAsia="方正仿宋_GBK" w:cs="方正仿宋_GBK"/>
          <w:b/>
          <w:color w:val="000000"/>
          <w:sz w:val="28"/>
          <w:lang w:eastAsia="zh-CN"/>
        </w:rPr>
        <w:t>9、</w:t>
      </w:r>
      <w:bookmarkEnd w:id="1"/>
      <w:r>
        <w:rPr>
          <w:rFonts w:hint="eastAsia" w:ascii="方正仿宋_GBK" w:hAnsi="方正仿宋_GBK" w:eastAsia="方正仿宋_GBK" w:cs="方正仿宋_GBK"/>
          <w:b/>
          <w:bCs w:val="0"/>
          <w:color w:val="000000"/>
          <w:kern w:val="0"/>
          <w:sz w:val="28"/>
          <w:szCs w:val="24"/>
          <w:lang w:val="en-US" w:eastAsia="zh-CN" w:bidi="ar"/>
        </w:rPr>
        <w:t>乡镇行政执法专项经费绩效目标表</w:t>
      </w:r>
    </w:p>
    <w:tbl>
      <w:tblPr>
        <w:tblStyle w:val="9"/>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8"/>
            </w:pPr>
            <w:r>
              <w:rPr>
                <w:rFonts w:hint="default"/>
                <w:lang w:val="en-US"/>
              </w:rPr>
              <w:t>为更好的完成行政执法工作，保障行政执法工作的顺利进行</w:t>
            </w:r>
            <w:r>
              <w:t>。</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9"/>
        <w:tblW w:w="142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3"/>
        <w:gridCol w:w="2279"/>
        <w:gridCol w:w="2848"/>
        <w:gridCol w:w="2849"/>
        <w:gridCol w:w="2562"/>
        <w:gridCol w:w="227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tblHeader/>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一级指标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二级指标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三级指标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绩效指标描述</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b/>
                <w:sz w:val="21"/>
                <w:lang w:eastAsia="zh-CN"/>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产出指标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数量指标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各项检务保障工作完成率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各项检务保障工作完成率</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质量指标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业务工作完成率（%）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业务工作完成率（%）</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时效指标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工作完成时间</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工作完成时间</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成本指标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项目总成本</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项目总成本</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rPr>
                <w:rFonts w:hint="eastAsia" w:eastAsia="方正书宋_GBK"/>
                <w:lang w:val="en-US" w:eastAsia="zh-CN"/>
              </w:rPr>
            </w:pPr>
            <w:r>
              <w:rPr>
                <w:rFonts w:hint="default"/>
              </w:rPr>
              <w:t>≤</w:t>
            </w:r>
            <w:r>
              <w:rPr>
                <w:rFonts w:hint="eastAsia"/>
                <w:lang w:val="en-US" w:eastAsia="zh-CN"/>
              </w:rPr>
              <w:t>20万元</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效益指标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社会影响力</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社会影响力</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公共服务水平提升情况</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公共服务水平提升情况</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1" w:hRule="atLeast"/>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jc w:val="center"/>
            </w:pPr>
            <w:r>
              <w:rPr>
                <w:rFonts w:hint="eastAsia" w:ascii="方正书宋_GBK" w:hAnsi="方正书宋_GBK" w:eastAsia="方正书宋_GBK" w:cs="方正书宋_GBK"/>
                <w:sz w:val="21"/>
                <w:lang w:eastAsia="zh-CN"/>
              </w:rPr>
              <w:t>满意度指标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服务对象满意度指标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sz w:val="21"/>
                <w:szCs w:val="24"/>
                <w:lang w:val="en-US" w:eastAsia="uk-UA" w:bidi="ar-SA"/>
              </w:rPr>
              <w:t>社会公众满意度</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default"/>
              </w:rPr>
              <w:t>社会公众满意度</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8"/>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bl>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outlineLvl w:val="5"/>
        <w:rPr>
          <w:rFonts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六、政府采购预算情况</w:t>
      </w:r>
    </w:p>
    <w:p>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涞水县永阳镇人民政府</w:t>
      </w:r>
      <w:r>
        <w:rPr>
          <w:rFonts w:hint="eastAsia" w:eastAsia="方正仿宋_GBK"/>
          <w:color w:val="000000"/>
          <w:sz w:val="28"/>
        </w:rPr>
        <w:t>（本级）</w:t>
      </w:r>
      <w:r>
        <w:rPr>
          <w:rFonts w:hint="eastAsia" w:eastAsia="方正仿宋_GBK"/>
          <w:color w:val="000000"/>
          <w:sz w:val="28"/>
          <w:lang w:eastAsia="zh-CN"/>
        </w:rPr>
        <w:t>未</w:t>
      </w:r>
      <w:r>
        <w:rPr>
          <w:rFonts w:hint="eastAsia" w:eastAsia="方正仿宋_GBK"/>
          <w:color w:val="000000"/>
          <w:sz w:val="28"/>
        </w:rPr>
        <w:t>安排政府采购预算。具体内容见下表。</w:t>
      </w:r>
    </w:p>
    <w:p>
      <w:pPr>
        <w:jc w:val="both"/>
        <w:rPr>
          <w:rFonts w:ascii="方正小标宋_GBK" w:hAnsi="方正小标宋_GBK" w:eastAsia="方正小标宋_GBK" w:cs="方正小标宋_GBK"/>
          <w:color w:val="000000"/>
          <w:sz w:val="36"/>
          <w:lang w:eastAsia="zh-CN"/>
        </w:rPr>
      </w:pPr>
    </w:p>
    <w:p>
      <w:pPr>
        <w:jc w:val="center"/>
      </w:pPr>
      <w:r>
        <w:rPr>
          <w:rFonts w:hint="eastAsia" w:ascii="方正小标宋_GBK" w:hAnsi="方正小标宋_GBK" w:eastAsia="方正小标宋_GBK" w:cs="方正小标宋_GBK"/>
          <w:color w:val="000000"/>
          <w:sz w:val="36"/>
        </w:rPr>
        <w:t>单位政府采购预算</w:t>
      </w:r>
    </w:p>
    <w:tbl>
      <w:tblPr>
        <w:tblStyle w:val="9"/>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6"/>
        <w:gridCol w:w="902"/>
        <w:gridCol w:w="1065"/>
        <w:gridCol w:w="1063"/>
        <w:gridCol w:w="664"/>
        <w:gridCol w:w="798"/>
        <w:gridCol w:w="797"/>
        <w:gridCol w:w="902"/>
        <w:gridCol w:w="905"/>
        <w:gridCol w:w="904"/>
        <w:gridCol w:w="903"/>
        <w:gridCol w:w="905"/>
        <w:gridCol w:w="903"/>
        <w:gridCol w:w="905"/>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7" w:hRule="atLeast"/>
          <w:tblHeader/>
          <w:jc w:val="center"/>
        </w:trPr>
        <w:tc>
          <w:tcPr>
            <w:tcW w:w="6885" w:type="dxa"/>
            <w:gridSpan w:val="7"/>
            <w:tcBorders>
              <w:top w:val="single" w:color="FFFFFF" w:sz="6" w:space="0"/>
              <w:left w:val="single" w:color="FFFFFF" w:sz="6" w:space="0"/>
              <w:right w:val="single" w:color="FFFFFF" w:sz="6" w:space="0"/>
            </w:tcBorders>
            <w:vAlign w:val="center"/>
          </w:tcPr>
          <w:p>
            <w:pPr>
              <w:pStyle w:val="15"/>
            </w:pPr>
            <w:r>
              <w:rPr>
                <w:rFonts w:hint="eastAsia"/>
                <w:lang w:val="en-US" w:eastAsia="zh-CN"/>
              </w:rPr>
              <w:t>804001 涞水县永阳镇人民政府</w:t>
            </w:r>
            <w:r>
              <w:rPr>
                <w:rFonts w:hint="eastAsia"/>
              </w:rPr>
              <w:t>（本级）</w:t>
            </w:r>
          </w:p>
        </w:tc>
        <w:tc>
          <w:tcPr>
            <w:tcW w:w="8135" w:type="dxa"/>
            <w:gridSpan w:val="9"/>
            <w:tcBorders>
              <w:top w:val="single" w:color="FFFFFF" w:sz="6" w:space="0"/>
              <w:left w:val="single" w:color="FFFFFF" w:sz="6" w:space="0"/>
              <w:right w:val="single" w:color="FFFFFF" w:sz="6" w:space="0"/>
            </w:tcBorders>
            <w:vAlign w:val="center"/>
          </w:tcPr>
          <w:p>
            <w:pPr>
              <w:pStyle w:val="30"/>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1" w:hRule="atLeast"/>
          <w:tblHeader/>
          <w:jc w:val="center"/>
        </w:trPr>
        <w:tc>
          <w:tcPr>
            <w:tcW w:w="2498" w:type="dxa"/>
            <w:gridSpan w:val="2"/>
            <w:vAlign w:val="center"/>
          </w:tcPr>
          <w:p>
            <w:pPr>
              <w:pStyle w:val="16"/>
            </w:pPr>
            <w:r>
              <w:rPr>
                <w:rFonts w:hint="eastAsia"/>
              </w:rPr>
              <w:t>政府采购项目来源</w:t>
            </w:r>
          </w:p>
        </w:tc>
        <w:tc>
          <w:tcPr>
            <w:tcW w:w="1065" w:type="dxa"/>
            <w:vMerge w:val="restart"/>
            <w:vAlign w:val="center"/>
          </w:tcPr>
          <w:p>
            <w:pPr>
              <w:pStyle w:val="16"/>
            </w:pPr>
            <w:r>
              <w:rPr>
                <w:rFonts w:hint="eastAsia"/>
              </w:rPr>
              <w:t>采购物品名称</w:t>
            </w:r>
          </w:p>
        </w:tc>
        <w:tc>
          <w:tcPr>
            <w:tcW w:w="1063" w:type="dxa"/>
            <w:vMerge w:val="restart"/>
            <w:vAlign w:val="center"/>
          </w:tcPr>
          <w:p>
            <w:pPr>
              <w:pStyle w:val="16"/>
            </w:pPr>
            <w:r>
              <w:rPr>
                <w:rFonts w:hint="eastAsia"/>
              </w:rPr>
              <w:t>政府采购目录序号</w:t>
            </w:r>
          </w:p>
        </w:tc>
        <w:tc>
          <w:tcPr>
            <w:tcW w:w="664" w:type="dxa"/>
            <w:vMerge w:val="restart"/>
            <w:vAlign w:val="center"/>
          </w:tcPr>
          <w:p>
            <w:pPr>
              <w:pStyle w:val="16"/>
            </w:pPr>
            <w:r>
              <w:rPr>
                <w:rFonts w:hint="eastAsia"/>
              </w:rPr>
              <w:t>计量</w:t>
            </w:r>
            <w:r>
              <w:t xml:space="preserve">  </w:t>
            </w:r>
            <w:r>
              <w:rPr>
                <w:rFonts w:hint="eastAsia"/>
              </w:rPr>
              <w:t>单位</w:t>
            </w:r>
          </w:p>
        </w:tc>
        <w:tc>
          <w:tcPr>
            <w:tcW w:w="798" w:type="dxa"/>
            <w:vMerge w:val="restart"/>
            <w:vAlign w:val="center"/>
          </w:tcPr>
          <w:p>
            <w:pPr>
              <w:pStyle w:val="16"/>
            </w:pPr>
            <w:r>
              <w:rPr>
                <w:rFonts w:hint="eastAsia"/>
              </w:rPr>
              <w:t>数量</w:t>
            </w:r>
          </w:p>
        </w:tc>
        <w:tc>
          <w:tcPr>
            <w:tcW w:w="797" w:type="dxa"/>
            <w:vMerge w:val="restart"/>
            <w:vAlign w:val="center"/>
          </w:tcPr>
          <w:p>
            <w:pPr>
              <w:pStyle w:val="16"/>
            </w:pPr>
            <w:r>
              <w:rPr>
                <w:rFonts w:hint="eastAsia"/>
              </w:rPr>
              <w:t>单价</w:t>
            </w:r>
          </w:p>
        </w:tc>
        <w:tc>
          <w:tcPr>
            <w:tcW w:w="7231" w:type="dxa"/>
            <w:gridSpan w:val="8"/>
            <w:vAlign w:val="center"/>
          </w:tcPr>
          <w:p>
            <w:pPr>
              <w:pStyle w:val="16"/>
            </w:pPr>
            <w:r>
              <w:rPr>
                <w:rFonts w:hint="eastAsia"/>
              </w:rPr>
              <w:t>政府采购金额（当年部门预算安排资金）</w:t>
            </w:r>
          </w:p>
        </w:tc>
        <w:tc>
          <w:tcPr>
            <w:tcW w:w="904" w:type="dxa"/>
            <w:vMerge w:val="restart"/>
            <w:vAlign w:val="center"/>
          </w:tcPr>
          <w:p>
            <w:pPr>
              <w:pStyle w:val="16"/>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92" w:hRule="atLeast"/>
          <w:tblHeader/>
          <w:jc w:val="center"/>
        </w:trPr>
        <w:tc>
          <w:tcPr>
            <w:tcW w:w="1596" w:type="dxa"/>
            <w:vAlign w:val="center"/>
          </w:tcPr>
          <w:p>
            <w:pPr>
              <w:pStyle w:val="16"/>
            </w:pPr>
            <w:r>
              <w:rPr>
                <w:rFonts w:hint="eastAsia"/>
              </w:rPr>
              <w:t>项目名称</w:t>
            </w:r>
          </w:p>
        </w:tc>
        <w:tc>
          <w:tcPr>
            <w:tcW w:w="902" w:type="dxa"/>
            <w:vAlign w:val="center"/>
          </w:tcPr>
          <w:p>
            <w:pPr>
              <w:pStyle w:val="16"/>
            </w:pPr>
            <w:r>
              <w:rPr>
                <w:rFonts w:hint="eastAsia"/>
              </w:rPr>
              <w:t>预算</w:t>
            </w:r>
            <w:r>
              <w:t xml:space="preserve">    </w:t>
            </w:r>
            <w:r>
              <w:rPr>
                <w:rFonts w:hint="eastAsia"/>
              </w:rPr>
              <w:t>资金</w:t>
            </w:r>
          </w:p>
        </w:tc>
        <w:tc>
          <w:tcPr>
            <w:tcW w:w="1065" w:type="dxa"/>
            <w:vMerge w:val="continue"/>
          </w:tcPr>
          <w:p/>
        </w:tc>
        <w:tc>
          <w:tcPr>
            <w:tcW w:w="1063" w:type="dxa"/>
            <w:vMerge w:val="continue"/>
          </w:tcPr>
          <w:p/>
        </w:tc>
        <w:tc>
          <w:tcPr>
            <w:tcW w:w="664" w:type="dxa"/>
            <w:vMerge w:val="continue"/>
          </w:tcPr>
          <w:p/>
        </w:tc>
        <w:tc>
          <w:tcPr>
            <w:tcW w:w="798" w:type="dxa"/>
            <w:vMerge w:val="continue"/>
          </w:tcPr>
          <w:p/>
        </w:tc>
        <w:tc>
          <w:tcPr>
            <w:tcW w:w="797" w:type="dxa"/>
            <w:vMerge w:val="continue"/>
          </w:tcPr>
          <w:p/>
        </w:tc>
        <w:tc>
          <w:tcPr>
            <w:tcW w:w="902" w:type="dxa"/>
            <w:vAlign w:val="center"/>
          </w:tcPr>
          <w:p>
            <w:pPr>
              <w:pStyle w:val="16"/>
            </w:pPr>
            <w:r>
              <w:rPr>
                <w:rFonts w:hint="eastAsia"/>
              </w:rPr>
              <w:t>合计</w:t>
            </w:r>
          </w:p>
        </w:tc>
        <w:tc>
          <w:tcPr>
            <w:tcW w:w="905" w:type="dxa"/>
            <w:vAlign w:val="center"/>
          </w:tcPr>
          <w:p>
            <w:pPr>
              <w:pStyle w:val="16"/>
            </w:pPr>
            <w:r>
              <w:rPr>
                <w:rFonts w:hint="eastAsia"/>
              </w:rPr>
              <w:t>一般公共预算拨款</w:t>
            </w:r>
          </w:p>
        </w:tc>
        <w:tc>
          <w:tcPr>
            <w:tcW w:w="904" w:type="dxa"/>
            <w:vAlign w:val="center"/>
          </w:tcPr>
          <w:p>
            <w:pPr>
              <w:pStyle w:val="16"/>
            </w:pPr>
            <w:r>
              <w:rPr>
                <w:rFonts w:hint="eastAsia"/>
              </w:rPr>
              <w:t>基金预算拨款</w:t>
            </w:r>
          </w:p>
        </w:tc>
        <w:tc>
          <w:tcPr>
            <w:tcW w:w="903" w:type="dxa"/>
            <w:vAlign w:val="center"/>
          </w:tcPr>
          <w:p>
            <w:pPr>
              <w:pStyle w:val="16"/>
            </w:pPr>
            <w:r>
              <w:rPr>
                <w:rFonts w:hint="eastAsia"/>
              </w:rPr>
              <w:t>国有资本经营预算拨款</w:t>
            </w:r>
          </w:p>
        </w:tc>
        <w:tc>
          <w:tcPr>
            <w:tcW w:w="905" w:type="dxa"/>
            <w:vAlign w:val="center"/>
          </w:tcPr>
          <w:p>
            <w:pPr>
              <w:pStyle w:val="16"/>
            </w:pPr>
            <w:r>
              <w:rPr>
                <w:rFonts w:hint="eastAsia"/>
              </w:rPr>
              <w:t>财政专户核拨</w:t>
            </w:r>
          </w:p>
        </w:tc>
        <w:tc>
          <w:tcPr>
            <w:tcW w:w="903" w:type="dxa"/>
            <w:vAlign w:val="center"/>
          </w:tcPr>
          <w:p>
            <w:pPr>
              <w:pStyle w:val="16"/>
            </w:pPr>
            <w:r>
              <w:rPr>
                <w:rFonts w:hint="eastAsia"/>
              </w:rPr>
              <w:t>单位</w:t>
            </w:r>
            <w:r>
              <w:t xml:space="preserve">    </w:t>
            </w:r>
            <w:r>
              <w:rPr>
                <w:rFonts w:hint="eastAsia"/>
              </w:rPr>
              <w:t>资金</w:t>
            </w:r>
          </w:p>
        </w:tc>
        <w:tc>
          <w:tcPr>
            <w:tcW w:w="905" w:type="dxa"/>
            <w:vAlign w:val="center"/>
          </w:tcPr>
          <w:p>
            <w:pPr>
              <w:pStyle w:val="16"/>
            </w:pPr>
            <w:r>
              <w:rPr>
                <w:rFonts w:hint="eastAsia"/>
              </w:rPr>
              <w:t>财政拨</w:t>
            </w:r>
            <w:r>
              <w:t xml:space="preserve">    </w:t>
            </w:r>
            <w:r>
              <w:rPr>
                <w:rFonts w:hint="eastAsia"/>
              </w:rPr>
              <w:t>款结转</w:t>
            </w:r>
          </w:p>
        </w:tc>
        <w:tc>
          <w:tcPr>
            <w:tcW w:w="904" w:type="dxa"/>
            <w:vAlign w:val="center"/>
          </w:tcPr>
          <w:p>
            <w:pPr>
              <w:pStyle w:val="16"/>
            </w:pPr>
            <w:r>
              <w:rPr>
                <w:rFonts w:hint="eastAsia"/>
              </w:rPr>
              <w:t>非财政</w:t>
            </w:r>
            <w:r>
              <w:t xml:space="preserve">    </w:t>
            </w:r>
            <w:r>
              <w:rPr>
                <w:rFonts w:hint="eastAsia"/>
              </w:rPr>
              <w:t>拨款结</w:t>
            </w:r>
            <w:r>
              <w:t xml:space="preserve">    </w:t>
            </w:r>
            <w:r>
              <w:rPr>
                <w:rFonts w:hint="eastAsia"/>
              </w:rPr>
              <w:t>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8" w:hRule="atLeast"/>
          <w:jc w:val="center"/>
        </w:trPr>
        <w:tc>
          <w:tcPr>
            <w:tcW w:w="1596" w:type="dxa"/>
            <w:vAlign w:val="center"/>
          </w:tcPr>
          <w:p>
            <w:pPr>
              <w:pStyle w:val="20"/>
            </w:pPr>
            <w:r>
              <w:rPr>
                <w:rFonts w:hint="eastAsia"/>
              </w:rPr>
              <w:t>合</w:t>
            </w:r>
            <w:r>
              <w:t xml:space="preserve">  </w:t>
            </w:r>
            <w:r>
              <w:rPr>
                <w:rFonts w:hint="eastAsia"/>
              </w:rPr>
              <w:t>计</w:t>
            </w:r>
          </w:p>
        </w:tc>
        <w:tc>
          <w:tcPr>
            <w:tcW w:w="902" w:type="dxa"/>
            <w:vAlign w:val="center"/>
          </w:tcPr>
          <w:p>
            <w:pPr>
              <w:pStyle w:val="21"/>
            </w:pPr>
          </w:p>
        </w:tc>
        <w:tc>
          <w:tcPr>
            <w:tcW w:w="1065" w:type="dxa"/>
            <w:vAlign w:val="center"/>
          </w:tcPr>
          <w:p>
            <w:pPr>
              <w:pStyle w:val="22"/>
            </w:pPr>
          </w:p>
        </w:tc>
        <w:tc>
          <w:tcPr>
            <w:tcW w:w="1063" w:type="dxa"/>
            <w:vAlign w:val="center"/>
          </w:tcPr>
          <w:p>
            <w:pPr>
              <w:pStyle w:val="22"/>
            </w:pPr>
          </w:p>
        </w:tc>
        <w:tc>
          <w:tcPr>
            <w:tcW w:w="664" w:type="dxa"/>
            <w:vAlign w:val="center"/>
          </w:tcPr>
          <w:p>
            <w:pPr>
              <w:pStyle w:val="20"/>
            </w:pPr>
          </w:p>
        </w:tc>
        <w:tc>
          <w:tcPr>
            <w:tcW w:w="798" w:type="dxa"/>
            <w:vAlign w:val="center"/>
          </w:tcPr>
          <w:p>
            <w:pPr>
              <w:pStyle w:val="21"/>
            </w:pPr>
          </w:p>
        </w:tc>
        <w:tc>
          <w:tcPr>
            <w:tcW w:w="797" w:type="dxa"/>
            <w:vAlign w:val="center"/>
          </w:tcPr>
          <w:p>
            <w:pPr>
              <w:pStyle w:val="21"/>
            </w:pPr>
          </w:p>
        </w:tc>
        <w:tc>
          <w:tcPr>
            <w:tcW w:w="902" w:type="dxa"/>
            <w:vAlign w:val="center"/>
          </w:tcPr>
          <w:p>
            <w:pPr>
              <w:pStyle w:val="21"/>
            </w:pPr>
          </w:p>
        </w:tc>
        <w:tc>
          <w:tcPr>
            <w:tcW w:w="905" w:type="dxa"/>
            <w:vAlign w:val="center"/>
          </w:tcPr>
          <w:p>
            <w:pPr>
              <w:pStyle w:val="21"/>
            </w:pPr>
          </w:p>
        </w:tc>
        <w:tc>
          <w:tcPr>
            <w:tcW w:w="904" w:type="dxa"/>
            <w:vAlign w:val="center"/>
          </w:tcPr>
          <w:p>
            <w:pPr>
              <w:pStyle w:val="21"/>
            </w:pPr>
          </w:p>
        </w:tc>
        <w:tc>
          <w:tcPr>
            <w:tcW w:w="903" w:type="dxa"/>
            <w:vAlign w:val="center"/>
          </w:tcPr>
          <w:p>
            <w:pPr>
              <w:pStyle w:val="21"/>
            </w:pPr>
          </w:p>
        </w:tc>
        <w:tc>
          <w:tcPr>
            <w:tcW w:w="905" w:type="dxa"/>
            <w:vAlign w:val="center"/>
          </w:tcPr>
          <w:p>
            <w:pPr>
              <w:pStyle w:val="21"/>
            </w:pPr>
          </w:p>
        </w:tc>
        <w:tc>
          <w:tcPr>
            <w:tcW w:w="903" w:type="dxa"/>
            <w:vAlign w:val="center"/>
          </w:tcPr>
          <w:p>
            <w:pPr>
              <w:pStyle w:val="21"/>
            </w:pPr>
          </w:p>
        </w:tc>
        <w:tc>
          <w:tcPr>
            <w:tcW w:w="905" w:type="dxa"/>
            <w:vAlign w:val="center"/>
          </w:tcPr>
          <w:p>
            <w:pPr>
              <w:pStyle w:val="21"/>
            </w:pPr>
          </w:p>
        </w:tc>
        <w:tc>
          <w:tcPr>
            <w:tcW w:w="904" w:type="dxa"/>
            <w:vAlign w:val="center"/>
          </w:tcPr>
          <w:p>
            <w:pPr>
              <w:pStyle w:val="21"/>
            </w:pPr>
          </w:p>
        </w:tc>
        <w:tc>
          <w:tcPr>
            <w:tcW w:w="90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1" w:hRule="atLeast"/>
          <w:jc w:val="center"/>
        </w:trPr>
        <w:tc>
          <w:tcPr>
            <w:tcW w:w="1596" w:type="dxa"/>
            <w:vAlign w:val="center"/>
          </w:tcPr>
          <w:p>
            <w:pPr>
              <w:pStyle w:val="20"/>
            </w:pPr>
          </w:p>
        </w:tc>
        <w:tc>
          <w:tcPr>
            <w:tcW w:w="902" w:type="dxa"/>
            <w:vAlign w:val="center"/>
          </w:tcPr>
          <w:p>
            <w:pPr>
              <w:pStyle w:val="21"/>
            </w:pPr>
          </w:p>
        </w:tc>
        <w:tc>
          <w:tcPr>
            <w:tcW w:w="1065" w:type="dxa"/>
            <w:vAlign w:val="center"/>
          </w:tcPr>
          <w:p>
            <w:pPr>
              <w:pStyle w:val="22"/>
            </w:pPr>
          </w:p>
        </w:tc>
        <w:tc>
          <w:tcPr>
            <w:tcW w:w="1063" w:type="dxa"/>
            <w:vAlign w:val="center"/>
          </w:tcPr>
          <w:p>
            <w:pPr>
              <w:pStyle w:val="22"/>
            </w:pPr>
          </w:p>
        </w:tc>
        <w:tc>
          <w:tcPr>
            <w:tcW w:w="664" w:type="dxa"/>
            <w:vAlign w:val="center"/>
          </w:tcPr>
          <w:p>
            <w:pPr>
              <w:pStyle w:val="20"/>
            </w:pPr>
          </w:p>
        </w:tc>
        <w:tc>
          <w:tcPr>
            <w:tcW w:w="798" w:type="dxa"/>
            <w:vAlign w:val="center"/>
          </w:tcPr>
          <w:p>
            <w:pPr>
              <w:pStyle w:val="21"/>
            </w:pPr>
          </w:p>
        </w:tc>
        <w:tc>
          <w:tcPr>
            <w:tcW w:w="797" w:type="dxa"/>
            <w:vAlign w:val="center"/>
          </w:tcPr>
          <w:p>
            <w:pPr>
              <w:pStyle w:val="21"/>
            </w:pPr>
          </w:p>
        </w:tc>
        <w:tc>
          <w:tcPr>
            <w:tcW w:w="902" w:type="dxa"/>
            <w:vAlign w:val="center"/>
          </w:tcPr>
          <w:p>
            <w:pPr>
              <w:pStyle w:val="21"/>
            </w:pPr>
          </w:p>
        </w:tc>
        <w:tc>
          <w:tcPr>
            <w:tcW w:w="905" w:type="dxa"/>
            <w:vAlign w:val="center"/>
          </w:tcPr>
          <w:p>
            <w:pPr>
              <w:pStyle w:val="21"/>
            </w:pPr>
          </w:p>
        </w:tc>
        <w:tc>
          <w:tcPr>
            <w:tcW w:w="904" w:type="dxa"/>
            <w:vAlign w:val="center"/>
          </w:tcPr>
          <w:p>
            <w:pPr>
              <w:pStyle w:val="21"/>
            </w:pPr>
          </w:p>
        </w:tc>
        <w:tc>
          <w:tcPr>
            <w:tcW w:w="903" w:type="dxa"/>
            <w:vAlign w:val="center"/>
          </w:tcPr>
          <w:p>
            <w:pPr>
              <w:pStyle w:val="21"/>
            </w:pPr>
          </w:p>
        </w:tc>
        <w:tc>
          <w:tcPr>
            <w:tcW w:w="905" w:type="dxa"/>
            <w:vAlign w:val="center"/>
          </w:tcPr>
          <w:p>
            <w:pPr>
              <w:pStyle w:val="21"/>
            </w:pPr>
          </w:p>
        </w:tc>
        <w:tc>
          <w:tcPr>
            <w:tcW w:w="903" w:type="dxa"/>
            <w:vAlign w:val="center"/>
          </w:tcPr>
          <w:p>
            <w:pPr>
              <w:pStyle w:val="21"/>
            </w:pPr>
          </w:p>
        </w:tc>
        <w:tc>
          <w:tcPr>
            <w:tcW w:w="905" w:type="dxa"/>
            <w:vAlign w:val="center"/>
          </w:tcPr>
          <w:p>
            <w:pPr>
              <w:pStyle w:val="21"/>
            </w:pPr>
          </w:p>
        </w:tc>
        <w:tc>
          <w:tcPr>
            <w:tcW w:w="904" w:type="dxa"/>
            <w:vAlign w:val="center"/>
          </w:tcPr>
          <w:p>
            <w:pPr>
              <w:pStyle w:val="21"/>
            </w:pPr>
          </w:p>
        </w:tc>
        <w:tc>
          <w:tcPr>
            <w:tcW w:w="90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9" w:hRule="atLeast"/>
          <w:jc w:val="center"/>
        </w:trPr>
        <w:tc>
          <w:tcPr>
            <w:tcW w:w="1596" w:type="dxa"/>
            <w:vAlign w:val="center"/>
          </w:tcPr>
          <w:p>
            <w:pPr>
              <w:pStyle w:val="18"/>
            </w:pPr>
          </w:p>
        </w:tc>
        <w:tc>
          <w:tcPr>
            <w:tcW w:w="902" w:type="dxa"/>
            <w:vAlign w:val="center"/>
          </w:tcPr>
          <w:p>
            <w:pPr>
              <w:pStyle w:val="17"/>
            </w:pPr>
          </w:p>
        </w:tc>
        <w:tc>
          <w:tcPr>
            <w:tcW w:w="1065" w:type="dxa"/>
            <w:vAlign w:val="center"/>
          </w:tcPr>
          <w:p>
            <w:pPr>
              <w:pStyle w:val="18"/>
            </w:pPr>
          </w:p>
        </w:tc>
        <w:tc>
          <w:tcPr>
            <w:tcW w:w="1063" w:type="dxa"/>
            <w:vAlign w:val="center"/>
          </w:tcPr>
          <w:p>
            <w:pPr>
              <w:pStyle w:val="18"/>
            </w:pPr>
          </w:p>
        </w:tc>
        <w:tc>
          <w:tcPr>
            <w:tcW w:w="664" w:type="dxa"/>
            <w:vAlign w:val="center"/>
          </w:tcPr>
          <w:p>
            <w:pPr>
              <w:pStyle w:val="19"/>
            </w:pPr>
          </w:p>
        </w:tc>
        <w:tc>
          <w:tcPr>
            <w:tcW w:w="798" w:type="dxa"/>
            <w:vAlign w:val="center"/>
          </w:tcPr>
          <w:p>
            <w:pPr>
              <w:pStyle w:val="17"/>
            </w:pPr>
          </w:p>
        </w:tc>
        <w:tc>
          <w:tcPr>
            <w:tcW w:w="797" w:type="dxa"/>
            <w:vAlign w:val="center"/>
          </w:tcPr>
          <w:p>
            <w:pPr>
              <w:pStyle w:val="17"/>
            </w:pPr>
          </w:p>
        </w:tc>
        <w:tc>
          <w:tcPr>
            <w:tcW w:w="902" w:type="dxa"/>
            <w:vAlign w:val="center"/>
          </w:tcPr>
          <w:p>
            <w:pPr>
              <w:pStyle w:val="17"/>
            </w:pPr>
          </w:p>
        </w:tc>
        <w:tc>
          <w:tcPr>
            <w:tcW w:w="905" w:type="dxa"/>
            <w:vAlign w:val="center"/>
          </w:tcPr>
          <w:p>
            <w:pPr>
              <w:pStyle w:val="21"/>
            </w:pPr>
          </w:p>
        </w:tc>
        <w:tc>
          <w:tcPr>
            <w:tcW w:w="904" w:type="dxa"/>
            <w:vAlign w:val="center"/>
          </w:tcPr>
          <w:p>
            <w:pPr>
              <w:pStyle w:val="21"/>
            </w:pPr>
          </w:p>
        </w:tc>
        <w:tc>
          <w:tcPr>
            <w:tcW w:w="903" w:type="dxa"/>
            <w:vAlign w:val="center"/>
          </w:tcPr>
          <w:p>
            <w:pPr>
              <w:pStyle w:val="17"/>
            </w:pPr>
          </w:p>
        </w:tc>
        <w:tc>
          <w:tcPr>
            <w:tcW w:w="905" w:type="dxa"/>
            <w:vAlign w:val="center"/>
          </w:tcPr>
          <w:p>
            <w:pPr>
              <w:pStyle w:val="17"/>
            </w:pPr>
          </w:p>
        </w:tc>
        <w:tc>
          <w:tcPr>
            <w:tcW w:w="903" w:type="dxa"/>
            <w:vAlign w:val="center"/>
          </w:tcPr>
          <w:p>
            <w:pPr>
              <w:pStyle w:val="17"/>
            </w:pPr>
          </w:p>
        </w:tc>
        <w:tc>
          <w:tcPr>
            <w:tcW w:w="905" w:type="dxa"/>
            <w:vAlign w:val="center"/>
          </w:tcPr>
          <w:p>
            <w:pPr>
              <w:pStyle w:val="17"/>
            </w:pPr>
          </w:p>
        </w:tc>
        <w:tc>
          <w:tcPr>
            <w:tcW w:w="904" w:type="dxa"/>
            <w:vAlign w:val="center"/>
          </w:tcPr>
          <w:p>
            <w:pPr>
              <w:pStyle w:val="17"/>
            </w:pPr>
          </w:p>
        </w:tc>
        <w:tc>
          <w:tcPr>
            <w:tcW w:w="904" w:type="dxa"/>
            <w:vAlign w:val="center"/>
          </w:tcPr>
          <w:p>
            <w:pPr>
              <w:pStyle w:val="17"/>
            </w:pPr>
          </w:p>
        </w:tc>
      </w:tr>
    </w:tbl>
    <w:p>
      <w:pPr>
        <w:spacing w:line="500" w:lineRule="exact"/>
        <w:ind w:firstLine="420"/>
        <w:rPr>
          <w:rFonts w:hint="eastAsia" w:ascii="方正书宋_GBK" w:hAnsi="方正书宋_GBK" w:eastAsia="方正书宋_GBK" w:cs="方正书宋_GBK"/>
          <w:color w:val="000000"/>
          <w:sz w:val="21"/>
        </w:rPr>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hint="eastAsia" w:ascii="方正书宋_GBK" w:hAnsi="方正书宋_GBK" w:eastAsia="方正书宋_GBK" w:cs="方正书宋_GBK"/>
          <w:color w:val="000000"/>
          <w:sz w:val="21"/>
        </w:rPr>
        <w:t>注：</w:t>
      </w:r>
      <w:r>
        <w:rPr>
          <w:rFonts w:ascii="方正书宋_GBK" w:hAnsi="方正书宋_GBK" w:eastAsia="方正书宋_GBK" w:cs="方正书宋_GBK"/>
          <w:color w:val="000000"/>
          <w:sz w:val="21"/>
        </w:rPr>
        <w:t>无</w:t>
      </w:r>
      <w:r>
        <w:rPr>
          <w:rFonts w:hint="eastAsia" w:ascii="方正书宋_GBK" w:hAnsi="方正书宋_GBK" w:eastAsia="方正书宋_GBK" w:cs="方正书宋_GBK"/>
          <w:color w:val="000000"/>
          <w:sz w:val="21"/>
          <w:lang w:val="en-US" w:eastAsia="zh-CN"/>
        </w:rPr>
        <w:t>部门政府采购</w:t>
      </w:r>
      <w:r>
        <w:rPr>
          <w:rFonts w:ascii="方正书宋_GBK" w:hAnsi="方正书宋_GBK" w:eastAsia="方正书宋_GBK" w:cs="方正书宋_GBK"/>
          <w:color w:val="000000"/>
          <w:sz w:val="21"/>
        </w:rPr>
        <w:t>预算财政拨款预算，空表列示</w:t>
      </w:r>
      <w:r>
        <w:rPr>
          <w:rFonts w:hint="eastAsia" w:ascii="方正书宋_GBK" w:hAnsi="方正书宋_GBK" w:eastAsia="方正书宋_GBK" w:cs="方正书宋_GBK"/>
          <w:color w:val="000000"/>
          <w:sz w:val="21"/>
          <w:lang w:eastAsia="zh-CN"/>
        </w:rPr>
        <w:t>。</w:t>
      </w:r>
    </w:p>
    <w:p>
      <w:pPr>
        <w:spacing w:line="500" w:lineRule="exact"/>
        <w:ind w:firstLine="420"/>
        <w:rPr>
          <w:rFonts w:hint="eastAsia" w:ascii="方正书宋_GBK" w:hAnsi="方正书宋_GBK" w:eastAsia="方正书宋_GBK" w:cs="方正书宋_GBK"/>
          <w:color w:val="000000"/>
          <w:sz w:val="21"/>
        </w:rPr>
      </w:pPr>
    </w:p>
    <w:p>
      <w:pPr>
        <w:ind w:firstLine="640"/>
      </w:pPr>
      <w:r>
        <w:rPr>
          <w:rFonts w:eastAsia="方正仿宋_GBK"/>
          <w:color w:val="000000"/>
          <w:sz w:val="32"/>
        </w:rPr>
        <w:t xml:space="preserve"> </w:t>
      </w:r>
    </w:p>
    <w:p>
      <w:pPr>
        <w:spacing w:before="10" w:after="10"/>
        <w:outlineLvl w:val="5"/>
        <w:rPr>
          <w:rFonts w:ascii="黑体" w:hAnsi="黑体" w:eastAsia="黑体" w:cs="黑体"/>
          <w:color w:val="000000"/>
          <w:sz w:val="32"/>
          <w:lang w:eastAsia="zh-CN"/>
        </w:rPr>
      </w:pPr>
    </w:p>
    <w:p>
      <w:pPr>
        <w:spacing w:before="10" w:after="10"/>
        <w:outlineLvl w:val="5"/>
        <w:rPr>
          <w:rFonts w:ascii="黑体" w:hAnsi="黑体" w:eastAsia="黑体" w:cs="黑体"/>
          <w:color w:val="000000"/>
          <w:sz w:val="32"/>
          <w:lang w:eastAsia="zh-CN"/>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七、国有资产信息</w:t>
      </w:r>
    </w:p>
    <w:p>
      <w:pPr>
        <w:spacing w:line="500" w:lineRule="exact"/>
        <w:ind w:firstLine="560"/>
        <w:rPr>
          <w:lang w:val="uk-UA" w:eastAsia="zh-CN"/>
        </w:rPr>
      </w:pPr>
      <w:r>
        <w:rPr>
          <w:rFonts w:hint="eastAsia" w:eastAsia="方正仿宋_GBK"/>
          <w:color w:val="000000"/>
          <w:sz w:val="28"/>
          <w:lang w:eastAsia="zh-CN"/>
        </w:rPr>
        <w:t>涞水县永阳镇人民政府</w:t>
      </w:r>
      <w:r>
        <w:rPr>
          <w:rFonts w:hint="eastAsia" w:eastAsia="方正仿宋_GBK"/>
          <w:color w:val="000000"/>
          <w:sz w:val="28"/>
        </w:rPr>
        <w:t>（本级）上年末固定资产金额为</w:t>
      </w:r>
      <w:r>
        <w:rPr>
          <w:rFonts w:hint="eastAsia" w:eastAsia="方正仿宋_GBK"/>
          <w:color w:val="000000"/>
          <w:sz w:val="28"/>
          <w:lang w:val="en-US" w:eastAsia="zh-CN"/>
        </w:rPr>
        <w:t>281 .54</w:t>
      </w:r>
      <w:r>
        <w:rPr>
          <w:rFonts w:hint="eastAsia" w:eastAsia="方正仿宋_GBK"/>
          <w:color w:val="000000"/>
          <w:sz w:val="28"/>
        </w:rPr>
        <w:t>万元（详见下表）。</w:t>
      </w:r>
      <w:r>
        <w:rPr>
          <w:rFonts w:hint="eastAsia" w:eastAsia="方正仿宋_GBK"/>
          <w:color w:val="000000"/>
          <w:sz w:val="28"/>
          <w:lang w:val="en-US" w:eastAsia="zh-CN"/>
        </w:rPr>
        <w:t>2022</w:t>
      </w:r>
      <w:r>
        <w:rPr>
          <w:rFonts w:eastAsia="方正仿宋_GBK"/>
          <w:color w:val="000000"/>
          <w:sz w:val="28"/>
        </w:rPr>
        <w:t>度</w:t>
      </w:r>
      <w:r>
        <w:rPr>
          <w:rFonts w:hint="eastAsia" w:eastAsia="方正仿宋_GBK"/>
          <w:color w:val="000000"/>
          <w:sz w:val="28"/>
          <w:lang w:val="en-US" w:eastAsia="zh-CN"/>
        </w:rPr>
        <w:t>无</w:t>
      </w:r>
      <w:r>
        <w:rPr>
          <w:rFonts w:eastAsia="方正仿宋_GBK"/>
          <w:color w:val="000000"/>
          <w:sz w:val="28"/>
        </w:rPr>
        <w:t>固定资产</w:t>
      </w:r>
      <w:r>
        <w:rPr>
          <w:rFonts w:hint="eastAsia" w:eastAsia="方正仿宋_GBK"/>
          <w:color w:val="000000"/>
          <w:sz w:val="28"/>
          <w:lang w:val="en-US" w:eastAsia="zh-CN"/>
        </w:rPr>
        <w:t>购置计划。</w:t>
      </w:r>
    </w:p>
    <w:p>
      <w:pPr>
        <w:jc w:val="center"/>
        <w:rPr>
          <w:rFonts w:hint="eastAsia" w:ascii="方正小标宋_GBK" w:hAnsi="方正小标宋_GBK" w:eastAsia="方正小标宋_GBK" w:cs="方正小标宋_GBK"/>
          <w:color w:val="000000"/>
          <w:sz w:val="36"/>
        </w:rPr>
      </w:pPr>
    </w:p>
    <w:p>
      <w:pPr>
        <w:jc w:val="center"/>
      </w:pPr>
      <w:r>
        <w:rPr>
          <w:rFonts w:hint="eastAsia" w:ascii="方正小标宋_GBK" w:hAnsi="方正小标宋_GBK" w:eastAsia="方正小标宋_GBK" w:cs="方正小标宋_GBK"/>
          <w:color w:val="000000"/>
          <w:sz w:val="36"/>
        </w:rPr>
        <w:t>单位固定资产占用情况表</w:t>
      </w:r>
    </w:p>
    <w:tbl>
      <w:tblPr>
        <w:tblStyle w:val="9"/>
        <w:tblW w:w="140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5806"/>
        <w:gridCol w:w="463"/>
        <w:gridCol w:w="2393"/>
        <w:gridCol w:w="3277"/>
        <w:gridCol w:w="9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3"/>
            <w:tcBorders>
              <w:top w:val="single" w:color="FFFFFF" w:sz="6" w:space="0"/>
              <w:left w:val="single" w:color="FFFFFF" w:sz="6" w:space="0"/>
              <w:right w:val="single" w:color="FFFFFF" w:sz="6" w:space="0"/>
            </w:tcBorders>
            <w:vAlign w:val="center"/>
          </w:tcPr>
          <w:p>
            <w:pPr>
              <w:pStyle w:val="15"/>
            </w:pPr>
            <w:r>
              <w:rPr>
                <w:rFonts w:hint="eastAsia"/>
                <w:lang w:eastAsia="zh-CN"/>
              </w:rPr>
              <w:t>804001 涞水县永阳镇人民政府（</w:t>
            </w:r>
            <w:r>
              <w:rPr>
                <w:rFonts w:hint="eastAsia"/>
              </w:rPr>
              <w:t>本级）</w:t>
            </w:r>
          </w:p>
        </w:tc>
        <w:tc>
          <w:tcPr>
            <w:tcW w:w="5670" w:type="dxa"/>
            <w:gridSpan w:val="2"/>
            <w:tcBorders>
              <w:top w:val="single" w:color="FFFFFF" w:sz="6" w:space="0"/>
              <w:left w:val="single" w:color="FFFFFF" w:sz="6" w:space="0"/>
              <w:right w:val="single" w:color="FFFFFF" w:sz="6" w:space="0"/>
            </w:tcBorders>
            <w:vAlign w:val="center"/>
          </w:tcPr>
          <w:p>
            <w:pPr>
              <w:pStyle w:val="13"/>
            </w:pPr>
            <w:r>
              <w:rPr>
                <w:rFonts w:hint="eastAsia"/>
              </w:rPr>
              <w:t>截止时间：</w:t>
            </w:r>
            <w:r>
              <w:t>202</w:t>
            </w:r>
            <w:r>
              <w:rPr>
                <w:rFonts w:hint="eastAsia"/>
                <w:lang w:val="en-US" w:eastAsia="zh-CN"/>
              </w:rPr>
              <w:t>2</w:t>
            </w:r>
            <w:r>
              <w:t>-12-31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1129"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pStyle w:val="16"/>
            </w:pPr>
            <w:r>
              <w:rPr>
                <w:rFonts w:hint="eastAsia"/>
              </w:rPr>
              <w:t>项  目</w:t>
            </w:r>
          </w:p>
        </w:tc>
        <w:tc>
          <w:tcPr>
            <w:tcW w:w="2856" w:type="dxa"/>
            <w:gridSpan w:val="2"/>
            <w:tcBorders>
              <w:top w:val="single" w:color="auto" w:sz="4" w:space="0"/>
              <w:left w:val="nil"/>
              <w:bottom w:val="nil"/>
              <w:right w:val="single" w:color="auto" w:sz="4" w:space="0"/>
            </w:tcBorders>
            <w:vAlign w:val="center"/>
          </w:tcPr>
          <w:p>
            <w:pPr>
              <w:pStyle w:val="16"/>
            </w:pPr>
            <w:r>
              <w:rPr>
                <w:rFonts w:hint="eastAsia"/>
              </w:rPr>
              <w:t>数量</w:t>
            </w:r>
          </w:p>
        </w:tc>
        <w:tc>
          <w:tcPr>
            <w:tcW w:w="4237" w:type="dxa"/>
            <w:gridSpan w:val="2"/>
            <w:tcBorders>
              <w:top w:val="single" w:color="auto" w:sz="4" w:space="0"/>
              <w:left w:val="nil"/>
              <w:bottom w:val="single" w:color="auto" w:sz="4" w:space="0"/>
              <w:right w:val="single" w:color="auto" w:sz="4" w:space="0"/>
            </w:tcBorders>
            <w:vAlign w:val="center"/>
          </w:tcPr>
          <w:p>
            <w:pPr>
              <w:pStyle w:val="16"/>
            </w:pPr>
            <w:r>
              <w:rPr>
                <w:rFonts w:hint="eastAsia"/>
              </w:rPr>
              <w:t>价值（单位：万元）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leftChars="0" w:right="0" w:rightChars="0"/>
              <w:rPr>
                <w:rFonts w:ascii="宋体" w:hAnsi="宋体" w:cs="宋体"/>
                <w:color w:val="000000"/>
                <w:sz w:val="21"/>
                <w:szCs w:val="21"/>
              </w:rPr>
            </w:pPr>
            <w:r>
              <w:rPr>
                <w:rFonts w:hint="eastAsia"/>
                <w:lang w:val="en-US" w:eastAsia="zh-CN"/>
              </w:rPr>
              <w:t>固定资产总额</w:t>
            </w:r>
          </w:p>
        </w:tc>
        <w:tc>
          <w:tcPr>
            <w:tcW w:w="2856" w:type="dxa"/>
            <w:gridSpan w:val="2"/>
            <w:tcBorders>
              <w:top w:val="single" w:color="auto" w:sz="4" w:space="0"/>
              <w:left w:val="nil"/>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leftChars="0" w:right="0" w:rightChars="0"/>
              <w:jc w:val="center"/>
              <w:rPr>
                <w:rFonts w:ascii="宋体" w:hAnsi="宋体" w:cs="宋体"/>
                <w:color w:val="000000"/>
                <w:sz w:val="21"/>
                <w:szCs w:val="21"/>
                <w:lang w:eastAsia="zh-CN"/>
              </w:rPr>
            </w:pPr>
            <w:r>
              <w:rPr>
                <w:rFonts w:hint="eastAsia" w:ascii="宋体" w:hAnsi="宋体" w:cs="仿宋_GB2312"/>
                <w:color w:val="000000"/>
                <w:kern w:val="0"/>
                <w:sz w:val="32"/>
                <w:szCs w:val="32"/>
              </w:rPr>
              <w:t>—</w:t>
            </w:r>
          </w:p>
        </w:tc>
        <w:tc>
          <w:tcPr>
            <w:tcW w:w="4237" w:type="dxa"/>
            <w:gridSpan w:val="2"/>
            <w:tcBorders>
              <w:top w:val="single" w:color="auto" w:sz="4" w:space="0"/>
              <w:left w:val="nil"/>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leftChars="0" w:right="0" w:rightChars="0"/>
              <w:jc w:val="center"/>
              <w:rPr>
                <w:rFonts w:hint="default" w:ascii="Calibri" w:hAnsi="Calibri" w:cs="宋体"/>
                <w:kern w:val="2"/>
                <w:sz w:val="21"/>
                <w:szCs w:val="21"/>
                <w:lang w:val="en-US" w:eastAsia="zh-CN"/>
              </w:rPr>
            </w:pPr>
            <w:r>
              <w:rPr>
                <w:rFonts w:hint="eastAsia"/>
                <w:lang w:val="en-US" w:eastAsia="zh-CN"/>
              </w:rPr>
              <w:t>281.54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hint="eastAsia" w:ascii="宋体" w:hAnsi="宋体"/>
                <w:color w:val="000000"/>
                <w:sz w:val="21"/>
                <w:szCs w:val="21"/>
              </w:rPr>
            </w:pPr>
            <w:r>
              <w:rPr>
                <w:rFonts w:hint="eastAsia" w:eastAsia="方正仿宋_GBK"/>
                <w:color w:val="000000"/>
                <w:sz w:val="28"/>
              </w:rPr>
              <w:t>1、房屋（平方米</w:t>
            </w:r>
            <w:r>
              <w:rPr>
                <w:rFonts w:hint="eastAsia" w:eastAsia="方正仿宋_GBK"/>
                <w:color w:val="000000"/>
                <w:sz w:val="28"/>
                <w:lang w:val="en-US" w:eastAsia="zh-CN"/>
              </w:rPr>
              <w:t xml:space="preserve"> </w:t>
            </w:r>
            <w:r>
              <w:rPr>
                <w:rFonts w:hint="eastAsia" w:eastAsia="方正仿宋_GBK"/>
                <w:color w:val="000000"/>
                <w:sz w:val="28"/>
              </w:rPr>
              <w:t>）</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eastAsia" w:eastAsia="方正仿宋_GBK"/>
                <w:color w:val="000000"/>
                <w:sz w:val="28"/>
                <w:lang w:val="en-US" w:eastAsia="zh-CN"/>
              </w:rPr>
              <w:t>2100</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eastAsia" w:eastAsia="方正仿宋_GBK"/>
                <w:color w:val="000000"/>
                <w:sz w:val="28"/>
              </w:rPr>
              <w:t>140.5</w:t>
            </w:r>
            <w:r>
              <w:rPr>
                <w:rFonts w:hint="eastAsia" w:eastAsia="方正仿宋_GBK"/>
                <w:color w:val="000000"/>
                <w:sz w:val="2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hint="eastAsia" w:ascii="宋体" w:hAnsi="宋体"/>
                <w:color w:val="000000"/>
                <w:sz w:val="21"/>
                <w:szCs w:val="21"/>
              </w:rPr>
            </w:pPr>
            <w:r>
              <w:rPr>
                <w:rFonts w:hint="eastAsia" w:eastAsia="方正仿宋_GBK"/>
                <w:color w:val="000000"/>
                <w:sz w:val="28"/>
              </w:rPr>
              <w:t xml:space="preserve"> 其中：办公用房（平方米）</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eastAsia" w:eastAsia="方正仿宋_GBK"/>
                <w:color w:val="000000"/>
                <w:sz w:val="28"/>
                <w:lang w:val="en-US" w:eastAsia="zh-CN"/>
              </w:rPr>
              <w:t>2100</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eastAsia" w:eastAsia="方正仿宋_GBK"/>
                <w:color w:val="000000"/>
                <w:sz w:val="28"/>
              </w:rPr>
              <w:t>140.5</w:t>
            </w:r>
            <w:r>
              <w:rPr>
                <w:rFonts w:hint="eastAsia" w:eastAsia="方正仿宋_GBK"/>
                <w:color w:val="000000"/>
                <w:sz w:val="2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hint="eastAsia" w:ascii="宋体" w:hAnsi="宋体"/>
                <w:color w:val="000000"/>
                <w:sz w:val="21"/>
                <w:szCs w:val="21"/>
              </w:rPr>
            </w:pPr>
            <w:r>
              <w:rPr>
                <w:rFonts w:hint="eastAsia" w:eastAsia="方正仿宋_GBK"/>
                <w:color w:val="000000"/>
                <w:sz w:val="28"/>
              </w:rPr>
              <w:t>2、车辆（台、辆）</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eastAsia" w:eastAsia="方正仿宋_GBK"/>
                <w:color w:val="000000"/>
                <w:sz w:val="28"/>
              </w:rPr>
              <w:t>1</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default" w:eastAsia="方正仿宋_GBK"/>
                <w:color w:val="000000"/>
                <w:sz w:val="28"/>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ascii="宋体" w:hAnsi="宋体" w:cs="宋体"/>
                <w:color w:val="000000"/>
                <w:sz w:val="21"/>
                <w:szCs w:val="21"/>
              </w:rPr>
            </w:pPr>
            <w:r>
              <w:rPr>
                <w:rFonts w:hint="eastAsia" w:eastAsia="方正仿宋_GBK"/>
                <w:color w:val="000000"/>
                <w:sz w:val="28"/>
              </w:rPr>
              <w:t>3、单价在20万元以上的设备</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ascii="宋体" w:hAnsi="宋体" w:cs="宋体" w:eastAsiaTheme="minorEastAsia"/>
                <w:color w:val="000000"/>
                <w:sz w:val="21"/>
                <w:szCs w:val="21"/>
                <w:lang w:eastAsia="zh-CN"/>
              </w:rPr>
            </w:pPr>
            <w:r>
              <w:rPr>
                <w:rFonts w:hint="eastAsia" w:eastAsia="方正仿宋_GBK"/>
                <w:color w:val="000000"/>
                <w:sz w:val="28"/>
              </w:rPr>
              <w:t>—</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cs="宋体" w:eastAsiaTheme="minorEastAsia"/>
                <w:kern w:val="2"/>
                <w:sz w:val="21"/>
                <w:szCs w:val="21"/>
                <w:lang w:val="en-US" w:eastAsia="zh-CN"/>
              </w:rPr>
            </w:pPr>
            <w:r>
              <w:rPr>
                <w:rFonts w:hint="eastAsia" w:eastAsia="方正仿宋_GBK"/>
                <w:color w:val="000000"/>
                <w:sz w:val="28"/>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ascii="宋体" w:hAnsi="宋体" w:cs="宋体"/>
                <w:color w:val="000000"/>
                <w:sz w:val="21"/>
                <w:szCs w:val="21"/>
              </w:rPr>
            </w:pPr>
            <w:r>
              <w:rPr>
                <w:rFonts w:hint="eastAsia" w:eastAsia="方正仿宋_GBK"/>
                <w:color w:val="000000"/>
                <w:sz w:val="28"/>
              </w:rPr>
              <w:t>4、其他固定资产</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ascii="宋体" w:hAnsi="宋体" w:cs="宋体"/>
                <w:color w:val="000000"/>
                <w:sz w:val="21"/>
                <w:szCs w:val="21"/>
              </w:rPr>
            </w:pPr>
            <w:r>
              <w:rPr>
                <w:rFonts w:hint="eastAsia" w:eastAsia="方正仿宋_GBK"/>
                <w:color w:val="000000"/>
                <w:sz w:val="28"/>
              </w:rPr>
              <w:t>—</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ascii="宋体" w:hAnsi="宋体" w:cs="宋体"/>
                <w:kern w:val="2"/>
                <w:sz w:val="21"/>
                <w:szCs w:val="21"/>
                <w:lang w:eastAsia="zh-CN"/>
              </w:rPr>
            </w:pPr>
            <w:r>
              <w:rPr>
                <w:rFonts w:hint="default" w:eastAsia="方正仿宋_GBK"/>
                <w:color w:val="000000"/>
                <w:sz w:val="28"/>
              </w:rPr>
              <w:t>12</w:t>
            </w:r>
            <w:r>
              <w:rPr>
                <w:rFonts w:hint="eastAsia" w:eastAsia="方正仿宋_GBK"/>
                <w:color w:val="000000"/>
                <w:sz w:val="28"/>
                <w:lang w:val="en-US" w:eastAsia="zh-CN"/>
              </w:rPr>
              <w:t>7.04</w:t>
            </w:r>
          </w:p>
        </w:tc>
      </w:tr>
    </w:tbl>
    <w:p>
      <w:pPr>
        <w:ind w:firstLine="640"/>
        <w:rPr>
          <w:rFonts w:eastAsia="方正仿宋_GBK"/>
          <w:color w:val="000000"/>
          <w:sz w:val="32"/>
        </w:rPr>
      </w:pPr>
    </w:p>
    <w:p>
      <w:pPr>
        <w:ind w:firstLine="640"/>
      </w:pPr>
      <w:r>
        <w:rPr>
          <w:rFonts w:eastAsia="方正仿宋_GBK"/>
          <w:color w:val="000000"/>
          <w:sz w:val="32"/>
        </w:rPr>
        <w:t xml:space="preserve"> </w:t>
      </w:r>
    </w:p>
    <w:p>
      <w:pPr>
        <w:spacing w:before="10" w:after="1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pPr>
        <w:spacing w:before="10" w:after="10"/>
        <w:ind w:firstLine="640"/>
        <w:outlineLvl w:val="5"/>
      </w:pPr>
      <w:r>
        <w:rPr>
          <w:rFonts w:hint="eastAsia" w:ascii="黑体" w:hAnsi="黑体" w:eastAsia="黑体" w:cs="黑体"/>
          <w:color w:val="000000"/>
          <w:sz w:val="32"/>
        </w:rPr>
        <w:t>九、其他需要说明的事项</w:t>
      </w:r>
    </w:p>
    <w:p>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等线">
    <w:altName w:val="微软雅黑"/>
    <w:panose1 w:val="02010600030101010101"/>
    <w:charset w:val="86"/>
    <w:family w:val="roman"/>
    <w:pitch w:val="default"/>
    <w:sig w:usb0="00000000" w:usb1="00000000" w:usb2="00000016" w:usb3="00000000" w:csb0="0004000F"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sz w:val="18"/>
      </w:rPr>
      <w:pict>
        <v:shape id="_x0000_s1036" o:spid="_x0000_s1036"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w:pict>
        <v:shape id="_x0000_s1037" o:spid="_x0000_s1037"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w:pict>
        <v:shape id="_x0000_s1038" o:spid="_x0000_s103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14798"/>
      </w:tabs>
      <w:rPr>
        <w:lang w:eastAsia="zh-CN"/>
      </w:rPr>
    </w:pPr>
    <w:r>
      <w:rPr>
        <w:sz w:val="24"/>
      </w:rPr>
      <w:pict>
        <v:shape id="_x0000_s1039" o:spid="_x0000_s103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w:pict>
        <v:shape id="_x0000_s1040" o:spid="_x0000_s104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14798"/>
      </w:tabs>
      <w:rPr>
        <w:lang w:eastAsia="zh-CN"/>
      </w:rPr>
    </w:pPr>
    <w:r>
      <w:rPr>
        <w:sz w:val="24"/>
      </w:rPr>
      <w:pict>
        <v:shape id="_x0000_s1041" o:spid="_x0000_s1041"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84EBAB"/>
    <w:multiLevelType w:val="singleLevel"/>
    <w:tmpl w:val="9684EBAB"/>
    <w:lvl w:ilvl="0" w:tentative="0">
      <w:start w:val="3"/>
      <w:numFmt w:val="decimal"/>
      <w:suff w:val="nothing"/>
      <w:lvlText w:val="%1、"/>
      <w:lvlJc w:val="left"/>
    </w:lvl>
  </w:abstractNum>
  <w:abstractNum w:abstractNumId="1">
    <w:nsid w:val="77DAFCCC"/>
    <w:multiLevelType w:val="singleLevel"/>
    <w:tmpl w:val="77DAFCCC"/>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evenAndOddHeaders w:val="1"/>
  <w:displayHorizontalDrawingGridEvery w:val="0"/>
  <w:displayVerticalDrawingGridEvery w:val="2"/>
  <w:characterSpacingControl w:val="doNotCompress"/>
  <w:noLineBreaksAfter w:lang="zh-CN" w:val="$([{£¥·‘“〈《「『【〔〖〝﹙﹛﹝＄（．［｛￡￥"/>
  <w:noLineBreaksBefore w:lang="zh-CN" w:val="!%),.:;&gt;?]}¢¨°·ˇˉ―‖’”…‰′″›℃∶、。〃〉》」』】〕〗〞︶︺︾﹀﹄﹚﹜﹞！＂％＇），．：；？］｀｜｝～￠"/>
  <w:hdrShapeDefaults>
    <o:shapelayout v:ext="edit">
      <o:idmap v:ext="edit" data="1"/>
    </o:shapelayout>
  </w:hdrShapeDefaults>
  <w:compat>
    <w:balanceSingleByteDoubleByteWidth/>
    <w:doNotLeaveBackslashAlone/>
    <w:doNotExpandShiftReturn/>
    <w:adjustLineHeightInTable/>
    <w:useFELayout/>
    <w:doNotUseIndentAsNumberingTabStop/>
    <w:useAltKinsokuLineBreakRules/>
    <w:underlineTabInNumList/>
    <w:compatSetting w:name="compatibilityMode" w:uri="http://schemas.microsoft.com/office/word" w:val="12"/>
  </w:compat>
  <w:docVars>
    <w:docVar w:name="commondata" w:val="eyJoZGlkIjoiNjljZGI0ODdhMzkwNmExZGZiNTQxYmY3MDIyYzQ5NjEifQ=="/>
  </w:docVars>
  <w:rsids>
    <w:rsidRoot w:val="00781D3A"/>
    <w:rsid w:val="00064159"/>
    <w:rsid w:val="00072B8A"/>
    <w:rsid w:val="0009432E"/>
    <w:rsid w:val="000F4731"/>
    <w:rsid w:val="00103E58"/>
    <w:rsid w:val="00120163"/>
    <w:rsid w:val="00147E0D"/>
    <w:rsid w:val="00182D82"/>
    <w:rsid w:val="001B15F6"/>
    <w:rsid w:val="00201266"/>
    <w:rsid w:val="002210BE"/>
    <w:rsid w:val="00353F22"/>
    <w:rsid w:val="00405607"/>
    <w:rsid w:val="0046641C"/>
    <w:rsid w:val="0047742F"/>
    <w:rsid w:val="0050407A"/>
    <w:rsid w:val="005227EB"/>
    <w:rsid w:val="00557C8E"/>
    <w:rsid w:val="0056582C"/>
    <w:rsid w:val="005963F4"/>
    <w:rsid w:val="005C7741"/>
    <w:rsid w:val="006500AF"/>
    <w:rsid w:val="00664099"/>
    <w:rsid w:val="006670D2"/>
    <w:rsid w:val="0068454C"/>
    <w:rsid w:val="006B2067"/>
    <w:rsid w:val="00714A9B"/>
    <w:rsid w:val="007304F6"/>
    <w:rsid w:val="00755EAA"/>
    <w:rsid w:val="00781D3A"/>
    <w:rsid w:val="00791CF2"/>
    <w:rsid w:val="007D7FBA"/>
    <w:rsid w:val="008D0F2A"/>
    <w:rsid w:val="008F1C73"/>
    <w:rsid w:val="0098765C"/>
    <w:rsid w:val="00A072DC"/>
    <w:rsid w:val="00A25BF7"/>
    <w:rsid w:val="00A51245"/>
    <w:rsid w:val="00AC1402"/>
    <w:rsid w:val="00B10A12"/>
    <w:rsid w:val="00B52C69"/>
    <w:rsid w:val="00B751B3"/>
    <w:rsid w:val="00BC0518"/>
    <w:rsid w:val="00BD1DD9"/>
    <w:rsid w:val="00BD3676"/>
    <w:rsid w:val="00C30FB7"/>
    <w:rsid w:val="00C83D45"/>
    <w:rsid w:val="00CC5F86"/>
    <w:rsid w:val="00CD3CCB"/>
    <w:rsid w:val="00D172D0"/>
    <w:rsid w:val="00D75591"/>
    <w:rsid w:val="00D861DB"/>
    <w:rsid w:val="00DA3F97"/>
    <w:rsid w:val="00E92AAD"/>
    <w:rsid w:val="00EC4DAA"/>
    <w:rsid w:val="00EF7782"/>
    <w:rsid w:val="00F1646A"/>
    <w:rsid w:val="00F538DC"/>
    <w:rsid w:val="00F826E0"/>
    <w:rsid w:val="00FB7ED6"/>
    <w:rsid w:val="00FE46E7"/>
    <w:rsid w:val="01541ED8"/>
    <w:rsid w:val="052B4646"/>
    <w:rsid w:val="06CA4B8F"/>
    <w:rsid w:val="0A572A34"/>
    <w:rsid w:val="12DE0C20"/>
    <w:rsid w:val="158F5031"/>
    <w:rsid w:val="199E3873"/>
    <w:rsid w:val="1EA40CF4"/>
    <w:rsid w:val="1FA0165A"/>
    <w:rsid w:val="22090B6C"/>
    <w:rsid w:val="22575DE2"/>
    <w:rsid w:val="264958D9"/>
    <w:rsid w:val="27BE0BD5"/>
    <w:rsid w:val="281D709D"/>
    <w:rsid w:val="2A8F2AC7"/>
    <w:rsid w:val="2B0B2850"/>
    <w:rsid w:val="3312296A"/>
    <w:rsid w:val="34204DB9"/>
    <w:rsid w:val="34B80F22"/>
    <w:rsid w:val="37DF6F5E"/>
    <w:rsid w:val="391B70EA"/>
    <w:rsid w:val="3A4B0C5C"/>
    <w:rsid w:val="3A950EA8"/>
    <w:rsid w:val="3AA42121"/>
    <w:rsid w:val="3B8F458E"/>
    <w:rsid w:val="3BB80824"/>
    <w:rsid w:val="3BC94FD2"/>
    <w:rsid w:val="3F033BBB"/>
    <w:rsid w:val="3FDA08B8"/>
    <w:rsid w:val="47322E16"/>
    <w:rsid w:val="47DC7A16"/>
    <w:rsid w:val="48390A7E"/>
    <w:rsid w:val="4AE17BF7"/>
    <w:rsid w:val="4B2C31E3"/>
    <w:rsid w:val="4B787AE8"/>
    <w:rsid w:val="53FE7431"/>
    <w:rsid w:val="562A7E7A"/>
    <w:rsid w:val="584868DE"/>
    <w:rsid w:val="5CF90768"/>
    <w:rsid w:val="5E343A36"/>
    <w:rsid w:val="5F9579F2"/>
    <w:rsid w:val="635220A1"/>
    <w:rsid w:val="67FA7AD4"/>
    <w:rsid w:val="67FD2000"/>
    <w:rsid w:val="6BC87862"/>
    <w:rsid w:val="74745854"/>
    <w:rsid w:val="74C65FB6"/>
    <w:rsid w:val="7B82293A"/>
    <w:rsid w:val="7BB21AE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6"/>
    <w:qFormat/>
    <w:uiPriority w:val="99"/>
    <w:pPr>
      <w:tabs>
        <w:tab w:val="center" w:pos="4153"/>
        <w:tab w:val="right" w:pos="8306"/>
      </w:tabs>
      <w:snapToGrid w:val="0"/>
    </w:pPr>
    <w:rPr>
      <w:sz w:val="18"/>
      <w:szCs w:val="18"/>
    </w:rPr>
  </w:style>
  <w:style w:type="paragraph" w:styleId="4">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semiHidden/>
    <w:unhideWhenUsed/>
    <w:qFormat/>
    <w:uiPriority w:val="99"/>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qFormat/>
    <w:uiPriority w:val="99"/>
    <w:rPr>
      <w:rFonts w:ascii="方正书宋_GBK" w:hAnsi="方正书宋_GBK" w:eastAsia="方正书宋_GBK" w:cs="方正书宋_GBK"/>
      <w:sz w:val="21"/>
    </w:rPr>
  </w:style>
  <w:style w:type="paragraph" w:customStyle="1" w:styleId="19">
    <w:name w:val="单元格样式3"/>
    <w:basedOn w:val="1"/>
    <w:qFormat/>
    <w:uiPriority w:val="99"/>
    <w:pPr>
      <w:jc w:val="center"/>
    </w:pPr>
    <w:rPr>
      <w:rFonts w:ascii="方正书宋_GBK" w:hAnsi="方正书宋_GBK" w:eastAsia="方正书宋_GBK" w:cs="方正书宋_GBK"/>
      <w:sz w:val="21"/>
    </w:rPr>
  </w:style>
  <w:style w:type="paragraph" w:customStyle="1" w:styleId="20">
    <w:name w:val="单元格样式6"/>
    <w:basedOn w:val="1"/>
    <w:qFormat/>
    <w:uiPriority w:val="99"/>
    <w:pPr>
      <w:jc w:val="center"/>
    </w:pPr>
    <w:rPr>
      <w:rFonts w:ascii="方正书宋_GBK" w:hAnsi="方正书宋_GBK" w:eastAsia="方正书宋_GBK" w:cs="方正书宋_GBK"/>
      <w:b/>
      <w:sz w:val="21"/>
    </w:rPr>
  </w:style>
  <w:style w:type="paragraph" w:customStyle="1" w:styleId="21">
    <w:name w:val="单元格样式7"/>
    <w:basedOn w:val="1"/>
    <w:qFormat/>
    <w:uiPriority w:val="99"/>
    <w:pPr>
      <w:jc w:val="right"/>
    </w:pPr>
    <w:rPr>
      <w:rFonts w:ascii="方正书宋_GBK" w:hAnsi="方正书宋_GBK" w:eastAsia="方正书宋_GBK" w:cs="方正书宋_GBK"/>
      <w:b/>
      <w:sz w:val="21"/>
    </w:rPr>
  </w:style>
  <w:style w:type="paragraph" w:customStyle="1" w:styleId="22">
    <w:name w:val="单元格样式5"/>
    <w:basedOn w:val="1"/>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7">
    <w:name w:val="插入文本样式-插入总体目标文件"/>
    <w:basedOn w:val="1"/>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0">
    <w:name w:val="单元格样式23"/>
    <w:basedOn w:val="1"/>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5">
    <w:name w:val="页眉 Char"/>
    <w:basedOn w:val="11"/>
    <w:link w:val="4"/>
    <w:qFormat/>
    <w:locked/>
    <w:uiPriority w:val="99"/>
    <w:rPr>
      <w:rFonts w:eastAsia="Times New Roman" w:cs="Times New Roman"/>
      <w:sz w:val="18"/>
      <w:szCs w:val="18"/>
      <w:lang w:eastAsia="uk-UA"/>
    </w:rPr>
  </w:style>
  <w:style w:type="character" w:customStyle="1" w:styleId="36">
    <w:name w:val="页脚 Char"/>
    <w:basedOn w:val="11"/>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6" textRotate="1"/>
    <customShpInfo spid="_x0000_s1037" textRotate="1"/>
    <customShpInfo spid="_x0000_s1038" textRotate="1"/>
    <customShpInfo spid="_x0000_s1039" textRotate="1"/>
    <customShpInfo spid="_x0000_s1040" textRotate="1"/>
    <customShpInfo spid="_x0000_s104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34</Pages>
  <Words>1856</Words>
  <Characters>2616</Characters>
  <Lines>58</Lines>
  <Paragraphs>41</Paragraphs>
  <TotalTime>2</TotalTime>
  <ScaleCrop>false</ScaleCrop>
  <LinksUpToDate>false</LinksUpToDate>
  <CharactersWithSpaces>2645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哎呀</cp:lastModifiedBy>
  <cp:lastPrinted>2022-06-16T05:11:00Z</cp:lastPrinted>
  <dcterms:modified xsi:type="dcterms:W3CDTF">2025-03-05T02:19:08Z</dcterms:modified>
  <dc:title>定兴县财政局所属单位预算</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46ED276FE4EF4CE3A3626E9D681ADC56</vt:lpwstr>
  </property>
</Properties>
</file>