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44"/>
          <w:szCs w:val="44"/>
        </w:rPr>
      </w:pPr>
      <w:r>
        <w:rPr>
          <w:rFonts w:hint="eastAsia" w:ascii="宋体" w:hAnsi="宋体"/>
          <w:b/>
          <w:sz w:val="44"/>
          <w:szCs w:val="44"/>
        </w:rPr>
        <w:t>涞水县永阳镇人民政府</w:t>
      </w:r>
    </w:p>
    <w:p>
      <w:pPr>
        <w:jc w:val="center"/>
        <w:rPr>
          <w:rFonts w:ascii="宋体"/>
          <w:b/>
          <w:sz w:val="44"/>
          <w:szCs w:val="44"/>
        </w:rPr>
      </w:pPr>
      <w:r>
        <w:rPr>
          <w:rFonts w:ascii="宋体" w:hAnsi="宋体"/>
          <w:b/>
          <w:sz w:val="44"/>
          <w:szCs w:val="44"/>
        </w:rPr>
        <w:t>2019</w:t>
      </w:r>
      <w:r>
        <w:rPr>
          <w:rFonts w:hint="eastAsia" w:ascii="宋体" w:hAnsi="宋体"/>
          <w:b/>
          <w:sz w:val="44"/>
          <w:szCs w:val="44"/>
        </w:rPr>
        <w:t>年</w:t>
      </w:r>
      <w:r>
        <w:rPr>
          <w:rFonts w:hint="eastAsia" w:ascii="宋体" w:hAnsi="宋体"/>
          <w:b/>
          <w:sz w:val="44"/>
          <w:szCs w:val="44"/>
          <w:lang w:eastAsia="zh-CN"/>
        </w:rPr>
        <w:t>部门</w:t>
      </w:r>
      <w:r>
        <w:rPr>
          <w:rFonts w:hint="eastAsia" w:ascii="宋体" w:hAnsi="宋体"/>
          <w:b/>
          <w:sz w:val="44"/>
          <w:szCs w:val="44"/>
        </w:rPr>
        <w:t>预算公开有关事项的说明</w:t>
      </w:r>
    </w:p>
    <w:p>
      <w:pPr>
        <w:jc w:val="center"/>
        <w:rPr>
          <w:rFonts w:ascii="宋体"/>
          <w:sz w:val="28"/>
          <w:szCs w:val="28"/>
        </w:rPr>
      </w:pPr>
    </w:p>
    <w:p>
      <w:pPr>
        <w:rPr>
          <w:rFonts w:hint="eastAsia" w:ascii="仿宋_GB2312" w:hAnsi="仿宋_GB2312" w:eastAsia="仿宋_GB2312" w:cs="仿宋_GB2312"/>
          <w:b/>
          <w:bCs/>
          <w:sz w:val="32"/>
          <w:szCs w:val="32"/>
        </w:rPr>
      </w:pPr>
      <w:r>
        <w:rPr>
          <w:rFonts w:hint="eastAsia" w:ascii="宋体" w:hAnsi="宋体"/>
          <w:b/>
          <w:bCs/>
          <w:sz w:val="28"/>
          <w:szCs w:val="28"/>
        </w:rPr>
        <w:t>一</w:t>
      </w:r>
      <w:r>
        <w:rPr>
          <w:rFonts w:hint="eastAsia" w:ascii="仿宋_GB2312" w:hAnsi="仿宋_GB2312" w:eastAsia="仿宋_GB2312" w:cs="仿宋_GB2312"/>
          <w:b/>
          <w:bCs/>
          <w:sz w:val="32"/>
          <w:szCs w:val="32"/>
        </w:rPr>
        <w:t>、部门职责及机构设置情况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我单位行政编制24人，事业编制2人。实有在职人员26人，退休人员12人。</w:t>
      </w:r>
    </w:p>
    <w:p>
      <w:pPr>
        <w:rPr>
          <w:rFonts w:hint="eastAsia" w:ascii="仿宋_GB2312" w:hAnsi="仿宋_GB2312" w:eastAsia="仿宋_GB2312" w:cs="仿宋_GB2312"/>
          <w:w w:val="8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w w:val="80"/>
          <w:sz w:val="32"/>
          <w:szCs w:val="32"/>
        </w:rPr>
        <w:t xml:space="preserve">  永阳镇人民政府部门职责如下：</w:t>
      </w:r>
    </w:p>
    <w:p>
      <w:pPr>
        <w:widowControl/>
        <w:shd w:val="clear" w:color="auto" w:fill="FFFFFF"/>
        <w:spacing w:line="560" w:lineRule="atLeast"/>
        <w:ind w:firstLine="768" w:firstLineChars="3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w w:val="80"/>
          <w:kern w:val="0"/>
          <w:sz w:val="32"/>
          <w:szCs w:val="32"/>
        </w:rPr>
        <w:t>1，执行党的各项方针政策，制定本地经济和社会发展规划，并逐一落实；2，抓好项目落实，疏通融资渠道；3，做好信息的上报下达，完成上级交派的各项任务；   4，处理人民群众来信、来访； 5，保证乡镇稳定工作进行，做好对重点人员的监控  工作，防止其违法犯罪</w:t>
      </w:r>
    </w:p>
    <w:p>
      <w:pPr>
        <w:widowControl/>
        <w:shd w:val="clear" w:color="auto" w:fill="FFFFFF"/>
        <w:spacing w:line="560" w:lineRule="atLeast"/>
        <w:ind w:firstLine="640" w:firstLineChars="200"/>
        <w:jc w:val="left"/>
        <w:rPr>
          <w:rFonts w:hint="eastAsia" w:ascii="仿宋_GB2312" w:hAnsi="仿宋_GB2312" w:eastAsia="仿宋_GB2312" w:cs="仿宋_GB2312"/>
          <w:color w:val="000000"/>
          <w:kern w:val="0"/>
          <w:sz w:val="32"/>
          <w:szCs w:val="32"/>
        </w:rPr>
      </w:pPr>
    </w:p>
    <w:p>
      <w:pPr>
        <w:widowControl/>
        <w:shd w:val="clear" w:color="auto" w:fill="FFFFFF"/>
        <w:spacing w:line="560" w:lineRule="atLeas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机构设置</w:t>
      </w:r>
    </w:p>
    <w:tbl>
      <w:tblPr>
        <w:tblStyle w:val="6"/>
        <w:tblW w:w="8761" w:type="dxa"/>
        <w:tblInd w:w="93" w:type="dxa"/>
        <w:tblLayout w:type="fixed"/>
        <w:tblCellMar>
          <w:top w:w="0" w:type="dxa"/>
          <w:left w:w="108" w:type="dxa"/>
          <w:bottom w:w="0" w:type="dxa"/>
          <w:right w:w="108" w:type="dxa"/>
        </w:tblCellMar>
      </w:tblPr>
      <w:tblGrid>
        <w:gridCol w:w="965"/>
        <w:gridCol w:w="2074"/>
        <w:gridCol w:w="1896"/>
        <w:gridCol w:w="1699"/>
        <w:gridCol w:w="2127"/>
      </w:tblGrid>
      <w:tr>
        <w:tblPrEx>
          <w:tblCellMar>
            <w:top w:w="0" w:type="dxa"/>
            <w:left w:w="108" w:type="dxa"/>
            <w:bottom w:w="0" w:type="dxa"/>
            <w:right w:w="108" w:type="dxa"/>
          </w:tblCellMar>
        </w:tblPrEx>
        <w:trPr>
          <w:trHeight w:val="802" w:hRule="atLeast"/>
        </w:trPr>
        <w:tc>
          <w:tcPr>
            <w:tcW w:w="8761" w:type="dxa"/>
            <w:gridSpan w:val="5"/>
            <w:tcBorders>
              <w:top w:val="nil"/>
              <w:left w:val="nil"/>
              <w:bottom w:val="single" w:color="auto" w:sz="4" w:space="0"/>
              <w:right w:val="nil"/>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部门机构设置情况</w:t>
            </w:r>
          </w:p>
        </w:tc>
      </w:tr>
      <w:tr>
        <w:tblPrEx>
          <w:tblCellMar>
            <w:top w:w="0" w:type="dxa"/>
            <w:left w:w="108" w:type="dxa"/>
            <w:bottom w:w="0" w:type="dxa"/>
            <w:right w:w="108" w:type="dxa"/>
          </w:tblCellMar>
        </w:tblPrEx>
        <w:trPr>
          <w:trHeight w:val="713" w:hRule="atLeast"/>
        </w:trPr>
        <w:tc>
          <w:tcPr>
            <w:tcW w:w="965"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序号</w:t>
            </w:r>
          </w:p>
        </w:tc>
        <w:tc>
          <w:tcPr>
            <w:tcW w:w="2074"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单位名称</w:t>
            </w:r>
          </w:p>
        </w:tc>
        <w:tc>
          <w:tcPr>
            <w:tcW w:w="189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单位性质</w:t>
            </w:r>
          </w:p>
        </w:tc>
        <w:tc>
          <w:tcPr>
            <w:tcW w:w="169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单位规格</w:t>
            </w:r>
          </w:p>
        </w:tc>
        <w:tc>
          <w:tcPr>
            <w:tcW w:w="212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28"/>
                <w:szCs w:val="28"/>
              </w:rPr>
              <w:t>经费保障形式</w:t>
            </w:r>
          </w:p>
        </w:tc>
      </w:tr>
      <w:tr>
        <w:tblPrEx>
          <w:tblCellMar>
            <w:top w:w="0" w:type="dxa"/>
            <w:left w:w="108" w:type="dxa"/>
            <w:bottom w:w="0" w:type="dxa"/>
            <w:right w:w="108" w:type="dxa"/>
          </w:tblCellMar>
        </w:tblPrEx>
        <w:trPr>
          <w:trHeight w:val="624" w:hRule="atLeast"/>
        </w:trPr>
        <w:tc>
          <w:tcPr>
            <w:tcW w:w="965"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color w:val="000000"/>
                <w:kern w:val="0"/>
                <w:sz w:val="32"/>
                <w:szCs w:val="32"/>
              </w:rPr>
            </w:pPr>
          </w:p>
        </w:tc>
        <w:tc>
          <w:tcPr>
            <w:tcW w:w="2074"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color w:val="000000"/>
                <w:kern w:val="0"/>
                <w:sz w:val="32"/>
                <w:szCs w:val="32"/>
              </w:rPr>
            </w:pPr>
          </w:p>
        </w:tc>
        <w:tc>
          <w:tcPr>
            <w:tcW w:w="1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color w:val="000000"/>
                <w:kern w:val="0"/>
                <w:sz w:val="32"/>
                <w:szCs w:val="32"/>
              </w:rPr>
            </w:pPr>
          </w:p>
        </w:tc>
        <w:tc>
          <w:tcPr>
            <w:tcW w:w="169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color w:val="000000"/>
                <w:kern w:val="0"/>
                <w:sz w:val="32"/>
                <w:szCs w:val="32"/>
              </w:rPr>
            </w:pPr>
          </w:p>
        </w:tc>
        <w:tc>
          <w:tcPr>
            <w:tcW w:w="212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color w:val="000000"/>
                <w:kern w:val="0"/>
                <w:sz w:val="32"/>
                <w:szCs w:val="32"/>
              </w:rPr>
            </w:pPr>
          </w:p>
        </w:tc>
      </w:tr>
      <w:tr>
        <w:tblPrEx>
          <w:tblCellMar>
            <w:top w:w="0" w:type="dxa"/>
            <w:left w:w="108" w:type="dxa"/>
            <w:bottom w:w="0" w:type="dxa"/>
            <w:right w:w="108" w:type="dxa"/>
          </w:tblCellMar>
        </w:tblPrEx>
        <w:trPr>
          <w:trHeight w:val="713" w:hRule="atLeast"/>
        </w:trPr>
        <w:tc>
          <w:tcPr>
            <w:tcW w:w="965"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p>
        </w:tc>
        <w:tc>
          <w:tcPr>
            <w:tcW w:w="2074"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涞水县永阳镇人民政府</w:t>
            </w:r>
          </w:p>
        </w:tc>
        <w:tc>
          <w:tcPr>
            <w:tcW w:w="1896"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行政</w:t>
            </w:r>
          </w:p>
        </w:tc>
        <w:tc>
          <w:tcPr>
            <w:tcW w:w="169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正科级</w:t>
            </w:r>
          </w:p>
        </w:tc>
        <w:tc>
          <w:tcPr>
            <w:tcW w:w="212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财政拨款</w:t>
            </w:r>
          </w:p>
        </w:tc>
      </w:tr>
    </w:tbl>
    <w:p>
      <w:pPr>
        <w:widowControl/>
        <w:shd w:val="clear" w:color="auto" w:fill="FFFFFF"/>
        <w:spacing w:line="560" w:lineRule="atLeast"/>
        <w:jc w:val="left"/>
        <w:rPr>
          <w:rFonts w:hint="eastAsia" w:ascii="仿宋_GB2312" w:hAnsi="仿宋_GB2312" w:eastAsia="仿宋_GB2312" w:cs="仿宋_GB2312"/>
          <w:color w:val="000000"/>
          <w:kern w:val="0"/>
          <w:sz w:val="32"/>
          <w:szCs w:val="32"/>
        </w:rPr>
      </w:pPr>
    </w:p>
    <w:p>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部门预算安排总体情况</w:t>
      </w: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1、收支情况</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我单位一般公共预算拨款收入275.42万元，其中非限额补助275.42万元。部门预算支出275.42万元，其中，基本支出255.42万元，包含人员经费210.38万元，日常公用经费45.04万元；项目支出20万元。</w:t>
      </w:r>
    </w:p>
    <w:p>
      <w:pPr>
        <w:spacing w:line="54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2、比上年增减情况</w:t>
      </w:r>
    </w:p>
    <w:p>
      <w:pPr>
        <w:spacing w:line="54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本年度预算收支安排275.42万元，较上年增加20.35万元。其中:基本支出增加23.35万元，主要资金增加</w:t>
      </w:r>
      <w:r>
        <w:rPr>
          <w:rFonts w:hint="eastAsia" w:ascii="仿宋_GB2312" w:hAnsi="仿宋_GB2312" w:eastAsia="仿宋_GB2312" w:cs="仿宋_GB2312"/>
          <w:color w:val="000000"/>
          <w:kern w:val="0"/>
          <w:sz w:val="32"/>
          <w:szCs w:val="32"/>
          <w:lang w:eastAsia="zh-CN"/>
        </w:rPr>
        <w:t>工资保险调整</w:t>
      </w:r>
      <w:r>
        <w:rPr>
          <w:rFonts w:hint="eastAsia" w:ascii="仿宋_GB2312" w:hAnsi="仿宋_GB2312" w:eastAsia="仿宋_GB2312" w:cs="仿宋_GB2312"/>
          <w:color w:val="000000"/>
          <w:kern w:val="0"/>
          <w:sz w:val="32"/>
          <w:szCs w:val="32"/>
        </w:rPr>
        <w:t>，公务员</w:t>
      </w:r>
      <w:r>
        <w:rPr>
          <w:rFonts w:hint="eastAsia" w:ascii="仿宋_GB2312" w:hAnsi="仿宋_GB2312" w:eastAsia="仿宋_GB2312" w:cs="仿宋_GB2312"/>
          <w:color w:val="000000"/>
          <w:kern w:val="0"/>
          <w:sz w:val="32"/>
          <w:szCs w:val="32"/>
          <w:lang w:eastAsia="zh-CN"/>
        </w:rPr>
        <w:t>增加</w:t>
      </w:r>
      <w:r>
        <w:rPr>
          <w:rFonts w:hint="eastAsia" w:ascii="仿宋_GB2312" w:hAnsi="仿宋_GB2312" w:eastAsia="仿宋_GB2312" w:cs="仿宋_GB2312"/>
          <w:color w:val="000000"/>
          <w:kern w:val="0"/>
          <w:sz w:val="32"/>
          <w:szCs w:val="32"/>
        </w:rPr>
        <w:t>1名等；项目支出减少3万元，主要减少了对</w:t>
      </w:r>
      <w:r>
        <w:rPr>
          <w:rFonts w:hint="eastAsia" w:ascii="仿宋_GB2312" w:hAnsi="仿宋_GB2312" w:eastAsia="仿宋_GB2312" w:cs="仿宋_GB2312"/>
          <w:color w:val="000000"/>
          <w:kern w:val="0"/>
          <w:sz w:val="32"/>
          <w:szCs w:val="32"/>
          <w:lang w:eastAsia="zh-CN"/>
        </w:rPr>
        <w:t>村级惠民监督小组工作经费</w:t>
      </w:r>
      <w:r>
        <w:rPr>
          <w:rFonts w:hint="eastAsia" w:ascii="仿宋_GB2312" w:hAnsi="仿宋_GB2312" w:eastAsia="仿宋_GB2312" w:cs="仿宋_GB2312"/>
          <w:color w:val="000000"/>
          <w:kern w:val="0"/>
          <w:sz w:val="32"/>
          <w:szCs w:val="32"/>
        </w:rPr>
        <w:t>补。</w:t>
      </w:r>
    </w:p>
    <w:p>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机关运行经费安排情况</w:t>
      </w:r>
    </w:p>
    <w:p>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日常公用经费预算支出45.04万元，包含办公费3.25万元，取暖费8万元，差旅费1万元，公务用车运行维护费6.5万元，公务接待5.8万元，劳务费2.4万元，工会经费1.62万元，其他商品和服务支出3.27万元，其他交通费用13.2万元。</w:t>
      </w:r>
    </w:p>
    <w:p>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财政拨款“三公”经费预算情况</w:t>
      </w:r>
    </w:p>
    <w:p>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我单位2019年</w:t>
      </w:r>
      <w:r>
        <w:rPr>
          <w:rFonts w:hint="eastAsia" w:ascii="仿宋_GB2312" w:hAnsi="仿宋_GB2312" w:eastAsia="仿宋_GB2312" w:cs="仿宋_GB2312"/>
          <w:sz w:val="32"/>
          <w:szCs w:val="32"/>
          <w:lang w:eastAsia="zh-CN"/>
        </w:rPr>
        <w:t>“三公”经费</w:t>
      </w:r>
      <w:r>
        <w:rPr>
          <w:rFonts w:hint="eastAsia" w:ascii="仿宋_GB2312" w:hAnsi="仿宋_GB2312" w:eastAsia="仿宋_GB2312" w:cs="仿宋_GB2312"/>
          <w:sz w:val="32"/>
          <w:szCs w:val="32"/>
        </w:rPr>
        <w:t>预算拨款12.3万元，其中公务车运行维护费6.5万元，公务接待费5.8万元，预计接待批次221次，预计接待人数2217人。无因公出国（境）费。</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我单位2018年</w:t>
      </w:r>
      <w:r>
        <w:rPr>
          <w:rFonts w:hint="eastAsia" w:ascii="仿宋_GB2312" w:hAnsi="仿宋_GB2312" w:eastAsia="仿宋_GB2312" w:cs="仿宋_GB2312"/>
          <w:sz w:val="32"/>
          <w:szCs w:val="32"/>
          <w:lang w:eastAsia="zh-CN"/>
        </w:rPr>
        <w:t>“三公”经费</w:t>
      </w:r>
      <w:r>
        <w:rPr>
          <w:rFonts w:hint="eastAsia" w:ascii="仿宋_GB2312" w:hAnsi="仿宋_GB2312" w:eastAsia="仿宋_GB2312" w:cs="仿宋_GB2312"/>
          <w:sz w:val="32"/>
          <w:szCs w:val="32"/>
        </w:rPr>
        <w:t>合计13.5万元，其中公务用车运行维护费7万元，公务接待费6.5万</w:t>
      </w:r>
      <w:r>
        <w:rPr>
          <w:rFonts w:hint="eastAsia" w:ascii="仿宋_GB2312" w:hAnsi="仿宋_GB2312" w:eastAsia="仿宋_GB2312" w:cs="仿宋_GB2312"/>
          <w:sz w:val="32"/>
          <w:szCs w:val="32"/>
          <w:lang w:eastAsia="zh-CN"/>
        </w:rPr>
        <w:t>元。</w:t>
      </w:r>
      <w:bookmarkStart w:id="2" w:name="_GoBack"/>
      <w:bookmarkEnd w:id="2"/>
    </w:p>
    <w:p>
      <w:pPr>
        <w:ind w:firstLine="56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2019年我单位计划对公车加强管理、控制车辆使用，对公车日常养护、加油实行定点专人管理，因此公务用车运行维护费比2018年减少</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万元。我单位2019年计划对公务接待的次数和人数进行缩减，严格控制公务接待的规模，深入贯彻落实《党政机关厉行节约反对浪费条例》，因此</w:t>
      </w:r>
      <w:r>
        <w:rPr>
          <w:rFonts w:hint="eastAsia" w:ascii="仿宋_GB2312" w:hAnsi="仿宋_GB2312" w:eastAsia="仿宋_GB2312" w:cs="仿宋_GB2312"/>
          <w:color w:val="000000"/>
          <w:kern w:val="0"/>
          <w:sz w:val="32"/>
          <w:szCs w:val="32"/>
        </w:rPr>
        <w:t>比2018年减少0.</w:t>
      </w:r>
      <w:r>
        <w:rPr>
          <w:rFonts w:hint="eastAsia" w:ascii="仿宋_GB2312" w:hAnsi="仿宋_GB2312" w:eastAsia="仿宋_GB2312" w:cs="仿宋_GB2312"/>
          <w:color w:val="000000"/>
          <w:kern w:val="0"/>
          <w:sz w:val="32"/>
          <w:szCs w:val="32"/>
          <w:lang w:val="en-US" w:eastAsia="zh-CN"/>
        </w:rPr>
        <w:t>7</w:t>
      </w:r>
      <w:r>
        <w:rPr>
          <w:rFonts w:hint="eastAsia" w:ascii="仿宋_GB2312" w:hAnsi="仿宋_GB2312" w:eastAsia="仿宋_GB2312" w:cs="仿宋_GB2312"/>
          <w:color w:val="000000"/>
          <w:kern w:val="0"/>
          <w:sz w:val="32"/>
          <w:szCs w:val="32"/>
        </w:rPr>
        <w:t>万元。</w:t>
      </w:r>
    </w:p>
    <w:tbl>
      <w:tblPr>
        <w:tblStyle w:val="6"/>
        <w:tblW w:w="10275" w:type="dxa"/>
        <w:tblInd w:w="-838" w:type="dxa"/>
        <w:tblLayout w:type="fixed"/>
        <w:tblCellMar>
          <w:top w:w="0" w:type="dxa"/>
          <w:left w:w="108" w:type="dxa"/>
          <w:bottom w:w="0" w:type="dxa"/>
          <w:right w:w="108" w:type="dxa"/>
        </w:tblCellMar>
      </w:tblPr>
      <w:tblGrid>
        <w:gridCol w:w="2734"/>
        <w:gridCol w:w="1529"/>
        <w:gridCol w:w="1529"/>
        <w:gridCol w:w="1056"/>
        <w:gridCol w:w="3427"/>
      </w:tblGrid>
      <w:tr>
        <w:tblPrEx>
          <w:tblCellMar>
            <w:top w:w="0" w:type="dxa"/>
            <w:left w:w="108" w:type="dxa"/>
            <w:bottom w:w="0" w:type="dxa"/>
            <w:right w:w="108" w:type="dxa"/>
          </w:tblCellMar>
        </w:tblPrEx>
        <w:trPr>
          <w:trHeight w:val="405" w:hRule="atLeast"/>
        </w:trPr>
        <w:tc>
          <w:tcPr>
            <w:tcW w:w="10275" w:type="dxa"/>
            <w:gridSpan w:val="5"/>
            <w:tcBorders>
              <w:top w:val="nil"/>
              <w:left w:val="nil"/>
              <w:bottom w:val="nil"/>
              <w:right w:val="nil"/>
            </w:tcBorders>
            <w:vAlign w:val="center"/>
          </w:tcPr>
          <w:p>
            <w:pPr>
              <w:widowControl/>
              <w:spacing w:line="52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“三公”经费预算情况及增减</w:t>
            </w:r>
            <w:r>
              <w:rPr>
                <w:rFonts w:hint="eastAsia" w:ascii="仿宋_GB2312" w:hAnsi="仿宋_GB2312" w:eastAsia="仿宋_GB2312" w:cs="仿宋_GB2312"/>
                <w:sz w:val="28"/>
                <w:szCs w:val="28"/>
                <w:lang w:eastAsia="zh-CN"/>
              </w:rPr>
              <w:t>变化情况</w:t>
            </w:r>
          </w:p>
        </w:tc>
      </w:tr>
      <w:tr>
        <w:tblPrEx>
          <w:tblCellMar>
            <w:top w:w="0" w:type="dxa"/>
            <w:left w:w="108" w:type="dxa"/>
            <w:bottom w:w="0" w:type="dxa"/>
            <w:right w:w="108" w:type="dxa"/>
          </w:tblCellMar>
        </w:tblPrEx>
        <w:trPr>
          <w:trHeight w:val="221" w:hRule="atLeast"/>
        </w:trPr>
        <w:tc>
          <w:tcPr>
            <w:tcW w:w="2734"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1529"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1529"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1056"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3427" w:type="dxa"/>
            <w:tcBorders>
              <w:top w:val="nil"/>
              <w:left w:val="nil"/>
              <w:bottom w:val="nil"/>
              <w:right w:val="nil"/>
            </w:tcBorders>
            <w:vAlign w:val="center"/>
          </w:tcPr>
          <w:p>
            <w:pPr>
              <w:widowControl/>
              <w:jc w:val="righ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单位：万元</w:t>
            </w:r>
          </w:p>
        </w:tc>
      </w:tr>
      <w:tr>
        <w:tblPrEx>
          <w:tblCellMar>
            <w:top w:w="0" w:type="dxa"/>
            <w:left w:w="108" w:type="dxa"/>
            <w:bottom w:w="0" w:type="dxa"/>
            <w:right w:w="108" w:type="dxa"/>
          </w:tblCellMar>
        </w:tblPrEx>
        <w:trPr>
          <w:trHeight w:val="285" w:hRule="atLeast"/>
        </w:trPr>
        <w:tc>
          <w:tcPr>
            <w:tcW w:w="27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项目名称</w:t>
            </w:r>
          </w:p>
        </w:tc>
        <w:tc>
          <w:tcPr>
            <w:tcW w:w="1529"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2018年度预算</w:t>
            </w:r>
          </w:p>
        </w:tc>
        <w:tc>
          <w:tcPr>
            <w:tcW w:w="1529"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2018年度预算</w:t>
            </w:r>
          </w:p>
        </w:tc>
        <w:tc>
          <w:tcPr>
            <w:tcW w:w="1056"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增减金额</w:t>
            </w:r>
          </w:p>
        </w:tc>
        <w:tc>
          <w:tcPr>
            <w:tcW w:w="3427"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变化情况</w:t>
            </w:r>
          </w:p>
        </w:tc>
      </w:tr>
      <w:tr>
        <w:tblPrEx>
          <w:tblCellMar>
            <w:top w:w="0" w:type="dxa"/>
            <w:left w:w="108" w:type="dxa"/>
            <w:bottom w:w="0" w:type="dxa"/>
            <w:right w:w="108" w:type="dxa"/>
          </w:tblCellMar>
        </w:tblPrEx>
        <w:trPr>
          <w:trHeight w:val="285" w:hRule="atLeast"/>
        </w:trPr>
        <w:tc>
          <w:tcPr>
            <w:tcW w:w="273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因公出国经费</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056"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342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无增减变化</w:t>
            </w:r>
          </w:p>
        </w:tc>
      </w:tr>
      <w:tr>
        <w:tblPrEx>
          <w:tblCellMar>
            <w:top w:w="0" w:type="dxa"/>
            <w:left w:w="108" w:type="dxa"/>
            <w:bottom w:w="0" w:type="dxa"/>
            <w:right w:w="108" w:type="dxa"/>
          </w:tblCellMar>
        </w:tblPrEx>
        <w:trPr>
          <w:trHeight w:val="285" w:hRule="atLeast"/>
        </w:trPr>
        <w:tc>
          <w:tcPr>
            <w:tcW w:w="273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公务用车购置经费</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056"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342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无增减变化</w:t>
            </w:r>
          </w:p>
        </w:tc>
      </w:tr>
      <w:tr>
        <w:tblPrEx>
          <w:tblCellMar>
            <w:top w:w="0" w:type="dxa"/>
            <w:left w:w="108" w:type="dxa"/>
            <w:bottom w:w="0" w:type="dxa"/>
            <w:right w:w="108" w:type="dxa"/>
          </w:tblCellMar>
        </w:tblPrEx>
        <w:trPr>
          <w:trHeight w:val="570" w:hRule="atLeast"/>
        </w:trPr>
        <w:tc>
          <w:tcPr>
            <w:tcW w:w="273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公务用车运行经费</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6.5</w:t>
            </w:r>
          </w:p>
        </w:tc>
        <w:tc>
          <w:tcPr>
            <w:tcW w:w="1056"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-0.5</w:t>
            </w:r>
          </w:p>
        </w:tc>
        <w:tc>
          <w:tcPr>
            <w:tcW w:w="342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对公车加强管理、控制车辆使用</w:t>
            </w:r>
          </w:p>
        </w:tc>
      </w:tr>
      <w:tr>
        <w:tblPrEx>
          <w:tblCellMar>
            <w:top w:w="0" w:type="dxa"/>
            <w:left w:w="108" w:type="dxa"/>
            <w:bottom w:w="0" w:type="dxa"/>
            <w:right w:w="108" w:type="dxa"/>
          </w:tblCellMar>
        </w:tblPrEx>
        <w:trPr>
          <w:trHeight w:val="855" w:hRule="atLeast"/>
        </w:trPr>
        <w:tc>
          <w:tcPr>
            <w:tcW w:w="273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公务接待费支出</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6.5</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5.8</w:t>
            </w:r>
          </w:p>
        </w:tc>
        <w:tc>
          <w:tcPr>
            <w:tcW w:w="1056"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-0.7</w:t>
            </w:r>
          </w:p>
        </w:tc>
        <w:tc>
          <w:tcPr>
            <w:tcW w:w="342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《党政机关厉行节约反对浪费条例》</w:t>
            </w:r>
          </w:p>
        </w:tc>
      </w:tr>
      <w:tr>
        <w:tblPrEx>
          <w:tblCellMar>
            <w:top w:w="0" w:type="dxa"/>
            <w:left w:w="108" w:type="dxa"/>
            <w:bottom w:w="0" w:type="dxa"/>
            <w:right w:w="108" w:type="dxa"/>
          </w:tblCellMar>
        </w:tblPrEx>
        <w:trPr>
          <w:trHeight w:val="1140" w:hRule="atLeast"/>
        </w:trPr>
        <w:tc>
          <w:tcPr>
            <w:tcW w:w="273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13.5</w:t>
            </w:r>
          </w:p>
        </w:tc>
        <w:tc>
          <w:tcPr>
            <w:tcW w:w="152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12.3</w:t>
            </w:r>
          </w:p>
        </w:tc>
        <w:tc>
          <w:tcPr>
            <w:tcW w:w="1056"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w:t>
            </w:r>
          </w:p>
        </w:tc>
        <w:tc>
          <w:tcPr>
            <w:tcW w:w="342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对公车加强管理、控制车辆使用、《党政机关厉行节约反对浪费条例》</w:t>
            </w:r>
          </w:p>
        </w:tc>
      </w:tr>
      <w:tr>
        <w:tblPrEx>
          <w:tblCellMar>
            <w:top w:w="0" w:type="dxa"/>
            <w:left w:w="108" w:type="dxa"/>
            <w:bottom w:w="0" w:type="dxa"/>
            <w:right w:w="108" w:type="dxa"/>
          </w:tblCellMar>
        </w:tblPrEx>
        <w:trPr>
          <w:trHeight w:val="285" w:hRule="atLeast"/>
        </w:trPr>
        <w:tc>
          <w:tcPr>
            <w:tcW w:w="2734"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1529"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1529"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1056"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c>
          <w:tcPr>
            <w:tcW w:w="3427" w:type="dxa"/>
            <w:tcBorders>
              <w:top w:val="nil"/>
              <w:left w:val="nil"/>
              <w:bottom w:val="nil"/>
              <w:right w:val="nil"/>
            </w:tcBorders>
            <w:vAlign w:val="center"/>
          </w:tcPr>
          <w:p>
            <w:pPr>
              <w:widowControl/>
              <w:jc w:val="left"/>
              <w:rPr>
                <w:rFonts w:hint="eastAsia" w:ascii="仿宋_GB2312" w:hAnsi="仿宋_GB2312" w:eastAsia="仿宋_GB2312" w:cs="仿宋_GB2312"/>
                <w:kern w:val="0"/>
                <w:sz w:val="28"/>
                <w:szCs w:val="28"/>
              </w:rPr>
            </w:pPr>
          </w:p>
        </w:tc>
      </w:tr>
    </w:tbl>
    <w:p>
      <w:pPr>
        <w:jc w:val="left"/>
        <w:rPr>
          <w:rFonts w:hint="eastAsia" w:ascii="仿宋_GB2312" w:hAnsi="仿宋_GB2312" w:eastAsia="仿宋_GB2312" w:cs="仿宋_GB2312"/>
          <w:color w:val="000000"/>
          <w:kern w:val="0"/>
          <w:sz w:val="32"/>
          <w:szCs w:val="32"/>
        </w:rPr>
      </w:pPr>
    </w:p>
    <w:p>
      <w:pPr>
        <w:numPr>
          <w:ilvl w:val="0"/>
          <w:numId w:val="1"/>
        </w:numPr>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绩效预算信息情况</w:t>
      </w:r>
    </w:p>
    <w:p>
      <w:pPr>
        <w:ind w:firstLine="627" w:firstLineChars="196"/>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总体绩效目标：绩效目标管理是预算绩效管理的基础和源头，我镇将认真开展2019年预算绩效目标管理。</w:t>
      </w:r>
    </w:p>
    <w:p>
      <w:pPr>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     一是扩大管理范围。积极扩大绩效目标和申报资金的范围，将项目支出绩效目标覆盖所有支出范围。在编制2019年预算时申报项目支出绩效目标。</w:t>
      </w:r>
    </w:p>
    <w:p>
      <w:pPr>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     二是拓展管理层次。在项目支出绩效目标的基础上，加强部门整体支出绩效目标管理。按要求编报2019年部门整体支出绩效目标。</w:t>
      </w:r>
    </w:p>
    <w:p>
      <w:pPr>
        <w:jc w:val="left"/>
        <w:rPr>
          <w:rFonts w:hint="eastAsia" w:ascii="仿宋_GB2312" w:hAnsi="仿宋_GB2312" w:eastAsia="仿宋_GB2312" w:cs="仿宋_GB2312"/>
          <w:sz w:val="32"/>
          <w:szCs w:val="32"/>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b w:val="0"/>
          <w:bCs w:val="0"/>
          <w:color w:val="000000"/>
          <w:kern w:val="0"/>
          <w:sz w:val="32"/>
          <w:szCs w:val="32"/>
        </w:rPr>
        <w:t>     三是规范管理方式。将预算绩效目标管理纳入预算绩效管理信息系统，提高绩效目标管理科学化、规范化水平，提高工作质量和效率。</w:t>
      </w:r>
    </w:p>
    <w:p>
      <w:pPr>
        <w:jc w:val="left"/>
        <w:rPr>
          <w:rFonts w:ascii="宋体" w:cs="宋体"/>
          <w:b/>
          <w:bCs/>
          <w:color w:val="000000"/>
          <w:kern w:val="0"/>
          <w:sz w:val="28"/>
          <w:szCs w:val="28"/>
        </w:rPr>
      </w:pPr>
    </w:p>
    <w:p>
      <w:pPr>
        <w:jc w:val="center"/>
        <w:outlineLvl w:val="0"/>
        <w:rPr>
          <w:rFonts w:ascii="方正小标宋_GBK" w:eastAsia="方正小标宋_GBK"/>
          <w:sz w:val="32"/>
        </w:rPr>
      </w:pPr>
      <w:bookmarkStart w:id="0" w:name="_Toc507405375"/>
      <w:bookmarkStart w:id="1" w:name="OLE_LINK1"/>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ascii="方正小标宋_GBK" w:eastAsia="方正小标宋_GBK"/>
                <w:sz w:val="24"/>
              </w:rPr>
              <w:t>804</w:t>
            </w:r>
            <w:r>
              <w:rPr>
                <w:rFonts w:hint="eastAsia" w:ascii="方正小标宋_GBK" w:eastAsia="方正小标宋_GBK"/>
                <w:sz w:val="24"/>
              </w:rPr>
              <w:t>涞水县永阳镇人民政府</w:t>
            </w:r>
          </w:p>
        </w:tc>
        <w:tc>
          <w:tcPr>
            <w:tcW w:w="2948" w:type="dxa"/>
            <w:gridSpan w:val="4"/>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pPr>
              <w:spacing w:line="300" w:lineRule="exact"/>
              <w:jc w:val="left"/>
              <w:outlineLvl w:val="0"/>
            </w:pPr>
          </w:p>
        </w:tc>
        <w:tc>
          <w:tcPr>
            <w:tcW w:w="12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1417" w:type="dxa"/>
            <w:vMerge w:val="continue"/>
            <w:vAlign w:val="center"/>
          </w:tcPr>
          <w:p>
            <w:pPr>
              <w:spacing w:line="300" w:lineRule="exact"/>
              <w:jc w:val="left"/>
              <w:outlineLvl w:val="0"/>
            </w:pP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一、党的基层组织建设</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党的基层组织建设、党的纪律检查工作；机关日常党务、政务协调管理；人大、群团、武装等相关工作。</w:t>
            </w:r>
          </w:p>
        </w:tc>
        <w:tc>
          <w:tcPr>
            <w:tcW w:w="2976" w:type="dxa"/>
            <w:vAlign w:val="center"/>
          </w:tcPr>
          <w:p>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提升基层党组织的凝聚力、战斗力，巩固党的执政基础。</w:t>
            </w:r>
          </w:p>
          <w:p>
            <w:pPr>
              <w:spacing w:line="300" w:lineRule="exact"/>
              <w:jc w:val="left"/>
              <w:rPr>
                <w:rFonts w:ascii="方正书宋_GBK" w:eastAsia="方正书宋_GBK"/>
              </w:rPr>
            </w:pPr>
            <w:r>
              <w:rPr>
                <w:rFonts w:hint="eastAsia" w:ascii="方正书宋_GBK" w:eastAsia="方正书宋_GBK"/>
              </w:rPr>
              <w:t>扩大党的工作的覆盖面。</w:t>
            </w:r>
          </w:p>
          <w:p>
            <w:pPr>
              <w:spacing w:line="300" w:lineRule="exact"/>
              <w:jc w:val="left"/>
              <w:rPr>
                <w:rFonts w:ascii="方正书宋_GBK" w:eastAsia="方正书宋_GBK"/>
              </w:rPr>
            </w:pPr>
            <w:r>
              <w:rPr>
                <w:rFonts w:hint="eastAsia" w:ascii="方正书宋_GBK" w:eastAsia="方正书宋_GBK"/>
              </w:rPr>
              <w:t>建设服务型党组织，密切党群、干群关系。</w:t>
            </w:r>
          </w:p>
          <w:p>
            <w:pPr>
              <w:spacing w:line="300" w:lineRule="exact"/>
              <w:jc w:val="left"/>
              <w:rPr>
                <w:rFonts w:ascii="方正书宋_GBK" w:eastAsia="方正书宋_GBK"/>
              </w:rPr>
            </w:pPr>
            <w:r>
              <w:rPr>
                <w:rFonts w:hint="eastAsia" w:ascii="方正书宋_GBK" w:eastAsia="方正书宋_GBK"/>
              </w:rPr>
              <w:t>落实村级补助专项资金，确保农村党的基层组织正常运转。</w:t>
            </w:r>
            <w:r>
              <w:rPr>
                <w:rFonts w:ascii="方正书宋_GBK" w:eastAsia="方正书宋_GBK"/>
              </w:rPr>
              <w:t>"</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、村级公用经费</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按行政村人口数量划档分类，按不同档次划拨相应资金。</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严格执行县财政体制确定标准，及时拨付到位。</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、村干部补贴及保险</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在职村干部生活补贴、绩效补贴、新型农村养老保险补贴，村计生专干工资。加强考核，及时发放到位。</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建立健全考核奖惩机制，科学考评，保障和落实村干部待遇。</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兑现率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兑现率</w:t>
            </w:r>
            <w:r>
              <w:rPr>
                <w:rFonts w:ascii="方正书宋_GBK" w:eastAsia="方正书宋_GBK"/>
              </w:rPr>
              <w:t>&lt;100%</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兑现率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&lt;95%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、农村干部</w:t>
            </w:r>
            <w:r>
              <w:rPr>
                <w:rFonts w:ascii="方正书宋_GBK" w:eastAsia="方正书宋_GBK"/>
                <w:b/>
              </w:rPr>
              <w:t>“</w:t>
            </w:r>
            <w:r>
              <w:rPr>
                <w:rFonts w:hint="eastAsia" w:ascii="方正书宋_GBK" w:eastAsia="方正书宋_GBK"/>
                <w:b/>
              </w:rPr>
              <w:t>一定三有</w:t>
            </w:r>
            <w:r>
              <w:rPr>
                <w:rFonts w:ascii="方正书宋_GBK" w:eastAsia="方正书宋_GBK"/>
                <w:b/>
              </w:rPr>
              <w:t>”</w:t>
            </w:r>
            <w:r>
              <w:rPr>
                <w:rFonts w:hint="eastAsia" w:ascii="方正书宋_GBK" w:eastAsia="方正书宋_GBK"/>
                <w:b/>
              </w:rPr>
              <w:t>激励保障机制</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全面落实农村干部</w:t>
            </w:r>
            <w:r>
              <w:rPr>
                <w:rFonts w:ascii="方正书宋_GBK" w:eastAsia="方正书宋_GBK"/>
              </w:rPr>
              <w:t>“</w:t>
            </w:r>
            <w:r>
              <w:rPr>
                <w:rFonts w:hint="eastAsia" w:ascii="方正书宋_GBK" w:eastAsia="方正书宋_GBK"/>
              </w:rPr>
              <w:t>定职责目标、收入有保障、干好有希望、退后有所养</w:t>
            </w:r>
            <w:r>
              <w:rPr>
                <w:rFonts w:ascii="方正书宋_GBK" w:eastAsia="方正书宋_GBK"/>
              </w:rPr>
              <w:t>”</w:t>
            </w:r>
            <w:r>
              <w:rPr>
                <w:rFonts w:hint="eastAsia" w:ascii="方正书宋_GBK" w:eastAsia="方正书宋_GBK"/>
              </w:rPr>
              <w:t>工作机制。</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离任村书记、村主任生活补贴按政策发放，稳定农村基层干部队伍，调动村干部工作积极性。</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覆盖率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覆盖率</w:t>
            </w:r>
            <w:r>
              <w:rPr>
                <w:rFonts w:ascii="方正书宋_GBK" w:eastAsia="方正书宋_GBK"/>
              </w:rPr>
              <w:t>&lt;100%</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覆盖率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&lt;95%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、村级活动场所建设</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加强对村级组织活动场所的建设、管理和利用。</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确保村级活动场所真正成为党员群众活动的</w:t>
            </w:r>
            <w:r>
              <w:rPr>
                <w:rFonts w:ascii="方正书宋_GBK" w:eastAsia="方正书宋_GBK"/>
              </w:rPr>
              <w:t>“</w:t>
            </w:r>
            <w:r>
              <w:rPr>
                <w:rFonts w:hint="eastAsia" w:ascii="方正书宋_GBK" w:eastAsia="方正书宋_GBK"/>
              </w:rPr>
              <w:t>主阵地</w:t>
            </w:r>
            <w:r>
              <w:rPr>
                <w:rFonts w:ascii="方正书宋_GBK" w:eastAsia="方正书宋_GBK"/>
              </w:rPr>
              <w:t>”</w:t>
            </w:r>
            <w:r>
              <w:rPr>
                <w:rFonts w:hint="eastAsia" w:ascii="方正书宋_GBK" w:eastAsia="方正书宋_GBK"/>
              </w:rPr>
              <w:t>。</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、村级组织建设及转后帮扶</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按省委明确标准，倒排后进党组织，帮扶转化。</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如期转化。</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转化达标率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转化达标率</w:t>
            </w:r>
            <w:r>
              <w:rPr>
                <w:rFonts w:ascii="方正书宋_GBK" w:eastAsia="方正书宋_GBK"/>
              </w:rPr>
              <w:t>&lt;100%</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转化达标率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、村基础设施维修和村务活动</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立足现有设施进行改造，落实节俭方针；提供经费保障。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经费划拨及时、科学，村务活动正常开展。</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二、农业技术推广</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农业新技术品种推广，农机、畜牧水产、水利、林业等服务工作。</w:t>
            </w:r>
          </w:p>
        </w:tc>
        <w:tc>
          <w:tcPr>
            <w:tcW w:w="2976" w:type="dxa"/>
            <w:vAlign w:val="center"/>
          </w:tcPr>
          <w:p>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现代农业水平有新提高，农民人均纯收入有新增长。</w:t>
            </w:r>
          </w:p>
          <w:p>
            <w:pPr>
              <w:spacing w:line="300" w:lineRule="exact"/>
              <w:jc w:val="left"/>
              <w:rPr>
                <w:rFonts w:ascii="方正书宋_GBK" w:eastAsia="方正书宋_GBK"/>
              </w:rPr>
            </w:pPr>
            <w:r>
              <w:rPr>
                <w:rFonts w:hint="eastAsia" w:ascii="方正书宋_GBK" w:eastAsia="方正书宋_GBK"/>
              </w:rPr>
              <w:t>加强防火防汛工作，力争灾情发生率及损失率降至最低。</w:t>
            </w:r>
            <w:r>
              <w:rPr>
                <w:rFonts w:ascii="方正书宋_GBK" w:eastAsia="方正书宋_GBK"/>
              </w:rPr>
              <w:t>"</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、新技术品种推广</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优化农业产前、产中、产后服务，推广农业新技术品种，推动农业增效，农民增收。</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农民人均纯收入有新增长</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农民人均纯收入增长率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&gt;=6%</w:t>
            </w:r>
          </w:p>
        </w:tc>
        <w:tc>
          <w:tcPr>
            <w:tcW w:w="737" w:type="dxa"/>
            <w:vAlign w:val="center"/>
          </w:tcPr>
          <w:p>
            <w:pPr>
              <w:spacing w:line="300" w:lineRule="exact"/>
              <w:jc w:val="center"/>
              <w:rPr>
                <w:rFonts w:ascii="方正书宋_GBK" w:eastAsia="方正书宋_GBK"/>
              </w:rPr>
            </w:pPr>
            <w:r>
              <w:rPr>
                <w:rFonts w:ascii="方正书宋_GBK" w:eastAsia="方正书宋_GBK"/>
              </w:rPr>
              <w:t>5%&lt;=</w:t>
            </w:r>
            <w:r>
              <w:rPr>
                <w:rFonts w:hint="eastAsia" w:ascii="方正书宋_GBK" w:eastAsia="方正书宋_GBK"/>
              </w:rPr>
              <w:t>增长率</w:t>
            </w:r>
            <w:r>
              <w:rPr>
                <w:rFonts w:ascii="方正书宋_GBK" w:eastAsia="方正书宋_GBK"/>
              </w:rPr>
              <w:t>&lt;6%</w:t>
            </w:r>
          </w:p>
        </w:tc>
        <w:tc>
          <w:tcPr>
            <w:tcW w:w="737" w:type="dxa"/>
            <w:vAlign w:val="center"/>
          </w:tcPr>
          <w:p>
            <w:pPr>
              <w:spacing w:line="300" w:lineRule="exact"/>
              <w:jc w:val="center"/>
              <w:rPr>
                <w:rFonts w:ascii="方正书宋_GBK" w:eastAsia="方正书宋_GBK"/>
              </w:rPr>
            </w:pPr>
            <w:r>
              <w:rPr>
                <w:rFonts w:ascii="方正书宋_GBK" w:eastAsia="方正书宋_GBK"/>
              </w:rPr>
              <w:t>4%&lt;=</w:t>
            </w:r>
            <w:r>
              <w:rPr>
                <w:rFonts w:hint="eastAsia" w:ascii="方正书宋_GBK" w:eastAsia="方正书宋_GBK"/>
              </w:rPr>
              <w:t>增长率</w:t>
            </w:r>
            <w:r>
              <w:rPr>
                <w:rFonts w:ascii="方正书宋_GBK" w:eastAsia="方正书宋_GBK"/>
              </w:rPr>
              <w:t>&lt;5%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&lt;4%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、防火防汛</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制订预案，组建应急队伍，完善相关制度，强化举措，确保人民群众生命财产安全。</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经费及时拨付，增强财力保障，争取不发生火灾、水灾，或发生率及损失率尽可能降至最低。</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发生率</w:t>
            </w:r>
          </w:p>
          <w:p>
            <w:pPr>
              <w:spacing w:line="300" w:lineRule="exact"/>
              <w:jc w:val="left"/>
              <w:rPr>
                <w:rFonts w:ascii="方正书宋_GBK" w:eastAsia="方正书宋_GBK"/>
              </w:rPr>
            </w:pPr>
            <w:r>
              <w:rPr>
                <w:rFonts w:hint="eastAsia" w:ascii="方正书宋_GBK" w:eastAsia="方正书宋_GBK"/>
              </w:rPr>
              <w:t>损失程度</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&lt;5</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无人员伤亡，无财产损失。</w:t>
            </w:r>
          </w:p>
        </w:tc>
        <w:tc>
          <w:tcPr>
            <w:tcW w:w="737" w:type="dxa"/>
            <w:vAlign w:val="center"/>
          </w:tcPr>
          <w:p>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&lt;8</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&lt;10</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&gt;=10</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有人员伤亡，或重大财产损失。</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三、经济发展及安全生产</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研究本乡镇经济发展战略，组织编制中长期发展规划和年度计划。负责本辖区安全生产监督指导和环境保护工作。</w:t>
            </w:r>
          </w:p>
        </w:tc>
        <w:tc>
          <w:tcPr>
            <w:tcW w:w="2976" w:type="dxa"/>
            <w:vAlign w:val="center"/>
          </w:tcPr>
          <w:p>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制订、推动战略实施，培育主导产业和骨干企业，增强财政支撑力。</w:t>
            </w:r>
          </w:p>
          <w:p>
            <w:pPr>
              <w:spacing w:line="300" w:lineRule="exact"/>
              <w:jc w:val="left"/>
              <w:rPr>
                <w:rFonts w:ascii="方正书宋_GBK" w:eastAsia="方正书宋_GBK"/>
              </w:rPr>
            </w:pPr>
            <w:r>
              <w:rPr>
                <w:rFonts w:hint="eastAsia" w:ascii="方正书宋_GBK" w:eastAsia="方正书宋_GBK"/>
              </w:rPr>
              <w:t>加强本辖区安全生产和环境保护工作，推动镇域经济持续健康发展。</w:t>
            </w:r>
            <w:r>
              <w:rPr>
                <w:rFonts w:ascii="方正书宋_GBK" w:eastAsia="方正书宋_GBK"/>
              </w:rPr>
              <w:t>"</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、组织制定中长期发展规划</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立足本地资源和区位条件，组织制定本乡镇经济及产业发展规划。</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规划切合实际，体现县委、县政府决策目标和部署。</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发展指标完成率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发展指标完成率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发展指标完成率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、安全生产监督指导和环境保护</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强化举措，落实责任，完善制度，切实加强本辖区安全生产监督指导和环境保护工作。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安全生产事故不发生，或发生率、损失率降至最低。</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发生率</w:t>
            </w:r>
          </w:p>
          <w:p>
            <w:pPr>
              <w:spacing w:line="300" w:lineRule="exact"/>
              <w:jc w:val="left"/>
              <w:rPr>
                <w:rFonts w:ascii="方正书宋_GBK" w:eastAsia="方正书宋_GBK"/>
              </w:rPr>
            </w:pPr>
            <w:r>
              <w:rPr>
                <w:rFonts w:hint="eastAsia" w:ascii="方正书宋_GBK" w:eastAsia="方正书宋_GBK"/>
              </w:rPr>
              <w:t>损失程度</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=0</w:t>
            </w:r>
            <w:r>
              <w:rPr>
                <w:rFonts w:hint="eastAsia" w:ascii="方正书宋_GBK" w:eastAsia="方正书宋_GBK"/>
              </w:rPr>
              <w:t>次</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=1</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=2</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&gt;=3</w:t>
            </w:r>
            <w:r>
              <w:rPr>
                <w:rFonts w:hint="eastAsia" w:ascii="方正书宋_GBK" w:eastAsia="方正书宋_GBK"/>
              </w:rPr>
              <w:t>次</w:t>
            </w:r>
          </w:p>
          <w:p>
            <w:pPr>
              <w:spacing w:line="300" w:lineRule="exact"/>
              <w:jc w:val="center"/>
              <w:rPr>
                <w:rFonts w:ascii="方正书宋_GBK" w:eastAsia="方正书宋_GBK"/>
              </w:rPr>
            </w:pPr>
            <w:r>
              <w:rPr>
                <w:rFonts w:hint="eastAsia" w:ascii="方正书宋_GBK" w:eastAsia="方正书宋_GBK"/>
              </w:rPr>
              <w:t>有人员伤亡，或重大财产损失。</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四、综合治理及信访稳定</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加强综合治理，妥善处理突发性、群体性事件，调节和处理好各种利益矛盾和纠纷；落实各项管理措施，维护农村社会稳定；负责本乡镇的普法宣传教育及法律服务；负责信访稳定工作。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落实各项管理措施，促进社会和谐稳定。</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、维稳综治</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深化人民调解，妥善处理突发性、群体性事件；加强信访稳定、人民调解、社区矫正及安置帮教工作。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最大限度排除违法犯罪和社会不稳定隐患。</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调处率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调处率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调处率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、普法宣传教育</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制订法制宣传教育规划并组织实施，加强法制宣传报道。</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提高全镇人民法律意识和法律素质，增强法治化管理水平，促进全镇民主与法制建设。</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普法考核通过率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普法考核通过率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普法考核通过率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五、扶贫开发</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负责扶贫工作统筹协调、项目申报、资金筹措、跟踪服务和监督管理；研究制定扶贫开发中长期规划和年度计划；指导各村确定扶贫项目的考察、论证、筛选和上报；负责监督上级批复项目的实施、验收、报账、公开公示等环节的组织以及各种扶贫资金管理；负责精准扶贫建档立卡的动态管理、信息上报和情况反馈；负责组织协调各驻村工作组和对口帮扶单位开展各种帮扶活动；负责组织各种科技培训和实用技术培训以及对外合作交流。</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贯彻落实国家扶贫开发法律、法规和方针政策，完成县委、县政府下达各项任务指标，完成县扶贫办交办事项，提前</w:t>
            </w:r>
            <w:r>
              <w:rPr>
                <w:rFonts w:ascii="方正书宋_GBK" w:eastAsia="方正书宋_GBK"/>
              </w:rPr>
              <w:t>2</w:t>
            </w:r>
            <w:r>
              <w:rPr>
                <w:rFonts w:hint="eastAsia" w:ascii="方正书宋_GBK" w:eastAsia="方正书宋_GBK"/>
              </w:rPr>
              <w:t>年完成脱贫任务。</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pPr>
              <w:spacing w:line="300" w:lineRule="exact"/>
              <w:jc w:val="left"/>
              <w:rPr>
                <w:rFonts w:ascii="方正书宋_GBK" w:eastAsia="方正书宋_GBK"/>
                <w:b/>
              </w:rPr>
            </w:pP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rFonts w:ascii="方正书宋_GBK" w:eastAsia="方正书宋_GBK"/>
              </w:rPr>
              <w:t>“</w:t>
            </w:r>
            <w:r>
              <w:rPr>
                <w:rFonts w:hint="eastAsia" w:ascii="方正书宋_GBK" w:eastAsia="方正书宋_GBK"/>
              </w:rPr>
              <w:t>脱贫摘帽</w:t>
            </w:r>
            <w:r>
              <w:rPr>
                <w:rFonts w:ascii="方正书宋_GBK" w:eastAsia="方正书宋_GBK"/>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脱贫率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vAlign w:val="center"/>
          </w:tcPr>
          <w:p>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vAlign w:val="center"/>
          </w:tcPr>
          <w:p>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六、农村面貌改造提升及农村环境综合整治</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按照全面建成小康社会要求，实施农村面貌改造提升行动，集中开展农村环境综合整治。</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打造</w:t>
            </w:r>
            <w:r>
              <w:rPr>
                <w:rFonts w:ascii="方正书宋_GBK" w:eastAsia="方正书宋_GBK"/>
              </w:rPr>
              <w:t>“</w:t>
            </w:r>
            <w:r>
              <w:rPr>
                <w:rFonts w:hint="eastAsia" w:ascii="方正书宋_GBK" w:eastAsia="方正书宋_GBK"/>
              </w:rPr>
              <w:t>环境整洁、设施配套、田园风光、舒适宜居</w:t>
            </w:r>
            <w:r>
              <w:rPr>
                <w:rFonts w:ascii="方正书宋_GBK" w:eastAsia="方正书宋_GBK"/>
              </w:rPr>
              <w:t>”</w:t>
            </w:r>
            <w:r>
              <w:rPr>
                <w:rFonts w:hint="eastAsia" w:ascii="方正书宋_GBK" w:eastAsia="方正书宋_GBK"/>
              </w:rPr>
              <w:t>的</w:t>
            </w:r>
            <w:r>
              <w:rPr>
                <w:rFonts w:ascii="方正书宋_GBK" w:eastAsia="方正书宋_GBK"/>
              </w:rPr>
              <w:t>“</w:t>
            </w:r>
            <w:r>
              <w:rPr>
                <w:rFonts w:hint="eastAsia" w:ascii="方正书宋_GBK" w:eastAsia="方正书宋_GBK"/>
              </w:rPr>
              <w:t>美丽乡村</w:t>
            </w:r>
            <w:r>
              <w:rPr>
                <w:rFonts w:ascii="方正书宋_GBK" w:eastAsia="方正书宋_GBK"/>
              </w:rPr>
              <w:t>”</w:t>
            </w:r>
            <w:r>
              <w:rPr>
                <w:rFonts w:hint="eastAsia" w:ascii="方正书宋_GBK" w:eastAsia="方正书宋_GBK"/>
              </w:rPr>
              <w:t>，提高农民生活舒适度。</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、农村面貌改造提升</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按照全面建成小康社会要求，以推广新技术新材料新装备新样式为突破口，突出地域特色、探索市场化运作、实现共建共享、建立长效机制，着力完成省市县明确的</w:t>
            </w:r>
            <w:r>
              <w:rPr>
                <w:rFonts w:ascii="方正书宋_GBK" w:eastAsia="方正书宋_GBK"/>
              </w:rPr>
              <w:t>“</w:t>
            </w:r>
            <w:r>
              <w:rPr>
                <w:rFonts w:hint="eastAsia" w:ascii="方正书宋_GBK" w:eastAsia="方正书宋_GBK"/>
              </w:rPr>
              <w:t>四清</w:t>
            </w:r>
            <w:r>
              <w:rPr>
                <w:rFonts w:ascii="方正书宋_GBK" w:eastAsia="方正书宋_GBK"/>
              </w:rPr>
              <w:t>”</w:t>
            </w:r>
            <w:r>
              <w:rPr>
                <w:rFonts w:hint="eastAsia" w:ascii="方正书宋_GBK" w:eastAsia="方正书宋_GBK"/>
              </w:rPr>
              <w:t>等</w:t>
            </w:r>
            <w:r>
              <w:rPr>
                <w:rFonts w:ascii="方正书宋_GBK" w:eastAsia="方正书宋_GBK"/>
              </w:rPr>
              <w:t>15</w:t>
            </w:r>
            <w:r>
              <w:rPr>
                <w:rFonts w:hint="eastAsia" w:ascii="方正书宋_GBK" w:eastAsia="方正书宋_GBK"/>
              </w:rPr>
              <w:t>件实事，提升农民群众生活品质。</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基本实现</w:t>
            </w:r>
            <w:r>
              <w:rPr>
                <w:rFonts w:ascii="方正书宋_GBK" w:eastAsia="方正书宋_GBK"/>
              </w:rPr>
              <w:t>“</w:t>
            </w:r>
            <w:r>
              <w:rPr>
                <w:rFonts w:hint="eastAsia" w:ascii="方正书宋_GBK" w:eastAsia="方正书宋_GBK"/>
              </w:rPr>
              <w:t>新民居、新设施、新环境、新农民、新风尚</w:t>
            </w:r>
            <w:r>
              <w:rPr>
                <w:rFonts w:ascii="方正书宋_GBK" w:eastAsia="方正书宋_GBK"/>
              </w:rPr>
              <w:t>”</w:t>
            </w:r>
            <w:r>
              <w:rPr>
                <w:rFonts w:hint="eastAsia" w:ascii="方正书宋_GBK" w:eastAsia="方正书宋_GBK"/>
              </w:rPr>
              <w:t>，</w:t>
            </w:r>
            <w:r>
              <w:rPr>
                <w:rFonts w:ascii="方正书宋_GBK" w:eastAsia="方正书宋_GBK"/>
              </w:rPr>
              <w:t>“</w:t>
            </w:r>
            <w:r>
              <w:rPr>
                <w:rFonts w:hint="eastAsia" w:ascii="方正书宋_GBK" w:eastAsia="方正书宋_GBK"/>
              </w:rPr>
              <w:t>实事</w:t>
            </w:r>
            <w:r>
              <w:rPr>
                <w:rFonts w:ascii="方正书宋_GBK" w:eastAsia="方正书宋_GBK"/>
              </w:rPr>
              <w:t>”</w:t>
            </w:r>
            <w:r>
              <w:rPr>
                <w:rFonts w:hint="eastAsia" w:ascii="方正书宋_GBK" w:eastAsia="方正书宋_GBK"/>
              </w:rPr>
              <w:t>任务全面完成，农民群众生活品质提高。</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改造提升任务完成率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改造提升任务完成率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改造提升任务完成率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改造提升任务完成率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改造提升任务完成率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、农村环境综合整治</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以</w:t>
            </w:r>
            <w:r>
              <w:rPr>
                <w:rFonts w:ascii="方正书宋_GBK" w:eastAsia="方正书宋_GBK"/>
              </w:rPr>
              <w:t>“</w:t>
            </w:r>
            <w:r>
              <w:rPr>
                <w:rFonts w:hint="eastAsia" w:ascii="方正书宋_GBK" w:eastAsia="方正书宋_GBK"/>
              </w:rPr>
              <w:t>清理农村生产生活垃圾，整治村容村貌，建立长效管护机制</w:t>
            </w:r>
            <w:r>
              <w:rPr>
                <w:rFonts w:ascii="方正书宋_GBK" w:eastAsia="方正书宋_GBK"/>
              </w:rPr>
              <w:t>”</w:t>
            </w:r>
            <w:r>
              <w:rPr>
                <w:rFonts w:hint="eastAsia" w:ascii="方正书宋_GBK" w:eastAsia="方正书宋_GBK"/>
              </w:rPr>
              <w:t>为重点，集中开展农村环境综合整治活动，打造宜居家园。</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农村环境质量改善，群众环保意识提升。</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七、美丽乡村建设</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认真落实</w:t>
            </w:r>
            <w:r>
              <w:rPr>
                <w:rFonts w:ascii="方正书宋_GBK" w:eastAsia="方正书宋_GBK"/>
              </w:rPr>
              <w:t>“</w:t>
            </w:r>
            <w:r>
              <w:rPr>
                <w:rFonts w:hint="eastAsia" w:ascii="方正书宋_GBK" w:eastAsia="方正书宋_GBK"/>
              </w:rPr>
              <w:t>四个全面</w:t>
            </w:r>
            <w:r>
              <w:rPr>
                <w:rFonts w:ascii="方正书宋_GBK" w:eastAsia="方正书宋_GBK"/>
              </w:rPr>
              <w:t>”</w:t>
            </w:r>
            <w:r>
              <w:rPr>
                <w:rFonts w:hint="eastAsia" w:ascii="方正书宋_GBK" w:eastAsia="方正书宋_GBK"/>
              </w:rPr>
              <w:t>战略布局，实施</w:t>
            </w:r>
            <w:r>
              <w:rPr>
                <w:rFonts w:ascii="方正书宋_GBK" w:eastAsia="方正书宋_GBK"/>
              </w:rPr>
              <w:t>“</w:t>
            </w:r>
            <w:r>
              <w:rPr>
                <w:rFonts w:hint="eastAsia" w:ascii="方正书宋_GBK" w:eastAsia="方正书宋_GBK"/>
              </w:rPr>
              <w:t>四美五改</w:t>
            </w:r>
            <w:r>
              <w:rPr>
                <w:rFonts w:ascii="方正书宋_GBK" w:eastAsia="方正书宋_GBK"/>
              </w:rPr>
              <w:t>·</w:t>
            </w:r>
            <w:r>
              <w:rPr>
                <w:rFonts w:hint="eastAsia" w:ascii="方正书宋_GBK" w:eastAsia="方正书宋_GBK"/>
              </w:rPr>
              <w:t>美丽乡村</w:t>
            </w:r>
            <w:r>
              <w:rPr>
                <w:rFonts w:ascii="方正书宋_GBK" w:eastAsia="方正书宋_GBK"/>
              </w:rPr>
              <w:t>”</w:t>
            </w:r>
            <w:r>
              <w:rPr>
                <w:rFonts w:hint="eastAsia" w:ascii="方正书宋_GBK" w:eastAsia="方正书宋_GBK"/>
              </w:rPr>
              <w:t>行动，切实改善农民生产生活条件。</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重点实施民居改造和危房改造等</w:t>
            </w:r>
            <w:r>
              <w:rPr>
                <w:rFonts w:ascii="方正书宋_GBK" w:eastAsia="方正书宋_GBK"/>
              </w:rPr>
              <w:t>12</w:t>
            </w:r>
            <w:r>
              <w:rPr>
                <w:rFonts w:hint="eastAsia" w:ascii="方正书宋_GBK" w:eastAsia="方正书宋_GBK"/>
              </w:rPr>
              <w:t>项专项行动，确保</w:t>
            </w:r>
            <w:r>
              <w:rPr>
                <w:rFonts w:ascii="方正书宋_GBK" w:eastAsia="方正书宋_GBK"/>
              </w:rPr>
              <w:t>2020</w:t>
            </w:r>
            <w:r>
              <w:rPr>
                <w:rFonts w:hint="eastAsia" w:ascii="方正书宋_GBK" w:eastAsia="方正书宋_GBK"/>
              </w:rPr>
              <w:t>年基本实现美丽乡村全覆盖。</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统筹推进</w:t>
            </w:r>
          </w:p>
          <w:p>
            <w:pPr>
              <w:spacing w:line="300" w:lineRule="exact"/>
              <w:jc w:val="left"/>
              <w:rPr>
                <w:rFonts w:ascii="方正书宋_GBK" w:eastAsia="方正书宋_GBK"/>
                <w:b/>
              </w:rPr>
            </w:pPr>
            <w:r>
              <w:rPr>
                <w:rFonts w:hint="eastAsia" w:ascii="方正书宋_GBK" w:eastAsia="方正书宋_GBK"/>
                <w:b/>
              </w:rPr>
              <w:t>综合施力</w:t>
            </w:r>
            <w:r>
              <w:rPr>
                <w:rFonts w:ascii="方正书宋_GBK" w:eastAsia="方正书宋_GBK"/>
                <w:b/>
              </w:rPr>
              <w:t>"</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与脱贫攻坚、现代农业、乡村旅游、山区综合开发建设，统筹推进，形成综合施力之势。</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具备条件的农村全部建成</w:t>
            </w:r>
            <w:r>
              <w:rPr>
                <w:rFonts w:ascii="方正书宋_GBK" w:eastAsia="方正书宋_GBK"/>
              </w:rPr>
              <w:t>“</w:t>
            </w:r>
            <w:r>
              <w:rPr>
                <w:rFonts w:hint="eastAsia" w:ascii="方正书宋_GBK" w:eastAsia="方正书宋_GBK"/>
              </w:rPr>
              <w:t>环境美、产业美、精神美、生态美</w:t>
            </w:r>
            <w:r>
              <w:rPr>
                <w:rFonts w:ascii="方正书宋_GBK" w:eastAsia="方正书宋_GBK"/>
              </w:rPr>
              <w:t>”</w:t>
            </w:r>
            <w:r>
              <w:rPr>
                <w:rFonts w:hint="eastAsia" w:ascii="方正书宋_GBK" w:eastAsia="方正书宋_GBK"/>
              </w:rPr>
              <w:t>的美丽乡村</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八、社会事务</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加强农村基层组织建设，完善村民自治制度，提高农民自我管理能力，组织指导村级换届选举，健全社会自律体系；</w:t>
            </w:r>
          </w:p>
          <w:p>
            <w:pPr>
              <w:spacing w:line="300" w:lineRule="exact"/>
              <w:jc w:val="left"/>
              <w:rPr>
                <w:rFonts w:ascii="方正书宋_GBK" w:eastAsia="方正书宋_GBK"/>
              </w:rPr>
            </w:pPr>
            <w:r>
              <w:rPr>
                <w:rFonts w:hint="eastAsia" w:ascii="方正书宋_GBK" w:eastAsia="方正书宋_GBK"/>
              </w:rPr>
              <w:t>负责本镇社会弱势群体救助工作；</w:t>
            </w:r>
          </w:p>
          <w:p>
            <w:pPr>
              <w:spacing w:line="300" w:lineRule="exact"/>
              <w:jc w:val="left"/>
              <w:rPr>
                <w:rFonts w:ascii="方正书宋_GBK" w:eastAsia="方正书宋_GBK"/>
              </w:rPr>
            </w:pPr>
            <w:r>
              <w:rPr>
                <w:rFonts w:hint="eastAsia" w:ascii="方正书宋_GBK" w:eastAsia="方正书宋_GBK"/>
              </w:rPr>
              <w:t>负责民族宗教政策贯彻落实。</w:t>
            </w:r>
            <w:r>
              <w:rPr>
                <w:rFonts w:ascii="方正书宋_GBK" w:eastAsia="方正书宋_GBK"/>
              </w:rPr>
              <w:t>"</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完善村民自治制度，提高村级基层组织服务能力和水平。为民解困，弱势群体关注、救助常态化；民族宗教政策全面落实。</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、农村基层组织建设</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进一步完善村民自治制度，提高农民自我管理能力，组织指导村级换届选举，健全社会自律体系。</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农村基层组织建设规范化、法制化、民主化、科学化。</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、贫困重度残疾人救助</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对全镇弱势群体中的贫困重度残疾人，摸清底数，建立档案，动态掌握，通过发放救助补贴资金等方式积极救助。</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底数清，救助及时。</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救助率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救助率</w:t>
            </w:r>
            <w:r>
              <w:rPr>
                <w:rFonts w:ascii="方正书宋_GBK" w:eastAsia="方正书宋_GBK"/>
              </w:rPr>
              <w:t>&lt;100%</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救助率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&lt;95%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、贯彻落实民族宗教政策</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认真贯彻落实党的民族宗教政策，扎实推进民族团结进步事业。</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民族团结，宗教和谐。</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突出问题解决率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&gt;=99%</w:t>
            </w:r>
          </w:p>
        </w:tc>
        <w:tc>
          <w:tcPr>
            <w:tcW w:w="737" w:type="dxa"/>
            <w:vAlign w:val="center"/>
          </w:tcPr>
          <w:p>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突出问题解决率</w:t>
            </w:r>
            <w:r>
              <w:rPr>
                <w:rFonts w:ascii="方正书宋_GBK" w:eastAsia="方正书宋_GBK"/>
              </w:rPr>
              <w:t>&lt;99%</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突出问题解决率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&lt;95%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、少数民族乡镇工作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用足用好少数民族乡镇优惠政策，积极争取上级及相关部门扶持，推动少数民族乡镇经济社会发展，同步实现小康社会。</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优惠政策全面落实，经济社会和谐发展。</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资金到位率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&gt;=100%</w:t>
            </w:r>
          </w:p>
        </w:tc>
        <w:tc>
          <w:tcPr>
            <w:tcW w:w="737" w:type="dxa"/>
            <w:vAlign w:val="center"/>
          </w:tcPr>
          <w:p>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资金到位率</w:t>
            </w:r>
            <w:r>
              <w:rPr>
                <w:rFonts w:ascii="方正书宋_GBK" w:eastAsia="方正书宋_GBK"/>
              </w:rPr>
              <w:t>&lt;100%</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资金到位率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&lt;95%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九、乡镇其他相关工作</w:t>
            </w:r>
          </w:p>
        </w:tc>
        <w:tc>
          <w:tcPr>
            <w:tcW w:w="1276" w:type="dxa"/>
            <w:vAlign w:val="center"/>
          </w:tcPr>
          <w:p>
            <w:pPr>
              <w:spacing w:line="300" w:lineRule="exact"/>
              <w:jc w:val="left"/>
              <w:rPr>
                <w:rFonts w:ascii="方正书宋_GBK" w:eastAsia="方正书宋_GBK"/>
              </w:rPr>
            </w:pPr>
            <w:r>
              <w:rPr>
                <w:rFonts w:ascii="方正书宋_GBK" w:eastAsia="方正书宋_GBK"/>
              </w:rPr>
              <w:t>0.69</w:t>
            </w:r>
          </w:p>
        </w:tc>
        <w:tc>
          <w:tcPr>
            <w:tcW w:w="2976" w:type="dxa"/>
            <w:vAlign w:val="center"/>
          </w:tcPr>
          <w:p>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卫生计划生育：负责贯彻落实党和国家有关计划生育的方针、政策，执行卫生和计划生育的法律、法规和规章。</w:t>
            </w:r>
          </w:p>
          <w:p>
            <w:pPr>
              <w:spacing w:line="300" w:lineRule="exact"/>
              <w:jc w:val="left"/>
              <w:rPr>
                <w:rFonts w:ascii="方正书宋_GBK" w:eastAsia="方正书宋_GBK"/>
              </w:rPr>
            </w:pPr>
            <w:r>
              <w:rPr>
                <w:rFonts w:hint="eastAsia" w:ascii="方正书宋_GBK" w:eastAsia="方正书宋_GBK"/>
              </w:rPr>
              <w:t>食品安全：配合县有关部门开展食品安全联合执法，开展辖区内食品安全隐患排查治理。</w:t>
            </w:r>
          </w:p>
          <w:p>
            <w:pPr>
              <w:spacing w:line="300" w:lineRule="exact"/>
              <w:jc w:val="left"/>
              <w:rPr>
                <w:rFonts w:ascii="方正书宋_GBK" w:eastAsia="方正书宋_GBK"/>
              </w:rPr>
            </w:pPr>
            <w:r>
              <w:rPr>
                <w:rFonts w:hint="eastAsia" w:ascii="方正书宋_GBK" w:eastAsia="方正书宋_GBK"/>
              </w:rPr>
              <w:t>劳动保障：劳动力资源开发、富余劳动力转移、本乡镇社会保险、劳动用工管理；劳动就业和社会保障服务工作。</w:t>
            </w:r>
          </w:p>
          <w:p>
            <w:pPr>
              <w:spacing w:line="300" w:lineRule="exact"/>
              <w:jc w:val="left"/>
              <w:rPr>
                <w:rFonts w:ascii="方正书宋_GBK" w:eastAsia="方正书宋_GBK"/>
              </w:rPr>
            </w:pPr>
            <w:r>
              <w:rPr>
                <w:rFonts w:hint="eastAsia" w:ascii="方正书宋_GBK" w:eastAsia="方正书宋_GBK"/>
              </w:rPr>
              <w:t>城镇规划建设：加强村镇规划建设管理</w:t>
            </w:r>
            <w:r>
              <w:rPr>
                <w:rFonts w:ascii="方正书宋_GBK" w:eastAsia="方正书宋_GBK"/>
              </w:rPr>
              <w:t>,</w:t>
            </w:r>
            <w:r>
              <w:rPr>
                <w:rFonts w:hint="eastAsia" w:ascii="方正书宋_GBK" w:eastAsia="方正书宋_GBK"/>
              </w:rPr>
              <w:t>监管村镇规划实施。</w:t>
            </w:r>
          </w:p>
          <w:p>
            <w:pPr>
              <w:spacing w:line="300" w:lineRule="exact"/>
              <w:jc w:val="left"/>
              <w:rPr>
                <w:rFonts w:ascii="方正书宋_GBK" w:eastAsia="方正书宋_GBK"/>
              </w:rPr>
            </w:pPr>
            <w:r>
              <w:rPr>
                <w:rFonts w:hint="eastAsia" w:ascii="方正书宋_GBK" w:eastAsia="方正书宋_GBK"/>
              </w:rPr>
              <w:t>综合文化及群众工作：组织开展群众文体娱乐活动，做好群众工作。</w:t>
            </w:r>
          </w:p>
          <w:p>
            <w:pPr>
              <w:spacing w:line="300" w:lineRule="exact"/>
              <w:jc w:val="left"/>
              <w:rPr>
                <w:rFonts w:ascii="方正书宋_GBK" w:eastAsia="方正书宋_GBK"/>
              </w:rPr>
            </w:pPr>
            <w:r>
              <w:rPr>
                <w:rFonts w:hint="eastAsia" w:ascii="方正书宋_GBK" w:eastAsia="方正书宋_GBK"/>
              </w:rPr>
              <w:t>农村经济经营服务：村级财务管理，为农村、农业发展提供法律咨询及政策服务。</w:t>
            </w:r>
          </w:p>
          <w:p>
            <w:pPr>
              <w:spacing w:line="300" w:lineRule="exact"/>
              <w:jc w:val="left"/>
              <w:rPr>
                <w:rFonts w:ascii="方正书宋_GBK" w:eastAsia="方正书宋_GBK"/>
              </w:rPr>
            </w:pPr>
            <w:r>
              <w:rPr>
                <w:rFonts w:hint="eastAsia" w:ascii="方正书宋_GBK" w:eastAsia="方正书宋_GBK"/>
              </w:rPr>
              <w:t>统计工作：相关数据统计上报。</w:t>
            </w:r>
            <w:r>
              <w:rPr>
                <w:rFonts w:ascii="方正书宋_GBK" w:eastAsia="方正书宋_GBK"/>
              </w:rPr>
              <w:t>"</w:t>
            </w:r>
          </w:p>
        </w:tc>
        <w:tc>
          <w:tcPr>
            <w:tcW w:w="2976" w:type="dxa"/>
            <w:vAlign w:val="center"/>
          </w:tcPr>
          <w:p>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卫生和计划生育工作保持全县先进水平。</w:t>
            </w:r>
          </w:p>
          <w:p>
            <w:pPr>
              <w:spacing w:line="300" w:lineRule="exact"/>
              <w:jc w:val="left"/>
              <w:rPr>
                <w:rFonts w:ascii="方正书宋_GBK" w:eastAsia="方正书宋_GBK"/>
              </w:rPr>
            </w:pPr>
            <w:r>
              <w:rPr>
                <w:rFonts w:hint="eastAsia" w:ascii="方正书宋_GBK" w:eastAsia="方正书宋_GBK"/>
              </w:rPr>
              <w:t>推动社会共治，保障人民群众食品安全。</w:t>
            </w:r>
          </w:p>
          <w:p>
            <w:pPr>
              <w:spacing w:line="300" w:lineRule="exact"/>
              <w:jc w:val="left"/>
              <w:rPr>
                <w:rFonts w:ascii="方正书宋_GBK" w:eastAsia="方正书宋_GBK"/>
              </w:rPr>
            </w:pPr>
            <w:r>
              <w:rPr>
                <w:rFonts w:hint="eastAsia" w:ascii="方正书宋_GBK" w:eastAsia="方正书宋_GBK"/>
              </w:rPr>
              <w:t>劳动力资源有效开发，社会保障服务水平持续提高。</w:t>
            </w:r>
          </w:p>
          <w:p>
            <w:pPr>
              <w:spacing w:line="300" w:lineRule="exact"/>
              <w:jc w:val="left"/>
              <w:rPr>
                <w:rFonts w:ascii="方正书宋_GBK" w:eastAsia="方正书宋_GBK"/>
              </w:rPr>
            </w:pPr>
            <w:r>
              <w:rPr>
                <w:rFonts w:hint="eastAsia" w:ascii="方正书宋_GBK" w:eastAsia="方正书宋_GBK"/>
              </w:rPr>
              <w:t>村镇规划编制有效监管实施。</w:t>
            </w:r>
          </w:p>
          <w:p>
            <w:pPr>
              <w:spacing w:line="300" w:lineRule="exact"/>
              <w:jc w:val="left"/>
              <w:rPr>
                <w:rFonts w:ascii="方正书宋_GBK" w:eastAsia="方正书宋_GBK"/>
              </w:rPr>
            </w:pPr>
            <w:r>
              <w:rPr>
                <w:rFonts w:hint="eastAsia" w:ascii="方正书宋_GBK" w:eastAsia="方正书宋_GBK"/>
              </w:rPr>
              <w:t>丰富群众文体娱乐活动，优化服务群众水平。</w:t>
            </w:r>
          </w:p>
          <w:p>
            <w:pPr>
              <w:spacing w:line="300" w:lineRule="exact"/>
              <w:jc w:val="left"/>
              <w:rPr>
                <w:rFonts w:ascii="方正书宋_GBK" w:eastAsia="方正书宋_GBK"/>
              </w:rPr>
            </w:pPr>
            <w:r>
              <w:rPr>
                <w:rFonts w:hint="eastAsia" w:ascii="方正书宋_GBK" w:eastAsia="方正书宋_GBK"/>
              </w:rPr>
              <w:t>村级财务委托管理规范运行。</w:t>
            </w:r>
          </w:p>
          <w:p>
            <w:pPr>
              <w:spacing w:line="300" w:lineRule="exact"/>
              <w:jc w:val="left"/>
              <w:rPr>
                <w:rFonts w:ascii="方正书宋_GBK" w:eastAsia="方正书宋_GBK"/>
              </w:rPr>
            </w:pPr>
            <w:r>
              <w:rPr>
                <w:rFonts w:hint="eastAsia" w:ascii="方正书宋_GBK" w:eastAsia="方正书宋_GBK"/>
              </w:rPr>
              <w:t>统计任务高质高效完成。</w:t>
            </w:r>
            <w:r>
              <w:rPr>
                <w:rFonts w:ascii="方正书宋_GBK" w:eastAsia="方正书宋_GBK"/>
              </w:rPr>
              <w:t>"</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、计划生育工作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依法实施生育管理、育龄妇女管理、出生人口统计和数据分析，负责生育登记工作和再生育申请的审核上报工作；承担计划生育利益导向机制建设和奖励政策的落实工作，负责辖区奖扶、特扶的申请受理、初审上报；负责出生人口性别比偏高的综合治理工作；负责辖区流动人口计划生育管理和《流动人口婚育证明》审核签发工作；协助做好社会抚养费征缴工作；负责乡镇计划生育协会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政策法规深入人心，深化优质服务，提升群众满意度。</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群众满意率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群众满意率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群众满意率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、卫生工作</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承担爱卫办相关工作，负责农村改水、改厕、卫生村镇创建以及健康教育、除</w:t>
            </w:r>
            <w:r>
              <w:rPr>
                <w:rFonts w:ascii="方正书宋_GBK" w:eastAsia="方正书宋_GBK"/>
              </w:rPr>
              <w:t>“</w:t>
            </w:r>
            <w:r>
              <w:rPr>
                <w:rFonts w:hint="eastAsia" w:ascii="方正书宋_GBK" w:eastAsia="方正书宋_GBK"/>
              </w:rPr>
              <w:t>四害</w:t>
            </w:r>
            <w:r>
              <w:rPr>
                <w:rFonts w:ascii="方正书宋_GBK" w:eastAsia="方正书宋_GBK"/>
              </w:rPr>
              <w:t>”</w:t>
            </w:r>
            <w:r>
              <w:rPr>
                <w:rFonts w:hint="eastAsia" w:ascii="方正书宋_GBK" w:eastAsia="方正书宋_GBK"/>
              </w:rPr>
              <w:t>和控烟等工作的组织管理协调规划。</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完成爱卫办下达各项任务，村镇生产生活条件持续改善。</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、食品安全监管</w:t>
            </w:r>
          </w:p>
        </w:tc>
        <w:tc>
          <w:tcPr>
            <w:tcW w:w="1276" w:type="dxa"/>
            <w:vAlign w:val="center"/>
          </w:tcPr>
          <w:p>
            <w:pPr>
              <w:spacing w:line="300" w:lineRule="exact"/>
              <w:jc w:val="left"/>
              <w:rPr>
                <w:rFonts w:ascii="方正书宋_GBK" w:eastAsia="方正书宋_GBK"/>
              </w:rPr>
            </w:pPr>
            <w:r>
              <w:rPr>
                <w:rFonts w:ascii="方正书宋_GBK" w:eastAsia="方正书宋_GBK"/>
              </w:rPr>
              <w:t>0.69</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贯彻相关方针政策；按监管部门委托范围，开展监督检查；统报本辖区食安信息；配合有关部门联合执法，协助做好事故处置及责任调查处理；组织开展辖区内食安隐患排查治理及食安宣传教育培训。</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辖区内食品安全</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重大食品事故案件（个）</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重大食品事故案件</w:t>
            </w:r>
          </w:p>
          <w:p>
            <w:pPr>
              <w:spacing w:line="300" w:lineRule="exact"/>
              <w:jc w:val="center"/>
              <w:rPr>
                <w:rFonts w:ascii="方正书宋_GBK" w:eastAsia="方正书宋_GBK"/>
              </w:rPr>
            </w:pPr>
            <w:r>
              <w:rPr>
                <w:rFonts w:ascii="方正书宋_GBK" w:eastAsia="方正书宋_GBK"/>
              </w:rPr>
              <w:t>=0</w:t>
            </w:r>
            <w:r>
              <w:rPr>
                <w:rFonts w:hint="eastAsia" w:ascii="方正书宋_GBK" w:eastAsia="方正书宋_GBK"/>
              </w:rPr>
              <w:t>个</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=1</w:t>
            </w:r>
            <w:r>
              <w:rPr>
                <w:rFonts w:hint="eastAsia" w:ascii="方正书宋_GBK" w:eastAsia="方正书宋_GBK"/>
              </w:rPr>
              <w:t>个</w:t>
            </w:r>
          </w:p>
          <w:p>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=2</w:t>
            </w:r>
            <w:r>
              <w:rPr>
                <w:rFonts w:hint="eastAsia" w:ascii="方正书宋_GBK" w:eastAsia="方正书宋_GBK"/>
              </w:rPr>
              <w:t>个</w:t>
            </w:r>
          </w:p>
          <w:p>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&gt;2</w:t>
            </w:r>
            <w:r>
              <w:rPr>
                <w:rFonts w:hint="eastAsia" w:ascii="方正书宋_GBK" w:eastAsia="方正书宋_GBK"/>
              </w:rPr>
              <w:t>个</w:t>
            </w:r>
          </w:p>
          <w:p>
            <w:pPr>
              <w:spacing w:line="300" w:lineRule="exact"/>
              <w:jc w:val="center"/>
              <w:rPr>
                <w:rFonts w:ascii="方正书宋_GBK" w:eastAsia="方正书宋_GBK"/>
              </w:rPr>
            </w:pPr>
            <w:r>
              <w:rPr>
                <w:rFonts w:hint="eastAsia" w:ascii="方正书宋_GBK" w:eastAsia="方正书宋_GBK"/>
              </w:rPr>
              <w:t>有人员身体伤害，或死亡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、劳动保障及社会保障服务</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贯彻执行劳动和社会保障法律法规及政策，开展劳动力资源开发、信息服务、劳动就业、居民社会养老保险参保登记初审等相关工作。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劳务输出人数稳定，社会保障覆盖面扩大。</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劳务输出任务完成率</w:t>
            </w:r>
          </w:p>
          <w:p>
            <w:pPr>
              <w:spacing w:line="300" w:lineRule="exact"/>
              <w:jc w:val="left"/>
              <w:rPr>
                <w:rFonts w:ascii="方正书宋_GBK" w:eastAsia="方正书宋_GBK"/>
              </w:rPr>
            </w:pPr>
          </w:p>
          <w:p>
            <w:pPr>
              <w:spacing w:line="300" w:lineRule="exact"/>
              <w:jc w:val="left"/>
              <w:rPr>
                <w:rFonts w:ascii="方正书宋_GBK" w:eastAsia="方正书宋_GBK"/>
              </w:rPr>
            </w:pPr>
            <w:r>
              <w:rPr>
                <w:rFonts w:hint="eastAsia" w:ascii="方正书宋_GBK" w:eastAsia="方正书宋_GBK"/>
              </w:rPr>
              <w:t>参保任务完成率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&gt;=100%</w:t>
            </w:r>
          </w:p>
          <w:p>
            <w:pPr>
              <w:spacing w:line="300" w:lineRule="exact"/>
              <w:jc w:val="center"/>
              <w:rPr>
                <w:rFonts w:ascii="方正书宋_GBK" w:eastAsia="方正书宋_GBK"/>
              </w:rPr>
            </w:pPr>
          </w:p>
          <w:p>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&gt;=100%</w:t>
            </w:r>
          </w:p>
        </w:tc>
        <w:tc>
          <w:tcPr>
            <w:tcW w:w="737" w:type="dxa"/>
            <w:vAlign w:val="center"/>
          </w:tcPr>
          <w:p>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劳务输出任务完成率</w:t>
            </w:r>
            <w:r>
              <w:rPr>
                <w:rFonts w:ascii="方正书宋_GBK" w:eastAsia="方正书宋_GBK"/>
              </w:rPr>
              <w:t>&lt;100%</w:t>
            </w:r>
          </w:p>
          <w:p>
            <w:pPr>
              <w:spacing w:line="300" w:lineRule="exact"/>
              <w:jc w:val="center"/>
              <w:rPr>
                <w:rFonts w:ascii="方正书宋_GBK" w:eastAsia="方正书宋_GBK"/>
              </w:rPr>
            </w:pPr>
          </w:p>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参保任务完成率</w:t>
            </w:r>
            <w:r>
              <w:rPr>
                <w:rFonts w:ascii="方正书宋_GBK" w:eastAsia="方正书宋_GBK"/>
              </w:rPr>
              <w:t>&lt;100%</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劳务输出任务完成率</w:t>
            </w:r>
            <w:r>
              <w:rPr>
                <w:rFonts w:ascii="方正书宋_GBK" w:eastAsia="方正书宋_GBK"/>
              </w:rPr>
              <w:t>&lt;98%</w:t>
            </w:r>
          </w:p>
          <w:p>
            <w:pPr>
              <w:spacing w:line="300" w:lineRule="exact"/>
              <w:jc w:val="center"/>
              <w:rPr>
                <w:rFonts w:ascii="方正书宋_GBK" w:eastAsia="方正书宋_GBK"/>
              </w:rPr>
            </w:pPr>
          </w:p>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参保任务完成率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&lt;95%</w:t>
            </w:r>
          </w:p>
          <w:p>
            <w:pPr>
              <w:spacing w:line="300" w:lineRule="exact"/>
              <w:jc w:val="center"/>
              <w:rPr>
                <w:rFonts w:ascii="方正书宋_GBK" w:eastAsia="方正书宋_GBK"/>
              </w:rPr>
            </w:pPr>
          </w:p>
          <w:p>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、村镇规划实施监管</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加强村镇规划建设管理</w:t>
            </w:r>
            <w:r>
              <w:rPr>
                <w:rFonts w:ascii="方正书宋_GBK" w:eastAsia="方正书宋_GBK"/>
              </w:rPr>
              <w:t>,</w:t>
            </w:r>
            <w:r>
              <w:rPr>
                <w:rFonts w:hint="eastAsia" w:ascii="方正书宋_GBK" w:eastAsia="方正书宋_GBK"/>
              </w:rPr>
              <w:t>编制并监管村镇规划实施。</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优化乡镇空间布局，为经济社会全面协调可持续发展奠定基础。</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监管率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监管率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监管率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、繁荣乡村文化，优化群众服务</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组织开展丰富多彩的文体娱乐活动；举办各类科普讲座、农技知识讲座；搜集、整理民族民间文化艺术遗产，促进乡村特色文化发展；指导和辅导村文化室开展各项活动；代办群众日常生产生活需审批事项等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丰富群众文化生活，优化服务水平，主动为群众办实事、办好事，提高群众满意度。</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农村书屋利用率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农村书屋利用率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农村书屋利用率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、村级财务管理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落实《河北省村集体财务管理条例》、《河北省村集体资产管理条例》，加强农村财务和村集体资产管理，规范农村财务委托代理服务制运作；配合上级业务主管部门做好农村财务审计；负责村级财务收支票据的审核，按时进行村务公开，接受社会监督；负责对各村预决算方案、重大项目承包、重大支出项目、固定资产报废、变卖、欠款的核销、财务情况的公布等事项进行审核；完成农经统计报表及上级交办的工作任务。</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推动村级财务管理制度化，规范化，促进农村经济发展和社会和谐。</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&gt;=98%</w:t>
            </w:r>
          </w:p>
        </w:tc>
        <w:tc>
          <w:tcPr>
            <w:tcW w:w="737" w:type="dxa"/>
            <w:vAlign w:val="center"/>
          </w:tcPr>
          <w:p>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达标率</w:t>
            </w:r>
            <w:r>
              <w:rPr>
                <w:rFonts w:ascii="方正书宋_GBK" w:eastAsia="方正书宋_GBK"/>
              </w:rPr>
              <w:t>&lt;98%</w:t>
            </w:r>
          </w:p>
        </w:tc>
        <w:tc>
          <w:tcPr>
            <w:tcW w:w="737" w:type="dxa"/>
            <w:vAlign w:val="center"/>
          </w:tcPr>
          <w:p>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、统计调查</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按上级部署及工作需要，开展相关数据调查、统计、汇总及上报。</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按要求完成</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任务完成率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&gt;=99/%</w:t>
            </w:r>
          </w:p>
        </w:tc>
        <w:tc>
          <w:tcPr>
            <w:tcW w:w="737" w:type="dxa"/>
            <w:vAlign w:val="center"/>
          </w:tcPr>
          <w:p>
            <w:pPr>
              <w:spacing w:line="300" w:lineRule="exact"/>
              <w:jc w:val="center"/>
              <w:rPr>
                <w:rFonts w:ascii="方正书宋_GBK" w:eastAsia="方正书宋_GBK"/>
              </w:rPr>
            </w:pPr>
            <w:r>
              <w:rPr>
                <w:rFonts w:ascii="方正书宋_GBK" w:eastAsia="方正书宋_GBK"/>
              </w:rPr>
              <w:t>96%&lt;=</w:t>
            </w:r>
            <w:r>
              <w:rPr>
                <w:rFonts w:hint="eastAsia" w:ascii="方正书宋_GBK" w:eastAsia="方正书宋_GBK"/>
              </w:rPr>
              <w:t>任务完成率</w:t>
            </w:r>
            <w:r>
              <w:rPr>
                <w:rFonts w:ascii="方正书宋_GBK" w:eastAsia="方正书宋_GBK"/>
              </w:rPr>
              <w:t>&lt;99%</w:t>
            </w:r>
          </w:p>
        </w:tc>
        <w:tc>
          <w:tcPr>
            <w:tcW w:w="737" w:type="dxa"/>
            <w:vAlign w:val="center"/>
          </w:tcPr>
          <w:p>
            <w:pPr>
              <w:spacing w:line="300" w:lineRule="exact"/>
              <w:jc w:val="center"/>
              <w:rPr>
                <w:rFonts w:ascii="方正书宋_GBK" w:eastAsia="方正书宋_GBK"/>
              </w:rPr>
            </w:pPr>
            <w:r>
              <w:rPr>
                <w:rFonts w:ascii="方正书宋_GBK" w:eastAsia="方正书宋_GBK"/>
              </w:rPr>
              <w:t>93%&lt;=</w:t>
            </w:r>
            <w:r>
              <w:rPr>
                <w:rFonts w:hint="eastAsia" w:ascii="方正书宋_GBK" w:eastAsia="方正书宋_GBK"/>
              </w:rPr>
              <w:t>任务完成率</w:t>
            </w:r>
            <w:r>
              <w:rPr>
                <w:rFonts w:ascii="方正书宋_GBK" w:eastAsia="方正书宋_GBK"/>
              </w:rPr>
              <w:t>&lt;96%</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&lt;93%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十、政府事务管理</w:t>
            </w:r>
          </w:p>
        </w:tc>
        <w:tc>
          <w:tcPr>
            <w:tcW w:w="1276" w:type="dxa"/>
            <w:vAlign w:val="center"/>
          </w:tcPr>
          <w:p>
            <w:pPr>
              <w:spacing w:line="300" w:lineRule="exact"/>
              <w:jc w:val="left"/>
              <w:rPr>
                <w:rFonts w:ascii="方正书宋_GBK" w:eastAsia="方正书宋_GBK"/>
              </w:rPr>
            </w:pPr>
            <w:r>
              <w:rPr>
                <w:rFonts w:ascii="方正书宋_GBK" w:eastAsia="方正书宋_GBK"/>
              </w:rPr>
              <w:t>11</w:t>
            </w:r>
            <w:r>
              <w:rPr>
                <w:rFonts w:hint="eastAsia" w:ascii="方正书宋_GBK" w:eastAsia="方正书宋_GBK"/>
              </w:rPr>
              <w:t>.</w:t>
            </w:r>
            <w:r>
              <w:rPr>
                <w:rFonts w:ascii="方正书宋_GBK" w:eastAsia="方正书宋_GBK"/>
              </w:rPr>
              <w:t>56</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、政府日常管理</w:t>
            </w:r>
          </w:p>
        </w:tc>
        <w:tc>
          <w:tcPr>
            <w:tcW w:w="1276" w:type="dxa"/>
            <w:vAlign w:val="center"/>
          </w:tcPr>
          <w:p>
            <w:pPr>
              <w:spacing w:line="300" w:lineRule="exact"/>
              <w:jc w:val="left"/>
              <w:rPr>
                <w:rFonts w:ascii="方正书宋_GBK" w:eastAsia="方正书宋_GBK"/>
              </w:rPr>
            </w:pPr>
            <w:r>
              <w:rPr>
                <w:rFonts w:ascii="方正书宋_GBK" w:eastAsia="方正书宋_GBK"/>
              </w:rPr>
              <w:t>11</w:t>
            </w:r>
            <w:r>
              <w:rPr>
                <w:rFonts w:hint="eastAsia" w:ascii="方正书宋_GBK" w:eastAsia="方正书宋_GBK"/>
              </w:rPr>
              <w:t>.</w:t>
            </w:r>
            <w:r>
              <w:rPr>
                <w:rFonts w:ascii="方正书宋_GBK" w:eastAsia="方正书宋_GBK"/>
              </w:rPr>
              <w:t>56</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、信访活动</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vAlign w:val="center"/>
          </w:tcPr>
          <w:p>
            <w:pPr>
              <w:spacing w:line="300" w:lineRule="exact"/>
              <w:jc w:val="center"/>
              <w:rPr>
                <w:rFonts w:ascii="方正书宋_GBK" w:eastAsia="方正书宋_GBK"/>
              </w:rPr>
            </w:pPr>
            <w:r>
              <w:rPr>
                <w:rFonts w:ascii="方正书宋_GBK" w:eastAsia="方正书宋_GBK"/>
              </w:rPr>
              <w:t>7</w:t>
            </w:r>
          </w:p>
        </w:tc>
        <w:tc>
          <w:tcPr>
            <w:tcW w:w="737" w:type="dxa"/>
            <w:vAlign w:val="center"/>
          </w:tcPr>
          <w:p>
            <w:pPr>
              <w:spacing w:line="300" w:lineRule="exact"/>
              <w:jc w:val="center"/>
              <w:rPr>
                <w:rFonts w:ascii="方正书宋_GBK" w:eastAsia="方正书宋_GBK"/>
              </w:rPr>
            </w:pPr>
            <w:r>
              <w:rPr>
                <w:rFonts w:ascii="方正书宋_GBK" w:eastAsia="方正书宋_GBK"/>
              </w:rPr>
              <w:t>6</w:t>
            </w:r>
          </w:p>
        </w:tc>
        <w:tc>
          <w:tcPr>
            <w:tcW w:w="737" w:type="dxa"/>
            <w:vAlign w:val="center"/>
          </w:tcPr>
          <w:p>
            <w:pPr>
              <w:spacing w:line="300" w:lineRule="exact"/>
              <w:jc w:val="center"/>
              <w:rPr>
                <w:rFonts w:ascii="方正书宋_GBK" w:eastAsia="方正书宋_GBK"/>
              </w:rPr>
            </w:pPr>
            <w:r>
              <w:rPr>
                <w:rFonts w:ascii="方正书宋_GBK" w:eastAsia="方正书宋_GBK"/>
              </w:rPr>
              <w:t>&lt;6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、财政管理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、预算管理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、财政监督管理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、国有资产</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&lt;90%</w:t>
            </w:r>
          </w:p>
        </w:tc>
      </w:tr>
    </w:tbl>
    <w:p>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pPr>
        <w:spacing w:line="300" w:lineRule="exact"/>
        <w:jc w:val="left"/>
        <w:outlineLvl w:val="0"/>
        <w:rPr>
          <w:rFonts w:ascii="宋体"/>
          <w:sz w:val="28"/>
          <w:szCs w:val="28"/>
        </w:rPr>
        <w:sectPr>
          <w:pgSz w:w="16839" w:h="11907" w:orient="landscape"/>
          <w:pgMar w:top="1020" w:right="1361" w:bottom="1020" w:left="1361" w:header="851" w:footer="992" w:gutter="0"/>
          <w:cols w:space="720" w:num="1"/>
          <w:docGrid w:type="lines" w:linePitch="312" w:charSpace="0"/>
        </w:sectPr>
      </w:pPr>
    </w:p>
    <w:p>
      <w:pPr>
        <w:numPr>
          <w:ilvl w:val="0"/>
          <w:numId w:val="1"/>
        </w:numPr>
        <w:jc w:val="left"/>
        <w:rPr>
          <w:rFonts w:ascii="宋体" w:cs="宋体"/>
          <w:b/>
          <w:bCs/>
          <w:color w:val="000000"/>
          <w:kern w:val="0"/>
          <w:sz w:val="28"/>
          <w:szCs w:val="28"/>
        </w:rPr>
      </w:pPr>
      <w:r>
        <w:rPr>
          <w:rFonts w:hint="eastAsia" w:ascii="宋体" w:hAnsi="宋体" w:cs="宋体"/>
          <w:b/>
          <w:bCs/>
          <w:color w:val="000000"/>
          <w:kern w:val="0"/>
          <w:sz w:val="28"/>
          <w:szCs w:val="28"/>
        </w:rPr>
        <w:t>政府采购预算情况</w:t>
      </w:r>
    </w:p>
    <w:p>
      <w:pPr>
        <w:ind w:firstLine="562" w:firstLineChars="200"/>
        <w:jc w:val="left"/>
        <w:rPr>
          <w:rFonts w:ascii="宋体" w:cs="宋体"/>
          <w:b/>
          <w:bCs/>
          <w:color w:val="000000"/>
          <w:kern w:val="0"/>
          <w:sz w:val="28"/>
          <w:szCs w:val="28"/>
        </w:rPr>
      </w:pPr>
      <w:r>
        <w:rPr>
          <w:rFonts w:ascii="宋体" w:hAnsi="宋体" w:cs="宋体"/>
          <w:b/>
          <w:bCs/>
          <w:color w:val="000000"/>
          <w:kern w:val="0"/>
          <w:sz w:val="28"/>
          <w:szCs w:val="28"/>
        </w:rPr>
        <w:t>201</w:t>
      </w:r>
      <w:r>
        <w:rPr>
          <w:rFonts w:hint="eastAsia" w:ascii="宋体" w:hAnsi="宋体" w:cs="宋体"/>
          <w:b/>
          <w:bCs/>
          <w:color w:val="000000"/>
          <w:kern w:val="0"/>
          <w:sz w:val="28"/>
          <w:szCs w:val="28"/>
        </w:rPr>
        <w:t>9年我单位无政府采购预算。</w:t>
      </w:r>
    </w:p>
    <w:p>
      <w:pPr>
        <w:numPr>
          <w:ilvl w:val="0"/>
          <w:numId w:val="1"/>
        </w:numPr>
        <w:jc w:val="left"/>
        <w:rPr>
          <w:rFonts w:ascii="宋体" w:cs="宋体"/>
          <w:b/>
          <w:bCs/>
          <w:color w:val="000000"/>
          <w:kern w:val="0"/>
          <w:sz w:val="28"/>
          <w:szCs w:val="28"/>
        </w:rPr>
      </w:pPr>
      <w:r>
        <w:rPr>
          <w:rFonts w:hint="eastAsia" w:ascii="宋体" w:hAnsi="宋体" w:cs="宋体"/>
          <w:b/>
          <w:bCs/>
          <w:color w:val="000000"/>
          <w:kern w:val="0"/>
          <w:sz w:val="28"/>
          <w:szCs w:val="28"/>
        </w:rPr>
        <w:t>国有资产信息情况</w:t>
      </w:r>
    </w:p>
    <w:p>
      <w:pPr>
        <w:widowControl/>
        <w:spacing w:line="460" w:lineRule="exact"/>
        <w:ind w:firstLine="700" w:firstLineChars="250"/>
        <w:rPr>
          <w:rFonts w:ascii="宋体" w:cs="仿宋"/>
          <w:bCs/>
          <w:kern w:val="0"/>
          <w:sz w:val="28"/>
          <w:szCs w:val="28"/>
        </w:rPr>
      </w:pPr>
      <w:r>
        <w:rPr>
          <w:rFonts w:hint="eastAsia" w:ascii="宋体" w:hAnsi="宋体" w:cs="仿宋"/>
          <w:bCs/>
          <w:kern w:val="0"/>
          <w:sz w:val="28"/>
          <w:szCs w:val="28"/>
        </w:rPr>
        <w:t>涞水县永阳镇人民政府</w:t>
      </w:r>
      <w:r>
        <w:rPr>
          <w:rFonts w:ascii="宋体" w:hAnsi="宋体" w:cs="仿宋"/>
          <w:bCs/>
          <w:kern w:val="0"/>
          <w:sz w:val="28"/>
          <w:szCs w:val="28"/>
        </w:rPr>
        <w:t>201</w:t>
      </w:r>
      <w:r>
        <w:rPr>
          <w:rFonts w:hint="eastAsia" w:ascii="宋体" w:hAnsi="宋体" w:cs="仿宋"/>
          <w:bCs/>
          <w:kern w:val="0"/>
          <w:sz w:val="28"/>
          <w:szCs w:val="28"/>
        </w:rPr>
        <w:t>8年末固定资产总金额</w:t>
      </w:r>
      <w:r>
        <w:rPr>
          <w:rFonts w:ascii="宋体" w:hAnsi="宋体" w:cs="仿宋"/>
          <w:bCs/>
          <w:kern w:val="0"/>
          <w:sz w:val="28"/>
          <w:szCs w:val="28"/>
        </w:rPr>
        <w:t>18</w:t>
      </w:r>
      <w:r>
        <w:rPr>
          <w:rFonts w:hint="eastAsia" w:ascii="宋体" w:hAnsi="宋体" w:cs="仿宋"/>
          <w:bCs/>
          <w:kern w:val="0"/>
          <w:sz w:val="28"/>
          <w:szCs w:val="28"/>
        </w:rPr>
        <w:t>2</w:t>
      </w:r>
      <w:r>
        <w:rPr>
          <w:rFonts w:ascii="宋体" w:hAnsi="宋体" w:cs="仿宋"/>
          <w:bCs/>
          <w:kern w:val="0"/>
          <w:sz w:val="28"/>
          <w:szCs w:val="28"/>
        </w:rPr>
        <w:t>.07</w:t>
      </w:r>
      <w:r>
        <w:rPr>
          <w:rFonts w:hint="eastAsia" w:ascii="宋体" w:hAnsi="宋体" w:cs="仿宋"/>
          <w:bCs/>
          <w:kern w:val="0"/>
          <w:sz w:val="28"/>
          <w:szCs w:val="28"/>
        </w:rPr>
        <w:t>万元</w:t>
      </w:r>
      <w:r>
        <w:rPr>
          <w:rFonts w:hint="eastAsia" w:ascii="宋体" w:hAnsi="宋体" w:cs="仿宋"/>
          <w:bCs/>
          <w:kern w:val="0"/>
          <w:sz w:val="28"/>
          <w:szCs w:val="28"/>
          <w:lang w:val="en-US" w:eastAsia="zh-CN"/>
        </w:rPr>
        <w:t>,其中：房屋1941平方米，价值135.5万元；公务用车1辆，价值10万元，其他固定资产（办公桌椅、台式电脑、笔记本电脑、空调等）价值36.75万元</w:t>
      </w:r>
      <w:r>
        <w:rPr>
          <w:rFonts w:hint="eastAsia" w:ascii="宋体" w:hAnsi="宋体" w:cs="仿宋"/>
          <w:bCs/>
          <w:kern w:val="0"/>
          <w:sz w:val="28"/>
          <w:szCs w:val="28"/>
        </w:rPr>
        <w:t>（详见下表）。</w:t>
      </w:r>
      <w:r>
        <w:rPr>
          <w:rFonts w:ascii="宋体" w:hAnsi="宋体" w:cs="仿宋"/>
          <w:bCs/>
          <w:kern w:val="0"/>
          <w:sz w:val="28"/>
          <w:szCs w:val="28"/>
        </w:rPr>
        <w:t xml:space="preserve"> 201</w:t>
      </w:r>
      <w:r>
        <w:rPr>
          <w:rFonts w:hint="eastAsia" w:ascii="宋体" w:hAnsi="宋体" w:cs="仿宋"/>
          <w:bCs/>
          <w:kern w:val="0"/>
          <w:sz w:val="28"/>
          <w:szCs w:val="28"/>
        </w:rPr>
        <w:t>9年拟购置固定资产为零。</w:t>
      </w:r>
    </w:p>
    <w:p>
      <w:pPr>
        <w:rPr>
          <w:rFonts w:ascii="宋体"/>
          <w:b/>
          <w:sz w:val="28"/>
          <w:szCs w:val="28"/>
        </w:rPr>
      </w:pPr>
    </w:p>
    <w:tbl>
      <w:tblPr>
        <w:tblStyle w:val="6"/>
        <w:tblW w:w="9195" w:type="dxa"/>
        <w:tblInd w:w="93" w:type="dxa"/>
        <w:tblLayout w:type="fixed"/>
        <w:tblCellMar>
          <w:top w:w="0" w:type="dxa"/>
          <w:left w:w="108" w:type="dxa"/>
          <w:bottom w:w="0" w:type="dxa"/>
          <w:right w:w="108" w:type="dxa"/>
        </w:tblCellMar>
      </w:tblPr>
      <w:tblGrid>
        <w:gridCol w:w="16"/>
        <w:gridCol w:w="3964"/>
        <w:gridCol w:w="1662"/>
        <w:gridCol w:w="3553"/>
      </w:tblGrid>
      <w:tr>
        <w:tblPrEx>
          <w:tblCellMar>
            <w:top w:w="0" w:type="dxa"/>
            <w:left w:w="108" w:type="dxa"/>
            <w:bottom w:w="0" w:type="dxa"/>
            <w:right w:w="108" w:type="dxa"/>
          </w:tblCellMar>
        </w:tblPrEx>
        <w:trPr>
          <w:trHeight w:val="686" w:hRule="atLeast"/>
        </w:trPr>
        <w:tc>
          <w:tcPr>
            <w:tcW w:w="9195" w:type="dxa"/>
            <w:gridSpan w:val="4"/>
            <w:tcBorders>
              <w:top w:val="nil"/>
              <w:left w:val="nil"/>
              <w:bottom w:val="nil"/>
              <w:right w:val="nil"/>
            </w:tcBorders>
            <w:vAlign w:val="center"/>
          </w:tcPr>
          <w:p>
            <w:pPr>
              <w:widowControl/>
              <w:jc w:val="center"/>
              <w:rPr>
                <w:rFonts w:ascii="宋体" w:cs="宋体"/>
                <w:color w:val="000000"/>
                <w:kern w:val="0"/>
                <w:sz w:val="28"/>
                <w:szCs w:val="28"/>
              </w:rPr>
            </w:pPr>
            <w:r>
              <w:rPr>
                <w:rFonts w:hint="eastAsia" w:ascii="宋体" w:hAnsi="宋体"/>
                <w:sz w:val="28"/>
                <w:szCs w:val="28"/>
              </w:rPr>
              <w:t>涞水县永阳镇人民政府</w:t>
            </w:r>
          </w:p>
        </w:tc>
      </w:tr>
      <w:tr>
        <w:tblPrEx>
          <w:tblCellMar>
            <w:top w:w="0" w:type="dxa"/>
            <w:left w:w="108" w:type="dxa"/>
            <w:bottom w:w="0" w:type="dxa"/>
            <w:right w:w="108" w:type="dxa"/>
          </w:tblCellMar>
        </w:tblPrEx>
        <w:trPr>
          <w:trHeight w:val="472" w:hRule="atLeast"/>
        </w:trPr>
        <w:tc>
          <w:tcPr>
            <w:tcW w:w="9195" w:type="dxa"/>
            <w:gridSpan w:val="4"/>
            <w:tcBorders>
              <w:top w:val="nil"/>
              <w:left w:val="nil"/>
              <w:bottom w:val="single" w:color="auto" w:sz="4" w:space="0"/>
              <w:right w:val="nil"/>
            </w:tcBorders>
            <w:vAlign w:val="center"/>
          </w:tcPr>
          <w:p>
            <w:pPr>
              <w:widowControl/>
              <w:jc w:val="center"/>
              <w:rPr>
                <w:rFonts w:ascii="宋体" w:cs="宋体"/>
                <w:color w:val="000000"/>
                <w:kern w:val="0"/>
                <w:sz w:val="28"/>
                <w:szCs w:val="28"/>
              </w:rPr>
            </w:pPr>
            <w:r>
              <w:rPr>
                <w:rFonts w:ascii="宋体" w:hAnsi="宋体" w:cs="宋体"/>
                <w:bCs/>
                <w:color w:val="000000"/>
                <w:kern w:val="0"/>
                <w:sz w:val="28"/>
                <w:szCs w:val="28"/>
              </w:rPr>
              <w:t xml:space="preserve">                           </w:t>
            </w:r>
            <w:r>
              <w:rPr>
                <w:rFonts w:hint="eastAsia" w:ascii="宋体" w:hAnsi="宋体" w:cs="宋体"/>
                <w:bCs/>
                <w:color w:val="000000"/>
                <w:kern w:val="0"/>
                <w:sz w:val="28"/>
                <w:szCs w:val="28"/>
              </w:rPr>
              <w:t>截止时间：</w:t>
            </w:r>
            <w:r>
              <w:rPr>
                <w:rFonts w:ascii="宋体" w:hAnsi="宋体" w:cs="宋体"/>
                <w:bCs/>
                <w:color w:val="000000"/>
                <w:kern w:val="0"/>
                <w:sz w:val="28"/>
                <w:szCs w:val="28"/>
              </w:rPr>
              <w:t>201</w:t>
            </w:r>
            <w:r>
              <w:rPr>
                <w:rFonts w:hint="eastAsia" w:ascii="宋体" w:hAnsi="宋体" w:cs="宋体"/>
                <w:bCs/>
                <w:color w:val="000000"/>
                <w:kern w:val="0"/>
                <w:sz w:val="28"/>
                <w:szCs w:val="28"/>
              </w:rPr>
              <w:t>8年</w:t>
            </w:r>
            <w:r>
              <w:rPr>
                <w:rFonts w:ascii="宋体" w:hAnsi="宋体" w:cs="宋体"/>
                <w:bCs/>
                <w:color w:val="000000"/>
                <w:kern w:val="0"/>
                <w:sz w:val="28"/>
                <w:szCs w:val="28"/>
              </w:rPr>
              <w:t>12</w:t>
            </w:r>
            <w:r>
              <w:rPr>
                <w:rFonts w:hint="eastAsia" w:ascii="宋体" w:hAnsi="宋体" w:cs="宋体"/>
                <w:bCs/>
                <w:color w:val="000000"/>
                <w:kern w:val="0"/>
                <w:sz w:val="28"/>
                <w:szCs w:val="28"/>
              </w:rPr>
              <w:t>月</w:t>
            </w:r>
            <w:r>
              <w:rPr>
                <w:rFonts w:ascii="宋体" w:hAnsi="宋体" w:cs="宋体"/>
                <w:bCs/>
                <w:color w:val="000000"/>
                <w:kern w:val="0"/>
                <w:sz w:val="28"/>
                <w:szCs w:val="28"/>
              </w:rPr>
              <w:t>31</w:t>
            </w:r>
            <w:r>
              <w:rPr>
                <w:rFonts w:hint="eastAsia" w:ascii="宋体" w:hAnsi="宋体" w:cs="宋体"/>
                <w:bCs/>
                <w:color w:val="000000"/>
                <w:kern w:val="0"/>
                <w:sz w:val="28"/>
                <w:szCs w:val="28"/>
              </w:rPr>
              <w:t>日</w:t>
            </w:r>
          </w:p>
        </w:tc>
      </w:tr>
      <w:tr>
        <w:tblPrEx>
          <w:tblCellMar>
            <w:top w:w="0" w:type="dxa"/>
            <w:left w:w="108" w:type="dxa"/>
            <w:bottom w:w="0" w:type="dxa"/>
            <w:right w:w="108" w:type="dxa"/>
          </w:tblCellMar>
        </w:tblPrEx>
        <w:trPr>
          <w:gridBefore w:val="1"/>
          <w:wBefore w:w="16" w:type="dxa"/>
          <w:trHeight w:val="762" w:hRule="atLeast"/>
        </w:trPr>
        <w:tc>
          <w:tcPr>
            <w:tcW w:w="3964" w:type="dxa"/>
            <w:tcBorders>
              <w:top w:val="nil"/>
              <w:left w:val="single" w:color="auto" w:sz="4" w:space="0"/>
              <w:bottom w:val="single" w:color="auto" w:sz="4" w:space="0"/>
              <w:right w:val="single" w:color="auto" w:sz="4" w:space="0"/>
            </w:tcBorders>
            <w:vAlign w:val="center"/>
          </w:tcPr>
          <w:p>
            <w:pPr>
              <w:widowControl/>
              <w:jc w:val="center"/>
              <w:rPr>
                <w:rFonts w:ascii="宋体" w:cs="宋体"/>
                <w:b/>
                <w:bCs/>
                <w:color w:val="000000"/>
                <w:kern w:val="0"/>
                <w:sz w:val="28"/>
                <w:szCs w:val="28"/>
              </w:rPr>
            </w:pPr>
            <w:r>
              <w:rPr>
                <w:rFonts w:hint="eastAsia" w:ascii="宋体" w:hAnsi="宋体" w:cs="宋体"/>
                <w:b/>
                <w:bCs/>
                <w:color w:val="000000"/>
                <w:kern w:val="0"/>
                <w:sz w:val="28"/>
                <w:szCs w:val="28"/>
              </w:rPr>
              <w:t>项　　目</w:t>
            </w:r>
          </w:p>
        </w:tc>
        <w:tc>
          <w:tcPr>
            <w:tcW w:w="1662" w:type="dxa"/>
            <w:tcBorders>
              <w:top w:val="nil"/>
              <w:left w:val="nil"/>
              <w:bottom w:val="single" w:color="auto" w:sz="4" w:space="0"/>
              <w:right w:val="single" w:color="auto" w:sz="4" w:space="0"/>
            </w:tcBorders>
            <w:vAlign w:val="center"/>
          </w:tcPr>
          <w:p>
            <w:pPr>
              <w:widowControl/>
              <w:jc w:val="center"/>
              <w:rPr>
                <w:rFonts w:ascii="宋体" w:cs="宋体"/>
                <w:b/>
                <w:bCs/>
                <w:color w:val="000000"/>
                <w:kern w:val="0"/>
                <w:sz w:val="28"/>
                <w:szCs w:val="28"/>
              </w:rPr>
            </w:pPr>
            <w:r>
              <w:rPr>
                <w:rFonts w:hint="eastAsia" w:ascii="宋体" w:hAnsi="宋体" w:cs="宋体"/>
                <w:b/>
                <w:bCs/>
                <w:color w:val="000000"/>
                <w:kern w:val="0"/>
                <w:sz w:val="28"/>
                <w:szCs w:val="28"/>
              </w:rPr>
              <w:t>数量</w:t>
            </w:r>
          </w:p>
        </w:tc>
        <w:tc>
          <w:tcPr>
            <w:tcW w:w="3553" w:type="dxa"/>
            <w:tcBorders>
              <w:top w:val="nil"/>
              <w:left w:val="nil"/>
              <w:bottom w:val="single" w:color="auto" w:sz="4" w:space="0"/>
              <w:right w:val="single" w:color="auto" w:sz="4" w:space="0"/>
            </w:tcBorders>
            <w:vAlign w:val="center"/>
          </w:tcPr>
          <w:p>
            <w:pPr>
              <w:widowControl/>
              <w:jc w:val="center"/>
              <w:rPr>
                <w:rFonts w:ascii="宋体" w:cs="宋体"/>
                <w:b/>
                <w:bCs/>
                <w:color w:val="000000"/>
                <w:kern w:val="0"/>
                <w:sz w:val="28"/>
                <w:szCs w:val="28"/>
              </w:rPr>
            </w:pPr>
            <w:r>
              <w:rPr>
                <w:rFonts w:hint="eastAsia" w:ascii="宋体" w:hAnsi="宋体" w:cs="宋体"/>
                <w:b/>
                <w:bCs/>
                <w:color w:val="000000"/>
                <w:kern w:val="0"/>
                <w:sz w:val="28"/>
                <w:szCs w:val="28"/>
              </w:rPr>
              <w:t>价值（单位：万元）</w:t>
            </w:r>
          </w:p>
        </w:tc>
      </w:tr>
      <w:tr>
        <w:tblPrEx>
          <w:tblCellMar>
            <w:top w:w="0" w:type="dxa"/>
            <w:left w:w="108" w:type="dxa"/>
            <w:bottom w:w="0" w:type="dxa"/>
            <w:right w:w="108" w:type="dxa"/>
          </w:tblCellMar>
        </w:tblPrEx>
        <w:trPr>
          <w:trHeight w:val="503" w:hRule="atLeast"/>
        </w:trPr>
        <w:tc>
          <w:tcPr>
            <w:tcW w:w="3980" w:type="dxa"/>
            <w:gridSpan w:val="2"/>
            <w:tcBorders>
              <w:top w:val="nil"/>
              <w:left w:val="single" w:color="auto" w:sz="4" w:space="0"/>
              <w:bottom w:val="single" w:color="auto" w:sz="4" w:space="0"/>
              <w:right w:val="single" w:color="auto" w:sz="4" w:space="0"/>
            </w:tcBorders>
            <w:vAlign w:val="center"/>
          </w:tcPr>
          <w:p>
            <w:pPr>
              <w:widowControl/>
              <w:jc w:val="center"/>
              <w:rPr>
                <w:rFonts w:ascii="宋体" w:cs="宋体"/>
                <w:b/>
                <w:bCs/>
                <w:color w:val="000000"/>
                <w:kern w:val="0"/>
                <w:sz w:val="28"/>
                <w:szCs w:val="28"/>
              </w:rPr>
            </w:pPr>
            <w:r>
              <w:rPr>
                <w:rFonts w:hint="eastAsia" w:ascii="宋体" w:hAnsi="宋体" w:cs="宋体"/>
                <w:b/>
                <w:bCs/>
                <w:color w:val="000000"/>
                <w:kern w:val="0"/>
                <w:sz w:val="28"/>
                <w:szCs w:val="28"/>
              </w:rPr>
              <w:t>固定资产总额</w:t>
            </w:r>
          </w:p>
        </w:tc>
        <w:tc>
          <w:tcPr>
            <w:tcW w:w="166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ascii="宋体" w:hAnsi="宋体" w:cs="宋体"/>
                <w:color w:val="000000"/>
                <w:kern w:val="0"/>
                <w:sz w:val="28"/>
                <w:szCs w:val="28"/>
              </w:rPr>
              <w:t>—</w:t>
            </w:r>
          </w:p>
        </w:tc>
        <w:tc>
          <w:tcPr>
            <w:tcW w:w="3553" w:type="dxa"/>
            <w:tcBorders>
              <w:top w:val="nil"/>
              <w:left w:val="nil"/>
              <w:bottom w:val="single" w:color="auto" w:sz="4" w:space="0"/>
              <w:right w:val="single" w:color="auto" w:sz="4" w:space="0"/>
            </w:tcBorders>
            <w:vAlign w:val="center"/>
          </w:tcPr>
          <w:p>
            <w:pPr>
              <w:widowControl/>
              <w:jc w:val="center"/>
              <w:rPr>
                <w:rFonts w:ascii="宋体" w:cs="宋体"/>
                <w:b/>
                <w:color w:val="000000"/>
                <w:kern w:val="0"/>
                <w:sz w:val="28"/>
                <w:szCs w:val="28"/>
              </w:rPr>
            </w:pPr>
            <w:r>
              <w:rPr>
                <w:rFonts w:ascii="宋体" w:hAnsi="宋体" w:cs="宋体"/>
                <w:b/>
                <w:color w:val="000000"/>
                <w:kern w:val="0"/>
                <w:sz w:val="28"/>
                <w:szCs w:val="28"/>
              </w:rPr>
              <w:t>18</w:t>
            </w:r>
            <w:r>
              <w:rPr>
                <w:rFonts w:hint="eastAsia" w:ascii="宋体" w:hAnsi="宋体" w:cs="宋体"/>
                <w:b/>
                <w:color w:val="000000"/>
                <w:kern w:val="0"/>
                <w:sz w:val="28"/>
                <w:szCs w:val="28"/>
              </w:rPr>
              <w:t>2</w:t>
            </w:r>
            <w:r>
              <w:rPr>
                <w:rFonts w:ascii="宋体" w:hAnsi="宋体" w:cs="宋体"/>
                <w:b/>
                <w:color w:val="000000"/>
                <w:kern w:val="0"/>
                <w:sz w:val="28"/>
                <w:szCs w:val="28"/>
              </w:rPr>
              <w:t>.07</w:t>
            </w:r>
          </w:p>
        </w:tc>
      </w:tr>
      <w:tr>
        <w:tblPrEx>
          <w:tblCellMar>
            <w:top w:w="0" w:type="dxa"/>
            <w:left w:w="108" w:type="dxa"/>
            <w:bottom w:w="0" w:type="dxa"/>
            <w:right w:w="108" w:type="dxa"/>
          </w:tblCellMar>
        </w:tblPrEx>
        <w:trPr>
          <w:trHeight w:val="491" w:hRule="atLeast"/>
        </w:trPr>
        <w:tc>
          <w:tcPr>
            <w:tcW w:w="3980" w:type="dxa"/>
            <w:gridSpan w:val="2"/>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r>
              <w:rPr>
                <w:rFonts w:ascii="宋体" w:hAnsi="宋体" w:cs="宋体"/>
                <w:color w:val="000000"/>
                <w:kern w:val="0"/>
                <w:sz w:val="28"/>
                <w:szCs w:val="28"/>
              </w:rPr>
              <w:t xml:space="preserve">  1</w:t>
            </w:r>
            <w:r>
              <w:rPr>
                <w:rFonts w:hint="eastAsia" w:ascii="宋体" w:hAnsi="宋体" w:cs="宋体"/>
                <w:color w:val="000000"/>
                <w:kern w:val="0"/>
                <w:sz w:val="28"/>
                <w:szCs w:val="28"/>
              </w:rPr>
              <w:t>、房屋（平方米）</w:t>
            </w:r>
          </w:p>
        </w:tc>
        <w:tc>
          <w:tcPr>
            <w:tcW w:w="166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ascii="宋体" w:hAnsi="宋体" w:cs="宋体"/>
                <w:color w:val="000000"/>
                <w:kern w:val="0"/>
                <w:sz w:val="28"/>
                <w:szCs w:val="28"/>
              </w:rPr>
              <w:t>1941</w:t>
            </w:r>
          </w:p>
        </w:tc>
        <w:tc>
          <w:tcPr>
            <w:tcW w:w="3553"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135.5</w:t>
            </w:r>
          </w:p>
        </w:tc>
      </w:tr>
      <w:tr>
        <w:tblPrEx>
          <w:tblCellMar>
            <w:top w:w="0" w:type="dxa"/>
            <w:left w:w="108" w:type="dxa"/>
            <w:bottom w:w="0" w:type="dxa"/>
            <w:right w:w="108" w:type="dxa"/>
          </w:tblCellMar>
        </w:tblPrEx>
        <w:trPr>
          <w:trHeight w:val="426" w:hRule="atLeast"/>
        </w:trPr>
        <w:tc>
          <w:tcPr>
            <w:tcW w:w="3980"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cs="宋体"/>
                <w:color w:val="000000"/>
                <w:kern w:val="0"/>
                <w:sz w:val="28"/>
                <w:szCs w:val="28"/>
              </w:rPr>
            </w:pPr>
            <w:r>
              <w:rPr>
                <w:rFonts w:ascii="宋体" w:hAnsi="宋体" w:cs="宋体"/>
                <w:color w:val="000000"/>
                <w:kern w:val="0"/>
                <w:sz w:val="28"/>
                <w:szCs w:val="28"/>
              </w:rPr>
              <w:t xml:space="preserve">   </w:t>
            </w:r>
            <w:r>
              <w:rPr>
                <w:rFonts w:hint="eastAsia" w:ascii="宋体" w:hAnsi="宋体" w:cs="宋体"/>
                <w:color w:val="000000"/>
                <w:kern w:val="0"/>
                <w:sz w:val="28"/>
                <w:szCs w:val="28"/>
              </w:rPr>
              <w:t>其中：办公用房（平方米）</w:t>
            </w:r>
          </w:p>
        </w:tc>
        <w:tc>
          <w:tcPr>
            <w:tcW w:w="1662" w:type="dxa"/>
            <w:tcBorders>
              <w:top w:val="single" w:color="auto" w:sz="4" w:space="0"/>
              <w:left w:val="nil"/>
              <w:bottom w:val="single" w:color="auto" w:sz="4" w:space="0"/>
              <w:right w:val="single" w:color="auto" w:sz="4" w:space="0"/>
            </w:tcBorders>
            <w:vAlign w:val="center"/>
          </w:tcPr>
          <w:p>
            <w:pPr>
              <w:jc w:val="center"/>
              <w:rPr>
                <w:rFonts w:ascii="宋体" w:cs="宋体"/>
                <w:color w:val="000000"/>
                <w:kern w:val="0"/>
                <w:sz w:val="28"/>
                <w:szCs w:val="28"/>
              </w:rPr>
            </w:pPr>
            <w:r>
              <w:rPr>
                <w:rFonts w:ascii="宋体" w:hAnsi="宋体" w:cs="宋体"/>
                <w:color w:val="000000"/>
                <w:kern w:val="0"/>
                <w:sz w:val="28"/>
                <w:szCs w:val="28"/>
              </w:rPr>
              <w:t>1941</w:t>
            </w:r>
          </w:p>
        </w:tc>
        <w:tc>
          <w:tcPr>
            <w:tcW w:w="3553" w:type="dxa"/>
            <w:tcBorders>
              <w:top w:val="single" w:color="auto" w:sz="4" w:space="0"/>
              <w:left w:val="nil"/>
              <w:bottom w:val="single" w:color="auto" w:sz="4" w:space="0"/>
              <w:right w:val="single" w:color="auto" w:sz="4" w:space="0"/>
            </w:tcBorders>
            <w:vAlign w:val="center"/>
          </w:tcPr>
          <w:p>
            <w:pPr>
              <w:jc w:val="center"/>
              <w:rPr>
                <w:rFonts w:ascii="宋体" w:cs="宋体"/>
                <w:color w:val="000000"/>
                <w:kern w:val="0"/>
                <w:sz w:val="28"/>
                <w:szCs w:val="28"/>
              </w:rPr>
            </w:pPr>
            <w:r>
              <w:rPr>
                <w:rFonts w:hint="eastAsia" w:ascii="宋体" w:hAnsi="宋体" w:cs="宋体"/>
                <w:color w:val="000000"/>
                <w:kern w:val="0"/>
                <w:sz w:val="28"/>
                <w:szCs w:val="28"/>
              </w:rPr>
              <w:t>135.5</w:t>
            </w:r>
          </w:p>
        </w:tc>
      </w:tr>
      <w:tr>
        <w:tblPrEx>
          <w:tblCellMar>
            <w:top w:w="0" w:type="dxa"/>
            <w:left w:w="108" w:type="dxa"/>
            <w:bottom w:w="0" w:type="dxa"/>
            <w:right w:w="108" w:type="dxa"/>
          </w:tblCellMar>
        </w:tblPrEx>
        <w:trPr>
          <w:trHeight w:val="503" w:hRule="atLeast"/>
        </w:trPr>
        <w:tc>
          <w:tcPr>
            <w:tcW w:w="3980" w:type="dxa"/>
            <w:gridSpan w:val="2"/>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r>
              <w:rPr>
                <w:rFonts w:ascii="宋体" w:hAnsi="宋体" w:cs="宋体"/>
                <w:color w:val="000000"/>
                <w:kern w:val="0"/>
                <w:sz w:val="28"/>
                <w:szCs w:val="28"/>
              </w:rPr>
              <w:t xml:space="preserve">  2</w:t>
            </w:r>
            <w:r>
              <w:rPr>
                <w:rFonts w:hint="eastAsia" w:ascii="宋体" w:hAnsi="宋体" w:cs="宋体"/>
                <w:color w:val="000000"/>
                <w:kern w:val="0"/>
                <w:sz w:val="28"/>
                <w:szCs w:val="28"/>
              </w:rPr>
              <w:t>、车辆（台、辆）</w:t>
            </w:r>
          </w:p>
        </w:tc>
        <w:tc>
          <w:tcPr>
            <w:tcW w:w="166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ascii="宋体" w:hAnsi="宋体" w:cs="宋体"/>
                <w:color w:val="000000"/>
                <w:kern w:val="0"/>
                <w:sz w:val="28"/>
                <w:szCs w:val="28"/>
              </w:rPr>
              <w:t>1</w:t>
            </w:r>
          </w:p>
        </w:tc>
        <w:tc>
          <w:tcPr>
            <w:tcW w:w="3553"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ascii="宋体" w:hAnsi="宋体" w:cs="宋体"/>
                <w:color w:val="000000"/>
                <w:kern w:val="0"/>
                <w:sz w:val="28"/>
                <w:szCs w:val="28"/>
              </w:rPr>
              <w:t>10</w:t>
            </w:r>
          </w:p>
        </w:tc>
      </w:tr>
      <w:tr>
        <w:tblPrEx>
          <w:tblCellMar>
            <w:top w:w="0" w:type="dxa"/>
            <w:left w:w="108" w:type="dxa"/>
            <w:bottom w:w="0" w:type="dxa"/>
            <w:right w:w="108" w:type="dxa"/>
          </w:tblCellMar>
        </w:tblPrEx>
        <w:trPr>
          <w:trHeight w:val="621" w:hRule="atLeast"/>
        </w:trPr>
        <w:tc>
          <w:tcPr>
            <w:tcW w:w="3980" w:type="dxa"/>
            <w:gridSpan w:val="2"/>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r>
              <w:rPr>
                <w:rFonts w:ascii="宋体" w:hAnsi="宋体" w:cs="宋体"/>
                <w:color w:val="000000"/>
                <w:kern w:val="0"/>
                <w:sz w:val="28"/>
                <w:szCs w:val="28"/>
              </w:rPr>
              <w:t xml:space="preserve">  3</w:t>
            </w:r>
            <w:r>
              <w:rPr>
                <w:rFonts w:hint="eastAsia" w:ascii="宋体" w:hAnsi="宋体" w:cs="宋体"/>
                <w:color w:val="000000"/>
                <w:kern w:val="0"/>
                <w:sz w:val="28"/>
                <w:szCs w:val="28"/>
              </w:rPr>
              <w:t>、单价在</w:t>
            </w:r>
            <w:r>
              <w:rPr>
                <w:rFonts w:ascii="宋体" w:hAnsi="宋体" w:cs="宋体"/>
                <w:color w:val="000000"/>
                <w:kern w:val="0"/>
                <w:sz w:val="28"/>
                <w:szCs w:val="28"/>
              </w:rPr>
              <w:t>20</w:t>
            </w:r>
            <w:r>
              <w:rPr>
                <w:rFonts w:hint="eastAsia" w:ascii="宋体" w:hAnsi="宋体" w:cs="宋体"/>
                <w:color w:val="000000"/>
                <w:kern w:val="0"/>
                <w:sz w:val="28"/>
                <w:szCs w:val="28"/>
              </w:rPr>
              <w:t>万元以上的设备</w:t>
            </w:r>
          </w:p>
        </w:tc>
        <w:tc>
          <w:tcPr>
            <w:tcW w:w="166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ascii="宋体" w:hAnsi="宋体" w:cs="宋体"/>
                <w:color w:val="000000"/>
                <w:kern w:val="0"/>
                <w:sz w:val="28"/>
                <w:szCs w:val="28"/>
              </w:rPr>
              <w:t>—</w:t>
            </w:r>
          </w:p>
        </w:tc>
        <w:tc>
          <w:tcPr>
            <w:tcW w:w="3553"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p>
        </w:tc>
      </w:tr>
      <w:tr>
        <w:tblPrEx>
          <w:tblCellMar>
            <w:top w:w="0" w:type="dxa"/>
            <w:left w:w="108" w:type="dxa"/>
            <w:bottom w:w="0" w:type="dxa"/>
            <w:right w:w="108" w:type="dxa"/>
          </w:tblCellMar>
        </w:tblPrEx>
        <w:trPr>
          <w:trHeight w:val="439" w:hRule="atLeast"/>
        </w:trPr>
        <w:tc>
          <w:tcPr>
            <w:tcW w:w="3980"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cs="宋体"/>
                <w:color w:val="000000"/>
                <w:kern w:val="0"/>
                <w:sz w:val="28"/>
                <w:szCs w:val="28"/>
              </w:rPr>
            </w:pPr>
            <w:r>
              <w:rPr>
                <w:rFonts w:ascii="宋体" w:hAnsi="宋体" w:cs="宋体"/>
                <w:color w:val="000000"/>
                <w:kern w:val="0"/>
                <w:sz w:val="28"/>
                <w:szCs w:val="28"/>
              </w:rPr>
              <w:t xml:space="preserve">  4</w:t>
            </w:r>
            <w:r>
              <w:rPr>
                <w:rFonts w:hint="eastAsia" w:ascii="宋体" w:hAnsi="宋体" w:cs="宋体"/>
                <w:color w:val="000000"/>
                <w:kern w:val="0"/>
                <w:sz w:val="28"/>
                <w:szCs w:val="28"/>
              </w:rPr>
              <w:t>、其他固定资产</w:t>
            </w:r>
          </w:p>
        </w:tc>
        <w:tc>
          <w:tcPr>
            <w:tcW w:w="1662" w:type="dxa"/>
            <w:tcBorders>
              <w:top w:val="single" w:color="auto" w:sz="4" w:space="0"/>
              <w:left w:val="nil"/>
              <w:bottom w:val="single" w:color="auto" w:sz="4" w:space="0"/>
              <w:right w:val="single" w:color="auto" w:sz="4" w:space="0"/>
            </w:tcBorders>
            <w:vAlign w:val="center"/>
          </w:tcPr>
          <w:p>
            <w:pPr>
              <w:jc w:val="center"/>
              <w:rPr>
                <w:rFonts w:ascii="宋体" w:cs="宋体"/>
                <w:color w:val="000000"/>
                <w:kern w:val="0"/>
                <w:sz w:val="28"/>
                <w:szCs w:val="28"/>
              </w:rPr>
            </w:pPr>
            <w:r>
              <w:rPr>
                <w:rFonts w:ascii="宋体" w:hAnsi="宋体" w:cs="宋体"/>
                <w:color w:val="000000"/>
                <w:kern w:val="0"/>
                <w:sz w:val="28"/>
                <w:szCs w:val="28"/>
              </w:rPr>
              <w:t>—</w:t>
            </w:r>
          </w:p>
        </w:tc>
        <w:tc>
          <w:tcPr>
            <w:tcW w:w="3553" w:type="dxa"/>
            <w:tcBorders>
              <w:top w:val="single" w:color="auto" w:sz="4" w:space="0"/>
              <w:left w:val="nil"/>
              <w:bottom w:val="single" w:color="auto" w:sz="4" w:space="0"/>
              <w:right w:val="single" w:color="auto" w:sz="4" w:space="0"/>
            </w:tcBorders>
            <w:vAlign w:val="center"/>
          </w:tcPr>
          <w:p>
            <w:pPr>
              <w:jc w:val="center"/>
              <w:rPr>
                <w:rFonts w:ascii="宋体" w:cs="宋体"/>
                <w:color w:val="000000"/>
                <w:kern w:val="0"/>
                <w:sz w:val="28"/>
                <w:szCs w:val="28"/>
              </w:rPr>
            </w:pPr>
            <w:r>
              <w:rPr>
                <w:rFonts w:ascii="宋体" w:hAnsi="宋体" w:cs="宋体"/>
                <w:color w:val="000000"/>
                <w:kern w:val="0"/>
                <w:sz w:val="28"/>
                <w:szCs w:val="28"/>
              </w:rPr>
              <w:t>36.75</w:t>
            </w:r>
          </w:p>
        </w:tc>
      </w:tr>
    </w:tbl>
    <w:p>
      <w:pPr>
        <w:jc w:val="left"/>
        <w:rPr>
          <w:rFonts w:ascii="宋体" w:cs="宋体"/>
          <w:b/>
          <w:bCs/>
          <w:color w:val="000000"/>
          <w:kern w:val="0"/>
          <w:sz w:val="28"/>
          <w:szCs w:val="28"/>
        </w:rPr>
      </w:pPr>
    </w:p>
    <w:p>
      <w:pPr>
        <w:ind w:firstLine="561"/>
        <w:jc w:val="left"/>
        <w:rPr>
          <w:rFonts w:ascii="宋体" w:cs="仿宋_GB2312"/>
          <w:b/>
          <w:sz w:val="28"/>
          <w:szCs w:val="28"/>
        </w:rPr>
      </w:pPr>
      <w:r>
        <w:rPr>
          <w:rFonts w:hint="eastAsia" w:ascii="宋体" w:hAnsi="宋体" w:cs="仿宋_GB2312"/>
          <w:b/>
          <w:sz w:val="28"/>
          <w:szCs w:val="28"/>
        </w:rPr>
        <w:t>八、专业名词解释</w:t>
      </w:r>
    </w:p>
    <w:p>
      <w:pPr>
        <w:ind w:firstLine="551" w:firstLineChars="196"/>
        <w:rPr>
          <w:rFonts w:ascii="宋体"/>
          <w:sz w:val="28"/>
          <w:szCs w:val="28"/>
        </w:rPr>
      </w:pPr>
      <w:r>
        <w:rPr>
          <w:rFonts w:ascii="宋体" w:hAnsi="宋体"/>
          <w:b/>
          <w:bCs/>
          <w:sz w:val="28"/>
          <w:szCs w:val="28"/>
        </w:rPr>
        <w:t>1</w:t>
      </w:r>
      <w:r>
        <w:rPr>
          <w:rFonts w:hint="eastAsia" w:ascii="宋体" w:hAnsi="宋体"/>
          <w:b/>
          <w:bCs/>
          <w:sz w:val="28"/>
          <w:szCs w:val="28"/>
        </w:rPr>
        <w:t>、一般公共预算财政拨款收入：</w:t>
      </w:r>
      <w:r>
        <w:rPr>
          <w:rFonts w:hint="eastAsia" w:ascii="宋体" w:hAnsi="宋体"/>
          <w:sz w:val="28"/>
          <w:szCs w:val="28"/>
        </w:rPr>
        <w:t>县级财政当年拨付的资金。</w:t>
      </w:r>
    </w:p>
    <w:p>
      <w:pPr>
        <w:pStyle w:val="5"/>
        <w:widowControl/>
        <w:ind w:firstLine="506" w:firstLineChars="180"/>
        <w:rPr>
          <w:rFonts w:ascii="宋体" w:cs="仿宋_GB2312"/>
          <w:sz w:val="28"/>
          <w:szCs w:val="28"/>
        </w:rPr>
      </w:pPr>
      <w:r>
        <w:rPr>
          <w:rStyle w:val="8"/>
          <w:rFonts w:ascii="宋体" w:hAnsi="宋体" w:cs="仿宋_GB2312"/>
          <w:sz w:val="28"/>
          <w:szCs w:val="28"/>
          <w:shd w:val="clear" w:color="auto" w:fill="FFFFFF"/>
        </w:rPr>
        <w:t>2</w:t>
      </w:r>
      <w:r>
        <w:rPr>
          <w:rStyle w:val="8"/>
          <w:rFonts w:hint="eastAsia" w:ascii="宋体" w:hAnsi="宋体" w:cs="仿宋_GB2312"/>
          <w:sz w:val="28"/>
          <w:szCs w:val="28"/>
          <w:shd w:val="clear" w:color="auto" w:fill="FFFFFF"/>
        </w:rPr>
        <w:t>、其他收入：</w:t>
      </w:r>
      <w:r>
        <w:rPr>
          <w:rFonts w:hint="eastAsia" w:ascii="宋体" w:hAnsi="宋体" w:cs="仿宋_GB2312"/>
          <w:sz w:val="28"/>
          <w:szCs w:val="28"/>
          <w:shd w:val="clear" w:color="auto" w:fill="FFFFFF"/>
        </w:rPr>
        <w:t>指除上述财政拨款收入以外的收入。主要是存款利息收入。</w:t>
      </w:r>
    </w:p>
    <w:p>
      <w:pPr>
        <w:pStyle w:val="5"/>
        <w:widowControl/>
        <w:ind w:firstLine="506" w:firstLineChars="180"/>
        <w:rPr>
          <w:rFonts w:ascii="宋体"/>
          <w:sz w:val="28"/>
          <w:szCs w:val="28"/>
        </w:rPr>
      </w:pPr>
      <w:r>
        <w:rPr>
          <w:rStyle w:val="8"/>
          <w:rFonts w:ascii="宋体" w:hAnsi="宋体" w:cs="仿宋_GB2312"/>
          <w:color w:val="000000"/>
          <w:sz w:val="28"/>
          <w:szCs w:val="28"/>
          <w:shd w:val="clear" w:color="auto" w:fill="FFFFFF"/>
        </w:rPr>
        <w:t>3</w:t>
      </w:r>
      <w:r>
        <w:rPr>
          <w:rFonts w:hint="eastAsia" w:ascii="宋体" w:hAnsi="宋体"/>
          <w:b/>
          <w:bCs/>
          <w:sz w:val="28"/>
          <w:szCs w:val="28"/>
        </w:rPr>
        <w:t>、基本支出：</w:t>
      </w:r>
      <w:r>
        <w:rPr>
          <w:rFonts w:hint="eastAsia" w:ascii="宋体" w:hAnsi="宋体"/>
          <w:sz w:val="28"/>
          <w:szCs w:val="28"/>
        </w:rPr>
        <w:t>指为保障机构正常运转、完成日常工作任务而发生的人员支出和公用支出。</w:t>
      </w:r>
    </w:p>
    <w:p>
      <w:pPr>
        <w:pStyle w:val="5"/>
        <w:widowControl/>
        <w:rPr>
          <w:rFonts w:ascii="宋体"/>
          <w:sz w:val="28"/>
          <w:szCs w:val="28"/>
        </w:rPr>
      </w:pPr>
      <w:r>
        <w:rPr>
          <w:rFonts w:ascii="宋体" w:hAnsi="宋体"/>
          <w:b/>
          <w:bCs/>
          <w:sz w:val="28"/>
          <w:szCs w:val="28"/>
        </w:rPr>
        <w:t xml:space="preserve">    4</w:t>
      </w:r>
      <w:r>
        <w:rPr>
          <w:rFonts w:hint="eastAsia" w:ascii="宋体" w:hAnsi="宋体"/>
          <w:b/>
          <w:bCs/>
          <w:sz w:val="28"/>
          <w:szCs w:val="28"/>
        </w:rPr>
        <w:t>、项目支出</w:t>
      </w:r>
      <w:r>
        <w:rPr>
          <w:rFonts w:hint="eastAsia" w:ascii="宋体" w:hAnsi="宋体"/>
          <w:sz w:val="28"/>
          <w:szCs w:val="28"/>
        </w:rPr>
        <w:t>：指在基本支出之外为完成特定行政任务和事业发展目标所发生的支出。</w:t>
      </w:r>
    </w:p>
    <w:p>
      <w:pPr>
        <w:pStyle w:val="5"/>
        <w:widowControl/>
        <w:ind w:firstLine="562" w:firstLineChars="200"/>
        <w:rPr>
          <w:rFonts w:ascii="宋体"/>
          <w:sz w:val="28"/>
          <w:szCs w:val="28"/>
        </w:rPr>
      </w:pPr>
      <w:r>
        <w:rPr>
          <w:rFonts w:ascii="宋体" w:hAnsi="宋体"/>
          <w:b/>
          <w:bCs/>
          <w:sz w:val="28"/>
          <w:szCs w:val="28"/>
        </w:rPr>
        <w:t>5</w:t>
      </w:r>
      <w:r>
        <w:rPr>
          <w:rFonts w:hint="eastAsia" w:ascii="宋体" w:hAnsi="宋体"/>
          <w:b/>
          <w:bCs/>
          <w:sz w:val="28"/>
          <w:szCs w:val="28"/>
        </w:rPr>
        <w:t>、“三公”经费：</w:t>
      </w:r>
      <w:r>
        <w:rPr>
          <w:rFonts w:hint="eastAsia" w:ascii="宋体" w:hAnsi="宋体"/>
          <w:sz w:val="28"/>
          <w:szCs w:val="28"/>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5"/>
        <w:widowControl/>
        <w:ind w:firstLine="562" w:firstLineChars="200"/>
        <w:rPr>
          <w:rFonts w:ascii="宋体"/>
          <w:sz w:val="28"/>
          <w:szCs w:val="28"/>
        </w:rPr>
      </w:pPr>
      <w:r>
        <w:rPr>
          <w:rFonts w:ascii="宋体" w:hAnsi="宋体"/>
          <w:b/>
          <w:bCs/>
          <w:sz w:val="28"/>
          <w:szCs w:val="28"/>
        </w:rPr>
        <w:t>6</w:t>
      </w:r>
      <w:r>
        <w:rPr>
          <w:rFonts w:hint="eastAsia" w:ascii="宋体" w:hAnsi="宋体"/>
          <w:b/>
          <w:bCs/>
          <w:sz w:val="28"/>
          <w:szCs w:val="28"/>
        </w:rPr>
        <w:t>、机关运行经费：</w:t>
      </w:r>
      <w:r>
        <w:rPr>
          <w:rFonts w:hint="eastAsia" w:ascii="宋体" w:hAnsi="宋体"/>
          <w:sz w:val="28"/>
          <w:szCs w:val="28"/>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宋体"/>
          <w:sz w:val="28"/>
          <w:szCs w:val="28"/>
        </w:rPr>
      </w:pPr>
      <w:r>
        <w:rPr>
          <w:rFonts w:ascii="宋体" w:hAnsi="宋体"/>
          <w:sz w:val="28"/>
          <w:szCs w:val="28"/>
        </w:rPr>
        <w:t xml:space="preserve">      </w:t>
      </w:r>
      <w:r>
        <w:rPr>
          <w:rFonts w:hint="eastAsia" w:ascii="宋体" w:hAnsi="宋体"/>
          <w:sz w:val="28"/>
          <w:szCs w:val="28"/>
        </w:rPr>
        <w:t>九、其他需要说明的事项</w:t>
      </w:r>
    </w:p>
    <w:p>
      <w:pPr>
        <w:rPr>
          <w:rFonts w:ascii="宋体" w:cs="仿宋"/>
          <w:sz w:val="28"/>
          <w:szCs w:val="28"/>
        </w:rPr>
      </w:pPr>
      <w:r>
        <w:rPr>
          <w:rFonts w:ascii="宋体" w:hAnsi="宋体"/>
          <w:sz w:val="28"/>
          <w:szCs w:val="28"/>
        </w:rPr>
        <w:t xml:space="preserve">     </w:t>
      </w:r>
      <w:r>
        <w:rPr>
          <w:rFonts w:hint="eastAsia" w:ascii="宋体" w:hAnsi="宋体" w:cs="仿宋"/>
          <w:sz w:val="28"/>
          <w:szCs w:val="28"/>
        </w:rPr>
        <w:t>我部门无政府性基金预算及国有资本经营预算，空表列示。</w:t>
      </w:r>
    </w:p>
    <w:p>
      <w:pPr>
        <w:rPr>
          <w:rFonts w:ascii="宋体"/>
          <w:sz w:val="28"/>
          <w:szCs w:val="28"/>
        </w:rPr>
      </w:pPr>
    </w:p>
    <w:p>
      <w:pPr>
        <w:rPr>
          <w:rFonts w:ascii="宋体"/>
          <w:sz w:val="28"/>
          <w:szCs w:val="28"/>
        </w:rPr>
      </w:pPr>
    </w:p>
    <w:p>
      <w:pPr>
        <w:spacing w:line="300" w:lineRule="exact"/>
        <w:jc w:val="left"/>
        <w:outlineLvl w:val="0"/>
        <w:rPr>
          <w:rFonts w:ascii="宋体"/>
          <w:sz w:val="28"/>
          <w:szCs w:val="28"/>
        </w:rPr>
      </w:pPr>
    </w:p>
    <w:p>
      <w:pPr>
        <w:spacing w:line="300" w:lineRule="exact"/>
        <w:jc w:val="left"/>
        <w:outlineLvl w:val="0"/>
        <w:rPr>
          <w:rFonts w:ascii="宋体"/>
          <w:sz w:val="28"/>
          <w:szCs w:val="28"/>
        </w:rPr>
      </w:pPr>
    </w:p>
    <w:p>
      <w:pPr>
        <w:spacing w:line="300" w:lineRule="exact"/>
        <w:jc w:val="left"/>
        <w:outlineLvl w:val="0"/>
        <w:rPr>
          <w:rFonts w:ascii="宋体"/>
          <w:sz w:val="28"/>
          <w:szCs w:val="28"/>
        </w:rPr>
      </w:pPr>
    </w:p>
    <w:bookmarkEnd w:id="1"/>
    <w:p>
      <w:pPr>
        <w:jc w:val="left"/>
        <w:rPr>
          <w:rFonts w:ascii="宋体"/>
          <w:sz w:val="28"/>
          <w:szCs w:val="28"/>
        </w:rPr>
      </w:pPr>
    </w:p>
    <w:sectPr>
      <w:pgSz w:w="11906" w:h="16838"/>
      <w:pgMar w:top="1361" w:right="1020" w:bottom="1361" w:left="1020"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roman"/>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09034"/>
    <w:multiLevelType w:val="singleLevel"/>
    <w:tmpl w:val="58D09034"/>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4381"/>
    <w:rsid w:val="000145A9"/>
    <w:rsid w:val="000602C2"/>
    <w:rsid w:val="00095FBA"/>
    <w:rsid w:val="000A0AF7"/>
    <w:rsid w:val="000A3587"/>
    <w:rsid w:val="001006B6"/>
    <w:rsid w:val="00101B1B"/>
    <w:rsid w:val="00142E16"/>
    <w:rsid w:val="00180C01"/>
    <w:rsid w:val="00212DBE"/>
    <w:rsid w:val="00253612"/>
    <w:rsid w:val="00273956"/>
    <w:rsid w:val="00291213"/>
    <w:rsid w:val="003B3395"/>
    <w:rsid w:val="0043142C"/>
    <w:rsid w:val="0048477F"/>
    <w:rsid w:val="004B4A49"/>
    <w:rsid w:val="00554264"/>
    <w:rsid w:val="005A2FBA"/>
    <w:rsid w:val="005C213C"/>
    <w:rsid w:val="005C5FD8"/>
    <w:rsid w:val="00616DB3"/>
    <w:rsid w:val="00656C87"/>
    <w:rsid w:val="006B547F"/>
    <w:rsid w:val="006F6C68"/>
    <w:rsid w:val="00700AF5"/>
    <w:rsid w:val="00737030"/>
    <w:rsid w:val="007436E7"/>
    <w:rsid w:val="00797F8C"/>
    <w:rsid w:val="007A45CF"/>
    <w:rsid w:val="007E41DA"/>
    <w:rsid w:val="007E758A"/>
    <w:rsid w:val="007F5572"/>
    <w:rsid w:val="007F6491"/>
    <w:rsid w:val="008966E9"/>
    <w:rsid w:val="00897C21"/>
    <w:rsid w:val="008B630F"/>
    <w:rsid w:val="008D7B77"/>
    <w:rsid w:val="008F25A6"/>
    <w:rsid w:val="009675A9"/>
    <w:rsid w:val="0097293A"/>
    <w:rsid w:val="009756FF"/>
    <w:rsid w:val="0097629F"/>
    <w:rsid w:val="00977DA6"/>
    <w:rsid w:val="009D0D31"/>
    <w:rsid w:val="00A07EB3"/>
    <w:rsid w:val="00A11852"/>
    <w:rsid w:val="00A51E27"/>
    <w:rsid w:val="00A60FF8"/>
    <w:rsid w:val="00A62E7D"/>
    <w:rsid w:val="00A66840"/>
    <w:rsid w:val="00AA364B"/>
    <w:rsid w:val="00AB230E"/>
    <w:rsid w:val="00AC4381"/>
    <w:rsid w:val="00AC7CBA"/>
    <w:rsid w:val="00AD4756"/>
    <w:rsid w:val="00B72FBE"/>
    <w:rsid w:val="00B97183"/>
    <w:rsid w:val="00BB0EA0"/>
    <w:rsid w:val="00BB1282"/>
    <w:rsid w:val="00BC3AE0"/>
    <w:rsid w:val="00BD4393"/>
    <w:rsid w:val="00BE0B7C"/>
    <w:rsid w:val="00C70B05"/>
    <w:rsid w:val="00CB169E"/>
    <w:rsid w:val="00D01383"/>
    <w:rsid w:val="00D35DB4"/>
    <w:rsid w:val="00D414E8"/>
    <w:rsid w:val="00D97136"/>
    <w:rsid w:val="00DE6005"/>
    <w:rsid w:val="00E0191E"/>
    <w:rsid w:val="00E150E3"/>
    <w:rsid w:val="00E1660A"/>
    <w:rsid w:val="00E7457C"/>
    <w:rsid w:val="00E9445B"/>
    <w:rsid w:val="00E95C18"/>
    <w:rsid w:val="00E96674"/>
    <w:rsid w:val="00E96A02"/>
    <w:rsid w:val="00EC77FB"/>
    <w:rsid w:val="00ED4254"/>
    <w:rsid w:val="00F970CF"/>
    <w:rsid w:val="00FE01C7"/>
    <w:rsid w:val="00FE7613"/>
    <w:rsid w:val="06621A8B"/>
    <w:rsid w:val="0FD46E68"/>
    <w:rsid w:val="1754523F"/>
    <w:rsid w:val="1CD15845"/>
    <w:rsid w:val="26E31456"/>
    <w:rsid w:val="31666EED"/>
    <w:rsid w:val="328F758E"/>
    <w:rsid w:val="376C68FE"/>
    <w:rsid w:val="39A35258"/>
    <w:rsid w:val="42355AD4"/>
    <w:rsid w:val="494C01A3"/>
    <w:rsid w:val="4B2F48F6"/>
    <w:rsid w:val="5259516C"/>
    <w:rsid w:val="53B15602"/>
    <w:rsid w:val="54E762B6"/>
    <w:rsid w:val="55F15666"/>
    <w:rsid w:val="5AE1402D"/>
    <w:rsid w:val="5C4123BB"/>
    <w:rsid w:val="60D36527"/>
    <w:rsid w:val="6A0A2ACE"/>
    <w:rsid w:val="6D6E261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link w:val="9"/>
    <w:qFormat/>
    <w:uiPriority w:val="99"/>
    <w:pPr>
      <w:keepNext/>
      <w:keepLines/>
      <w:spacing w:before="340" w:after="330"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rFonts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5">
    <w:name w:val="Normal (Web)"/>
    <w:basedOn w:val="1"/>
    <w:qFormat/>
    <w:uiPriority w:val="99"/>
    <w:pPr>
      <w:jc w:val="left"/>
    </w:pPr>
    <w:rPr>
      <w:kern w:val="0"/>
      <w:sz w:val="24"/>
    </w:rPr>
  </w:style>
  <w:style w:type="character" w:styleId="8">
    <w:name w:val="Strong"/>
    <w:qFormat/>
    <w:uiPriority w:val="99"/>
    <w:rPr>
      <w:rFonts w:cs="Times New Roman"/>
      <w:b/>
    </w:rPr>
  </w:style>
  <w:style w:type="character" w:customStyle="1" w:styleId="9">
    <w:name w:val="标题 1 Char"/>
    <w:link w:val="2"/>
    <w:qFormat/>
    <w:locked/>
    <w:uiPriority w:val="99"/>
    <w:rPr>
      <w:rFonts w:ascii="Calibri" w:hAnsi="Calibri" w:cs="黑体"/>
      <w:b/>
      <w:bCs/>
      <w:kern w:val="44"/>
      <w:sz w:val="44"/>
      <w:szCs w:val="44"/>
    </w:rPr>
  </w:style>
  <w:style w:type="character" w:customStyle="1" w:styleId="10">
    <w:name w:val="页脚 Char"/>
    <w:link w:val="3"/>
    <w:qFormat/>
    <w:locked/>
    <w:uiPriority w:val="99"/>
    <w:rPr>
      <w:rFonts w:ascii="Calibri" w:hAnsi="Calibri" w:cs="Times New Roman"/>
      <w:kern w:val="2"/>
      <w:sz w:val="18"/>
    </w:rPr>
  </w:style>
  <w:style w:type="character" w:customStyle="1" w:styleId="11">
    <w:name w:val="页眉 Char"/>
    <w:link w:val="4"/>
    <w:qFormat/>
    <w:locked/>
    <w:uiPriority w:val="99"/>
    <w:rPr>
      <w:rFonts w:ascii="Calibri" w:hAnsi="Calibri" w:cs="Times New Roman"/>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1697</Words>
  <Characters>1910</Characters>
  <Lines>13</Lines>
  <Paragraphs>17</Paragraphs>
  <TotalTime>6</TotalTime>
  <ScaleCrop>false</ScaleCrop>
  <LinksUpToDate>false</LinksUpToDate>
  <CharactersWithSpaces>1946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2018-03-07T09:58:00Z</dcterms:created>
  <dc:creator>lenovo</dc:creator>
  <cp:lastModifiedBy>哎呀</cp:lastModifiedBy>
  <cp:lastPrinted>2018-03-08T01:00:00Z</cp:lastPrinted>
  <dcterms:modified xsi:type="dcterms:W3CDTF">2025-03-05T01:49:41Z</dcterms:modified>
  <dc:title>涞水县永阳镇人民政府</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53483CE6934A47619B8B82922EC5CE22_12</vt:lpwstr>
  </property>
  <property fmtid="{D5CDD505-2E9C-101B-9397-08002B2CF9AE}" pid="4" name="KSOTemplateDocerSaveRecord">
    <vt:lpwstr>eyJoZGlkIjoiYWYzMzE3MTg0ZGNjNDc2ZDA0ZWZhNTYzNWNkMWM5NzUifQ==</vt:lpwstr>
  </property>
</Properties>
</file>