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宋体"/>
          <w:color w:val="FF0000"/>
          <w:sz w:val="36"/>
          <w:szCs w:val="36"/>
          <w:lang w:eastAsia="zh-CN"/>
        </w:rPr>
      </w:pPr>
      <w:bookmarkStart w:id="9" w:name="_GoBack"/>
      <w:bookmarkEnd w:id="9"/>
      <w:bookmarkStart w:id="0" w:name="_Toc_4_4_0000000009"/>
    </w:p>
    <w:p>
      <w:pPr>
        <w:jc w:val="center"/>
        <w:rPr>
          <w:bCs/>
          <w:sz w:val="44"/>
          <w:szCs w:val="44"/>
        </w:rPr>
      </w:pPr>
      <w:r>
        <w:rPr>
          <w:rFonts w:hint="eastAsia" w:ascii="黑体" w:hAnsi="黑体" w:eastAsia="黑体" w:cs="黑体"/>
          <w:bCs/>
          <w:color w:val="000000"/>
          <w:sz w:val="44"/>
          <w:szCs w:val="44"/>
          <w:lang w:eastAsia="zh-CN"/>
        </w:rPr>
        <w:t>涞水县龙门乡人民政府</w:t>
      </w:r>
      <w:r>
        <w:rPr>
          <w:rFonts w:hint="eastAsia" w:ascii="黑体" w:hAnsi="黑体" w:eastAsia="黑体" w:cs="黑体"/>
          <w:bCs/>
          <w:color w:val="000000"/>
          <w:sz w:val="44"/>
          <w:szCs w:val="44"/>
        </w:rPr>
        <w:t>所属单位预算</w:t>
      </w:r>
    </w:p>
    <w:p>
      <w:pPr>
        <w:pStyle w:val="4"/>
        <w:tabs>
          <w:tab w:val="right" w:leader="dot" w:pos="14562"/>
        </w:tabs>
        <w:rPr>
          <w:rFonts w:hint="eastAsia" w:ascii="仿宋" w:hAnsi="仿宋" w:eastAsia="仿宋" w:cs="仿宋"/>
          <w:sz w:val="32"/>
          <w:szCs w:val="32"/>
        </w:rPr>
      </w:pPr>
      <w:r>
        <w:fldChar w:fldCharType="begin"/>
      </w:r>
      <w:r>
        <w:instrText xml:space="preserve">TOC \o "4-4" \h \z \u</w:instrText>
      </w:r>
      <w: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"_Toc_4_4_0000000019"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涞水县</w:t>
      </w:r>
      <w:r>
        <w:rPr>
          <w:rFonts w:hint="eastAsia" w:ascii="仿宋" w:hAnsi="仿宋" w:eastAsia="仿宋" w:cs="仿宋"/>
          <w:sz w:val="32"/>
          <w:szCs w:val="32"/>
          <w:lang w:val="en-US" w:eastAsia="zh-CN"/>
        </w:rPr>
        <w:t>龙门乡</w:t>
      </w:r>
      <w:r>
        <w:rPr>
          <w:rFonts w:hint="eastAsia" w:ascii="仿宋" w:hAnsi="仿宋" w:eastAsia="仿宋" w:cs="仿宋"/>
          <w:sz w:val="32"/>
          <w:szCs w:val="32"/>
          <w:lang w:eastAsia="zh-CN"/>
        </w:rPr>
        <w:t>人民政府</w:t>
      </w:r>
      <w:r>
        <w:rPr>
          <w:rFonts w:hint="eastAsia" w:ascii="仿宋" w:hAnsi="仿宋" w:eastAsia="仿宋" w:cs="仿宋"/>
          <w:sz w:val="32"/>
          <w:szCs w:val="32"/>
        </w:rPr>
        <w:t>（本级）收支预算</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PAGEREF _Toc_4_4_0000000019 \h</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sectPr>
          <w:headerReference r:id="rId3" w:type="even"/>
          <w:pgSz w:w="16840" w:h="11900" w:orient="landscape"/>
          <w:pgMar w:top="1587" w:right="1134" w:bottom="1361" w:left="1134" w:header="720" w:footer="720" w:gutter="0"/>
          <w:pgNumType w:start="1"/>
          <w:cols w:space="720" w:num="1"/>
        </w:sectPr>
      </w:pPr>
      <w:r>
        <w:fldChar w:fldCharType="end"/>
      </w:r>
    </w:p>
    <w:p>
      <w:pPr>
        <w:rPr>
          <w:rFonts w:ascii="黑体" w:hAnsi="黑体" w:eastAsia="黑体" w:cs="黑体"/>
          <w:color w:val="000000"/>
          <w:sz w:val="44"/>
          <w:lang w:eastAsia="zh-CN"/>
        </w:rPr>
      </w:pPr>
    </w:p>
    <w:p>
      <w:pPr>
        <w:jc w:val="center"/>
        <w:outlineLvl w:val="3"/>
      </w:pPr>
      <w:r>
        <w:rPr>
          <w:rFonts w:hint="eastAsia" w:ascii="黑体" w:hAnsi="黑体" w:eastAsia="黑体" w:cs="黑体"/>
          <w:color w:val="000000"/>
          <w:sz w:val="44"/>
          <w:lang w:eastAsia="zh-CN"/>
        </w:rPr>
        <w:t>一、</w:t>
      </w:r>
      <w:r>
        <w:rPr>
          <w:rFonts w:hint="eastAsia" w:ascii="黑体" w:hAnsi="黑体" w:eastAsia="黑体" w:cs="黑体"/>
          <w:color w:val="000000"/>
          <w:sz w:val="44"/>
        </w:rPr>
        <w:t>涞水县龙门乡人民政府本级收支预算</w:t>
      </w:r>
      <w:bookmarkEnd w:id="0"/>
    </w:p>
    <w:p>
      <w:pPr>
        <w:jc w:val="center"/>
      </w:pPr>
    </w:p>
    <w:tbl>
      <w:tblPr>
        <w:tblStyle w:val="8"/>
        <w:tblW w:w="13600" w:type="dxa"/>
        <w:jc w:val="center"/>
        <w:tblLayout w:type="autofit"/>
        <w:tblCellMar>
          <w:top w:w="0" w:type="dxa"/>
          <w:left w:w="108" w:type="dxa"/>
          <w:bottom w:w="0" w:type="dxa"/>
          <w:right w:w="108" w:type="dxa"/>
        </w:tblCellMar>
      </w:tblPr>
      <w:tblGrid>
        <w:gridCol w:w="810"/>
        <w:gridCol w:w="4366"/>
        <w:gridCol w:w="1161"/>
        <w:gridCol w:w="4843"/>
        <w:gridCol w:w="2420"/>
      </w:tblGrid>
      <w:tr>
        <w:tblPrEx>
          <w:tblCellMar>
            <w:top w:w="0" w:type="dxa"/>
            <w:left w:w="108" w:type="dxa"/>
            <w:bottom w:w="0" w:type="dxa"/>
            <w:right w:w="108" w:type="dxa"/>
          </w:tblCellMar>
        </w:tblPrEx>
        <w:trPr>
          <w:trHeight w:val="1416" w:hRule="atLeast"/>
          <w:jc w:val="center"/>
        </w:trPr>
        <w:tc>
          <w:tcPr>
            <w:tcW w:w="13600"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预算收支总表</w:t>
            </w:r>
          </w:p>
        </w:tc>
      </w:tr>
      <w:tr>
        <w:tblPrEx>
          <w:tblCellMar>
            <w:top w:w="0" w:type="dxa"/>
            <w:left w:w="108" w:type="dxa"/>
            <w:bottom w:w="0" w:type="dxa"/>
            <w:right w:w="108" w:type="dxa"/>
          </w:tblCellMar>
        </w:tblPrEx>
        <w:trPr>
          <w:trHeight w:val="425" w:hRule="atLeast"/>
          <w:jc w:val="center"/>
        </w:trPr>
        <w:tc>
          <w:tcPr>
            <w:tcW w:w="0" w:type="auto"/>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447"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5527"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7263"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447"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43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c>
          <w:tcPr>
            <w:tcW w:w="484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24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r>
      <w:tr>
        <w:tblPrEx>
          <w:tblCellMar>
            <w:top w:w="0" w:type="dxa"/>
            <w:left w:w="108" w:type="dxa"/>
            <w:bottom w:w="0" w:type="dxa"/>
            <w:right w:w="108" w:type="dxa"/>
          </w:tblCellMar>
        </w:tblPrEx>
        <w:trPr>
          <w:trHeight w:val="447"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43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484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24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一、一般公共预算拨款收入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464.10</w:t>
            </w: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一、一般公共服务支出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401.99</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二、政府性基金预算拨款收入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二、外交支出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三、国有资本经营预算拨款收入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三、国防支出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4</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四、财政专户管理资金收入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四、公共安全支出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5</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五、事业收入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五、教育支出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6</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六、事业单位经营收入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六、科学技术支出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7</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七、上级补助收入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七、文化旅游体育与传媒支出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ascii="Calibri" w:hAnsi="Calibri" w:cs="Calibri"/>
                <w:color w:val="000000"/>
                <w:sz w:val="22"/>
              </w:rPr>
            </w:pPr>
            <w:r>
              <w:rPr>
                <w:rFonts w:hint="eastAsia" w:ascii="宋体" w:hAnsi="宋体" w:eastAsia="宋体" w:cs="宋体"/>
                <w:color w:val="000000"/>
                <w:kern w:val="0"/>
                <w:sz w:val="22"/>
                <w:lang w:bidi="ar"/>
              </w:rPr>
              <w:t>1.75</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8</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八、附属单位上缴收入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八、社会保障和就业支出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25.77</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9</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九、其他收入</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九、社会保险基金支出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10</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十、卫生健康支出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16.54</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11</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十一、节能环保支出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12</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十二、城乡社区支出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13</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十三、农林水支出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14</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十四、交通运输支出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15</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十五、资源勘探工业信息等支出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16</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十六、商业服务业等支出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17</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十七、金融支出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18</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十八、援助其他地区支出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19</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十九、自然资源海洋气象等支出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20</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二十、住房保障支出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18.05</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21</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二十一、粮油物资储备支出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22</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二十二、国有资本经营预算支出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23</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二十三、灾害防治及应急管理支出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24</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二十四、预备费</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25</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二十五、其他支出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26</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二十六、转移性支出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27</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二十七、债务还本支出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28</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二十八、债务付息支出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29</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二十九、债务发行费用支出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30</w:t>
            </w:r>
          </w:p>
        </w:tc>
        <w:tc>
          <w:tcPr>
            <w:tcW w:w="4366" w:type="dxa"/>
            <w:tcBorders>
              <w:top w:val="single" w:color="000000" w:sz="4" w:space="0"/>
              <w:left w:val="single" w:color="000000" w:sz="4" w:space="0"/>
              <w:bottom w:val="single" w:color="000000" w:sz="4" w:space="0"/>
              <w:right w:val="single" w:color="000000" w:sz="4" w:space="0"/>
            </w:tcBorders>
            <w:noWrap/>
            <w:vAlign w:val="top"/>
          </w:tcPr>
          <w:p>
            <w:pPr>
              <w:jc w:val="left"/>
              <w:rPr>
                <w:rFonts w:ascii="Calibri" w:hAnsi="Calibri" w:cs="Calibri"/>
                <w:color w:val="000000"/>
                <w:sz w:val="22"/>
              </w:rPr>
            </w:pP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三十、抗疫特别国债安排的支出</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31</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本年收入合计</w:t>
            </w:r>
          </w:p>
        </w:tc>
        <w:tc>
          <w:tcPr>
            <w:tcW w:w="1161"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464.10</w:t>
            </w: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本年支出合计</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cs="Calibri"/>
                <w:color w:val="000000"/>
                <w:sz w:val="22"/>
                <w:lang w:val="en-US"/>
              </w:rPr>
            </w:pPr>
            <w:r>
              <w:rPr>
                <w:rFonts w:hint="eastAsia" w:ascii="宋体" w:hAnsi="宋体" w:eastAsia="宋体" w:cs="宋体"/>
                <w:color w:val="000000"/>
                <w:kern w:val="0"/>
                <w:sz w:val="22"/>
                <w:lang w:val="en-US" w:eastAsia="zh-CN" w:bidi="ar"/>
              </w:rPr>
              <w:t>464.10</w:t>
            </w:r>
          </w:p>
        </w:tc>
      </w:tr>
      <w:tr>
        <w:tblPrEx>
          <w:tblCellMar>
            <w:top w:w="0" w:type="dxa"/>
            <w:left w:w="108" w:type="dxa"/>
            <w:bottom w:w="0" w:type="dxa"/>
            <w:right w:w="108" w:type="dxa"/>
          </w:tblCellMar>
        </w:tblPrEx>
        <w:trPr>
          <w:trHeight w:val="412"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32</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上年结转结余</w:t>
            </w:r>
          </w:p>
        </w:tc>
        <w:tc>
          <w:tcPr>
            <w:tcW w:w="1161"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年终结转结余</w:t>
            </w:r>
          </w:p>
        </w:tc>
        <w:tc>
          <w:tcPr>
            <w:tcW w:w="2420" w:type="dxa"/>
            <w:tcBorders>
              <w:top w:val="single" w:color="000000" w:sz="4" w:space="0"/>
              <w:left w:val="single" w:color="000000" w:sz="4" w:space="0"/>
              <w:bottom w:val="single" w:color="000000" w:sz="4" w:space="0"/>
              <w:right w:val="single" w:color="000000" w:sz="4" w:space="0"/>
            </w:tcBorders>
            <w:noWrap/>
            <w:vAlign w:val="top"/>
          </w:tcPr>
          <w:p>
            <w:pPr>
              <w:jc w:val="right"/>
              <w:rPr>
                <w:rFonts w:ascii="Calibri" w:hAnsi="Calibri" w:cs="Calibri"/>
                <w:color w:val="000000"/>
                <w:sz w:val="22"/>
              </w:rPr>
            </w:pPr>
          </w:p>
        </w:tc>
      </w:tr>
      <w:tr>
        <w:tblPrEx>
          <w:tblCellMar>
            <w:top w:w="0" w:type="dxa"/>
            <w:left w:w="108" w:type="dxa"/>
            <w:bottom w:w="0" w:type="dxa"/>
            <w:right w:w="108" w:type="dxa"/>
          </w:tblCellMar>
        </w:tblPrEx>
        <w:trPr>
          <w:trHeight w:val="434"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ascii="Calibri" w:hAnsi="Calibri" w:cs="Calibri"/>
                <w:color w:val="000000"/>
                <w:sz w:val="22"/>
              </w:rPr>
            </w:pPr>
            <w:r>
              <w:rPr>
                <w:rFonts w:ascii="Calibri" w:hAnsi="Calibri" w:cs="Calibri"/>
                <w:color w:val="000000"/>
                <w:kern w:val="0"/>
                <w:sz w:val="22"/>
                <w:lang w:bidi="ar"/>
              </w:rPr>
              <w:t>33</w:t>
            </w:r>
          </w:p>
        </w:tc>
        <w:tc>
          <w:tcPr>
            <w:tcW w:w="436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ascii="Calibri" w:hAnsi="Calibri" w:cs="Calibri"/>
                <w:color w:val="000000"/>
                <w:kern w:val="0"/>
                <w:sz w:val="22"/>
                <w:lang w:bidi="ar"/>
              </w:rPr>
              <w:t>收入总计</w:t>
            </w:r>
          </w:p>
        </w:tc>
        <w:tc>
          <w:tcPr>
            <w:tcW w:w="1161"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464.10</w:t>
            </w:r>
          </w:p>
        </w:tc>
        <w:tc>
          <w:tcPr>
            <w:tcW w:w="484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ascii="Calibri" w:hAnsi="Calibri" w:cs="Calibri"/>
                <w:color w:val="000000"/>
                <w:sz w:val="22"/>
              </w:rPr>
            </w:pPr>
            <w:r>
              <w:rPr>
                <w:rFonts w:hint="eastAsia" w:ascii="宋体" w:hAnsi="宋体" w:eastAsia="宋体" w:cs="宋体"/>
                <w:color w:val="000000"/>
                <w:kern w:val="0"/>
                <w:sz w:val="22"/>
                <w:lang w:bidi="ar"/>
              </w:rPr>
              <w:t>支出总计</w:t>
            </w:r>
          </w:p>
        </w:tc>
        <w:tc>
          <w:tcPr>
            <w:tcW w:w="2420" w:type="dxa"/>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ascii="Calibri" w:hAnsi="Calibri" w:cs="Calibri"/>
                <w:color w:val="000000"/>
                <w:sz w:val="22"/>
              </w:rPr>
            </w:pPr>
            <w:r>
              <w:rPr>
                <w:rFonts w:hint="eastAsia" w:ascii="宋体" w:hAnsi="宋体" w:eastAsia="宋体" w:cs="宋体"/>
                <w:color w:val="000000"/>
                <w:kern w:val="0"/>
                <w:sz w:val="22"/>
                <w:lang w:val="en-US" w:eastAsia="zh-CN" w:bidi="ar"/>
              </w:rPr>
              <w:t>464.10</w:t>
            </w:r>
          </w:p>
        </w:tc>
      </w:tr>
    </w:tbl>
    <w:p>
      <w:pPr>
        <w:sectPr>
          <w:footerReference r:id="rId4" w:type="default"/>
          <w:footerReference r:id="rId5" w:type="even"/>
          <w:pgSz w:w="16840" w:h="11900" w:orient="landscape"/>
          <w:pgMar w:top="1020" w:right="1020" w:bottom="1020" w:left="1020" w:header="720" w:footer="720" w:gutter="0"/>
          <w:pgNumType w:start="1"/>
          <w:cols w:space="720" w:num="1"/>
        </w:sectPr>
      </w:pPr>
    </w:p>
    <w:tbl>
      <w:tblPr>
        <w:tblStyle w:val="8"/>
        <w:tblW w:w="4998" w:type="pct"/>
        <w:jc w:val="center"/>
        <w:tblLayout w:type="fixed"/>
        <w:tblCellMar>
          <w:top w:w="0" w:type="dxa"/>
          <w:left w:w="108" w:type="dxa"/>
          <w:bottom w:w="0" w:type="dxa"/>
          <w:right w:w="108" w:type="dxa"/>
        </w:tblCellMar>
      </w:tblPr>
      <w:tblGrid>
        <w:gridCol w:w="602"/>
        <w:gridCol w:w="911"/>
        <w:gridCol w:w="3328"/>
        <w:gridCol w:w="954"/>
        <w:gridCol w:w="821"/>
        <w:gridCol w:w="1073"/>
        <w:gridCol w:w="821"/>
        <w:gridCol w:w="623"/>
        <w:gridCol w:w="609"/>
        <w:gridCol w:w="874"/>
        <w:gridCol w:w="1073"/>
        <w:gridCol w:w="967"/>
        <w:gridCol w:w="2356"/>
      </w:tblGrid>
      <w:tr>
        <w:tblPrEx>
          <w:tblCellMar>
            <w:top w:w="0" w:type="dxa"/>
            <w:left w:w="108" w:type="dxa"/>
            <w:bottom w:w="0" w:type="dxa"/>
            <w:right w:w="108" w:type="dxa"/>
          </w:tblCellMar>
        </w:tblPrEx>
        <w:trPr>
          <w:trHeight w:val="1200" w:hRule="atLeast"/>
          <w:jc w:val="center"/>
        </w:trPr>
        <w:tc>
          <w:tcPr>
            <w:tcW w:w="5000" w:type="pct"/>
            <w:gridSpan w:val="13"/>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预算收入总表</w:t>
            </w:r>
          </w:p>
        </w:tc>
      </w:tr>
      <w:tr>
        <w:tblPrEx>
          <w:tblCellMar>
            <w:top w:w="0" w:type="dxa"/>
            <w:left w:w="108" w:type="dxa"/>
            <w:bottom w:w="0" w:type="dxa"/>
            <w:right w:w="108" w:type="dxa"/>
          </w:tblCellMar>
        </w:tblPrEx>
        <w:trPr>
          <w:trHeight w:val="360" w:hRule="atLeast"/>
          <w:jc w:val="center"/>
        </w:trPr>
        <w:tc>
          <w:tcPr>
            <w:tcW w:w="3244" w:type="pct"/>
            <w:gridSpan w:val="9"/>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648" w:type="pct"/>
            <w:gridSpan w:val="2"/>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1106" w:type="pct"/>
            <w:gridSpan w:val="2"/>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jc w:val="center"/>
        </w:trPr>
        <w:tc>
          <w:tcPr>
            <w:tcW w:w="200"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41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功能分类科目</w:t>
            </w:r>
          </w:p>
        </w:tc>
        <w:tc>
          <w:tcPr>
            <w:tcW w:w="31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2285" w:type="pct"/>
            <w:gridSpan w:val="8"/>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本年收入</w:t>
            </w:r>
          </w:p>
        </w:tc>
        <w:tc>
          <w:tcPr>
            <w:tcW w:w="784"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上年结转</w:t>
            </w:r>
          </w:p>
        </w:tc>
      </w:tr>
      <w:tr>
        <w:tblPrEx>
          <w:tblCellMar>
            <w:top w:w="0" w:type="dxa"/>
            <w:left w:w="108" w:type="dxa"/>
            <w:bottom w:w="0" w:type="dxa"/>
            <w:right w:w="108" w:type="dxa"/>
          </w:tblCellMar>
        </w:tblPrEx>
        <w:trPr>
          <w:trHeight w:val="360" w:hRule="atLeast"/>
          <w:jc w:val="center"/>
        </w:trPr>
        <w:tc>
          <w:tcPr>
            <w:tcW w:w="200"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10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1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35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财政拨款收入</w:t>
            </w:r>
          </w:p>
        </w:tc>
        <w:tc>
          <w:tcPr>
            <w:tcW w:w="2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财政专户收入</w:t>
            </w:r>
          </w:p>
        </w:tc>
        <w:tc>
          <w:tcPr>
            <w:tcW w:w="2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事业收入</w:t>
            </w:r>
          </w:p>
        </w:tc>
        <w:tc>
          <w:tcPr>
            <w:tcW w:w="20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经营收入</w:t>
            </w:r>
          </w:p>
        </w:tc>
        <w:tc>
          <w:tcPr>
            <w:tcW w:w="29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上级补助收入</w:t>
            </w:r>
          </w:p>
        </w:tc>
        <w:tc>
          <w:tcPr>
            <w:tcW w:w="35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附属单位上缴收入</w:t>
            </w:r>
          </w:p>
        </w:tc>
        <w:tc>
          <w:tcPr>
            <w:tcW w:w="32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其他收入</w:t>
            </w:r>
          </w:p>
        </w:tc>
        <w:tc>
          <w:tcPr>
            <w:tcW w:w="784"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jc w:val="center"/>
        </w:trPr>
        <w:tc>
          <w:tcPr>
            <w:tcW w:w="20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30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10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1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2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35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27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2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20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c>
          <w:tcPr>
            <w:tcW w:w="29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w:t>
            </w:r>
          </w:p>
        </w:tc>
        <w:tc>
          <w:tcPr>
            <w:tcW w:w="35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w:t>
            </w:r>
          </w:p>
        </w:tc>
        <w:tc>
          <w:tcPr>
            <w:tcW w:w="32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w:t>
            </w:r>
          </w:p>
        </w:tc>
        <w:tc>
          <w:tcPr>
            <w:tcW w:w="78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w:t>
            </w: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911"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highlight w:val="none"/>
                <w:u w:val="none"/>
                <w:lang w:val="en-US" w:eastAsia="zh-CN" w:bidi="ar"/>
              </w:rPr>
              <w:t>464.10</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highlight w:val="none"/>
                <w:u w:val="none"/>
                <w:lang w:val="en-US" w:eastAsia="zh-CN" w:bidi="ar"/>
              </w:rPr>
              <w:t>464.10</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highlight w:val="none"/>
                <w:u w:val="none"/>
                <w:lang w:val="en-US" w:eastAsia="zh-CN" w:bidi="ar"/>
              </w:rPr>
              <w:t>464.10</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401.99</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401.99</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401.99</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3</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20101</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人大事务</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2010102</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一般行政管理事务</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5</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400.99</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400.99</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400.99</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6</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7</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8</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9</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10</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r>
              <w:rPr>
                <w:rFonts w:hint="eastAsia" w:ascii="宋体" w:hAnsi="宋体" w:cs="宋体"/>
                <w:color w:val="000000"/>
                <w:kern w:val="0"/>
                <w:sz w:val="22"/>
                <w:lang w:bidi="ar"/>
              </w:rPr>
              <w:t>99</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11</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12</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13</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color w:val="000000"/>
                <w:sz w:val="22"/>
                <w:lang w:val="en-US" w:eastAsia="zh-CN"/>
              </w:rPr>
              <w:t>25.77</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5"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14</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15</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21011</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bidi="ar"/>
              </w:rPr>
              <w:t>行政事业单位医疗</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16</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5.15</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17</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2101102</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事业单位医疗</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60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911"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3328"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公务员医疗补助</w:t>
            </w:r>
          </w:p>
        </w:tc>
        <w:tc>
          <w:tcPr>
            <w:tcW w:w="9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82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821"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9"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7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7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6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5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sectPr>
          <w:pgSz w:w="16840" w:h="11900" w:orient="landscape"/>
          <w:pgMar w:top="1361" w:right="1020" w:bottom="1361" w:left="1020" w:header="720" w:footer="720" w:gutter="0"/>
          <w:cols w:space="720" w:num="1"/>
        </w:sectPr>
      </w:pPr>
    </w:p>
    <w:tbl>
      <w:tblPr>
        <w:tblStyle w:val="8"/>
        <w:tblW w:w="15024" w:type="dxa"/>
        <w:tblInd w:w="93" w:type="dxa"/>
        <w:tblLayout w:type="autofit"/>
        <w:tblCellMar>
          <w:top w:w="0" w:type="dxa"/>
          <w:left w:w="108" w:type="dxa"/>
          <w:bottom w:w="0" w:type="dxa"/>
          <w:right w:w="108" w:type="dxa"/>
        </w:tblCellMar>
      </w:tblPr>
      <w:tblGrid>
        <w:gridCol w:w="691"/>
        <w:gridCol w:w="1154"/>
        <w:gridCol w:w="3935"/>
        <w:gridCol w:w="1618"/>
        <w:gridCol w:w="1154"/>
        <w:gridCol w:w="1154"/>
        <w:gridCol w:w="1154"/>
        <w:gridCol w:w="1850"/>
        <w:gridCol w:w="2314"/>
      </w:tblGrid>
      <w:tr>
        <w:tblPrEx>
          <w:tblCellMar>
            <w:top w:w="0" w:type="dxa"/>
            <w:left w:w="108" w:type="dxa"/>
            <w:bottom w:w="0" w:type="dxa"/>
            <w:right w:w="108" w:type="dxa"/>
          </w:tblCellMar>
        </w:tblPrEx>
        <w:trPr>
          <w:trHeight w:val="1200" w:hRule="atLeast"/>
        </w:trPr>
        <w:tc>
          <w:tcPr>
            <w:tcW w:w="15024" w:type="dxa"/>
            <w:gridSpan w:val="9"/>
            <w:tcBorders>
              <w:top w:val="nil"/>
              <w:left w:val="nil"/>
              <w:bottom w:val="nil"/>
              <w:right w:val="nil"/>
            </w:tcBorders>
            <w:noWrap/>
            <w:vAlign w:val="center"/>
          </w:tcPr>
          <w:p>
            <w:pPr>
              <w:jc w:val="center"/>
              <w:outlineLvl w:val="4"/>
              <w:rPr>
                <w:rFonts w:ascii="黑体" w:hAnsi="宋体" w:eastAsia="黑体" w:cs="黑体"/>
                <w:color w:val="000000"/>
                <w:sz w:val="48"/>
                <w:szCs w:val="48"/>
              </w:rPr>
            </w:pPr>
            <w:r>
              <w:rPr>
                <w:rFonts w:hint="eastAsia" w:ascii="黑体" w:hAnsi="黑体" w:eastAsia="黑体" w:cs="黑体"/>
                <w:color w:val="auto"/>
                <w:sz w:val="44"/>
                <w:szCs w:val="44"/>
              </w:rPr>
              <w:t>单位预算一般公共预算财政拨</w:t>
            </w:r>
            <w:r>
              <w:rPr>
                <w:rFonts w:hint="eastAsia" w:ascii="黑体" w:hAnsi="黑体" w:eastAsia="黑体" w:cs="黑体"/>
                <w:color w:val="000000"/>
                <w:sz w:val="44"/>
                <w:szCs w:val="44"/>
              </w:rPr>
              <w:t>款支出表</w:t>
            </w:r>
          </w:p>
        </w:tc>
      </w:tr>
      <w:tr>
        <w:tblPrEx>
          <w:tblCellMar>
            <w:top w:w="0" w:type="dxa"/>
            <w:left w:w="108" w:type="dxa"/>
            <w:bottom w:w="0" w:type="dxa"/>
            <w:right w:w="108" w:type="dxa"/>
          </w:tblCellMar>
        </w:tblPrEx>
        <w:trPr>
          <w:trHeight w:val="360" w:hRule="atLeast"/>
        </w:trPr>
        <w:tc>
          <w:tcPr>
            <w:tcW w:w="10860" w:type="dxa"/>
            <w:gridSpan w:val="7"/>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1850" w:type="dxa"/>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2314" w:type="dxa"/>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69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5089"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16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本年支出合计</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经营支出</w:t>
            </w:r>
          </w:p>
        </w:tc>
        <w:tc>
          <w:tcPr>
            <w:tcW w:w="1850"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上缴上级支出</w:t>
            </w:r>
          </w:p>
        </w:tc>
        <w:tc>
          <w:tcPr>
            <w:tcW w:w="231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对附属单位补助支出</w:t>
            </w:r>
          </w:p>
        </w:tc>
      </w:tr>
      <w:tr>
        <w:tblPrEx>
          <w:tblCellMar>
            <w:top w:w="0" w:type="dxa"/>
            <w:left w:w="108" w:type="dxa"/>
            <w:bottom w:w="0" w:type="dxa"/>
            <w:right w:w="108" w:type="dxa"/>
          </w:tblCellMar>
        </w:tblPrEx>
        <w:trPr>
          <w:trHeight w:val="360" w:hRule="atLeast"/>
        </w:trPr>
        <w:tc>
          <w:tcPr>
            <w:tcW w:w="691"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16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8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31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trPr>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61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18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23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eastAsia="宋体" w:cs="宋体"/>
                <w:color w:val="000000"/>
                <w:sz w:val="22"/>
              </w:rPr>
            </w:pP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合计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464.10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443.10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18.50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zh-CN" w:bidi="ar-SA"/>
              </w:rPr>
            </w:pPr>
            <w:r>
              <w:rPr>
                <w:rFonts w:hint="eastAsia" w:ascii="宋体" w:hAnsi="宋体" w:eastAsia="宋体" w:cs="宋体"/>
                <w:i w:val="0"/>
                <w:iCs w:val="0"/>
                <w:color w:val="000000"/>
                <w:kern w:val="0"/>
                <w:sz w:val="22"/>
                <w:szCs w:val="22"/>
                <w:u w:val="none"/>
                <w:lang w:val="en-US" w:eastAsia="zh-CN" w:bidi="ar"/>
              </w:rPr>
              <w:t>21.00</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一般公共服务支出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401.99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382.74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zh-CN" w:bidi="ar-SA"/>
              </w:rPr>
            </w:pPr>
            <w:r>
              <w:rPr>
                <w:rFonts w:hint="eastAsia" w:ascii="宋体" w:hAnsi="宋体" w:eastAsia="宋体" w:cs="宋体"/>
                <w:i w:val="0"/>
                <w:iCs w:val="0"/>
                <w:color w:val="000000"/>
                <w:kern w:val="0"/>
                <w:sz w:val="22"/>
                <w:szCs w:val="22"/>
                <w:u w:val="none"/>
                <w:lang w:val="en-US" w:eastAsia="zh-CN" w:bidi="ar"/>
              </w:rPr>
              <w:t>19.25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20201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人大事务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15.75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2020102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一般行政管理事务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r>
              <w:rPr>
                <w:rFonts w:hint="eastAsia" w:ascii="宋体" w:hAnsi="宋体" w:eastAsia="宋体" w:cs="宋体"/>
                <w:color w:val="000000"/>
                <w:sz w:val="22"/>
                <w:lang w:val="en-US" w:eastAsia="zh-CN"/>
              </w:rPr>
              <w:t>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20103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政府办公厅（室）及相关机构事务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400.99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15.75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uk-UA" w:bidi="ar-SA"/>
              </w:rPr>
            </w:pPr>
            <w:r>
              <w:rPr>
                <w:rFonts w:hint="eastAsia" w:ascii="宋体" w:hAnsi="宋体" w:eastAsia="宋体" w:cs="宋体"/>
                <w:i w:val="0"/>
                <w:iCs w:val="0"/>
                <w:color w:val="000000"/>
                <w:kern w:val="0"/>
                <w:sz w:val="22"/>
                <w:szCs w:val="22"/>
                <w:u w:val="none"/>
                <w:lang w:val="en-US" w:eastAsia="zh-CN" w:bidi="ar"/>
              </w:rPr>
              <w:t>18.25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2010301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行政运行</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zh-CN" w:bidi="ar-SA"/>
              </w:rPr>
            </w:pPr>
            <w:r>
              <w:rPr>
                <w:rFonts w:hint="eastAsia" w:ascii="宋体" w:hAnsi="宋体" w:eastAsia="宋体" w:cs="宋体"/>
                <w:color w:val="000000"/>
                <w:sz w:val="22"/>
                <w:lang w:val="en-US" w:eastAsia="zh-CN"/>
              </w:rPr>
              <w:t>0</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2010302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一般行政管理事务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zh-CN" w:bidi="ar-SA"/>
              </w:rPr>
            </w:pPr>
            <w:r>
              <w:rPr>
                <w:rFonts w:hint="eastAsia" w:ascii="宋体" w:hAnsi="宋体" w:eastAsia="宋体" w:cs="宋体"/>
                <w:i w:val="0"/>
                <w:iCs w:val="0"/>
                <w:color w:val="000000"/>
                <w:kern w:val="0"/>
                <w:sz w:val="22"/>
                <w:szCs w:val="22"/>
                <w:u w:val="none"/>
                <w:lang w:val="en-US" w:eastAsia="zh-CN" w:bidi="ar"/>
              </w:rPr>
              <w:t>18.25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207</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文化旅游体育与传媒支出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uk-UA" w:bidi="ar-SA"/>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uk-UA" w:bidi="ar-SA"/>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r>
              <w:rPr>
                <w:rFonts w:hint="eastAsia" w:ascii="宋体" w:hAnsi="宋体" w:cs="宋体"/>
                <w:color w:val="000000"/>
                <w:kern w:val="0"/>
                <w:sz w:val="22"/>
                <w:lang w:bidi="ar"/>
              </w:rPr>
              <w:t>99</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szCs w:val="24"/>
                <w:lang w:val="en-US" w:eastAsia="uk-UA" w:bidi="ar-SA"/>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208</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社会保障和就业支出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20805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行政事业单位养老支出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2080505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机关事业单位基本养老保险缴费支出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25.77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210</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卫生健康支出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21011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行政事业单位医疗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2101101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行政单位医疗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val="en-US" w:eastAsia="zh-CN" w:bidi="ar"/>
              </w:rPr>
              <w:t>17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2100102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事业单位医疗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rPr>
            </w:pPr>
            <w:r>
              <w:rPr>
                <w:rFonts w:hint="eastAsia" w:ascii="宋体" w:hAnsi="宋体" w:cs="宋体"/>
                <w:color w:val="000000"/>
                <w:kern w:val="0"/>
                <w:sz w:val="22"/>
                <w:lang w:val="en-US" w:eastAsia="zh-CN" w:bidi="ar"/>
              </w:rPr>
              <w:t>公务员医疗补助</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221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住房保障支出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kern w:val="0"/>
                <w:sz w:val="22"/>
                <w:lang w:bidi="ar"/>
              </w:rPr>
            </w:pPr>
            <w:r>
              <w:rPr>
                <w:rFonts w:hint="eastAsia" w:ascii="宋体" w:hAnsi="宋体" w:cs="宋体"/>
                <w:color w:val="000000"/>
                <w:kern w:val="0"/>
                <w:sz w:val="22"/>
                <w:lang w:val="en-US" w:eastAsia="zh-CN" w:bidi="ar"/>
              </w:rPr>
              <w:t>20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22102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住房改革支出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21</w:t>
            </w:r>
          </w:p>
          <w:p>
            <w:pPr>
              <w:widowControl/>
              <w:jc w:val="both"/>
              <w:textAlignment w:val="top"/>
              <w:rPr>
                <w:rFonts w:hint="eastAsia" w:ascii="宋体" w:hAnsi="宋体" w:cs="宋体"/>
                <w:color w:val="000000"/>
                <w:kern w:val="0"/>
                <w:sz w:val="22"/>
                <w:lang w:bidi="ar"/>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2210201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lang w:bidi="ar"/>
              </w:rPr>
              <w:t>住房公积金</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center"/>
              <w:rPr>
                <w:rFonts w:hint="eastAsia" w:ascii="宋体" w:hAnsi="宋体" w:eastAsia="宋体" w:cs="宋体"/>
                <w:color w:val="000000"/>
                <w:sz w:val="22"/>
                <w:szCs w:val="24"/>
                <w:lang w:val="en-US" w:eastAsia="uk-UA" w:bidi="ar-SA"/>
              </w:rPr>
            </w:pPr>
          </w:p>
        </w:tc>
      </w:tr>
    </w:tbl>
    <w:p>
      <w:pPr>
        <w:jc w:val="both"/>
        <w:outlineLvl w:val="4"/>
        <w:sectPr>
          <w:pgSz w:w="16840" w:h="11900" w:orient="landscape"/>
          <w:pgMar w:top="1361" w:right="1020" w:bottom="1361" w:left="1020" w:header="720" w:footer="720" w:gutter="0"/>
          <w:cols w:space="720" w:num="1"/>
        </w:sectPr>
      </w:pPr>
    </w:p>
    <w:tbl>
      <w:tblPr>
        <w:tblStyle w:val="8"/>
        <w:tblW w:w="5000" w:type="pct"/>
        <w:tblInd w:w="0" w:type="dxa"/>
        <w:tblLayout w:type="fixed"/>
        <w:tblCellMar>
          <w:top w:w="0" w:type="dxa"/>
          <w:left w:w="108" w:type="dxa"/>
          <w:bottom w:w="0" w:type="dxa"/>
          <w:right w:w="108" w:type="dxa"/>
        </w:tblCellMar>
      </w:tblPr>
      <w:tblGrid>
        <w:gridCol w:w="743"/>
        <w:gridCol w:w="2909"/>
        <w:gridCol w:w="1110"/>
        <w:gridCol w:w="3539"/>
        <w:gridCol w:w="1200"/>
        <w:gridCol w:w="1815"/>
        <w:gridCol w:w="1770"/>
        <w:gridCol w:w="1929"/>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预算财政拨款收支总表</w:t>
            </w:r>
          </w:p>
        </w:tc>
      </w:tr>
      <w:tr>
        <w:tblPrEx>
          <w:tblCellMar>
            <w:top w:w="0" w:type="dxa"/>
            <w:left w:w="108" w:type="dxa"/>
            <w:bottom w:w="0" w:type="dxa"/>
            <w:right w:w="108" w:type="dxa"/>
          </w:tblCellMar>
        </w:tblPrEx>
        <w:trPr>
          <w:trHeight w:val="360" w:hRule="atLeast"/>
        </w:trPr>
        <w:tc>
          <w:tcPr>
            <w:tcW w:w="3768"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589"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642"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4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33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3414" w:type="pct"/>
            <w:gridSpan w:val="5"/>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360" w:hRule="atLeast"/>
        </w:trPr>
        <w:tc>
          <w:tcPr>
            <w:tcW w:w="24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金额</w:t>
            </w:r>
          </w:p>
        </w:tc>
        <w:tc>
          <w:tcPr>
            <w:tcW w:w="117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9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6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58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政府性基金预算财政拨款</w:t>
            </w:r>
          </w:p>
        </w:tc>
        <w:tc>
          <w:tcPr>
            <w:tcW w:w="6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17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9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6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58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6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一、一般公共预算拨款</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464.10</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一、一般公共服务支出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color w:val="000000"/>
                <w:sz w:val="22"/>
                <w:lang w:val="en-US" w:eastAsia="zh-CN"/>
              </w:rPr>
              <w:t>401.99</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color w:val="000000"/>
                <w:sz w:val="22"/>
                <w:lang w:val="en-US" w:eastAsia="zh-CN"/>
              </w:rPr>
              <w:t>401.99</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二、政府性基金预算拨款</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color w:val="000000"/>
                <w:sz w:val="22"/>
                <w:lang w:val="en-US" w:eastAsia="zh-CN"/>
              </w:rPr>
              <w:t>0</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二、外交支出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r>
              <w:rPr>
                <w:rFonts w:hint="eastAsia" w:ascii="宋体" w:hAnsi="宋体" w:eastAsia="宋体" w:cs="宋体"/>
                <w:color w:val="000000"/>
                <w:sz w:val="22"/>
                <w:lang w:val="en-US" w:eastAsia="zh-CN"/>
              </w:rPr>
              <w:t>0</w:t>
            </w: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r>
              <w:rPr>
                <w:rFonts w:hint="eastAsia" w:ascii="宋体" w:hAnsi="宋体" w:eastAsia="宋体" w:cs="宋体"/>
                <w:color w:val="000000"/>
                <w:sz w:val="22"/>
                <w:lang w:val="en-US" w:eastAsia="zh-CN"/>
              </w:rPr>
              <w:t>0</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三、国有资本经营预算拨款</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color w:val="000000"/>
                <w:sz w:val="22"/>
                <w:lang w:val="en-US" w:eastAsia="zh-CN"/>
              </w:rPr>
              <w:t>0</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三、国防支出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四、公共安全支出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五、教育支出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六、科学技术支出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七、文化旅游体育与传媒支出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八、社会保障和就业支出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25.77</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九、社会保险基金支出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十、卫生健康支出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十一、节能环保支出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十二、城乡社区支出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十三、农林水支出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十四、交通运输支出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十五、资源勘探工业信息等支出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十六、商业服务业等支出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十七、金融支出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十八、援助其他地区支出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十九、自然资源海洋气象等支出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二十、住房保障支出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18.05</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18.05</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21</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二十一、粮油物资储备支出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22</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二十二、国有资本经营预算支出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23</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二十三、灾害防治及应急管理支出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二十四、预备费</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二十五、其他支出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二十六、转移性支出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二十七、债务还本支出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二十八、债务付息支出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二十九、债务发行费用支出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11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三十、抗疫特别国债安排的支出</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31</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本年收入合计</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464.10</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本年支出合计</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464.10</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464.10</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32</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年初财政拨款结转和结余</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年末财政拨款结转和结余</w:t>
            </w:r>
          </w:p>
        </w:tc>
        <w:tc>
          <w:tcPr>
            <w:tcW w:w="120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1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r>
              <w:rPr>
                <w:rFonts w:ascii="宋体" w:hAnsi="宋体" w:cs="宋体"/>
                <w:color w:val="000000"/>
                <w:kern w:val="0"/>
                <w:sz w:val="22"/>
                <w:lang w:bidi="ar"/>
              </w:rPr>
              <w:t>3</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收入总计</w:t>
            </w:r>
          </w:p>
        </w:tc>
        <w:tc>
          <w:tcPr>
            <w:tcW w:w="111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464.10</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支出总计</w:t>
            </w:r>
          </w:p>
        </w:tc>
        <w:tc>
          <w:tcPr>
            <w:tcW w:w="120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464.10</w:t>
            </w:r>
          </w:p>
        </w:tc>
        <w:tc>
          <w:tcPr>
            <w:tcW w:w="181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464.10</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Pr>
        <w:rPr>
          <w:rFonts w:hint="eastAsia" w:eastAsia="宋体"/>
          <w:lang w:val="en-US" w:eastAsia="zh-CN"/>
        </w:rPr>
      </w:pPr>
    </w:p>
    <w:p>
      <w:pPr>
        <w:rPr>
          <w:rFonts w:hint="eastAsia" w:eastAsia="宋体"/>
          <w:lang w:val="en-US" w:eastAsia="zh-CN"/>
        </w:rPr>
      </w:pPr>
    </w:p>
    <w:p/>
    <w:p/>
    <w:p/>
    <w:p/>
    <w:p/>
    <w:p/>
    <w:tbl>
      <w:tblPr>
        <w:tblStyle w:val="8"/>
        <w:tblW w:w="5000" w:type="pct"/>
        <w:tblInd w:w="0" w:type="dxa"/>
        <w:tblLayout w:type="autofit"/>
        <w:tblCellMar>
          <w:top w:w="0" w:type="dxa"/>
          <w:left w:w="108" w:type="dxa"/>
          <w:bottom w:w="0" w:type="dxa"/>
          <w:right w:w="108" w:type="dxa"/>
        </w:tblCellMar>
      </w:tblPr>
      <w:tblGrid>
        <w:gridCol w:w="826"/>
        <w:gridCol w:w="1387"/>
        <w:gridCol w:w="4733"/>
        <w:gridCol w:w="1108"/>
        <w:gridCol w:w="1108"/>
        <w:gridCol w:w="1396"/>
        <w:gridCol w:w="2223"/>
        <w:gridCol w:w="2233"/>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jc w:val="center"/>
              <w:outlineLvl w:val="4"/>
              <w:rPr>
                <w:rFonts w:ascii="黑体" w:hAnsi="宋体" w:eastAsia="黑体" w:cs="黑体"/>
                <w:color w:val="000000"/>
                <w:sz w:val="48"/>
                <w:szCs w:val="48"/>
              </w:rPr>
            </w:pPr>
            <w:r>
              <w:rPr>
                <w:rFonts w:hint="eastAsia" w:ascii="黑体" w:hAnsi="黑体" w:eastAsia="黑体" w:cs="黑体"/>
                <w:color w:val="000000"/>
                <w:sz w:val="44"/>
                <w:szCs w:val="44"/>
              </w:rPr>
              <w:t>单位预算一般公共预算财政拨款支出表</w:t>
            </w:r>
          </w:p>
        </w:tc>
      </w:tr>
      <w:tr>
        <w:tblPrEx>
          <w:tblCellMar>
            <w:top w:w="0" w:type="dxa"/>
            <w:left w:w="108" w:type="dxa"/>
            <w:bottom w:w="0" w:type="dxa"/>
            <w:right w:w="108" w:type="dxa"/>
          </w:tblCellMar>
        </w:tblPrEx>
        <w:trPr>
          <w:trHeight w:val="360" w:hRule="atLeast"/>
        </w:trPr>
        <w:tc>
          <w:tcPr>
            <w:tcW w:w="3517"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740"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741"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7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03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36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1573"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74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r>
      <w:tr>
        <w:tblPrEx>
          <w:tblCellMar>
            <w:top w:w="0" w:type="dxa"/>
            <w:left w:w="108" w:type="dxa"/>
            <w:bottom w:w="0" w:type="dxa"/>
            <w:right w:w="108" w:type="dxa"/>
          </w:tblCellMar>
        </w:tblPrEx>
        <w:trPr>
          <w:trHeight w:val="360" w:hRule="atLeast"/>
        </w:trPr>
        <w:tc>
          <w:tcPr>
            <w:tcW w:w="27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6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c>
          <w:tcPr>
            <w:tcW w:w="74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trPr>
        <w:tc>
          <w:tcPr>
            <w:tcW w:w="2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74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387"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464.10</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443.10</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375.57</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67.53</w:t>
            </w: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21.00</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401.99</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382.74</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315.21</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67.53</w:t>
            </w: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19.25</w:t>
            </w:r>
          </w:p>
        </w:tc>
      </w:tr>
      <w:tr>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3</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20201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人大事务</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206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207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4</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2020102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一般行政管理事务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206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5</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400.99</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315.21</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67.53</w:t>
            </w: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18.25</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6</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382.74</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315.21</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color w:val="000000"/>
                <w:sz w:val="22"/>
                <w:lang w:val="en-US" w:eastAsia="zh-CN"/>
              </w:rPr>
              <w:t>67.53</w:t>
            </w: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r>
              <w:rPr>
                <w:rFonts w:hint="eastAsia" w:ascii="宋体" w:hAnsi="宋体" w:eastAsia="宋体" w:cs="宋体"/>
                <w:color w:val="000000"/>
                <w:sz w:val="22"/>
                <w:lang w:val="en-US" w:eastAsia="zh-CN"/>
              </w:rPr>
              <w:t>0</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7</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18.25</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8</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9</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10</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r>
              <w:rPr>
                <w:rFonts w:hint="eastAsia" w:ascii="宋体" w:hAnsi="宋体" w:cs="宋体"/>
                <w:color w:val="000000"/>
                <w:kern w:val="0"/>
                <w:sz w:val="22"/>
                <w:lang w:val="en-US" w:eastAsia="zh-CN" w:bidi="ar"/>
              </w:rPr>
              <w:t>99</w:t>
            </w:r>
            <w:r>
              <w:rPr>
                <w:rFonts w:hint="eastAsia" w:ascii="宋体" w:hAnsi="宋体" w:cs="宋体"/>
                <w:color w:val="000000"/>
                <w:kern w:val="0"/>
                <w:sz w:val="22"/>
                <w:lang w:bidi="ar"/>
              </w:rPr>
              <w:t>99</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其他</w:t>
            </w:r>
            <w:r>
              <w:rPr>
                <w:rFonts w:hint="eastAsia" w:ascii="宋体" w:hAnsi="宋体" w:cs="宋体"/>
                <w:color w:val="000000"/>
                <w:kern w:val="0"/>
                <w:sz w:val="22"/>
                <w:lang w:bidi="ar"/>
              </w:rPr>
              <w:t>文化旅游体育与传媒支出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029"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296"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11</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3</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4</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5</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21011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bidi="ar"/>
              </w:rPr>
              <w:t>行政事业单位医疗</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16.54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16.54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6</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5.15</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5.15</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17</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2100102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事业单位医疗</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7.45</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val="en-US" w:eastAsia="zh-CN" w:bidi="ar"/>
              </w:rPr>
              <w:t>公务员医疗补助</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9</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221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住房保障支出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val="en-US" w:eastAsia="zh-CN" w:bidi="ar"/>
              </w:rPr>
              <w:t>20</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22102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住房改革支出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826"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21</w:t>
            </w:r>
          </w:p>
          <w:p>
            <w:pPr>
              <w:widowControl/>
              <w:jc w:val="left"/>
              <w:textAlignment w:val="top"/>
              <w:rPr>
                <w:rFonts w:hint="eastAsia" w:ascii="宋体" w:hAnsi="宋体" w:cs="宋体"/>
                <w:color w:val="000000"/>
                <w:kern w:val="0"/>
                <w:sz w:val="22"/>
                <w:lang w:bidi="ar"/>
              </w:rPr>
            </w:pP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2210201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kern w:val="0"/>
                <w:sz w:val="22"/>
                <w:lang w:bidi="ar"/>
              </w:rPr>
            </w:pPr>
            <w:r>
              <w:rPr>
                <w:rFonts w:hint="eastAsia" w:ascii="宋体" w:hAnsi="宋体" w:cs="宋体"/>
                <w:color w:val="000000"/>
                <w:kern w:val="0"/>
                <w:sz w:val="22"/>
                <w:lang w:bidi="ar"/>
              </w:rPr>
              <w:t>住房公积金</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18.05</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r>
    </w:tbl>
    <w:tbl>
      <w:tblPr>
        <w:tblStyle w:val="8"/>
        <w:tblpPr w:leftFromText="180" w:rightFromText="180" w:vertAnchor="text" w:horzAnchor="page" w:tblpX="1232" w:tblpY="507"/>
        <w:tblOverlap w:val="never"/>
        <w:tblW w:w="5000" w:type="pct"/>
        <w:tblInd w:w="0" w:type="dxa"/>
        <w:tblLayout w:type="autofit"/>
        <w:tblCellMar>
          <w:top w:w="0" w:type="dxa"/>
          <w:left w:w="108" w:type="dxa"/>
          <w:bottom w:w="0" w:type="dxa"/>
          <w:right w:w="108" w:type="dxa"/>
        </w:tblCellMar>
      </w:tblPr>
      <w:tblGrid>
        <w:gridCol w:w="1032"/>
        <w:gridCol w:w="1742"/>
        <w:gridCol w:w="5243"/>
        <w:gridCol w:w="1405"/>
        <w:gridCol w:w="2787"/>
        <w:gridCol w:w="2805"/>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4"/>
                <w:szCs w:val="44"/>
              </w:rPr>
            </w:pPr>
            <w:r>
              <w:rPr>
                <w:rFonts w:hint="eastAsia" w:ascii="黑体" w:hAnsi="宋体" w:eastAsia="黑体" w:cs="黑体"/>
                <w:color w:val="000000"/>
                <w:kern w:val="0"/>
                <w:sz w:val="44"/>
                <w:szCs w:val="44"/>
                <w:lang w:val="en-US" w:eastAsia="zh-CN" w:bidi="ar"/>
              </w:rPr>
              <w:t>单位</w:t>
            </w:r>
            <w:r>
              <w:rPr>
                <w:rFonts w:hint="eastAsia" w:ascii="黑体" w:hAnsi="宋体" w:eastAsia="黑体" w:cs="黑体"/>
                <w:color w:val="000000"/>
                <w:kern w:val="0"/>
                <w:sz w:val="44"/>
                <w:szCs w:val="44"/>
                <w:lang w:bidi="ar"/>
              </w:rPr>
              <w:t>预算一般公共预算财政拨款基本支出表</w:t>
            </w:r>
          </w:p>
        </w:tc>
      </w:tr>
      <w:tr>
        <w:tblPrEx>
          <w:tblCellMar>
            <w:top w:w="0" w:type="dxa"/>
            <w:left w:w="108" w:type="dxa"/>
            <w:bottom w:w="0" w:type="dxa"/>
            <w:right w:w="108" w:type="dxa"/>
          </w:tblCellMar>
        </w:tblPrEx>
        <w:trPr>
          <w:trHeight w:val="360" w:hRule="atLeast"/>
        </w:trPr>
        <w:tc>
          <w:tcPr>
            <w:tcW w:w="3138"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928"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933"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344"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326"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支出部门经济分类科目</w:t>
            </w:r>
          </w:p>
        </w:tc>
        <w:tc>
          <w:tcPr>
            <w:tcW w:w="2329"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一般公共预算基本支出</w:t>
            </w:r>
          </w:p>
        </w:tc>
      </w:tr>
      <w:tr>
        <w:tblPrEx>
          <w:tblCellMar>
            <w:top w:w="0" w:type="dxa"/>
            <w:left w:w="108" w:type="dxa"/>
            <w:bottom w:w="0" w:type="dxa"/>
            <w:right w:w="108" w:type="dxa"/>
          </w:tblCellMar>
        </w:tblPrEx>
        <w:trPr>
          <w:trHeight w:val="360" w:hRule="atLeast"/>
        </w:trPr>
        <w:tc>
          <w:tcPr>
            <w:tcW w:w="344"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9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r>
      <w:tr>
        <w:tblPrEx>
          <w:tblCellMar>
            <w:top w:w="0" w:type="dxa"/>
            <w:left w:w="108" w:type="dxa"/>
            <w:bottom w:w="0" w:type="dxa"/>
            <w:right w:w="108" w:type="dxa"/>
          </w:tblCellMar>
        </w:tblPrEx>
        <w:trPr>
          <w:trHeight w:val="360" w:hRule="atLeast"/>
        </w:trPr>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9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742"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合计</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443.10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375.57</w:t>
            </w: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67.53</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工资福利支出</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369.34</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369.34</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基本工资</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181.83</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181.83</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30102</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津贴补贴</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62.92</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62.92</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30103</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奖金</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15.00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15.00</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30107</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绩效工资</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47.79</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47.79</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30108</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25.77</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25.77</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30110</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12.60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12.60</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30111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3.94</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3.94</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9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10</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30112</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其他社会保障缴费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1.44</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1.44</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1</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30113</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18.05</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18.05</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商品和服务支出</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67.53</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67.53</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3</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30201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办公费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8.39</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8.39</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14</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30207</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邮电费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5</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30208</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取暖费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6.00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6.00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val="en-US" w:eastAsia="zh-CN" w:bidi="ar"/>
              </w:rPr>
              <w:t>16</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30211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差旅费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7</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30217</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公务接待费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0.50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30226</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劳务费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19.50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19.50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9</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30228</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工会经费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3.08</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3.08</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20</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30229</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福利费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eastAsia="zh-CN"/>
              </w:rPr>
            </w:pPr>
            <w:r>
              <w:rPr>
                <w:rFonts w:hint="eastAsia" w:ascii="宋体" w:hAnsi="宋体" w:eastAsia="宋体" w:cs="宋体"/>
                <w:i w:val="0"/>
                <w:iCs w:val="0"/>
                <w:color w:val="000000"/>
                <w:kern w:val="0"/>
                <w:sz w:val="22"/>
                <w:szCs w:val="22"/>
                <w:u w:val="none"/>
                <w:lang w:val="en-US" w:eastAsia="zh-CN" w:bidi="ar"/>
              </w:rPr>
              <w:t>5.26</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eastAsia="zh-CN"/>
              </w:rPr>
            </w:pPr>
            <w:r>
              <w:rPr>
                <w:rFonts w:hint="eastAsia" w:ascii="宋体" w:hAnsi="宋体" w:eastAsia="宋体" w:cs="宋体"/>
                <w:i w:val="0"/>
                <w:iCs w:val="0"/>
                <w:color w:val="000000"/>
                <w:kern w:val="0"/>
                <w:sz w:val="22"/>
                <w:szCs w:val="22"/>
                <w:u w:val="none"/>
                <w:lang w:val="en-US" w:eastAsia="zh-CN" w:bidi="ar"/>
              </w:rPr>
              <w:t>5.26</w:t>
            </w:r>
          </w:p>
        </w:tc>
      </w:tr>
      <w:tr>
        <w:tblPrEx>
          <w:tblCellMar>
            <w:top w:w="0" w:type="dxa"/>
            <w:left w:w="108" w:type="dxa"/>
            <w:bottom w:w="0" w:type="dxa"/>
            <w:right w:w="108" w:type="dxa"/>
          </w:tblCellMar>
        </w:tblPrEx>
        <w:trPr>
          <w:trHeight w:val="335"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21</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30231</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2</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30239</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其他交通费用</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15.54</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15.54</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3</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30299</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0.76</w:t>
            </w:r>
          </w:p>
        </w:tc>
        <w:tc>
          <w:tcPr>
            <w:tcW w:w="2787"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8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0.76</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4</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303</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6.23</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6.23</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kern w:val="0"/>
                <w:sz w:val="22"/>
                <w:lang w:bidi="ar"/>
              </w:rPr>
            </w:pPr>
            <w:r>
              <w:rPr>
                <w:rFonts w:hint="eastAsia" w:ascii="宋体" w:hAnsi="宋体" w:eastAsia="宋体" w:cs="宋体"/>
                <w:color w:val="000000"/>
                <w:kern w:val="0"/>
                <w:sz w:val="22"/>
                <w:lang w:val="en-US" w:eastAsia="zh-CN" w:bidi="ar"/>
              </w:rPr>
              <w:t>25</w:t>
            </w:r>
          </w:p>
        </w:tc>
        <w:tc>
          <w:tcPr>
            <w:tcW w:w="174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524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140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6.23</w:t>
            </w:r>
          </w:p>
        </w:tc>
        <w:tc>
          <w:tcPr>
            <w:tcW w:w="2787"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6.23</w:t>
            </w:r>
          </w:p>
        </w:tc>
        <w:tc>
          <w:tcPr>
            <w:tcW w:w="2805"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
    <w:p/>
    <w:p/>
    <w:p/>
    <w:p/>
    <w:p/>
    <w:p/>
    <w:p/>
    <w:p/>
    <w:p/>
    <w:p/>
    <w:p/>
    <w:p/>
    <w:p/>
    <w:p/>
    <w:p/>
    <w:p/>
    <w:p/>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w:t>
            </w:r>
            <w:r>
              <w:rPr>
                <w:rFonts w:hint="eastAsia" w:ascii="宋体" w:hAnsi="宋体" w:eastAsia="宋体" w:cs="宋体"/>
                <w:sz w:val="21"/>
                <w:szCs w:val="21"/>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rFonts w:hint="eastAsia" w:ascii="宋体" w:hAnsi="宋体" w:eastAsia="宋体" w:cs="宋体"/>
          <w:sz w:val="21"/>
          <w:szCs w:val="21"/>
        </w:rPr>
        <w:sectPr>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无政府基金预算财政拨款预算，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w:t>
            </w:r>
            <w:r>
              <w:rPr>
                <w:rFonts w:hint="eastAsia" w:ascii="宋体" w:hAnsi="宋体" w:eastAsia="宋体" w:cs="宋体"/>
                <w:sz w:val="21"/>
                <w:szCs w:val="21"/>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lang w:eastAsia="zh-CN"/>
        </w:rPr>
        <w:sectPr>
          <w:type w:val="continuous"/>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无国有资本经营预算财政拨款预算，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r>
        <w:rPr>
          <w:rFonts w:hint="eastAsia" w:ascii="宋体" w:hAnsi="宋体" w:eastAsia="宋体" w:cs="宋体"/>
          <w:color w:val="000000"/>
          <w:sz w:val="21"/>
          <w:szCs w:val="21"/>
          <w:lang w:eastAsia="zh-CN"/>
        </w:rPr>
        <w:t>。</w:t>
      </w:r>
    </w:p>
    <w:tbl>
      <w:tblPr>
        <w:tblStyle w:val="8"/>
        <w:tblW w:w="5000" w:type="pct"/>
        <w:tblInd w:w="0" w:type="dxa"/>
        <w:tblLayout w:type="autofit"/>
        <w:tblCellMar>
          <w:top w:w="0" w:type="dxa"/>
          <w:left w:w="108" w:type="dxa"/>
          <w:bottom w:w="0" w:type="dxa"/>
          <w:right w:w="108" w:type="dxa"/>
        </w:tblCellMar>
      </w:tblPr>
      <w:tblGrid>
        <w:gridCol w:w="686"/>
        <w:gridCol w:w="4647"/>
        <w:gridCol w:w="686"/>
        <w:gridCol w:w="2570"/>
        <w:gridCol w:w="2322"/>
        <w:gridCol w:w="3027"/>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预算财政拨款“三公”经费支出表</w:t>
            </w:r>
          </w:p>
        </w:tc>
      </w:tr>
      <w:tr>
        <w:tblPrEx>
          <w:tblCellMar>
            <w:top w:w="0" w:type="dxa"/>
            <w:left w:w="108" w:type="dxa"/>
            <w:bottom w:w="0" w:type="dxa"/>
            <w:right w:w="108" w:type="dxa"/>
          </w:tblCellMar>
        </w:tblPrEx>
        <w:trPr>
          <w:trHeight w:val="360" w:hRule="atLeast"/>
        </w:trPr>
        <w:tc>
          <w:tcPr>
            <w:tcW w:w="3081"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833"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w:t>
            </w:r>
            <w:r>
              <w:rPr>
                <w:rFonts w:hint="eastAsia" w:ascii="宋体" w:hAnsi="宋体" w:eastAsia="宋体" w:cs="宋体"/>
                <w:color w:val="000000"/>
                <w:kern w:val="0"/>
                <w:sz w:val="22"/>
                <w:lang w:eastAsia="zh-CN" w:bidi="ar"/>
              </w:rPr>
              <w:t>2025</w:t>
            </w:r>
          </w:p>
        </w:tc>
        <w:tc>
          <w:tcPr>
            <w:tcW w:w="1085"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4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66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086" w:type="pct"/>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资金性质</w:t>
            </w:r>
          </w:p>
        </w:tc>
      </w:tr>
      <w:tr>
        <w:tblPrEx>
          <w:tblCellMar>
            <w:top w:w="0" w:type="dxa"/>
            <w:left w:w="108" w:type="dxa"/>
            <w:bottom w:w="0" w:type="dxa"/>
            <w:right w:w="108" w:type="dxa"/>
          </w:tblCellMar>
        </w:tblPrEx>
        <w:trPr>
          <w:trHeight w:val="360" w:hRule="atLeast"/>
        </w:trPr>
        <w:tc>
          <w:tcPr>
            <w:tcW w:w="24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66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政府性基金财政拨款</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6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“三公”经费小计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其中：教学科研人员因公出国（境）费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其他因公出国（境）费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二、公务用车购置及运维费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其中：公务用车购置费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公务用车运行维护费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三、公务接待费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四、会议费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五、培训费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jc w:val="center"/>
        <w:outlineLvl w:val="4"/>
        <w:rPr>
          <w:rFonts w:hint="eastAsia" w:ascii="黑体" w:hAnsi="黑体" w:eastAsia="黑体" w:cs="黑体"/>
          <w:color w:val="000000"/>
          <w:sz w:val="44"/>
          <w:szCs w:val="44"/>
        </w:rPr>
      </w:pPr>
    </w:p>
    <w:p/>
    <w:p/>
    <w:p/>
    <w:p/>
    <w:p/>
    <w:p/>
    <w:p/>
    <w:p/>
    <w:p>
      <w:pPr>
        <w:jc w:val="center"/>
        <w:outlineLvl w:val="4"/>
        <w:rPr>
          <w:rFonts w:ascii="黑体" w:hAnsi="黑体" w:eastAsia="黑体" w:cs="黑体"/>
          <w:color w:val="000000"/>
          <w:sz w:val="44"/>
          <w:szCs w:val="44"/>
        </w:rPr>
      </w:pPr>
      <w:r>
        <w:rPr>
          <w:rFonts w:hint="eastAsia" w:ascii="黑体" w:hAnsi="黑体" w:eastAsia="黑体" w:cs="黑体"/>
          <w:color w:val="000000"/>
          <w:sz w:val="44"/>
          <w:szCs w:val="44"/>
          <w:lang w:eastAsia="zh-CN"/>
        </w:rPr>
        <w:t>涞水县龙门乡人民政府</w:t>
      </w:r>
      <w:r>
        <w:rPr>
          <w:rFonts w:hint="eastAsia" w:ascii="黑体" w:hAnsi="黑体" w:eastAsia="黑体" w:cs="黑体"/>
          <w:color w:val="000000"/>
          <w:sz w:val="44"/>
          <w:szCs w:val="44"/>
        </w:rPr>
        <w:t>（本级）</w:t>
      </w:r>
    </w:p>
    <w:p>
      <w:pPr>
        <w:jc w:val="center"/>
        <w:outlineLvl w:val="4"/>
        <w:rPr>
          <w:rFonts w:ascii="黑体" w:hAnsi="黑体" w:eastAsia="黑体" w:cs="黑体"/>
          <w:sz w:val="44"/>
          <w:szCs w:val="44"/>
        </w:rPr>
      </w:pPr>
      <w:r>
        <w:rPr>
          <w:rFonts w:hint="eastAsia" w:ascii="黑体" w:hAnsi="黑体" w:eastAsia="黑体" w:cs="黑体"/>
          <w:color w:val="000000"/>
          <w:sz w:val="44"/>
          <w:szCs w:val="44"/>
          <w:lang w:eastAsia="zh-CN"/>
        </w:rPr>
        <w:t>2025</w:t>
      </w:r>
      <w:r>
        <w:rPr>
          <w:rFonts w:hint="eastAsia" w:ascii="黑体" w:hAnsi="黑体" w:eastAsia="黑体" w:cs="黑体"/>
          <w:color w:val="000000"/>
          <w:sz w:val="44"/>
          <w:szCs w:val="44"/>
        </w:rPr>
        <w:t>年单位预算信息公开情况说明</w:t>
      </w:r>
    </w:p>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中华人民共和国</w:t>
      </w:r>
      <w:r>
        <w:rPr>
          <w:rFonts w:hint="eastAsia" w:ascii="仿宋" w:hAnsi="仿宋" w:eastAsia="仿宋" w:cs="仿宋"/>
          <w:color w:val="000000"/>
          <w:sz w:val="32"/>
          <w:szCs w:val="32"/>
        </w:rPr>
        <w:t>预算法》、《地方预决算公开操作规程》和《关于进一步推进预算公开工作的实施意见》规定，现将</w:t>
      </w:r>
      <w:r>
        <w:rPr>
          <w:rFonts w:hint="eastAsia" w:ascii="仿宋" w:hAnsi="仿宋" w:eastAsia="仿宋" w:cs="仿宋"/>
          <w:color w:val="000000"/>
          <w:sz w:val="32"/>
          <w:szCs w:val="32"/>
          <w:lang w:eastAsia="zh-CN"/>
        </w:rPr>
        <w:t>涞水县龙门乡人民政府</w:t>
      </w:r>
      <w:r>
        <w:rPr>
          <w:rFonts w:hint="eastAsia" w:ascii="仿宋" w:hAnsi="仿宋" w:eastAsia="仿宋" w:cs="仿宋"/>
          <w:color w:val="000000"/>
          <w:sz w:val="32"/>
          <w:szCs w:val="32"/>
        </w:rPr>
        <w:t>（本级）</w:t>
      </w:r>
      <w:r>
        <w:rPr>
          <w:rFonts w:hint="eastAsia" w:ascii="仿宋" w:hAnsi="仿宋" w:eastAsia="仿宋" w:cs="仿宋"/>
          <w:color w:val="000000"/>
          <w:sz w:val="32"/>
          <w:szCs w:val="32"/>
          <w:lang w:eastAsia="zh-CN"/>
        </w:rPr>
        <w:t>2025</w:t>
      </w:r>
      <w:r>
        <w:rPr>
          <w:rFonts w:hint="eastAsia" w:ascii="仿宋" w:hAnsi="仿宋" w:eastAsia="仿宋" w:cs="仿宋"/>
          <w:color w:val="000000"/>
          <w:sz w:val="32"/>
          <w:szCs w:val="32"/>
        </w:rPr>
        <w:t>年单位预算公开如下：</w:t>
      </w:r>
    </w:p>
    <w:p>
      <w:pPr>
        <w:rPr>
          <w:rFonts w:ascii="仿宋" w:hAnsi="仿宋" w:eastAsia="仿宋" w:cs="仿宋"/>
          <w:sz w:val="32"/>
          <w:szCs w:val="32"/>
        </w:rPr>
      </w:pPr>
    </w:p>
    <w:p>
      <w:pPr>
        <w:spacing w:before="10" w:after="10"/>
        <w:ind w:firstLine="640"/>
        <w:outlineLvl w:val="5"/>
        <w:rPr>
          <w:rFonts w:ascii="仿宋" w:hAnsi="仿宋" w:eastAsia="仿宋" w:cs="仿宋"/>
          <w:sz w:val="32"/>
          <w:szCs w:val="32"/>
        </w:rPr>
      </w:pPr>
      <w:r>
        <w:rPr>
          <w:rFonts w:hint="eastAsia" w:ascii="仿宋" w:hAnsi="仿宋" w:eastAsia="仿宋" w:cs="仿宋"/>
          <w:color w:val="000000"/>
          <w:sz w:val="32"/>
          <w:szCs w:val="32"/>
        </w:rPr>
        <w:t>一、单位职责及机构设置情况</w:t>
      </w:r>
    </w:p>
    <w:p>
      <w:pPr>
        <w:rPr>
          <w:rFonts w:ascii="仿宋" w:hAnsi="仿宋" w:eastAsia="仿宋" w:cs="仿宋"/>
          <w:sz w:val="32"/>
          <w:szCs w:val="32"/>
        </w:rPr>
      </w:pP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根据《涞水县龙门乡人民政府职能配置、内设机构和人员编制规定》，涞水县龙门乡人民政府的主要职责是：</w:t>
      </w:r>
    </w:p>
    <w:p>
      <w:pPr>
        <w:pStyle w:val="11"/>
        <w:rPr>
          <w:rFonts w:ascii="仿宋" w:hAnsi="仿宋" w:eastAsia="仿宋" w:cs="仿宋"/>
          <w:sz w:val="32"/>
          <w:szCs w:val="32"/>
        </w:rPr>
      </w:pPr>
      <w:r>
        <w:rPr>
          <w:rFonts w:hint="eastAsia" w:ascii="仿宋" w:hAnsi="仿宋" w:eastAsia="仿宋" w:cs="仿宋"/>
          <w:sz w:val="32"/>
          <w:szCs w:val="32"/>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pPr>
        <w:pStyle w:val="11"/>
        <w:rPr>
          <w:rFonts w:ascii="仿宋" w:hAnsi="仿宋" w:eastAsia="仿宋" w:cs="仿宋"/>
          <w:sz w:val="32"/>
          <w:szCs w:val="32"/>
        </w:rPr>
      </w:pPr>
      <w:r>
        <w:rPr>
          <w:rFonts w:hint="eastAsia" w:ascii="仿宋" w:hAnsi="仿宋" w:eastAsia="仿宋" w:cs="仿宋"/>
          <w:sz w:val="32"/>
          <w:szCs w:val="32"/>
        </w:rPr>
        <w:t>二、加强党对基层治理的全面领导，统筹抓好基层党建工作和基层党组织建设各项制度。推进全面从严治党，强化“两个责任”，确保党的路线方针政策在基层得到全面贯彻落实。</w:t>
      </w:r>
    </w:p>
    <w:p>
      <w:pPr>
        <w:pStyle w:val="11"/>
        <w:rPr>
          <w:rFonts w:ascii="仿宋" w:hAnsi="仿宋" w:eastAsia="仿宋" w:cs="仿宋"/>
          <w:sz w:val="32"/>
          <w:szCs w:val="32"/>
        </w:rPr>
      </w:pPr>
      <w:r>
        <w:rPr>
          <w:rFonts w:hint="eastAsia" w:ascii="仿宋" w:hAnsi="仿宋" w:eastAsia="仿宋" w:cs="仿宋"/>
          <w:sz w:val="32"/>
          <w:szCs w:val="32"/>
        </w:rPr>
        <w:t>三、讨论和决定本镇经济建设、政治建设、文化建设、社会建设、生态文明建设和党的建设以及乡村振兴中的重大问题。</w:t>
      </w:r>
    </w:p>
    <w:p>
      <w:pPr>
        <w:pStyle w:val="11"/>
        <w:rPr>
          <w:rFonts w:ascii="仿宋" w:hAnsi="仿宋" w:eastAsia="仿宋" w:cs="仿宋"/>
          <w:sz w:val="32"/>
          <w:szCs w:val="32"/>
        </w:rPr>
      </w:pPr>
      <w:r>
        <w:rPr>
          <w:rFonts w:hint="eastAsia" w:ascii="仿宋" w:hAnsi="仿宋" w:eastAsia="仿宋" w:cs="仿宋"/>
          <w:sz w:val="32"/>
          <w:szCs w:val="32"/>
        </w:rPr>
        <w:t>四、组织召开本级人民代表大会，充分行使重大事项决定权、监督权和任免权，做好人大代表工作，联系选民、反映群众意见和要求。</w:t>
      </w:r>
    </w:p>
    <w:p>
      <w:pPr>
        <w:pStyle w:val="11"/>
        <w:rPr>
          <w:rFonts w:ascii="仿宋" w:hAnsi="仿宋" w:eastAsia="仿宋" w:cs="仿宋"/>
          <w:sz w:val="32"/>
          <w:szCs w:val="32"/>
        </w:rPr>
      </w:pPr>
      <w:r>
        <w:rPr>
          <w:rFonts w:hint="eastAsia" w:ascii="仿宋" w:hAnsi="仿宋" w:eastAsia="仿宋" w:cs="仿宋"/>
          <w:sz w:val="32"/>
          <w:szCs w:val="32"/>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pPr>
        <w:pStyle w:val="11"/>
        <w:rPr>
          <w:rFonts w:ascii="仿宋" w:hAnsi="仿宋" w:eastAsia="仿宋" w:cs="仿宋"/>
          <w:sz w:val="32"/>
          <w:szCs w:val="32"/>
        </w:rPr>
      </w:pPr>
      <w:r>
        <w:rPr>
          <w:rFonts w:hint="eastAsia" w:ascii="仿宋" w:hAnsi="仿宋" w:eastAsia="仿宋" w:cs="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pPr>
        <w:pStyle w:val="11"/>
        <w:rPr>
          <w:rFonts w:ascii="仿宋" w:hAnsi="仿宋" w:eastAsia="仿宋" w:cs="仿宋"/>
          <w:sz w:val="32"/>
          <w:szCs w:val="32"/>
        </w:rPr>
      </w:pPr>
      <w:r>
        <w:rPr>
          <w:rFonts w:hint="eastAsia" w:ascii="仿宋" w:hAnsi="仿宋" w:eastAsia="仿宋" w:cs="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pPr>
        <w:pStyle w:val="11"/>
        <w:rPr>
          <w:rFonts w:ascii="仿宋" w:hAnsi="仿宋" w:eastAsia="仿宋" w:cs="仿宋"/>
          <w:sz w:val="32"/>
          <w:szCs w:val="32"/>
        </w:rPr>
      </w:pPr>
      <w:r>
        <w:rPr>
          <w:rFonts w:hint="eastAsia" w:ascii="仿宋" w:hAnsi="仿宋" w:eastAsia="仿宋" w:cs="仿宋"/>
          <w:sz w:val="32"/>
          <w:szCs w:val="32"/>
        </w:rPr>
        <w:t>八、加强镇党委自身建设和村党组织建设，以及其他隶属镇党委的党组织建设，抓好发展党员工作，加强党员队伍建设。维护和执行党的纪律，监督党员干部和其他任何工作人员严格遵守国家法律法规。</w:t>
      </w:r>
    </w:p>
    <w:p>
      <w:pPr>
        <w:pStyle w:val="11"/>
        <w:rPr>
          <w:rFonts w:ascii="仿宋" w:hAnsi="仿宋" w:eastAsia="仿宋" w:cs="仿宋"/>
          <w:sz w:val="32"/>
          <w:szCs w:val="32"/>
        </w:rPr>
      </w:pPr>
      <w:r>
        <w:rPr>
          <w:rFonts w:hint="eastAsia" w:ascii="仿宋" w:hAnsi="仿宋" w:eastAsia="仿宋" w:cs="仿宋"/>
          <w:sz w:val="32"/>
          <w:szCs w:val="32"/>
        </w:rPr>
        <w:t>九、按照干部管理权限，负责对干部的教育、培训、选拔考核和监督工作。协助管理上级有关单位驻本镇单位的干部。做好人才服务工作。</w:t>
      </w:r>
    </w:p>
    <w:p>
      <w:pPr>
        <w:pStyle w:val="11"/>
        <w:rPr>
          <w:rFonts w:ascii="仿宋" w:hAnsi="仿宋" w:eastAsia="仿宋" w:cs="仿宋"/>
          <w:sz w:val="32"/>
          <w:szCs w:val="32"/>
        </w:rPr>
      </w:pPr>
      <w:r>
        <w:rPr>
          <w:rFonts w:hint="eastAsia" w:ascii="仿宋" w:hAnsi="仿宋" w:eastAsia="仿宋" w:cs="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pPr>
        <w:pStyle w:val="11"/>
        <w:rPr>
          <w:rFonts w:ascii="仿宋" w:hAnsi="仿宋" w:eastAsia="仿宋" w:cs="仿宋"/>
          <w:sz w:val="32"/>
          <w:szCs w:val="32"/>
        </w:rPr>
      </w:pPr>
      <w:r>
        <w:rPr>
          <w:rFonts w:hint="eastAsia" w:ascii="仿宋" w:hAnsi="仿宋" w:eastAsia="仿宋" w:cs="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pPr>
        <w:pStyle w:val="11"/>
        <w:rPr>
          <w:rFonts w:ascii="仿宋" w:hAnsi="仿宋" w:eastAsia="仿宋" w:cs="仿宋"/>
          <w:sz w:val="32"/>
          <w:szCs w:val="32"/>
        </w:rPr>
      </w:pPr>
      <w:r>
        <w:rPr>
          <w:rFonts w:hint="eastAsia" w:ascii="仿宋" w:hAnsi="仿宋" w:eastAsia="仿宋" w:cs="仿宋"/>
          <w:sz w:val="32"/>
          <w:szCs w:val="32"/>
        </w:rPr>
        <w:t>十二、承办上级党委、人大、政府交办的其他事项。</w:t>
      </w:r>
    </w:p>
    <w:p>
      <w:pPr>
        <w:pStyle w:val="11"/>
      </w:pPr>
    </w:p>
    <w:p>
      <w:pPr>
        <w:jc w:val="center"/>
      </w:pPr>
      <w:r>
        <w:rPr>
          <w:rFonts w:hint="eastAsia" w:ascii="方正小标宋_GBK" w:hAnsi="方正小标宋_GBK" w:eastAsia="方正小标宋_GBK" w:cs="方正小标宋_GBK"/>
          <w:color w:val="000000"/>
          <w:sz w:val="32"/>
        </w:rPr>
        <w:t>单位机构设置情况</w:t>
      </w:r>
    </w:p>
    <w:p>
      <w:pPr>
        <w:pStyle w:val="11"/>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rPr>
                <w:rFonts w:hint="eastAsia"/>
              </w:rPr>
              <w:t>单位名称</w:t>
            </w:r>
          </w:p>
        </w:tc>
        <w:tc>
          <w:tcPr>
            <w:tcW w:w="1843" w:type="dxa"/>
            <w:vAlign w:val="center"/>
          </w:tcPr>
          <w:p>
            <w:pPr>
              <w:pStyle w:val="14"/>
            </w:pPr>
            <w:r>
              <w:rPr>
                <w:rFonts w:hint="eastAsia"/>
              </w:rPr>
              <w:t>单位性质</w:t>
            </w:r>
          </w:p>
        </w:tc>
        <w:tc>
          <w:tcPr>
            <w:tcW w:w="2126" w:type="dxa"/>
            <w:vAlign w:val="center"/>
          </w:tcPr>
          <w:p>
            <w:pPr>
              <w:pStyle w:val="14"/>
            </w:pPr>
            <w:r>
              <w:rPr>
                <w:rFonts w:hint="eastAsia"/>
              </w:rPr>
              <w:t>单位规格</w:t>
            </w:r>
          </w:p>
        </w:tc>
        <w:tc>
          <w:tcPr>
            <w:tcW w:w="3827" w:type="dxa"/>
            <w:vAlign w:val="center"/>
          </w:tcPr>
          <w:p>
            <w:pPr>
              <w:pStyle w:val="14"/>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rPr>
                <w:rFonts w:hint="eastAsia"/>
                <w:lang w:eastAsia="zh-CN"/>
              </w:rPr>
              <w:t>涞水县龙门乡人民政府</w:t>
            </w:r>
            <w:r>
              <w:rPr>
                <w:rFonts w:hint="eastAsia"/>
              </w:rPr>
              <w:t>（本级）</w:t>
            </w:r>
          </w:p>
        </w:tc>
        <w:tc>
          <w:tcPr>
            <w:tcW w:w="1843" w:type="dxa"/>
            <w:vAlign w:val="center"/>
          </w:tcPr>
          <w:p>
            <w:pPr>
              <w:pStyle w:val="17"/>
            </w:pPr>
            <w:r>
              <w:rPr>
                <w:rFonts w:hint="eastAsia"/>
              </w:rPr>
              <w:t>行政</w:t>
            </w:r>
          </w:p>
        </w:tc>
        <w:tc>
          <w:tcPr>
            <w:tcW w:w="2126" w:type="dxa"/>
            <w:vAlign w:val="center"/>
          </w:tcPr>
          <w:p>
            <w:pPr>
              <w:pStyle w:val="17"/>
            </w:pPr>
            <w:r>
              <w:rPr>
                <w:rFonts w:hint="eastAsia"/>
              </w:rPr>
              <w:t>正科级</w:t>
            </w:r>
          </w:p>
        </w:tc>
        <w:tc>
          <w:tcPr>
            <w:tcW w:w="3827" w:type="dxa"/>
            <w:vAlign w:val="center"/>
          </w:tcPr>
          <w:p>
            <w:pPr>
              <w:pStyle w:val="17"/>
            </w:pPr>
            <w:r>
              <w:rPr>
                <w:rFonts w:hint="eastAsia"/>
              </w:rP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sz w:val="32"/>
          <w:szCs w:val="32"/>
        </w:rPr>
      </w:pPr>
      <w:r>
        <w:rPr>
          <w:rFonts w:hint="eastAsia" w:ascii="黑体" w:hAnsi="黑体" w:eastAsia="黑体" w:cs="黑体"/>
          <w:color w:val="000000"/>
          <w:sz w:val="32"/>
          <w:szCs w:val="32"/>
        </w:rPr>
        <w:t>二、单位预算安排的总体情况</w:t>
      </w:r>
    </w:p>
    <w:p>
      <w:pPr>
        <w:pStyle w:val="11"/>
        <w:rPr>
          <w:color w:val="000000"/>
        </w:rPr>
      </w:pPr>
      <w:r>
        <w:rPr>
          <w:rFonts w:hint="eastAsia" w:ascii="仿宋" w:hAnsi="仿宋" w:eastAsia="仿宋" w:cs="仿宋"/>
          <w:color w:val="000000"/>
          <w:sz w:val="32"/>
          <w:szCs w:val="32"/>
        </w:rPr>
        <w:t>按照预算管理有关规定，目前我省单位预算的编制实行综合预算管理，即全部收入和支出都反映在预算中。</w:t>
      </w:r>
    </w:p>
    <w:p>
      <w:pPr>
        <w:pStyle w:val="11"/>
        <w:rPr>
          <w:color w:val="000000"/>
        </w:rPr>
      </w:pPr>
    </w:p>
    <w:p>
      <w:pPr>
        <w:pStyle w:val="11"/>
        <w:rPr>
          <w:color w:val="000000"/>
        </w:rPr>
      </w:pPr>
    </w:p>
    <w:p>
      <w:pPr>
        <w:pStyle w:val="11"/>
        <w:rPr>
          <w:color w:val="000000"/>
        </w:rPr>
      </w:pPr>
    </w:p>
    <w:p>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机关运行经费安排情况</w:t>
      </w:r>
    </w:p>
    <w:p>
      <w:pPr>
        <w:snapToGrid w:val="0"/>
        <w:spacing w:line="500" w:lineRule="exact"/>
        <w:ind w:firstLine="640" w:firstLineChars="200"/>
        <w:rPr>
          <w:rFonts w:ascii="黑体" w:hAnsi="黑体" w:eastAsia="黑体" w:cs="黑体"/>
          <w:color w:val="000000"/>
          <w:sz w:val="32"/>
        </w:rPr>
      </w:pPr>
      <w:r>
        <w:rPr>
          <w:rFonts w:hint="eastAsia" w:ascii="仿宋_GB2312" w:hAnsi="仿宋_GB2312" w:eastAsia="仿宋_GB2312" w:cs="仿宋_GB2312"/>
          <w:sz w:val="32"/>
          <w:szCs w:val="32"/>
        </w:rPr>
        <w:t>本单位本年度预算安排财政</w:t>
      </w:r>
      <w:r>
        <w:rPr>
          <w:rFonts w:hint="eastAsia" w:ascii="仿宋_GB2312" w:hAnsi="仿宋_GB2312" w:eastAsia="仿宋_GB2312" w:cs="仿宋_GB2312"/>
          <w:sz w:val="32"/>
          <w:szCs w:val="32"/>
          <w:highlight w:val="none"/>
        </w:rPr>
        <w:t>拨款支出主要用于保障该部门机构正常运转、完成日常工作任务以及龙门乡</w:t>
      </w:r>
      <w:r>
        <w:rPr>
          <w:rFonts w:hint="eastAsia" w:ascii="仿宋_GB2312" w:hAnsi="仿宋_GB2312" w:eastAsia="仿宋_GB2312" w:cs="仿宋_GB2312"/>
          <w:sz w:val="32"/>
          <w:szCs w:val="32"/>
          <w:highlight w:val="none"/>
          <w:lang w:val="en-US" w:eastAsia="zh-CN"/>
        </w:rPr>
        <w:t>开</w:t>
      </w:r>
      <w:r>
        <w:rPr>
          <w:rFonts w:hint="eastAsia" w:ascii="仿宋_GB2312" w:hAnsi="仿宋_GB2312" w:eastAsia="仿宋_GB2312" w:cs="仿宋_GB2312"/>
          <w:sz w:val="32"/>
          <w:szCs w:val="32"/>
          <w:highlight w:val="none"/>
        </w:rPr>
        <w:t>展相关工作。正常公用经费</w:t>
      </w:r>
      <w:r>
        <w:rPr>
          <w:rFonts w:hint="eastAsia" w:ascii="仿宋_GB2312" w:hAnsi="仿宋_GB2312" w:eastAsia="仿宋_GB2312" w:cs="仿宋_GB2312"/>
          <w:sz w:val="32"/>
          <w:szCs w:val="32"/>
          <w:highlight w:val="none"/>
          <w:lang w:val="en-US" w:eastAsia="zh-CN"/>
        </w:rPr>
        <w:t>66.77</w:t>
      </w:r>
      <w:r>
        <w:rPr>
          <w:rFonts w:hint="eastAsia" w:ascii="仿宋_GB2312" w:hAnsi="仿宋_GB2312" w:eastAsia="仿宋_GB2312" w:cs="仿宋_GB2312"/>
          <w:sz w:val="32"/>
          <w:szCs w:val="32"/>
          <w:highlight w:val="none"/>
        </w:rPr>
        <w:t>万元，其中：办公费</w:t>
      </w:r>
      <w:r>
        <w:rPr>
          <w:rFonts w:hint="eastAsia" w:ascii="仿宋_GB2312" w:hAnsi="仿宋_GB2312" w:eastAsia="仿宋_GB2312" w:cs="仿宋_GB2312"/>
          <w:sz w:val="32"/>
          <w:szCs w:val="32"/>
          <w:highlight w:val="none"/>
          <w:lang w:val="en-US" w:eastAsia="zh-CN"/>
        </w:rPr>
        <w:t>8.39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差旅费3万元，</w:t>
      </w:r>
      <w:r>
        <w:rPr>
          <w:rFonts w:hint="eastAsia" w:ascii="仿宋_GB2312" w:hAnsi="仿宋_GB2312" w:eastAsia="仿宋_GB2312" w:cs="仿宋_GB2312"/>
          <w:sz w:val="32"/>
          <w:szCs w:val="32"/>
          <w:highlight w:val="none"/>
        </w:rPr>
        <w:t>取暖费</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邮电费0.50万元，</w:t>
      </w:r>
      <w:r>
        <w:rPr>
          <w:rFonts w:hint="eastAsia" w:ascii="仿宋_GB2312" w:hAnsi="仿宋_GB2312" w:eastAsia="仿宋_GB2312" w:cs="仿宋_GB2312"/>
          <w:sz w:val="32"/>
          <w:szCs w:val="32"/>
          <w:highlight w:val="none"/>
        </w:rPr>
        <w:t>公务接待费0.5</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万元，劳务费</w:t>
      </w:r>
      <w:r>
        <w:rPr>
          <w:rFonts w:hint="eastAsia" w:ascii="仿宋_GB2312" w:hAnsi="仿宋_GB2312" w:eastAsia="仿宋_GB2312" w:cs="仿宋_GB2312"/>
          <w:sz w:val="32"/>
          <w:szCs w:val="32"/>
          <w:highlight w:val="none"/>
          <w:lang w:val="en-US" w:eastAsia="zh-CN"/>
        </w:rPr>
        <w:t>19.5</w:t>
      </w:r>
      <w:r>
        <w:rPr>
          <w:rFonts w:hint="eastAsia" w:ascii="仿宋_GB2312" w:hAnsi="仿宋_GB2312" w:eastAsia="仿宋_GB2312" w:cs="仿宋_GB2312"/>
          <w:sz w:val="32"/>
          <w:szCs w:val="32"/>
          <w:highlight w:val="none"/>
        </w:rPr>
        <w:t>万元，公务用车运行维护费5万元，其他交通费用</w:t>
      </w:r>
      <w:r>
        <w:rPr>
          <w:rFonts w:hint="eastAsia" w:ascii="仿宋_GB2312" w:hAnsi="仿宋_GB2312" w:eastAsia="仿宋_GB2312" w:cs="仿宋_GB2312"/>
          <w:sz w:val="32"/>
          <w:szCs w:val="32"/>
          <w:highlight w:val="none"/>
          <w:lang w:val="en-US" w:eastAsia="zh-CN"/>
        </w:rPr>
        <w:t>15.54</w:t>
      </w:r>
      <w:r>
        <w:rPr>
          <w:rFonts w:hint="eastAsia" w:ascii="仿宋_GB2312" w:hAnsi="仿宋_GB2312" w:eastAsia="仿宋_GB2312" w:cs="仿宋_GB2312"/>
          <w:sz w:val="32"/>
          <w:szCs w:val="32"/>
          <w:highlight w:val="none"/>
        </w:rPr>
        <w:t>万元，工会经费</w:t>
      </w:r>
      <w:r>
        <w:rPr>
          <w:rFonts w:hint="eastAsia" w:ascii="仿宋_GB2312" w:hAnsi="仿宋_GB2312" w:eastAsia="仿宋_GB2312" w:cs="仿宋_GB2312"/>
          <w:sz w:val="32"/>
          <w:szCs w:val="32"/>
          <w:highlight w:val="none"/>
          <w:lang w:val="en-US" w:eastAsia="zh-CN"/>
        </w:rPr>
        <w:t>3.08</w:t>
      </w:r>
      <w:r>
        <w:rPr>
          <w:rFonts w:hint="eastAsia" w:ascii="仿宋_GB2312" w:hAnsi="仿宋_GB2312" w:eastAsia="仿宋_GB2312" w:cs="仿宋_GB2312"/>
          <w:sz w:val="32"/>
          <w:szCs w:val="32"/>
          <w:highlight w:val="none"/>
        </w:rPr>
        <w:t>万元，职工福利费</w:t>
      </w:r>
      <w:r>
        <w:rPr>
          <w:rFonts w:hint="eastAsia" w:ascii="仿宋_GB2312" w:hAnsi="仿宋_GB2312" w:eastAsia="仿宋_GB2312" w:cs="仿宋_GB2312"/>
          <w:sz w:val="32"/>
          <w:szCs w:val="32"/>
          <w:highlight w:val="none"/>
          <w:lang w:val="en-US" w:eastAsia="zh-CN"/>
        </w:rPr>
        <w:t>5.26</w:t>
      </w:r>
      <w:r>
        <w:rPr>
          <w:rFonts w:hint="eastAsia" w:ascii="仿宋_GB2312" w:hAnsi="仿宋_GB2312" w:eastAsia="仿宋_GB2312" w:cs="仿宋_GB2312"/>
          <w:sz w:val="32"/>
          <w:szCs w:val="32"/>
          <w:highlight w:val="none"/>
        </w:rPr>
        <w:t>万</w:t>
      </w:r>
      <w:r>
        <w:rPr>
          <w:rFonts w:hint="eastAsia" w:ascii="仿宋_GB2312" w:hAnsi="仿宋_GB2312" w:eastAsia="仿宋_GB2312" w:cs="仿宋_GB2312"/>
          <w:sz w:val="32"/>
          <w:szCs w:val="32"/>
        </w:rPr>
        <w:t>元。</w:t>
      </w:r>
    </w:p>
    <w:p>
      <w:pPr>
        <w:numPr>
          <w:ilvl w:val="0"/>
          <w:numId w:val="1"/>
        </w:numPr>
        <w:spacing w:before="10" w:after="10"/>
        <w:ind w:firstLine="640"/>
        <w:outlineLvl w:val="5"/>
        <w:rPr>
          <w:rFonts w:ascii="黑体" w:hAnsi="黑体" w:eastAsia="黑体" w:cs="黑体"/>
          <w:color w:val="000000"/>
          <w:sz w:val="32"/>
          <w:szCs w:val="32"/>
        </w:rPr>
      </w:pPr>
      <w:r>
        <w:rPr>
          <w:rFonts w:hint="eastAsia" w:ascii="黑体" w:hAnsi="黑体" w:eastAsia="黑体" w:cs="黑体"/>
          <w:color w:val="000000"/>
          <w:sz w:val="32"/>
          <w:szCs w:val="32"/>
        </w:rPr>
        <w:t>财政拨款“三公”经费预算情况及增减</w:t>
      </w:r>
      <w:r>
        <w:rPr>
          <w:rFonts w:hint="eastAsia" w:ascii="黑体" w:hAnsi="黑体" w:eastAsia="黑体" w:cs="黑体"/>
          <w:color w:val="000000"/>
          <w:sz w:val="32"/>
          <w:szCs w:val="32"/>
          <w:lang w:eastAsia="zh-CN"/>
        </w:rPr>
        <w:t>变化情况</w:t>
      </w:r>
    </w:p>
    <w:p>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安排“三公经费”预算5.5万元，严格落实“三公经费”管理办法以及中央八项规定。其中，公务用车运行维护费5万元；公务接待费0.5万元（预计3批，20人次）；因公出国经费无；公务用车购置经费无。</w:t>
      </w:r>
    </w:p>
    <w:p>
      <w:pPr>
        <w:widowControl w:val="0"/>
        <w:spacing w:line="500" w:lineRule="exact"/>
        <w:jc w:val="center"/>
        <w:outlineLvl w:val="0"/>
        <w:rPr>
          <w:rFonts w:ascii="黑体" w:hAnsi="黑体" w:eastAsia="黑体" w:cs="黑体"/>
          <w:color w:val="000000"/>
          <w:sz w:val="32"/>
          <w:szCs w:val="32"/>
          <w:shd w:val="clear" w:color="auto" w:fill="FFFFFF"/>
          <w:lang w:eastAsia="zh-CN"/>
        </w:rPr>
      </w:pPr>
      <w:bookmarkStart w:id="1" w:name="_Toc30338"/>
      <w:r>
        <w:rPr>
          <w:rFonts w:hint="eastAsia" w:ascii="黑体" w:hAnsi="黑体" w:eastAsia="黑体" w:cs="黑体"/>
          <w:color w:val="000000"/>
          <w:sz w:val="32"/>
          <w:szCs w:val="32"/>
          <w:shd w:val="clear" w:color="auto" w:fill="FFFFFF"/>
          <w:lang w:eastAsia="zh-CN"/>
        </w:rPr>
        <w:t>“三公”经费预算情况表</w:t>
      </w:r>
      <w:bookmarkEnd w:id="1"/>
    </w:p>
    <w:p>
      <w:pPr>
        <w:widowControl w:val="0"/>
        <w:spacing w:line="400" w:lineRule="exact"/>
        <w:jc w:val="right"/>
        <w:outlineLvl w:val="0"/>
        <w:rPr>
          <w:rFonts w:ascii="宋体" w:hAnsi="宋体" w:eastAsia="宋体" w:cs="宋体"/>
          <w:color w:val="000000"/>
          <w:sz w:val="21"/>
          <w:szCs w:val="21"/>
          <w:shd w:val="clear" w:color="auto" w:fill="FFFFFF"/>
          <w:lang w:eastAsia="zh-CN"/>
        </w:rPr>
      </w:pPr>
      <w:bookmarkStart w:id="2" w:name="_Toc29460"/>
      <w:r>
        <w:rPr>
          <w:rFonts w:hint="eastAsia" w:ascii="宋体" w:hAnsi="宋体" w:eastAsia="宋体" w:cs="宋体"/>
          <w:color w:val="000000"/>
          <w:sz w:val="21"/>
          <w:szCs w:val="21"/>
          <w:shd w:val="clear" w:color="auto" w:fill="FFFFFF"/>
          <w:lang w:eastAsia="zh-CN"/>
        </w:rPr>
        <w:t>单位：万元</w:t>
      </w:r>
      <w:bookmarkEnd w:id="2"/>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1946"/>
        <w:gridCol w:w="2036"/>
        <w:gridCol w:w="1525"/>
        <w:gridCol w:w="5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项目名称</w:t>
            </w:r>
          </w:p>
        </w:tc>
        <w:tc>
          <w:tcPr>
            <w:tcW w:w="698"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w:t>
            </w:r>
            <w:r>
              <w:rPr>
                <w:rFonts w:hint="eastAsia" w:ascii="宋体" w:hAnsi="宋体" w:eastAsia="宋体" w:cs="宋体"/>
                <w:b/>
                <w:bCs/>
                <w:sz w:val="21"/>
                <w:szCs w:val="21"/>
                <w:lang w:eastAsia="zh-CN"/>
              </w:rPr>
              <w:t>21</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73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202</w:t>
            </w:r>
            <w:r>
              <w:rPr>
                <w:rFonts w:hint="eastAsia" w:ascii="宋体" w:hAnsi="宋体" w:eastAsia="宋体" w:cs="宋体"/>
                <w:b/>
                <w:bCs/>
                <w:sz w:val="21"/>
                <w:szCs w:val="21"/>
                <w:lang w:eastAsia="zh-CN"/>
              </w:rPr>
              <w:t>2</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547"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增减金额</w:t>
            </w:r>
          </w:p>
        </w:tc>
        <w:tc>
          <w:tcPr>
            <w:tcW w:w="2022" w:type="pct"/>
            <w:vAlign w:val="center"/>
          </w:tcPr>
          <w:p>
            <w:pPr>
              <w:widowControl w:val="0"/>
              <w:snapToGrid w:val="0"/>
              <w:spacing w:line="40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因公出国经费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公务用车购置经费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公务用车运行经费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公务接待费支出</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547"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w:t>
            </w:r>
          </w:p>
        </w:tc>
        <w:tc>
          <w:tcPr>
            <w:tcW w:w="2022"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合计</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bl>
    <w:p>
      <w:pPr>
        <w:jc w:val="center"/>
        <w:rPr>
          <w:rFonts w:hint="eastAsia" w:ascii="黑体" w:hAnsi="黑体" w:eastAsia="黑体" w:cs="黑体"/>
          <w:color w:val="000000"/>
          <w:sz w:val="32"/>
          <w:lang w:eastAsia="zh-CN"/>
        </w:rPr>
      </w:pPr>
      <w:r>
        <w:rPr>
          <w:rFonts w:ascii="方正仿宋_GBK" w:hAnsi="方正仿宋_GBK" w:eastAsia="方正仿宋_GBK" w:cs="方正仿宋_GBK"/>
          <w:color w:val="000000"/>
          <w:sz w:val="28"/>
        </w:rPr>
        <w:t xml:space="preserve"> </w:t>
      </w:r>
      <w:bookmarkStart w:id="3" w:name="_Toc_4_4_0000000004"/>
    </w:p>
    <w:p>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lang w:eastAsia="zh-CN"/>
        </w:rPr>
        <w:t>五、预算绩效信息</w:t>
      </w:r>
    </w:p>
    <w:p>
      <w:pPr>
        <w:ind w:firstLine="560"/>
        <w:outlineLvl w:val="3"/>
      </w:pPr>
      <w:r>
        <w:rPr>
          <w:rFonts w:ascii="方正仿宋_GBK" w:hAnsi="方正仿宋_GBK" w:eastAsia="方正仿宋_GBK" w:cs="方正仿宋_GBK"/>
          <w:color w:val="000000"/>
          <w:sz w:val="28"/>
        </w:rPr>
        <w:t>1.财政事务工作经费（年初）绩效目标表</w:t>
      </w:r>
      <w:bookmarkEnd w:id="3"/>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13062324P007401100326</w:t>
            </w:r>
          </w:p>
        </w:tc>
        <w:tc>
          <w:tcPr>
            <w:tcW w:w="714" w:type="pct"/>
            <w:vAlign w:val="center"/>
          </w:tcPr>
          <w:p>
            <w:pPr>
              <w:pStyle w:val="14"/>
            </w:pPr>
            <w:r>
              <w:t>项目名称</w:t>
            </w:r>
          </w:p>
        </w:tc>
        <w:tc>
          <w:tcPr>
            <w:tcW w:w="2142" w:type="pct"/>
            <w:gridSpan w:val="3"/>
            <w:vAlign w:val="center"/>
          </w:tcPr>
          <w:p>
            <w:pPr>
              <w:pStyle w:val="16"/>
            </w:pPr>
            <w:r>
              <w:t>财政事务工作经费（年初）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tcPr>
          <w:p/>
        </w:tc>
        <w:tc>
          <w:tcPr>
            <w:tcW w:w="4285" w:type="pct"/>
            <w:gridSpan w:val="6"/>
            <w:vAlign w:val="center"/>
          </w:tcPr>
          <w:p>
            <w:pPr>
              <w:pStyle w:val="16"/>
            </w:pPr>
            <w:r>
              <w:t>财政事务工作经费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1.配合乡镇完成各项上级财政拨款，落实到位，保障惠民政策落实到位，做好财政国库支付电子化工作。"</w:t>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工作开展完成率（%）</w:t>
            </w:r>
          </w:p>
        </w:tc>
        <w:tc>
          <w:tcPr>
            <w:tcW w:w="1428" w:type="pct"/>
            <w:vAlign w:val="center"/>
          </w:tcPr>
          <w:p>
            <w:pPr>
              <w:pStyle w:val="16"/>
            </w:pPr>
            <w:r>
              <w:t>工作实际开展占计划工作的比率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资金有效使用率(%)</w:t>
            </w:r>
          </w:p>
        </w:tc>
        <w:tc>
          <w:tcPr>
            <w:tcW w:w="1428" w:type="pct"/>
            <w:vAlign w:val="center"/>
          </w:tcPr>
          <w:p>
            <w:pPr>
              <w:pStyle w:val="16"/>
            </w:pPr>
            <w:r>
              <w:t>资金实际使用金额占拨付金额的比率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保障服务水平</w:t>
            </w:r>
          </w:p>
        </w:tc>
        <w:tc>
          <w:tcPr>
            <w:tcW w:w="1428" w:type="pct"/>
            <w:vAlign w:val="center"/>
          </w:tcPr>
          <w:p>
            <w:pPr>
              <w:pStyle w:val="16"/>
            </w:pPr>
            <w:r>
              <w:t>保障服务水平</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服务对象满意度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 w:name="_Toc_4_4_0000000005"/>
      <w:r>
        <w:rPr>
          <w:rFonts w:ascii="方正仿宋_GBK" w:hAnsi="方正仿宋_GBK" w:eastAsia="方正仿宋_GBK" w:cs="方正仿宋_GBK"/>
          <w:color w:val="000000"/>
          <w:sz w:val="28"/>
        </w:rPr>
        <w:t>2.纪检经费（年初）绩效目标表</w:t>
      </w:r>
      <w:bookmarkEnd w:id="4"/>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13062324P00739810033T</w:t>
            </w:r>
          </w:p>
        </w:tc>
        <w:tc>
          <w:tcPr>
            <w:tcW w:w="714" w:type="pct"/>
            <w:vAlign w:val="center"/>
          </w:tcPr>
          <w:p>
            <w:pPr>
              <w:pStyle w:val="14"/>
            </w:pPr>
            <w:r>
              <w:t>项目名称</w:t>
            </w:r>
          </w:p>
        </w:tc>
        <w:tc>
          <w:tcPr>
            <w:tcW w:w="2142" w:type="pct"/>
            <w:gridSpan w:val="3"/>
            <w:vAlign w:val="center"/>
          </w:tcPr>
          <w:p>
            <w:pPr>
              <w:pStyle w:val="16"/>
            </w:pPr>
            <w:r>
              <w:t>纪检经费（年初）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纪检经费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1.认真落实纪检单位各项任务，加强监督检查，促进党风廉政。发挥乡纪检监督职能，做到有案必查，有腐必惩，深化廉政教育学习。</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组织监督检查会议次数</w:t>
            </w:r>
          </w:p>
        </w:tc>
        <w:tc>
          <w:tcPr>
            <w:tcW w:w="1428" w:type="pct"/>
            <w:vAlign w:val="center"/>
          </w:tcPr>
          <w:p>
            <w:pPr>
              <w:pStyle w:val="16"/>
            </w:pPr>
            <w:r>
              <w:t>组织召开监督检查会议的次数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案件办结率</w:t>
            </w:r>
          </w:p>
        </w:tc>
        <w:tc>
          <w:tcPr>
            <w:tcW w:w="1428" w:type="pct"/>
            <w:vAlign w:val="center"/>
          </w:tcPr>
          <w:p>
            <w:pPr>
              <w:pStyle w:val="16"/>
            </w:pPr>
            <w:r>
              <w:t>办结案件数量占立案案件总数的比率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问题整改率</w:t>
            </w:r>
          </w:p>
        </w:tc>
        <w:tc>
          <w:tcPr>
            <w:tcW w:w="1428" w:type="pct"/>
            <w:vAlign w:val="center"/>
          </w:tcPr>
          <w:p>
            <w:pPr>
              <w:pStyle w:val="16"/>
            </w:pPr>
            <w:r>
              <w:t>已整改问题数量占发现问题总数的比率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通过实施纪检监督政策促进社会稳定水平逐步提高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群众对当年纪检监督工作的整体满意度</w:t>
            </w:r>
          </w:p>
        </w:tc>
        <w:tc>
          <w:tcPr>
            <w:tcW w:w="714" w:type="pct"/>
            <w:vAlign w:val="center"/>
          </w:tcPr>
          <w:p>
            <w:pPr>
              <w:pStyle w:val="16"/>
            </w:pPr>
            <w:r>
              <w:t>≥851</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 w:name="_Toc_4_4_0000000006"/>
      <w:r>
        <w:rPr>
          <w:rFonts w:ascii="方正仿宋_GBK" w:hAnsi="方正仿宋_GBK" w:eastAsia="方正仿宋_GBK" w:cs="方正仿宋_GBK"/>
          <w:color w:val="000000"/>
          <w:sz w:val="28"/>
        </w:rPr>
        <w:t>3.农村文化建设资金（年初）绩效目标表</w:t>
      </w:r>
      <w:bookmarkEnd w:id="5"/>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93"/>
        <w:gridCol w:w="1149"/>
        <w:gridCol w:w="2171"/>
        <w:gridCol w:w="2062"/>
        <w:gridCol w:w="2254"/>
        <w:gridCol w:w="1173"/>
        <w:gridCol w:w="1081"/>
        <w:gridCol w:w="2255"/>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0" w:type="auto"/>
            <w:gridSpan w:val="2"/>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Align w:val="center"/>
          </w:tcPr>
          <w:p>
            <w:pPr>
              <w:pStyle w:val="14"/>
            </w:pPr>
            <w:r>
              <w:t>项目编码</w:t>
            </w:r>
          </w:p>
        </w:tc>
        <w:tc>
          <w:tcPr>
            <w:tcW w:w="3320" w:type="dxa"/>
            <w:gridSpan w:val="2"/>
            <w:vAlign w:val="center"/>
          </w:tcPr>
          <w:p>
            <w:pPr>
              <w:pStyle w:val="16"/>
            </w:pPr>
            <w:r>
              <w:t>13062324P00740210045J</w:t>
            </w:r>
          </w:p>
        </w:tc>
        <w:tc>
          <w:tcPr>
            <w:tcW w:w="2062" w:type="dxa"/>
            <w:vAlign w:val="center"/>
          </w:tcPr>
          <w:p>
            <w:pPr>
              <w:pStyle w:val="14"/>
            </w:pPr>
            <w:r>
              <w:t>项目名称</w:t>
            </w:r>
          </w:p>
        </w:tc>
        <w:tc>
          <w:tcPr>
            <w:tcW w:w="6763" w:type="dxa"/>
            <w:gridSpan w:val="4"/>
            <w:vAlign w:val="center"/>
          </w:tcPr>
          <w:p>
            <w:pPr>
              <w:pStyle w:val="16"/>
            </w:pPr>
            <w:r>
              <w:t>乡镇文化站免费开放资金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restart"/>
            <w:vAlign w:val="center"/>
          </w:tcPr>
          <w:p>
            <w:pPr>
              <w:pStyle w:val="14"/>
            </w:pPr>
            <w:r>
              <w:t>预算规模及资金用途</w:t>
            </w:r>
          </w:p>
        </w:tc>
        <w:tc>
          <w:tcPr>
            <w:tcW w:w="1149" w:type="dxa"/>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预算数</w:t>
            </w:r>
          </w:p>
        </w:tc>
        <w:tc>
          <w:tcPr>
            <w:tcW w:w="2171"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r>
              <w:t>1.75</w:t>
            </w:r>
          </w:p>
        </w:tc>
        <w:tc>
          <w:tcPr>
            <w:tcW w:w="2062" w:type="dxa"/>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其中：财政资金</w:t>
            </w:r>
          </w:p>
        </w:tc>
        <w:tc>
          <w:tcPr>
            <w:tcW w:w="2254"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r>
              <w:t>1.75</w:t>
            </w:r>
          </w:p>
        </w:tc>
        <w:tc>
          <w:tcPr>
            <w:tcW w:w="2254" w:type="dxa"/>
            <w:gridSpan w:val="2"/>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其他资金</w:t>
            </w:r>
          </w:p>
        </w:tc>
        <w:tc>
          <w:tcPr>
            <w:tcW w:w="2255"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continue"/>
          </w:tcPr>
          <w:p/>
        </w:tc>
        <w:tc>
          <w:tcPr>
            <w:tcW w:w="12145" w:type="dxa"/>
            <w:gridSpan w:val="7"/>
            <w:vAlign w:val="center"/>
          </w:tcPr>
          <w:p>
            <w:pPr>
              <w:pStyle w:val="16"/>
            </w:pPr>
            <w:r>
              <w:t>农村文化建设资金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restart"/>
            <w:vAlign w:val="center"/>
          </w:tcPr>
          <w:p>
            <w:pPr>
              <w:pStyle w:val="14"/>
            </w:pPr>
            <w:r>
              <w:t>资金支出计划（%）</w:t>
            </w:r>
          </w:p>
        </w:tc>
        <w:tc>
          <w:tcPr>
            <w:tcW w:w="3320" w:type="dxa"/>
            <w:gridSpan w:val="2"/>
            <w:vAlign w:val="center"/>
          </w:tcPr>
          <w:p>
            <w:pPr>
              <w:pStyle w:val="14"/>
            </w:pPr>
            <w:r>
              <w:t>3月底</w:t>
            </w:r>
          </w:p>
        </w:tc>
        <w:tc>
          <w:tcPr>
            <w:tcW w:w="2062" w:type="dxa"/>
            <w:vAlign w:val="center"/>
          </w:tcPr>
          <w:p>
            <w:pPr>
              <w:pStyle w:val="14"/>
            </w:pPr>
            <w:r>
              <w:t>6月底</w:t>
            </w:r>
          </w:p>
        </w:tc>
        <w:tc>
          <w:tcPr>
            <w:tcW w:w="3427" w:type="dxa"/>
            <w:gridSpan w:val="2"/>
            <w:vAlign w:val="center"/>
          </w:tcPr>
          <w:p>
            <w:pPr>
              <w:pStyle w:val="14"/>
            </w:pPr>
            <w:r>
              <w:t>10月底</w:t>
            </w:r>
          </w:p>
        </w:tc>
        <w:tc>
          <w:tcPr>
            <w:tcW w:w="3336" w:type="dxa"/>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continue"/>
          </w:tcPr>
          <w:p/>
        </w:tc>
        <w:tc>
          <w:tcPr>
            <w:tcW w:w="3320" w:type="dxa"/>
            <w:gridSpan w:val="2"/>
            <w:vAlign w:val="center"/>
          </w:tcPr>
          <w:p>
            <w:pPr>
              <w:pStyle w:val="17"/>
            </w:pPr>
            <w:r>
              <w:t>50%</w:t>
            </w:r>
          </w:p>
        </w:tc>
        <w:tc>
          <w:tcPr>
            <w:tcW w:w="2062" w:type="dxa"/>
            <w:vAlign w:val="center"/>
          </w:tcPr>
          <w:p>
            <w:pPr>
              <w:pStyle w:val="17"/>
            </w:pPr>
            <w:r>
              <w:t>50%</w:t>
            </w:r>
          </w:p>
        </w:tc>
        <w:tc>
          <w:tcPr>
            <w:tcW w:w="3427" w:type="dxa"/>
            <w:gridSpan w:val="2"/>
            <w:vAlign w:val="center"/>
          </w:tcPr>
          <w:p>
            <w:pPr>
              <w:pStyle w:val="17"/>
            </w:pPr>
            <w:r>
              <w:t>100%</w:t>
            </w:r>
          </w:p>
        </w:tc>
        <w:tc>
          <w:tcPr>
            <w:tcW w:w="3336" w:type="dxa"/>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Align w:val="center"/>
          </w:tcPr>
          <w:p>
            <w:pPr>
              <w:pStyle w:val="14"/>
            </w:pPr>
            <w:r>
              <w:t>绩效目标</w:t>
            </w:r>
          </w:p>
        </w:tc>
        <w:tc>
          <w:tcPr>
            <w:tcW w:w="12145" w:type="dxa"/>
            <w:gridSpan w:val="7"/>
            <w:vAlign w:val="center"/>
          </w:tcPr>
          <w:p>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1"/>
        <w:gridCol w:w="1990"/>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990" w:type="dxa"/>
            <w:vAlign w:val="center"/>
          </w:tcPr>
          <w:p>
            <w:pPr>
              <w:pStyle w:val="14"/>
            </w:pPr>
            <w:r>
              <w:t>一级指标</w:t>
            </w:r>
          </w:p>
        </w:tc>
        <w:tc>
          <w:tcPr>
            <w:tcW w:w="1990" w:type="dxa"/>
            <w:vAlign w:val="center"/>
          </w:tcPr>
          <w:p>
            <w:pPr>
              <w:pStyle w:val="14"/>
            </w:pPr>
            <w:r>
              <w:t>二级指标</w:t>
            </w:r>
          </w:p>
        </w:tc>
        <w:tc>
          <w:tcPr>
            <w:tcW w:w="1990" w:type="dxa"/>
            <w:vAlign w:val="center"/>
          </w:tcPr>
          <w:p>
            <w:pPr>
              <w:pStyle w:val="14"/>
            </w:pPr>
            <w:r>
              <w:t>三级指标</w:t>
            </w:r>
          </w:p>
        </w:tc>
        <w:tc>
          <w:tcPr>
            <w:tcW w:w="3981" w:type="dxa"/>
            <w:vAlign w:val="center"/>
          </w:tcPr>
          <w:p>
            <w:pPr>
              <w:pStyle w:val="14"/>
            </w:pPr>
            <w:r>
              <w:t>绩效指标描述</w:t>
            </w:r>
          </w:p>
        </w:tc>
        <w:tc>
          <w:tcPr>
            <w:tcW w:w="1990" w:type="dxa"/>
            <w:vAlign w:val="center"/>
          </w:tcPr>
          <w:p>
            <w:pPr>
              <w:pStyle w:val="14"/>
            </w:pPr>
            <w:r>
              <w:t>指标值</w:t>
            </w:r>
          </w:p>
        </w:tc>
        <w:tc>
          <w:tcPr>
            <w:tcW w:w="1991"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restart"/>
            <w:vAlign w:val="center"/>
          </w:tcPr>
          <w:p>
            <w:pPr>
              <w:pStyle w:val="17"/>
            </w:pPr>
            <w:r>
              <w:t>产出指标</w:t>
            </w:r>
          </w:p>
        </w:tc>
        <w:tc>
          <w:tcPr>
            <w:tcW w:w="1990" w:type="dxa"/>
            <w:vAlign w:val="center"/>
          </w:tcPr>
          <w:p>
            <w:pPr>
              <w:pStyle w:val="16"/>
              <w:ind w:firstLine="0" w:firstLineChars="0"/>
            </w:pPr>
            <w:r>
              <w:t>数量指标</w:t>
            </w:r>
          </w:p>
        </w:tc>
        <w:tc>
          <w:tcPr>
            <w:tcW w:w="1990" w:type="dxa"/>
            <w:vAlign w:val="center"/>
          </w:tcPr>
          <w:p>
            <w:pPr>
              <w:pStyle w:val="16"/>
              <w:ind w:firstLine="0" w:firstLineChars="0"/>
            </w:pPr>
            <w:r>
              <w:t>公共文化服务活动数量</w:t>
            </w:r>
          </w:p>
        </w:tc>
        <w:tc>
          <w:tcPr>
            <w:tcW w:w="3981" w:type="dxa"/>
            <w:vAlign w:val="center"/>
          </w:tcPr>
          <w:p>
            <w:pPr>
              <w:pStyle w:val="16"/>
              <w:ind w:firstLine="0" w:firstLineChars="0"/>
            </w:pPr>
            <w:r>
              <w:t>各类公共文化服务活动组织开展的数量</w:t>
            </w:r>
          </w:p>
        </w:tc>
        <w:tc>
          <w:tcPr>
            <w:tcW w:w="1990" w:type="dxa"/>
            <w:vAlign w:val="center"/>
          </w:tcPr>
          <w:p>
            <w:pPr>
              <w:pStyle w:val="16"/>
              <w:ind w:firstLine="0" w:firstLineChars="0"/>
            </w:pPr>
            <w:r>
              <w:t>≥10次</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质量指标</w:t>
            </w:r>
          </w:p>
        </w:tc>
        <w:tc>
          <w:tcPr>
            <w:tcW w:w="1990" w:type="dxa"/>
            <w:vAlign w:val="center"/>
          </w:tcPr>
          <w:p>
            <w:pPr>
              <w:pStyle w:val="16"/>
              <w:ind w:firstLine="0" w:firstLineChars="0"/>
            </w:pPr>
            <w:r>
              <w:t>文化设施达标率</w:t>
            </w:r>
          </w:p>
        </w:tc>
        <w:tc>
          <w:tcPr>
            <w:tcW w:w="3981" w:type="dxa"/>
            <w:vAlign w:val="center"/>
          </w:tcPr>
          <w:p>
            <w:pPr>
              <w:pStyle w:val="16"/>
              <w:ind w:firstLine="0" w:firstLineChars="0"/>
            </w:pPr>
            <w:r>
              <w:t>省内实际文化设施达标数量占文化设施总数的比率</w:t>
            </w:r>
          </w:p>
        </w:tc>
        <w:tc>
          <w:tcPr>
            <w:tcW w:w="1990" w:type="dxa"/>
            <w:vAlign w:val="center"/>
          </w:tcPr>
          <w:p>
            <w:pPr>
              <w:pStyle w:val="16"/>
              <w:ind w:firstLine="0" w:firstLineChars="0"/>
            </w:pPr>
            <w:r>
              <w:t>≥90%</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时效指标</w:t>
            </w:r>
          </w:p>
        </w:tc>
        <w:tc>
          <w:tcPr>
            <w:tcW w:w="1990" w:type="dxa"/>
            <w:vAlign w:val="center"/>
          </w:tcPr>
          <w:p>
            <w:pPr>
              <w:pStyle w:val="16"/>
              <w:ind w:firstLine="0" w:firstLineChars="0"/>
            </w:pPr>
            <w:r>
              <w:t>年度项目完成情况</w:t>
            </w:r>
          </w:p>
        </w:tc>
        <w:tc>
          <w:tcPr>
            <w:tcW w:w="3981" w:type="dxa"/>
            <w:vAlign w:val="center"/>
          </w:tcPr>
          <w:p>
            <w:pPr>
              <w:pStyle w:val="16"/>
              <w:ind w:firstLine="0" w:firstLineChars="0"/>
            </w:pPr>
            <w:r>
              <w:t>年度项目按规定时间点完成</w:t>
            </w:r>
          </w:p>
        </w:tc>
        <w:tc>
          <w:tcPr>
            <w:tcW w:w="1990" w:type="dxa"/>
            <w:vAlign w:val="center"/>
          </w:tcPr>
          <w:p>
            <w:pPr>
              <w:pStyle w:val="16"/>
              <w:ind w:firstLine="0" w:firstLineChars="0"/>
            </w:pPr>
            <w:r>
              <w:t>≥90%</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成本指标</w:t>
            </w:r>
          </w:p>
        </w:tc>
        <w:tc>
          <w:tcPr>
            <w:tcW w:w="1990" w:type="dxa"/>
            <w:vAlign w:val="center"/>
          </w:tcPr>
          <w:p>
            <w:pPr>
              <w:pStyle w:val="16"/>
              <w:ind w:firstLine="0" w:firstLineChars="0"/>
            </w:pPr>
            <w:r>
              <w:t>经费控制数</w:t>
            </w:r>
          </w:p>
        </w:tc>
        <w:tc>
          <w:tcPr>
            <w:tcW w:w="3981" w:type="dxa"/>
            <w:vAlign w:val="center"/>
          </w:tcPr>
          <w:p>
            <w:pPr>
              <w:pStyle w:val="16"/>
              <w:ind w:firstLine="0" w:firstLineChars="0"/>
            </w:pPr>
            <w:r>
              <w:t>经费控制数</w:t>
            </w:r>
          </w:p>
        </w:tc>
        <w:tc>
          <w:tcPr>
            <w:tcW w:w="1990" w:type="dxa"/>
            <w:vAlign w:val="center"/>
          </w:tcPr>
          <w:p>
            <w:pPr>
              <w:pStyle w:val="16"/>
              <w:ind w:firstLine="0" w:firstLineChars="0"/>
            </w:pPr>
            <w:r>
              <w:t>1.75万元</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restart"/>
            <w:vAlign w:val="center"/>
          </w:tcPr>
          <w:p>
            <w:pPr>
              <w:pStyle w:val="17"/>
            </w:pPr>
            <w:r>
              <w:t>效益指标</w:t>
            </w:r>
          </w:p>
        </w:tc>
        <w:tc>
          <w:tcPr>
            <w:tcW w:w="1990" w:type="dxa"/>
            <w:vAlign w:val="center"/>
          </w:tcPr>
          <w:p>
            <w:pPr>
              <w:pStyle w:val="16"/>
              <w:ind w:firstLine="0" w:firstLineChars="0"/>
            </w:pPr>
            <w:r>
              <w:t>社会效益指标</w:t>
            </w:r>
          </w:p>
        </w:tc>
        <w:tc>
          <w:tcPr>
            <w:tcW w:w="1990" w:type="dxa"/>
            <w:vAlign w:val="center"/>
          </w:tcPr>
          <w:p>
            <w:pPr>
              <w:pStyle w:val="16"/>
              <w:ind w:firstLine="0" w:firstLineChars="0"/>
            </w:pPr>
            <w:r>
              <w:t>社会稳定水平</w:t>
            </w:r>
          </w:p>
        </w:tc>
        <w:tc>
          <w:tcPr>
            <w:tcW w:w="3981" w:type="dxa"/>
            <w:vAlign w:val="center"/>
          </w:tcPr>
          <w:p>
            <w:pPr>
              <w:pStyle w:val="16"/>
              <w:ind w:firstLine="0" w:firstLineChars="0"/>
            </w:pPr>
            <w:r>
              <w:t>通过维稳工作开展，促进社会稳定水平逐步提高</w:t>
            </w:r>
          </w:p>
        </w:tc>
        <w:tc>
          <w:tcPr>
            <w:tcW w:w="1990" w:type="dxa"/>
            <w:vAlign w:val="center"/>
          </w:tcPr>
          <w:p>
            <w:pPr>
              <w:pStyle w:val="16"/>
              <w:ind w:firstLine="0" w:firstLineChars="0"/>
            </w:pPr>
            <w:r>
              <w:t>≥85%</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服务对象满意度指标</w:t>
            </w:r>
          </w:p>
        </w:tc>
        <w:tc>
          <w:tcPr>
            <w:tcW w:w="1990" w:type="dxa"/>
            <w:vAlign w:val="center"/>
          </w:tcPr>
          <w:p>
            <w:pPr>
              <w:pStyle w:val="16"/>
              <w:ind w:firstLine="0" w:firstLineChars="0"/>
            </w:pPr>
            <w:r>
              <w:t>群众满意度</w:t>
            </w:r>
          </w:p>
        </w:tc>
        <w:tc>
          <w:tcPr>
            <w:tcW w:w="3981" w:type="dxa"/>
            <w:vAlign w:val="center"/>
          </w:tcPr>
          <w:p>
            <w:pPr>
              <w:pStyle w:val="16"/>
              <w:ind w:firstLine="0" w:firstLineChars="0"/>
            </w:pPr>
            <w:r>
              <w:t>群众满意度</w:t>
            </w:r>
          </w:p>
        </w:tc>
        <w:tc>
          <w:tcPr>
            <w:tcW w:w="1990" w:type="dxa"/>
            <w:vAlign w:val="center"/>
          </w:tcPr>
          <w:p>
            <w:pPr>
              <w:pStyle w:val="16"/>
              <w:ind w:firstLine="0" w:firstLineChars="0"/>
            </w:pPr>
            <w:r>
              <w:t>≥90百分比</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Align w:val="center"/>
          </w:tcPr>
          <w:p>
            <w:pPr>
              <w:pStyle w:val="17"/>
            </w:pPr>
            <w:r>
              <w:t>满意度指标</w:t>
            </w:r>
          </w:p>
        </w:tc>
        <w:tc>
          <w:tcPr>
            <w:tcW w:w="1990" w:type="dxa"/>
            <w:vAlign w:val="center"/>
          </w:tcPr>
          <w:p>
            <w:pPr>
              <w:pStyle w:val="16"/>
              <w:ind w:firstLine="0" w:firstLineChars="0"/>
            </w:pPr>
            <w:r>
              <w:t>数量指标</w:t>
            </w:r>
          </w:p>
        </w:tc>
        <w:tc>
          <w:tcPr>
            <w:tcW w:w="1990" w:type="dxa"/>
            <w:vAlign w:val="center"/>
          </w:tcPr>
          <w:p>
            <w:pPr>
              <w:pStyle w:val="16"/>
              <w:ind w:firstLine="0" w:firstLineChars="0"/>
            </w:pPr>
            <w:r>
              <w:t>公共文化服务活动数量</w:t>
            </w:r>
          </w:p>
        </w:tc>
        <w:tc>
          <w:tcPr>
            <w:tcW w:w="3981" w:type="dxa"/>
            <w:vAlign w:val="center"/>
          </w:tcPr>
          <w:p>
            <w:pPr>
              <w:pStyle w:val="16"/>
              <w:ind w:firstLine="0" w:firstLineChars="0"/>
            </w:pPr>
            <w:r>
              <w:t>各类公共文化服务活动组织开展的数量</w:t>
            </w:r>
          </w:p>
        </w:tc>
        <w:tc>
          <w:tcPr>
            <w:tcW w:w="1990" w:type="dxa"/>
            <w:vAlign w:val="center"/>
          </w:tcPr>
          <w:p>
            <w:pPr>
              <w:pStyle w:val="16"/>
              <w:ind w:firstLine="0" w:firstLineChars="0"/>
            </w:pPr>
            <w:r>
              <w:t>≥10次</w:t>
            </w:r>
          </w:p>
        </w:tc>
        <w:tc>
          <w:tcPr>
            <w:tcW w:w="1991" w:type="dxa"/>
            <w:vAlign w:val="center"/>
          </w:tcPr>
          <w:p>
            <w:pPr>
              <w:pStyle w:val="16"/>
              <w:ind w:firstLine="0" w:firstLineChars="0"/>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 w:name="_Toc_4_4_0000000007"/>
      <w:r>
        <w:rPr>
          <w:rFonts w:ascii="方正仿宋_GBK" w:hAnsi="方正仿宋_GBK" w:eastAsia="方正仿宋_GBK" w:cs="方正仿宋_GBK"/>
          <w:color w:val="000000"/>
          <w:sz w:val="28"/>
        </w:rPr>
        <w:t>4.人大主席团活动经费（年初）绩效目标表</w:t>
      </w:r>
      <w:bookmarkEnd w:id="6"/>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9"/>
        <w:gridCol w:w="1990"/>
        <w:gridCol w:w="1990"/>
        <w:gridCol w:w="1990"/>
        <w:gridCol w:w="1990"/>
        <w:gridCol w:w="1993"/>
        <w:gridCol w:w="1990"/>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rPr>
                <w:rFonts w:ascii="方正书宋_GBK" w:hAnsi="方正书宋_GBK" w:eastAsia="方正书宋_GBK" w:cs="方正书宋_GBK"/>
                <w:sz w:val="21"/>
                <w:szCs w:val="24"/>
                <w:lang w:val="en-US" w:eastAsia="uk-UA" w:bidi="ar-SA"/>
              </w:rPr>
            </w:pPr>
            <w:r>
              <w:t>13062324P00740010031W</w:t>
            </w:r>
          </w:p>
        </w:tc>
        <w:tc>
          <w:tcPr>
            <w:tcW w:w="714" w:type="pct"/>
            <w:vAlign w:val="center"/>
          </w:tcPr>
          <w:p>
            <w:pPr>
              <w:pStyle w:val="14"/>
            </w:pPr>
            <w:r>
              <w:t>项目名称</w:t>
            </w:r>
          </w:p>
        </w:tc>
        <w:tc>
          <w:tcPr>
            <w:tcW w:w="2143" w:type="pct"/>
            <w:gridSpan w:val="3"/>
            <w:vAlign w:val="center"/>
          </w:tcPr>
          <w:p>
            <w:pPr>
              <w:pStyle w:val="16"/>
            </w:pPr>
            <w:r>
              <w:t>人大主席团活动经费（年初）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其中：财政资金</w:t>
            </w:r>
          </w:p>
        </w:tc>
        <w:tc>
          <w:tcPr>
            <w:tcW w:w="714" w:type="pct"/>
            <w:vAlign w:val="center"/>
          </w:tcPr>
          <w:p>
            <w:pPr>
              <w:pStyle w:val="16"/>
            </w:pPr>
            <w:r>
              <w:t>1.00</w:t>
            </w:r>
          </w:p>
        </w:tc>
        <w:tc>
          <w:tcPr>
            <w:tcW w:w="715"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人大主席团活动经费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9"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9"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1.为了更好落实中央2015（18）号文件精神和省委市委落实中央18号文件的意见，切实加强基层人大建设，保障乡人大主席团的正常运转。</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人大主席团活动开展情况</w:t>
            </w:r>
          </w:p>
        </w:tc>
        <w:tc>
          <w:tcPr>
            <w:tcW w:w="1428" w:type="pct"/>
            <w:vAlign w:val="center"/>
          </w:tcPr>
          <w:p>
            <w:pPr>
              <w:pStyle w:val="16"/>
            </w:pPr>
            <w:r>
              <w:t>已开展活动占应开展活动的比率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人大主席团活动开展效果</w:t>
            </w:r>
          </w:p>
        </w:tc>
        <w:tc>
          <w:tcPr>
            <w:tcW w:w="1428" w:type="pct"/>
            <w:vAlign w:val="center"/>
          </w:tcPr>
          <w:p>
            <w:pPr>
              <w:pStyle w:val="16"/>
            </w:pPr>
            <w:r>
              <w:t>效果良好的活动占已开展活动的比率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群众对当年人大主席团工作的整体满意度</w:t>
            </w:r>
          </w:p>
        </w:tc>
        <w:tc>
          <w:tcPr>
            <w:tcW w:w="714" w:type="pct"/>
            <w:vAlign w:val="center"/>
          </w:tcPr>
          <w:p>
            <w:pPr>
              <w:pStyle w:val="16"/>
            </w:pPr>
            <w:r>
              <w:t>≥85%</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 w:name="_Toc_4_4_0000000008"/>
      <w:r>
        <w:rPr>
          <w:rFonts w:ascii="方正仿宋_GBK" w:hAnsi="方正仿宋_GBK" w:eastAsia="方正仿宋_GBK" w:cs="方正仿宋_GBK"/>
          <w:color w:val="000000"/>
          <w:sz w:val="28"/>
        </w:rPr>
        <w:t>5.食安经费（年初）绩效目标表</w:t>
      </w:r>
      <w:bookmarkEnd w:id="7"/>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13062324P007397100335</w:t>
            </w:r>
          </w:p>
        </w:tc>
        <w:tc>
          <w:tcPr>
            <w:tcW w:w="714" w:type="pct"/>
            <w:vAlign w:val="center"/>
          </w:tcPr>
          <w:p>
            <w:pPr>
              <w:pStyle w:val="14"/>
            </w:pPr>
            <w:r>
              <w:t>项目名称</w:t>
            </w:r>
          </w:p>
        </w:tc>
        <w:tc>
          <w:tcPr>
            <w:tcW w:w="2142" w:type="pct"/>
            <w:gridSpan w:val="3"/>
            <w:vAlign w:val="center"/>
          </w:tcPr>
          <w:p>
            <w:pPr>
              <w:pStyle w:val="16"/>
            </w:pPr>
            <w:r>
              <w:t>食安经费（年初）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0.68</w:t>
            </w:r>
          </w:p>
        </w:tc>
        <w:tc>
          <w:tcPr>
            <w:tcW w:w="714" w:type="pct"/>
            <w:vAlign w:val="center"/>
          </w:tcPr>
          <w:p>
            <w:pPr>
              <w:pStyle w:val="14"/>
            </w:pPr>
            <w:r>
              <w:t>其中：财政    资金</w:t>
            </w:r>
          </w:p>
        </w:tc>
        <w:tc>
          <w:tcPr>
            <w:tcW w:w="714" w:type="pct"/>
            <w:vAlign w:val="center"/>
          </w:tcPr>
          <w:p>
            <w:pPr>
              <w:pStyle w:val="16"/>
            </w:pPr>
            <w:r>
              <w:t>0.68</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食安经费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100%</w:t>
            </w:r>
          </w:p>
        </w:tc>
        <w:tc>
          <w:tcPr>
            <w:tcW w:w="714" w:type="pct"/>
            <w:vAlign w:val="center"/>
          </w:tcPr>
          <w:p>
            <w:pPr>
              <w:pStyle w:val="17"/>
            </w:pPr>
            <w:r>
              <w:t>100%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1.组织开展食品安全调查及专项统计调查工作，了解基层情况和动态提供统计信息和咨询建议，确保食品安全调查和专项统计调查工作顺利完成。</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组织宣传活动次数（次）</w:t>
            </w:r>
          </w:p>
        </w:tc>
        <w:tc>
          <w:tcPr>
            <w:tcW w:w="1428" w:type="pct"/>
            <w:vAlign w:val="center"/>
          </w:tcPr>
          <w:p>
            <w:pPr>
              <w:pStyle w:val="16"/>
            </w:pPr>
            <w:r>
              <w:t>组织宣传活动次数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抽查覆盖率</w:t>
            </w:r>
          </w:p>
        </w:tc>
        <w:tc>
          <w:tcPr>
            <w:tcW w:w="1428" w:type="pct"/>
            <w:vAlign w:val="center"/>
          </w:tcPr>
          <w:p>
            <w:pPr>
              <w:pStyle w:val="16"/>
            </w:pPr>
            <w:r>
              <w:t>抽查对象的数量占全部对象的比率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≤0.68万元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对食品安全的监管作用</w:t>
            </w:r>
          </w:p>
        </w:tc>
        <w:tc>
          <w:tcPr>
            <w:tcW w:w="1428" w:type="pct"/>
            <w:vAlign w:val="center"/>
          </w:tcPr>
          <w:p>
            <w:pPr>
              <w:pStyle w:val="16"/>
            </w:pPr>
            <w:r>
              <w:t>通过对食品安全的监管，确保本地区食品安全</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接受食品安全监管的人群对食品安全监管工作的满意程度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r>
        <w:rPr>
          <w:rFonts w:ascii="方正仿宋_GBK" w:hAnsi="方正仿宋_GBK" w:eastAsia="方正仿宋_GBK" w:cs="方正仿宋_GBK"/>
          <w:color w:val="000000"/>
          <w:sz w:val="28"/>
        </w:rPr>
        <w:t>6.团委经费（年初）绩效目标表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13062324P00739910032W</w:t>
            </w:r>
          </w:p>
        </w:tc>
        <w:tc>
          <w:tcPr>
            <w:tcW w:w="714" w:type="pct"/>
            <w:vAlign w:val="center"/>
          </w:tcPr>
          <w:p>
            <w:pPr>
              <w:pStyle w:val="14"/>
            </w:pPr>
            <w:r>
              <w:t>项目名称</w:t>
            </w:r>
          </w:p>
        </w:tc>
        <w:tc>
          <w:tcPr>
            <w:tcW w:w="2143" w:type="pct"/>
            <w:gridSpan w:val="3"/>
            <w:vAlign w:val="center"/>
          </w:tcPr>
          <w:p>
            <w:pPr>
              <w:pStyle w:val="16"/>
            </w:pPr>
            <w:r>
              <w:t>团委经费（年初）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2.00</w:t>
            </w:r>
          </w:p>
        </w:tc>
        <w:tc>
          <w:tcPr>
            <w:tcW w:w="714" w:type="pct"/>
            <w:vAlign w:val="center"/>
          </w:tcPr>
          <w:p>
            <w:pPr>
              <w:pStyle w:val="14"/>
            </w:pPr>
            <w:r>
              <w:t>其中：财政    资金</w:t>
            </w:r>
          </w:p>
        </w:tc>
        <w:tc>
          <w:tcPr>
            <w:tcW w:w="714" w:type="pct"/>
            <w:vAlign w:val="center"/>
          </w:tcPr>
          <w:p>
            <w:pPr>
              <w:pStyle w:val="16"/>
            </w:pPr>
            <w:r>
              <w:t>2.00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团委经费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1.科学地继承和发扬共青团的优良传统，创新团的工作，找准新时代的中心定位，把各项改革措施不折不扣落实到位。</w:t>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开办宣传专栏数</w:t>
            </w:r>
          </w:p>
        </w:tc>
        <w:tc>
          <w:tcPr>
            <w:tcW w:w="1428" w:type="pct"/>
            <w:vAlign w:val="center"/>
          </w:tcPr>
          <w:p>
            <w:pPr>
              <w:pStyle w:val="16"/>
            </w:pPr>
            <w:r>
              <w:t>在新闻媒体开办宣传专栏的数量</w:t>
            </w:r>
          </w:p>
        </w:tc>
        <w:tc>
          <w:tcPr>
            <w:tcW w:w="714" w:type="pct"/>
            <w:vAlign w:val="center"/>
          </w:tcPr>
          <w:p>
            <w:pPr>
              <w:pStyle w:val="16"/>
            </w:pPr>
            <w:r>
              <w:t>≥5个</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制作宣传品</w:t>
            </w:r>
          </w:p>
        </w:tc>
        <w:tc>
          <w:tcPr>
            <w:tcW w:w="1428" w:type="pct"/>
            <w:vAlign w:val="center"/>
          </w:tcPr>
          <w:p>
            <w:pPr>
              <w:pStyle w:val="16"/>
            </w:pPr>
            <w:r>
              <w:t>制作宣传品的数量</w:t>
            </w:r>
          </w:p>
        </w:tc>
        <w:tc>
          <w:tcPr>
            <w:tcW w:w="714" w:type="pct"/>
            <w:vAlign w:val="center"/>
          </w:tcPr>
          <w:p>
            <w:pPr>
              <w:pStyle w:val="16"/>
            </w:pPr>
            <w:r>
              <w:t>≥1000份</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≤2万元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群众对团委工作的整体满意度</w:t>
            </w:r>
          </w:p>
        </w:tc>
        <w:tc>
          <w:tcPr>
            <w:tcW w:w="714" w:type="pct"/>
            <w:vAlign w:val="center"/>
          </w:tcPr>
          <w:p>
            <w:pPr>
              <w:pStyle w:val="16"/>
            </w:pPr>
            <w:r>
              <w:t>≥85%</w:t>
            </w:r>
          </w:p>
        </w:tc>
        <w:tc>
          <w:tcPr>
            <w:tcW w:w="714" w:type="pct"/>
            <w:vAlign w:val="center"/>
          </w:tcPr>
          <w:p>
            <w:pPr>
              <w:pStyle w:val="16"/>
            </w:pPr>
            <w:r>
              <w:t>依据工作方案</w:t>
            </w:r>
          </w:p>
        </w:tc>
      </w:tr>
    </w:tbl>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pPr>
      <w:r>
        <w:rPr>
          <w:rFonts w:ascii="方正仿宋_GBK" w:hAnsi="方正仿宋_GBK" w:eastAsia="方正仿宋_GBK" w:cs="方正仿宋_GBK"/>
          <w:color w:val="000000"/>
          <w:sz w:val="28"/>
        </w:rPr>
        <w:t xml:space="preserve"> </w:t>
      </w: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7.维稳经费（年初）绩效目标表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13062324P00739510033R</w:t>
            </w:r>
          </w:p>
        </w:tc>
        <w:tc>
          <w:tcPr>
            <w:tcW w:w="714" w:type="pct"/>
            <w:vAlign w:val="center"/>
          </w:tcPr>
          <w:p>
            <w:pPr>
              <w:pStyle w:val="14"/>
            </w:pPr>
            <w:r>
              <w:t>项目名称</w:t>
            </w:r>
          </w:p>
        </w:tc>
        <w:tc>
          <w:tcPr>
            <w:tcW w:w="2142" w:type="pct"/>
            <w:gridSpan w:val="3"/>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8.00</w:t>
            </w:r>
          </w:p>
        </w:tc>
        <w:tc>
          <w:tcPr>
            <w:tcW w:w="714" w:type="pct"/>
            <w:vAlign w:val="center"/>
          </w:tcPr>
          <w:p>
            <w:pPr>
              <w:pStyle w:val="14"/>
            </w:pPr>
            <w:r>
              <w:t>其中：财政    资金</w:t>
            </w:r>
          </w:p>
        </w:tc>
        <w:tc>
          <w:tcPr>
            <w:tcW w:w="714" w:type="pct"/>
            <w:vAlign w:val="center"/>
          </w:tcPr>
          <w:p>
            <w:pPr>
              <w:pStyle w:val="16"/>
            </w:pPr>
            <w:r>
              <w:t>8.00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1.做好信访稳控工作，减少越级访、群访等恶性事件，有效的遏制非法上访；处理人民群众来信、来访，接待和处理人民群众反映的情况和问题。</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重要时期专项护路任务次数（次）</w:t>
            </w:r>
          </w:p>
        </w:tc>
        <w:tc>
          <w:tcPr>
            <w:tcW w:w="1428" w:type="pct"/>
            <w:vAlign w:val="center"/>
          </w:tcPr>
          <w:p>
            <w:pPr>
              <w:pStyle w:val="16"/>
            </w:pPr>
            <w:r>
              <w:t>重要时期专项护路任务次数（次）</w:t>
            </w:r>
          </w:p>
        </w:tc>
        <w:tc>
          <w:tcPr>
            <w:tcW w:w="714" w:type="pct"/>
            <w:vAlign w:val="center"/>
          </w:tcPr>
          <w:p>
            <w:pPr>
              <w:pStyle w:val="16"/>
            </w:pPr>
            <w:r>
              <w:t>≥2次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矛盾纠纷调处率(%)</w:t>
            </w:r>
          </w:p>
        </w:tc>
        <w:tc>
          <w:tcPr>
            <w:tcW w:w="1428" w:type="pct"/>
            <w:vAlign w:val="center"/>
          </w:tcPr>
          <w:p>
            <w:pPr>
              <w:pStyle w:val="16"/>
            </w:pPr>
            <w:r>
              <w:t>矛盾纠纷调处率(%)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各项任务完成及时率（%）</w:t>
            </w:r>
          </w:p>
        </w:tc>
        <w:tc>
          <w:tcPr>
            <w:tcW w:w="1428" w:type="pct"/>
            <w:vAlign w:val="center"/>
          </w:tcPr>
          <w:p>
            <w:pPr>
              <w:pStyle w:val="16"/>
            </w:pPr>
            <w:r>
              <w:t>各项任务完成及时率（%）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退役安置满意度（%）</w:t>
            </w:r>
          </w:p>
        </w:tc>
        <w:tc>
          <w:tcPr>
            <w:tcW w:w="1428" w:type="pct"/>
            <w:vAlign w:val="center"/>
          </w:tcPr>
          <w:p>
            <w:pPr>
              <w:pStyle w:val="16"/>
            </w:pPr>
            <w:r>
              <w:t>对退役安置满意和较满意的人数占调查总人数的比率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通过维稳工作开展，促进社会稳定水平逐步提高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对象满意度指标</w:t>
            </w:r>
          </w:p>
        </w:tc>
        <w:tc>
          <w:tcPr>
            <w:tcW w:w="714" w:type="pct"/>
            <w:vAlign w:val="center"/>
          </w:tcPr>
          <w:p>
            <w:pPr>
              <w:pStyle w:val="16"/>
            </w:pPr>
            <w:r>
              <w:t>信访群众满意度</w:t>
            </w:r>
          </w:p>
        </w:tc>
        <w:tc>
          <w:tcPr>
            <w:tcW w:w="1428" w:type="pct"/>
            <w:vAlign w:val="center"/>
          </w:tcPr>
          <w:p>
            <w:pPr>
              <w:pStyle w:val="16"/>
            </w:pPr>
            <w:r>
              <w:t>信访群众满意度</w:t>
            </w:r>
          </w:p>
        </w:tc>
        <w:tc>
          <w:tcPr>
            <w:tcW w:w="714" w:type="pct"/>
            <w:vAlign w:val="center"/>
          </w:tcPr>
          <w:p>
            <w:pPr>
              <w:pStyle w:val="16"/>
            </w:pPr>
            <w:r>
              <w:t>≥85%</w:t>
            </w:r>
          </w:p>
        </w:tc>
        <w:tc>
          <w:tcPr>
            <w:tcW w:w="714" w:type="pct"/>
            <w:vAlign w:val="center"/>
          </w:tcPr>
          <w:p>
            <w:pPr>
              <w:pStyle w:val="16"/>
            </w:pPr>
            <w:r>
              <w:t>依据工作方案</w:t>
            </w:r>
          </w:p>
        </w:tc>
      </w:tr>
    </w:tbl>
    <w:p>
      <w:pPr>
        <w:sectPr>
          <w:footerReference r:id="rId6" w:type="default"/>
          <w:footerReference r:id="rId7" w:type="even"/>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 w:name="_Toc_4_4_0000000011"/>
      <w:r>
        <w:rPr>
          <w:rFonts w:ascii="方正仿宋_GBK" w:hAnsi="方正仿宋_GBK" w:eastAsia="方正仿宋_GBK" w:cs="方正仿宋_GBK"/>
          <w:color w:val="000000"/>
          <w:sz w:val="28"/>
        </w:rPr>
        <w:t>8.小型修缮经费（年初）绩效目标表</w:t>
      </w:r>
      <w:bookmarkEnd w:id="8"/>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4"/>
        <w:gridCol w:w="2144"/>
        <w:gridCol w:w="2144"/>
        <w:gridCol w:w="2144"/>
        <w:gridCol w:w="2144"/>
        <w:gridCol w:w="2147"/>
        <w:gridCol w:w="214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13062324P007396100343</w:t>
            </w:r>
          </w:p>
        </w:tc>
        <w:tc>
          <w:tcPr>
            <w:tcW w:w="714" w:type="pct"/>
            <w:vAlign w:val="center"/>
          </w:tcPr>
          <w:p>
            <w:pPr>
              <w:pStyle w:val="14"/>
            </w:pPr>
            <w:r>
              <w:t>项目名称</w:t>
            </w:r>
          </w:p>
        </w:tc>
        <w:tc>
          <w:tcPr>
            <w:tcW w:w="2143" w:type="pct"/>
            <w:gridSpan w:val="3"/>
            <w:vAlign w:val="center"/>
          </w:tcPr>
          <w:p>
            <w:pPr>
              <w:pStyle w:val="16"/>
            </w:pPr>
            <w:r>
              <w:t>小型修缮经费（年初）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1.57</w:t>
            </w:r>
          </w:p>
        </w:tc>
        <w:tc>
          <w:tcPr>
            <w:tcW w:w="714" w:type="pct"/>
            <w:vAlign w:val="center"/>
          </w:tcPr>
          <w:p>
            <w:pPr>
              <w:pStyle w:val="14"/>
            </w:pPr>
            <w:r>
              <w:t>其中：财政    资金</w:t>
            </w:r>
          </w:p>
        </w:tc>
        <w:tc>
          <w:tcPr>
            <w:tcW w:w="714" w:type="pct"/>
            <w:vAlign w:val="center"/>
          </w:tcPr>
          <w:p>
            <w:pPr>
              <w:pStyle w:val="16"/>
            </w:pPr>
            <w:r>
              <w:t>1.57</w:t>
            </w:r>
          </w:p>
        </w:tc>
        <w:tc>
          <w:tcPr>
            <w:tcW w:w="715"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小型修缮费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9"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100%</w:t>
            </w:r>
          </w:p>
        </w:tc>
        <w:tc>
          <w:tcPr>
            <w:tcW w:w="714" w:type="pct"/>
            <w:vAlign w:val="center"/>
          </w:tcPr>
          <w:p>
            <w:pPr>
              <w:pStyle w:val="17"/>
            </w:pPr>
            <w:r>
              <w:t>100%</w:t>
            </w:r>
          </w:p>
        </w:tc>
        <w:tc>
          <w:tcPr>
            <w:tcW w:w="1429"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1.修复墙体裂缝，修复墙面脱落，修复楼梯踏板，修复房顶风化和削落，修复屋顶渗，修复电线老化</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4"/>
        <w:gridCol w:w="2144"/>
        <w:gridCol w:w="2144"/>
        <w:gridCol w:w="4288"/>
        <w:gridCol w:w="2144"/>
        <w:gridCol w:w="21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修缮项目验收合格率</w:t>
            </w:r>
          </w:p>
        </w:tc>
        <w:tc>
          <w:tcPr>
            <w:tcW w:w="1428" w:type="pct"/>
            <w:vAlign w:val="center"/>
          </w:tcPr>
          <w:p>
            <w:pPr>
              <w:pStyle w:val="16"/>
            </w:pPr>
            <w:r>
              <w:t>通过验收的工程量占建设、改造、修缮总量的比率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修缮项目完成率</w:t>
            </w:r>
          </w:p>
        </w:tc>
        <w:tc>
          <w:tcPr>
            <w:tcW w:w="1428" w:type="pct"/>
            <w:vAlign w:val="center"/>
          </w:tcPr>
          <w:p>
            <w:pPr>
              <w:pStyle w:val="16"/>
            </w:pPr>
            <w:r>
              <w:t>实际完成工程量占计划完成工程量的比率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≥1.57万元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公共服务水平提升情况</w:t>
            </w:r>
          </w:p>
        </w:tc>
        <w:tc>
          <w:tcPr>
            <w:tcW w:w="1428" w:type="pct"/>
            <w:vAlign w:val="center"/>
          </w:tcPr>
          <w:p>
            <w:pPr>
              <w:pStyle w:val="16"/>
            </w:pPr>
            <w:r>
              <w:t>购置对公共服务水平的提升情况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办公设施的改善成效</w:t>
            </w:r>
          </w:p>
        </w:tc>
        <w:tc>
          <w:tcPr>
            <w:tcW w:w="1428" w:type="pct"/>
            <w:vAlign w:val="center"/>
          </w:tcPr>
          <w:p>
            <w:pPr>
              <w:pStyle w:val="16"/>
            </w:pPr>
            <w:r>
              <w:t>反映修缮后办公设施改善情况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乡镇工作人员对修缮后的办公设备器材的满意度</w:t>
            </w:r>
          </w:p>
        </w:tc>
        <w:tc>
          <w:tcPr>
            <w:tcW w:w="714" w:type="pct"/>
            <w:vAlign w:val="center"/>
          </w:tcPr>
          <w:p>
            <w:pPr>
              <w:pStyle w:val="16"/>
            </w:pPr>
            <w:r>
              <w:t>≥851</w:t>
            </w:r>
          </w:p>
        </w:tc>
        <w:tc>
          <w:tcPr>
            <w:tcW w:w="714" w:type="pct"/>
            <w:vAlign w:val="center"/>
          </w:tcPr>
          <w:p>
            <w:pPr>
              <w:pStyle w:val="16"/>
            </w:pPr>
            <w:r>
              <w:t>依据工作方案</w:t>
            </w:r>
          </w:p>
        </w:tc>
      </w:tr>
    </w:tbl>
    <w:p>
      <w:pPr>
        <w:pStyle w:val="11"/>
        <w:ind w:firstLine="0"/>
        <w:rPr>
          <w:color w:val="000000"/>
        </w:rPr>
      </w:pPr>
    </w:p>
    <w:p>
      <w:pPr>
        <w:pStyle w:val="11"/>
        <w:ind w:firstLine="0"/>
        <w:rPr>
          <w:color w:val="000000"/>
        </w:rPr>
      </w:pPr>
    </w:p>
    <w:p>
      <w:pPr>
        <w:pStyle w:val="11"/>
        <w:ind w:firstLine="0"/>
        <w:rPr>
          <w:color w:val="000000"/>
        </w:rPr>
      </w:pPr>
    </w:p>
    <w:p>
      <w:pPr>
        <w:spacing w:before="0" w:after="0"/>
        <w:ind w:firstLine="560"/>
        <w:jc w:val="left"/>
        <w:outlineLvl w:val="3"/>
        <w:rPr>
          <w:rFonts w:hint="eastAsia"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乡镇行政执法专项经费（含秸秆禁烧经费）绩效目标表</w:t>
      </w:r>
    </w:p>
    <w:tbl>
      <w:tblPr>
        <w:tblStyle w:val="8"/>
        <w:tblW w:w="4996"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001"/>
        <w:gridCol w:w="2277"/>
        <w:gridCol w:w="645"/>
        <w:gridCol w:w="1551"/>
        <w:gridCol w:w="1128"/>
        <w:gridCol w:w="624"/>
        <w:gridCol w:w="2997"/>
        <w:gridCol w:w="2011"/>
        <w:gridCol w:w="176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4411" w:type="pct"/>
            <w:gridSpan w:val="8"/>
            <w:tcBorders>
              <w:top w:val="single" w:color="FFFFFF" w:sz="6" w:space="0"/>
              <w:left w:val="single" w:color="FFFFFF" w:sz="6" w:space="0"/>
              <w:right w:val="single" w:color="FFFFFF" w:sz="6" w:space="0"/>
            </w:tcBorders>
            <w:noWrap w:val="0"/>
            <w:vAlign w:val="center"/>
          </w:tcPr>
          <w:p>
            <w:pPr>
              <w:pStyle w:val="20"/>
              <w:keepNext w:val="0"/>
              <w:keepLines w:val="0"/>
              <w:pageBreakBefore w:val="0"/>
              <w:widowControl w:val="0"/>
              <w:kinsoku/>
              <w:wordWrap/>
              <w:overflowPunct/>
              <w:topLinePunct w:val="0"/>
              <w:autoSpaceDE/>
              <w:autoSpaceDN/>
              <w:bidi w:val="0"/>
              <w:spacing w:line="300" w:lineRule="atLeast"/>
              <w:textAlignment w:val="auto"/>
              <w:rPr>
                <w:rFonts w:hint="eastAsia"/>
              </w:rPr>
            </w:pPr>
            <w:r>
              <w:t>816涞水县龙门乡人民政府</w:t>
            </w:r>
          </w:p>
        </w:tc>
        <w:tc>
          <w:tcPr>
            <w:tcW w:w="588" w:type="pct"/>
            <w:tcBorders>
              <w:top w:val="single" w:color="FFFFFF" w:sz="6" w:space="0"/>
              <w:left w:val="single" w:color="FFFFFF" w:sz="6" w:space="0"/>
              <w:right w:val="single" w:color="FFFFFF" w:sz="6" w:space="0"/>
            </w:tcBorders>
            <w:noWrap w:val="0"/>
            <w:vAlign w:val="center"/>
          </w:tcPr>
          <w:p>
            <w:pPr>
              <w:pStyle w:val="15"/>
              <w:keepNext w:val="0"/>
              <w:keepLines w:val="0"/>
              <w:pageBreakBefore w:val="0"/>
              <w:widowControl w:val="0"/>
              <w:kinsoku/>
              <w:wordWrap/>
              <w:overflowPunct/>
              <w:topLinePunct w:val="0"/>
              <w:autoSpaceDE/>
              <w:autoSpaceDN/>
              <w:bidi w:val="0"/>
              <w:spacing w:line="300" w:lineRule="atLeast"/>
              <w:textAlignment w:val="auto"/>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项目编码</w:t>
            </w:r>
          </w:p>
        </w:tc>
        <w:tc>
          <w:tcPr>
            <w:tcW w:w="1491" w:type="pct"/>
            <w:gridSpan w:val="3"/>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13062324P008983104683</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项目名称</w:t>
            </w:r>
          </w:p>
        </w:tc>
        <w:tc>
          <w:tcPr>
            <w:tcW w:w="2257" w:type="pct"/>
            <w:gridSpan w:val="3"/>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乡镇行政执法专项经费（含秸秆禁烧经费）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23" w:hRule="atLeast"/>
          <w:jc w:val="center"/>
        </w:trPr>
        <w:tc>
          <w:tcPr>
            <w:tcW w:w="667" w:type="pct"/>
            <w:vMerge w:val="restar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预算规模及资金用途</w:t>
            </w:r>
          </w:p>
        </w:tc>
        <w:tc>
          <w:tcPr>
            <w:tcW w:w="97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预算数</w:t>
            </w:r>
          </w:p>
        </w:tc>
        <w:tc>
          <w:tcPr>
            <w:tcW w:w="517"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rPr>
                <w:rFonts w:hint="default" w:eastAsia="方正书宋_GBK"/>
                <w:lang w:val="en-US" w:eastAsia="zh-CN"/>
              </w:rPr>
            </w:pPr>
            <w:r>
              <w:rPr>
                <w:rFonts w:hint="eastAsia"/>
                <w:lang w:val="en-US" w:eastAsia="zh-CN"/>
              </w:rPr>
              <w:t>4.00</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其中：财政资金</w:t>
            </w:r>
          </w:p>
        </w:tc>
        <w:tc>
          <w:tcPr>
            <w:tcW w:w="999"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rPr>
                <w:rFonts w:hint="default" w:eastAsia="方正书宋_GBK"/>
                <w:lang w:val="en-US" w:eastAsia="zh-CN"/>
              </w:rPr>
            </w:pPr>
            <w:r>
              <w:rPr>
                <w:rFonts w:hint="eastAsia"/>
                <w:lang w:val="en-US" w:eastAsia="zh-CN"/>
              </w:rPr>
              <w:t>4.00</w:t>
            </w:r>
          </w:p>
        </w:tc>
        <w:tc>
          <w:tcPr>
            <w:tcW w:w="668"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其他资金</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atLeast"/>
              <w:textAlignment w:val="auto"/>
            </w:pPr>
          </w:p>
        </w:tc>
        <w:tc>
          <w:tcPr>
            <w:tcW w:w="4332" w:type="pct"/>
            <w:gridSpan w:val="8"/>
            <w:noWrap w:val="0"/>
            <w:vAlign w:val="center"/>
          </w:tcPr>
          <w:p>
            <w:pPr>
              <w:pStyle w:val="16"/>
            </w:pPr>
            <w:r>
              <w:t>乡镇行政执法专项经费</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vMerge w:val="restar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资金支出计划（%）</w:t>
            </w:r>
          </w:p>
        </w:tc>
        <w:tc>
          <w:tcPr>
            <w:tcW w:w="1491" w:type="pct"/>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3月底</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6月底</w:t>
            </w:r>
          </w:p>
        </w:tc>
        <w:tc>
          <w:tcPr>
            <w:tcW w:w="999"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10月底</w:t>
            </w:r>
          </w:p>
        </w:tc>
        <w:tc>
          <w:tcPr>
            <w:tcW w:w="1257"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667" w:type="pct"/>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atLeast"/>
              <w:textAlignment w:val="auto"/>
            </w:pPr>
          </w:p>
        </w:tc>
        <w:tc>
          <w:tcPr>
            <w:tcW w:w="1491" w:type="pct"/>
            <w:gridSpan w:val="3"/>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50%</w:t>
            </w:r>
          </w:p>
        </w:tc>
        <w:tc>
          <w:tcPr>
            <w:tcW w:w="584" w:type="pct"/>
            <w:gridSpan w:val="2"/>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c>
          <w:tcPr>
            <w:tcW w:w="999" w:type="pct"/>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c>
          <w:tcPr>
            <w:tcW w:w="1257" w:type="pct"/>
            <w:gridSpan w:val="2"/>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绩效目标</w:t>
            </w:r>
          </w:p>
        </w:tc>
        <w:tc>
          <w:tcPr>
            <w:tcW w:w="4332" w:type="pct"/>
            <w:gridSpan w:val="8"/>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1.做好信访稳控工作，减少越级访、群访等恶性事件，有效的遏制非法上访；处理人民群众来信、来访，接待和处理人民群众反映的情况和问题。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一级指标</w:t>
            </w:r>
          </w:p>
        </w:tc>
        <w:tc>
          <w:tcPr>
            <w:tcW w:w="759"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二级指标</w:t>
            </w:r>
          </w:p>
        </w:tc>
        <w:tc>
          <w:tcPr>
            <w:tcW w:w="1108" w:type="pct"/>
            <w:gridSpan w:val="3"/>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三级指标</w:t>
            </w:r>
          </w:p>
        </w:tc>
        <w:tc>
          <w:tcPr>
            <w:tcW w:w="1207" w:type="pct"/>
            <w:gridSpan w:val="2"/>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绩效指标描述</w:t>
            </w:r>
          </w:p>
        </w:tc>
        <w:tc>
          <w:tcPr>
            <w:tcW w:w="668"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指标值</w:t>
            </w:r>
          </w:p>
        </w:tc>
        <w:tc>
          <w:tcPr>
            <w:tcW w:w="588"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restar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产出指标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数量指标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重要时期专项护路任务次数（次）</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重要时期专项护路任务次数（次）</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≥2次</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质量指标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重大安保任务完成率(%)</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重大安保任务完成率(%)</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时效指标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各项任务完成及时率（%）</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各项任务完成及时率（%）</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成本指标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经费控制数</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经费控制数</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1.5万元</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效益指标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社会效益指标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社会稳定水平</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社会稳定水平</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满意度指标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服务对象满意度指标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群众满意度</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群众满意度</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≥93百分比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bl>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
      <w:pPr>
        <w:spacing w:line="500" w:lineRule="exact"/>
        <w:ind w:firstLine="560"/>
        <w:rPr>
          <w:rFonts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我单位没有安排政府采购预算，空表列示</w:t>
      </w:r>
      <w:r>
        <w:rPr>
          <w:rFonts w:hint="eastAsia" w:ascii="仿宋" w:hAnsi="仿宋" w:eastAsia="仿宋" w:cs="仿宋"/>
          <w:color w:val="000000"/>
          <w:sz w:val="32"/>
          <w:szCs w:val="32"/>
        </w:rPr>
        <w:t>。</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91"/>
        <w:gridCol w:w="1161"/>
        <w:gridCol w:w="1006"/>
        <w:gridCol w:w="1655"/>
        <w:gridCol w:w="811"/>
        <w:gridCol w:w="544"/>
        <w:gridCol w:w="712"/>
        <w:gridCol w:w="913"/>
        <w:gridCol w:w="1387"/>
        <w:gridCol w:w="1147"/>
        <w:gridCol w:w="1081"/>
        <w:gridCol w:w="1826"/>
        <w:gridCol w:w="18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2258" w:type="pct"/>
            <w:gridSpan w:val="7"/>
            <w:tcBorders>
              <w:top w:val="single" w:color="FFFFFF" w:sz="6" w:space="0"/>
              <w:left w:val="single" w:color="FFFFFF" w:sz="6" w:space="0"/>
              <w:right w:val="single" w:color="FFFFFF" w:sz="6" w:space="0"/>
            </w:tcBorders>
            <w:vAlign w:val="center"/>
          </w:tcPr>
          <w:p>
            <w:pPr>
              <w:widowControl w:val="0"/>
              <w:spacing w:line="400" w:lineRule="exact"/>
              <w:rPr>
                <w:rFonts w:ascii="宋体" w:hAnsi="宋体" w:eastAsia="宋体" w:cs="宋体"/>
                <w:sz w:val="21"/>
                <w:szCs w:val="21"/>
              </w:rPr>
            </w:pPr>
          </w:p>
        </w:tc>
        <w:tc>
          <w:tcPr>
            <w:tcW w:w="2741" w:type="pct"/>
            <w:gridSpan w:val="6"/>
            <w:tcBorders>
              <w:top w:val="single" w:color="FFFFFF" w:sz="6" w:space="0"/>
              <w:left w:val="single" w:color="FFFFFF" w:sz="6" w:space="0"/>
              <w:right w:val="single" w:color="FFFFFF" w:sz="6" w:space="0"/>
            </w:tcBorders>
            <w:vAlign w:val="center"/>
          </w:tcPr>
          <w:p>
            <w:pPr>
              <w:widowControl w:val="0"/>
              <w:spacing w:line="400" w:lineRule="exact"/>
              <w:jc w:val="right"/>
              <w:rPr>
                <w:rFonts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5" w:hRule="atLeast"/>
          <w:tblHeader/>
          <w:jc w:val="center"/>
        </w:trPr>
        <w:tc>
          <w:tcPr>
            <w:tcW w:w="684" w:type="pct"/>
            <w:gridSpan w:val="2"/>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政府采购项目来源</w:t>
            </w:r>
          </w:p>
        </w:tc>
        <w:tc>
          <w:tcPr>
            <w:tcW w:w="335"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物品</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55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目录序号</w:t>
            </w:r>
          </w:p>
        </w:tc>
        <w:tc>
          <w:tcPr>
            <w:tcW w:w="270"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计量  单位</w:t>
            </w:r>
          </w:p>
        </w:tc>
        <w:tc>
          <w:tcPr>
            <w:tcW w:w="18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数量</w:t>
            </w:r>
          </w:p>
        </w:tc>
        <w:tc>
          <w:tcPr>
            <w:tcW w:w="236"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单价</w:t>
            </w:r>
          </w:p>
        </w:tc>
        <w:tc>
          <w:tcPr>
            <w:tcW w:w="2741" w:type="pct"/>
            <w:gridSpan w:val="6"/>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政府采购金额（当年单位预算安排资金）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79" w:hRule="atLeast"/>
          <w:tblHeader/>
          <w:jc w:val="center"/>
        </w:trPr>
        <w:tc>
          <w:tcPr>
            <w:tcW w:w="297"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项目</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386"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预算</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资金</w:t>
            </w:r>
          </w:p>
        </w:tc>
        <w:tc>
          <w:tcPr>
            <w:tcW w:w="335" w:type="pct"/>
            <w:vMerge w:val="continue"/>
            <w:vAlign w:val="center"/>
          </w:tcPr>
          <w:p>
            <w:pPr>
              <w:widowControl w:val="0"/>
              <w:spacing w:line="400" w:lineRule="exact"/>
              <w:outlineLvl w:val="0"/>
              <w:rPr>
                <w:rFonts w:ascii="宋体" w:hAnsi="宋体" w:eastAsia="宋体" w:cs="宋体"/>
                <w:sz w:val="21"/>
                <w:szCs w:val="21"/>
              </w:rPr>
            </w:pPr>
          </w:p>
        </w:tc>
        <w:tc>
          <w:tcPr>
            <w:tcW w:w="551" w:type="pct"/>
            <w:vMerge w:val="continue"/>
            <w:vAlign w:val="center"/>
          </w:tcPr>
          <w:p>
            <w:pPr>
              <w:widowControl w:val="0"/>
              <w:spacing w:line="400" w:lineRule="exact"/>
              <w:outlineLvl w:val="0"/>
              <w:rPr>
                <w:rFonts w:ascii="宋体" w:hAnsi="宋体" w:eastAsia="宋体" w:cs="宋体"/>
                <w:sz w:val="21"/>
                <w:szCs w:val="21"/>
              </w:rPr>
            </w:pPr>
          </w:p>
        </w:tc>
        <w:tc>
          <w:tcPr>
            <w:tcW w:w="270" w:type="pct"/>
            <w:vMerge w:val="continue"/>
            <w:vAlign w:val="center"/>
          </w:tcPr>
          <w:p>
            <w:pPr>
              <w:widowControl w:val="0"/>
              <w:spacing w:line="400" w:lineRule="exact"/>
              <w:outlineLvl w:val="0"/>
              <w:rPr>
                <w:rFonts w:ascii="宋体" w:hAnsi="宋体" w:eastAsia="宋体" w:cs="宋体"/>
                <w:sz w:val="21"/>
                <w:szCs w:val="21"/>
              </w:rPr>
            </w:pPr>
          </w:p>
        </w:tc>
        <w:tc>
          <w:tcPr>
            <w:tcW w:w="181" w:type="pct"/>
            <w:vMerge w:val="continue"/>
            <w:vAlign w:val="center"/>
          </w:tcPr>
          <w:p>
            <w:pPr>
              <w:widowControl w:val="0"/>
              <w:spacing w:line="400" w:lineRule="exact"/>
              <w:outlineLvl w:val="0"/>
              <w:rPr>
                <w:rFonts w:ascii="宋体" w:hAnsi="宋体" w:eastAsia="宋体" w:cs="宋体"/>
                <w:sz w:val="21"/>
                <w:szCs w:val="21"/>
              </w:rPr>
            </w:pPr>
          </w:p>
        </w:tc>
        <w:tc>
          <w:tcPr>
            <w:tcW w:w="236" w:type="pct"/>
            <w:vMerge w:val="continue"/>
            <w:vAlign w:val="center"/>
          </w:tcPr>
          <w:p>
            <w:pPr>
              <w:widowControl w:val="0"/>
              <w:spacing w:line="400" w:lineRule="exact"/>
              <w:outlineLvl w:val="0"/>
              <w:rPr>
                <w:rFonts w:ascii="宋体" w:hAnsi="宋体" w:eastAsia="宋体" w:cs="宋体"/>
                <w:sz w:val="21"/>
                <w:szCs w:val="21"/>
              </w:rPr>
            </w:pPr>
          </w:p>
        </w:tc>
        <w:tc>
          <w:tcPr>
            <w:tcW w:w="304"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合计</w:t>
            </w:r>
          </w:p>
        </w:tc>
        <w:tc>
          <w:tcPr>
            <w:tcW w:w="46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一般公共预算拨款</w:t>
            </w:r>
          </w:p>
        </w:tc>
        <w:tc>
          <w:tcPr>
            <w:tcW w:w="38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基金预算拨款</w:t>
            </w:r>
          </w:p>
        </w:tc>
        <w:tc>
          <w:tcPr>
            <w:tcW w:w="360"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国有资本经营预算拨款</w:t>
            </w:r>
          </w:p>
        </w:tc>
        <w:tc>
          <w:tcPr>
            <w:tcW w:w="608"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财政专户核拨</w:t>
            </w:r>
          </w:p>
        </w:tc>
        <w:tc>
          <w:tcPr>
            <w:tcW w:w="623"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4" w:hRule="atLeast"/>
          <w:jc w:val="center"/>
        </w:trPr>
        <w:tc>
          <w:tcPr>
            <w:tcW w:w="297" w:type="pct"/>
            <w:vAlign w:val="center"/>
          </w:tcPr>
          <w:p>
            <w:pPr>
              <w:widowControl w:val="0"/>
              <w:spacing w:line="400" w:lineRule="exact"/>
              <w:jc w:val="center"/>
              <w:rPr>
                <w:rFonts w:ascii="宋体" w:hAnsi="宋体" w:cs="宋体"/>
                <w:b/>
                <w:sz w:val="18"/>
                <w:szCs w:val="18"/>
              </w:rPr>
            </w:pPr>
          </w:p>
        </w:tc>
        <w:tc>
          <w:tcPr>
            <w:tcW w:w="386" w:type="pct"/>
            <w:vAlign w:val="center"/>
          </w:tcPr>
          <w:p>
            <w:pPr>
              <w:widowControl w:val="0"/>
              <w:spacing w:line="400" w:lineRule="exact"/>
              <w:jc w:val="right"/>
              <w:rPr>
                <w:rFonts w:ascii="宋体" w:hAnsi="宋体" w:cs="宋体"/>
                <w:b/>
                <w:sz w:val="18"/>
                <w:szCs w:val="18"/>
              </w:rPr>
            </w:pPr>
          </w:p>
        </w:tc>
        <w:tc>
          <w:tcPr>
            <w:tcW w:w="335" w:type="pct"/>
            <w:vAlign w:val="center"/>
          </w:tcPr>
          <w:p>
            <w:pPr>
              <w:widowControl w:val="0"/>
              <w:spacing w:line="400" w:lineRule="exact"/>
              <w:rPr>
                <w:rFonts w:ascii="宋体" w:hAnsi="宋体" w:cs="宋体"/>
                <w:b/>
                <w:sz w:val="18"/>
                <w:szCs w:val="18"/>
              </w:rPr>
            </w:pPr>
          </w:p>
        </w:tc>
        <w:tc>
          <w:tcPr>
            <w:tcW w:w="551" w:type="pct"/>
            <w:vAlign w:val="center"/>
          </w:tcPr>
          <w:p>
            <w:pPr>
              <w:widowControl w:val="0"/>
              <w:spacing w:line="400" w:lineRule="exact"/>
              <w:rPr>
                <w:rFonts w:ascii="宋体" w:hAnsi="宋体" w:cs="宋体"/>
                <w:b/>
                <w:sz w:val="18"/>
                <w:szCs w:val="18"/>
              </w:rPr>
            </w:pPr>
          </w:p>
        </w:tc>
        <w:tc>
          <w:tcPr>
            <w:tcW w:w="270" w:type="pct"/>
            <w:vAlign w:val="center"/>
          </w:tcPr>
          <w:p>
            <w:pPr>
              <w:widowControl w:val="0"/>
              <w:spacing w:line="400" w:lineRule="exact"/>
              <w:jc w:val="center"/>
              <w:rPr>
                <w:rFonts w:ascii="宋体" w:hAnsi="宋体" w:cs="宋体"/>
                <w:b/>
                <w:sz w:val="18"/>
                <w:szCs w:val="18"/>
              </w:rPr>
            </w:pPr>
          </w:p>
        </w:tc>
        <w:tc>
          <w:tcPr>
            <w:tcW w:w="181" w:type="pct"/>
            <w:vAlign w:val="center"/>
          </w:tcPr>
          <w:p>
            <w:pPr>
              <w:widowControl w:val="0"/>
              <w:spacing w:line="400" w:lineRule="exact"/>
              <w:jc w:val="right"/>
              <w:rPr>
                <w:rFonts w:ascii="宋体" w:hAnsi="宋体" w:cs="宋体"/>
                <w:b/>
                <w:sz w:val="18"/>
                <w:szCs w:val="18"/>
              </w:rPr>
            </w:pPr>
          </w:p>
        </w:tc>
        <w:tc>
          <w:tcPr>
            <w:tcW w:w="236" w:type="pct"/>
            <w:vAlign w:val="center"/>
          </w:tcPr>
          <w:p>
            <w:pPr>
              <w:widowControl w:val="0"/>
              <w:spacing w:line="400" w:lineRule="exact"/>
              <w:jc w:val="right"/>
              <w:rPr>
                <w:rFonts w:ascii="宋体" w:hAnsi="宋体" w:cs="宋体"/>
                <w:b/>
                <w:sz w:val="18"/>
                <w:szCs w:val="18"/>
              </w:rPr>
            </w:pPr>
          </w:p>
        </w:tc>
        <w:tc>
          <w:tcPr>
            <w:tcW w:w="304" w:type="pct"/>
            <w:vAlign w:val="center"/>
          </w:tcPr>
          <w:p>
            <w:pPr>
              <w:widowControl w:val="0"/>
              <w:spacing w:line="400" w:lineRule="exact"/>
              <w:jc w:val="right"/>
              <w:rPr>
                <w:rFonts w:ascii="宋体" w:hAnsi="宋体" w:cs="宋体"/>
                <w:b/>
                <w:sz w:val="18"/>
                <w:szCs w:val="18"/>
              </w:rPr>
            </w:pPr>
          </w:p>
        </w:tc>
        <w:tc>
          <w:tcPr>
            <w:tcW w:w="462" w:type="pct"/>
            <w:vAlign w:val="center"/>
          </w:tcPr>
          <w:p>
            <w:pPr>
              <w:widowControl w:val="0"/>
              <w:spacing w:line="400" w:lineRule="exact"/>
              <w:rPr>
                <w:rFonts w:ascii="宋体" w:hAnsi="宋体" w:cs="宋体"/>
                <w:b/>
                <w:sz w:val="18"/>
                <w:szCs w:val="18"/>
              </w:rPr>
            </w:pPr>
          </w:p>
        </w:tc>
        <w:tc>
          <w:tcPr>
            <w:tcW w:w="382" w:type="pct"/>
            <w:vAlign w:val="center"/>
          </w:tcPr>
          <w:p>
            <w:pPr>
              <w:widowControl w:val="0"/>
              <w:spacing w:line="400" w:lineRule="exact"/>
              <w:jc w:val="right"/>
              <w:rPr>
                <w:rFonts w:ascii="宋体" w:hAnsi="宋体" w:cs="宋体"/>
                <w:b/>
                <w:sz w:val="18"/>
                <w:szCs w:val="18"/>
              </w:rPr>
            </w:pPr>
          </w:p>
        </w:tc>
        <w:tc>
          <w:tcPr>
            <w:tcW w:w="360" w:type="pct"/>
            <w:vAlign w:val="center"/>
          </w:tcPr>
          <w:p>
            <w:pPr>
              <w:widowControl w:val="0"/>
              <w:spacing w:line="400" w:lineRule="exact"/>
              <w:jc w:val="right"/>
              <w:rPr>
                <w:rFonts w:ascii="宋体" w:hAnsi="宋体" w:cs="宋体"/>
                <w:b/>
                <w:sz w:val="18"/>
                <w:szCs w:val="18"/>
              </w:rPr>
            </w:pPr>
          </w:p>
        </w:tc>
        <w:tc>
          <w:tcPr>
            <w:tcW w:w="608" w:type="pct"/>
            <w:vAlign w:val="center"/>
          </w:tcPr>
          <w:p>
            <w:pPr>
              <w:widowControl w:val="0"/>
              <w:spacing w:line="400" w:lineRule="exact"/>
              <w:jc w:val="right"/>
              <w:rPr>
                <w:rFonts w:ascii="宋体" w:hAnsi="宋体" w:cs="宋体"/>
                <w:b/>
                <w:sz w:val="18"/>
                <w:szCs w:val="18"/>
              </w:rPr>
            </w:pPr>
          </w:p>
        </w:tc>
        <w:tc>
          <w:tcPr>
            <w:tcW w:w="623" w:type="pct"/>
            <w:vAlign w:val="center"/>
          </w:tcPr>
          <w:p>
            <w:pPr>
              <w:widowControl w:val="0"/>
              <w:spacing w:line="400" w:lineRule="exact"/>
              <w:jc w:val="right"/>
              <w:rPr>
                <w:rFonts w:ascii="宋体" w:hAnsi="宋体" w:cs="宋体"/>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7" w:hRule="atLeast"/>
          <w:jc w:val="center"/>
        </w:trPr>
        <w:tc>
          <w:tcPr>
            <w:tcW w:w="297" w:type="pct"/>
            <w:vAlign w:val="center"/>
          </w:tcPr>
          <w:p>
            <w:pPr>
              <w:widowControl w:val="0"/>
              <w:spacing w:line="400" w:lineRule="exact"/>
              <w:rPr>
                <w:rFonts w:ascii="宋体" w:hAnsi="宋体" w:cs="宋体"/>
                <w:sz w:val="18"/>
                <w:szCs w:val="18"/>
              </w:rPr>
            </w:pPr>
          </w:p>
        </w:tc>
        <w:tc>
          <w:tcPr>
            <w:tcW w:w="386" w:type="pct"/>
            <w:vAlign w:val="center"/>
          </w:tcPr>
          <w:p>
            <w:pPr>
              <w:widowControl w:val="0"/>
              <w:spacing w:line="400" w:lineRule="exact"/>
              <w:jc w:val="right"/>
              <w:rPr>
                <w:rFonts w:ascii="宋体" w:hAnsi="宋体" w:cs="宋体"/>
                <w:sz w:val="18"/>
                <w:szCs w:val="18"/>
              </w:rPr>
            </w:pPr>
          </w:p>
        </w:tc>
        <w:tc>
          <w:tcPr>
            <w:tcW w:w="335" w:type="pct"/>
            <w:vAlign w:val="center"/>
          </w:tcPr>
          <w:p>
            <w:pPr>
              <w:widowControl w:val="0"/>
              <w:spacing w:line="400" w:lineRule="exact"/>
              <w:rPr>
                <w:rFonts w:ascii="宋体" w:hAnsi="宋体" w:cs="宋体"/>
                <w:sz w:val="18"/>
                <w:szCs w:val="18"/>
              </w:rPr>
            </w:pPr>
          </w:p>
        </w:tc>
        <w:tc>
          <w:tcPr>
            <w:tcW w:w="551" w:type="pct"/>
            <w:vAlign w:val="center"/>
          </w:tcPr>
          <w:p>
            <w:pPr>
              <w:widowControl w:val="0"/>
              <w:spacing w:line="400" w:lineRule="exact"/>
              <w:rPr>
                <w:rFonts w:ascii="宋体" w:hAnsi="宋体" w:cs="宋体"/>
                <w:sz w:val="18"/>
                <w:szCs w:val="18"/>
              </w:rPr>
            </w:pPr>
          </w:p>
        </w:tc>
        <w:tc>
          <w:tcPr>
            <w:tcW w:w="270" w:type="pct"/>
            <w:vAlign w:val="center"/>
          </w:tcPr>
          <w:p>
            <w:pPr>
              <w:widowControl w:val="0"/>
              <w:spacing w:line="400" w:lineRule="exact"/>
              <w:jc w:val="center"/>
              <w:rPr>
                <w:rFonts w:ascii="宋体" w:hAnsi="宋体" w:cs="宋体"/>
                <w:sz w:val="18"/>
                <w:szCs w:val="18"/>
              </w:rPr>
            </w:pPr>
          </w:p>
        </w:tc>
        <w:tc>
          <w:tcPr>
            <w:tcW w:w="181" w:type="pct"/>
            <w:vAlign w:val="center"/>
          </w:tcPr>
          <w:p>
            <w:pPr>
              <w:widowControl w:val="0"/>
              <w:spacing w:line="400" w:lineRule="exact"/>
              <w:jc w:val="right"/>
              <w:rPr>
                <w:rFonts w:ascii="宋体" w:hAnsi="宋体" w:cs="宋体"/>
                <w:sz w:val="18"/>
                <w:szCs w:val="18"/>
              </w:rPr>
            </w:pPr>
          </w:p>
        </w:tc>
        <w:tc>
          <w:tcPr>
            <w:tcW w:w="236" w:type="pct"/>
            <w:vAlign w:val="center"/>
          </w:tcPr>
          <w:p>
            <w:pPr>
              <w:widowControl w:val="0"/>
              <w:spacing w:line="400" w:lineRule="exact"/>
              <w:jc w:val="right"/>
              <w:rPr>
                <w:rFonts w:ascii="宋体" w:hAnsi="宋体" w:cs="宋体"/>
                <w:sz w:val="18"/>
                <w:szCs w:val="18"/>
              </w:rPr>
            </w:pPr>
          </w:p>
        </w:tc>
        <w:tc>
          <w:tcPr>
            <w:tcW w:w="304" w:type="pct"/>
            <w:vAlign w:val="center"/>
          </w:tcPr>
          <w:p>
            <w:pPr>
              <w:widowControl w:val="0"/>
              <w:spacing w:line="400" w:lineRule="exact"/>
              <w:jc w:val="right"/>
              <w:rPr>
                <w:rFonts w:ascii="宋体" w:hAnsi="宋体" w:cs="宋体"/>
                <w:sz w:val="18"/>
                <w:szCs w:val="18"/>
              </w:rPr>
            </w:pPr>
          </w:p>
        </w:tc>
        <w:tc>
          <w:tcPr>
            <w:tcW w:w="462" w:type="pct"/>
            <w:vAlign w:val="center"/>
          </w:tcPr>
          <w:p>
            <w:pPr>
              <w:widowControl w:val="0"/>
              <w:spacing w:line="400" w:lineRule="exact"/>
              <w:jc w:val="right"/>
              <w:rPr>
                <w:rFonts w:ascii="宋体" w:hAnsi="宋体" w:cs="宋体"/>
                <w:sz w:val="18"/>
                <w:szCs w:val="18"/>
              </w:rPr>
            </w:pPr>
          </w:p>
        </w:tc>
        <w:tc>
          <w:tcPr>
            <w:tcW w:w="382" w:type="pct"/>
            <w:vAlign w:val="center"/>
          </w:tcPr>
          <w:p>
            <w:pPr>
              <w:widowControl w:val="0"/>
              <w:spacing w:line="400" w:lineRule="exact"/>
              <w:jc w:val="right"/>
              <w:rPr>
                <w:rFonts w:ascii="宋体" w:hAnsi="宋体" w:cs="宋体"/>
                <w:sz w:val="18"/>
                <w:szCs w:val="18"/>
              </w:rPr>
            </w:pPr>
          </w:p>
        </w:tc>
        <w:tc>
          <w:tcPr>
            <w:tcW w:w="360" w:type="pct"/>
            <w:vAlign w:val="center"/>
          </w:tcPr>
          <w:p>
            <w:pPr>
              <w:widowControl w:val="0"/>
              <w:spacing w:line="400" w:lineRule="exact"/>
              <w:jc w:val="right"/>
              <w:rPr>
                <w:rFonts w:ascii="宋体" w:hAnsi="宋体" w:cs="宋体"/>
                <w:sz w:val="18"/>
                <w:szCs w:val="18"/>
              </w:rPr>
            </w:pPr>
          </w:p>
        </w:tc>
        <w:tc>
          <w:tcPr>
            <w:tcW w:w="608" w:type="pct"/>
            <w:vAlign w:val="center"/>
          </w:tcPr>
          <w:p>
            <w:pPr>
              <w:widowControl w:val="0"/>
              <w:spacing w:line="400" w:lineRule="exact"/>
              <w:jc w:val="right"/>
              <w:rPr>
                <w:rFonts w:ascii="宋体" w:hAnsi="宋体" w:cs="宋体"/>
                <w:sz w:val="18"/>
                <w:szCs w:val="18"/>
              </w:rPr>
            </w:pPr>
          </w:p>
        </w:tc>
        <w:tc>
          <w:tcPr>
            <w:tcW w:w="623" w:type="pct"/>
            <w:vAlign w:val="center"/>
          </w:tcPr>
          <w:p>
            <w:pPr>
              <w:widowControl w:val="0"/>
              <w:spacing w:line="400" w:lineRule="exact"/>
              <w:jc w:val="right"/>
              <w:rPr>
                <w:rFonts w:ascii="宋体" w:hAnsi="宋体" w:cs="宋体"/>
                <w:sz w:val="18"/>
                <w:szCs w:val="18"/>
              </w:rPr>
            </w:pPr>
          </w:p>
        </w:tc>
      </w:tr>
    </w:tbl>
    <w:p>
      <w:pPr>
        <w:widowControl w:val="0"/>
        <w:spacing w:line="400" w:lineRule="exact"/>
        <w:ind w:firstLine="420" w:firstLineChars="200"/>
        <w:rPr>
          <w:rFonts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sz w:val="21"/>
          <w:szCs w:val="21"/>
          <w:lang w:eastAsia="zh-CN"/>
        </w:rPr>
        <w:t>本单位本年度</w:t>
      </w:r>
      <w:r>
        <w:rPr>
          <w:rFonts w:hint="eastAsia" w:ascii="宋体" w:hAnsi="宋体" w:eastAsia="宋体" w:cs="宋体"/>
          <w:sz w:val="21"/>
          <w:szCs w:val="21"/>
        </w:rPr>
        <w:t>无政府采购预算，</w:t>
      </w:r>
      <w:r>
        <w:rPr>
          <w:rFonts w:hint="eastAsia" w:ascii="宋体" w:hAnsi="宋体" w:eastAsia="宋体" w:cs="宋体"/>
          <w:sz w:val="21"/>
          <w:szCs w:val="21"/>
          <w:lang w:eastAsia="zh-CN"/>
        </w:rPr>
        <w:t>按要求以</w:t>
      </w:r>
      <w:r>
        <w:rPr>
          <w:rFonts w:hint="eastAsia" w:ascii="宋体" w:hAnsi="宋体" w:eastAsia="宋体" w:cs="宋体"/>
          <w:sz w:val="21"/>
          <w:szCs w:val="21"/>
        </w:rPr>
        <w:t>空表列示。</w:t>
      </w: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ind w:firstLine="640" w:firstLineChars="200"/>
        <w:rPr>
          <w:rFonts w:ascii="黑体" w:hAnsi="黑体" w:eastAsia="黑体" w:cs="黑体"/>
          <w:sz w:val="32"/>
          <w:szCs w:val="32"/>
        </w:rPr>
      </w:pPr>
      <w:r>
        <w:rPr>
          <w:rFonts w:hint="eastAsia" w:ascii="黑体" w:hAnsi="黑体" w:eastAsia="黑体" w:cs="黑体"/>
          <w:sz w:val="32"/>
          <w:szCs w:val="32"/>
        </w:rPr>
        <w:t>七、国有资产信息情况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年年底本单位国有资产总额</w:t>
      </w:r>
      <w:r>
        <w:rPr>
          <w:rFonts w:hint="eastAsia" w:ascii="仿宋_GB2312" w:hAnsi="仿宋_GB2312" w:eastAsia="仿宋_GB2312" w:cs="仿宋_GB2312"/>
          <w:sz w:val="32"/>
          <w:szCs w:val="32"/>
          <w:lang w:val="en-US" w:eastAsia="zh-CN"/>
        </w:rPr>
        <w:t>286.02</w:t>
      </w:r>
      <w:r>
        <w:rPr>
          <w:rFonts w:hint="eastAsia" w:ascii="仿宋_GB2312" w:hAnsi="仿宋_GB2312" w:eastAsia="仿宋_GB2312" w:cs="仿宋_GB2312"/>
          <w:sz w:val="32"/>
          <w:szCs w:val="32"/>
        </w:rPr>
        <w:t>万元，其中办公用房</w:t>
      </w:r>
      <w:r>
        <w:rPr>
          <w:rFonts w:hint="eastAsia" w:ascii="仿宋_GB2312" w:hAnsi="仿宋_GB2312" w:eastAsia="仿宋_GB2312" w:cs="仿宋_GB2312"/>
          <w:sz w:val="32"/>
          <w:szCs w:val="32"/>
          <w:lang w:val="en-US" w:eastAsia="zh-CN"/>
        </w:rPr>
        <w:t>2310</w:t>
      </w:r>
      <w:r>
        <w:rPr>
          <w:rFonts w:hint="eastAsia" w:ascii="仿宋_GB2312" w:hAnsi="仿宋_GB2312" w:eastAsia="仿宋_GB2312" w:cs="仿宋_GB2312"/>
          <w:sz w:val="32"/>
          <w:szCs w:val="32"/>
        </w:rPr>
        <w:t>平米，价值221.46万元；车辆共计</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辆，价值</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万元，其他资产</w:t>
      </w:r>
      <w:r>
        <w:rPr>
          <w:rFonts w:hint="eastAsia" w:ascii="仿宋_GB2312" w:hAnsi="仿宋_GB2312" w:eastAsia="仿宋_GB2312" w:cs="仿宋_GB2312"/>
          <w:sz w:val="32"/>
          <w:szCs w:val="32"/>
          <w:lang w:val="en-US" w:eastAsia="zh-CN"/>
        </w:rPr>
        <w:t>40.26</w:t>
      </w:r>
      <w:r>
        <w:rPr>
          <w:rFonts w:hint="eastAsia" w:ascii="仿宋_GB2312" w:hAnsi="仿宋_GB2312" w:eastAsia="仿宋_GB2312" w:cs="仿宋_GB2312"/>
          <w:sz w:val="32"/>
          <w:szCs w:val="32"/>
        </w:rPr>
        <w:t>万元。</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年我部门无购置固定资产情况。</w:t>
      </w:r>
    </w:p>
    <w:p>
      <w:pPr>
        <w:pStyle w:val="7"/>
        <w:shd w:val="clear" w:color="auto" w:fill="FFFFFF"/>
        <w:spacing w:before="0" w:beforeAutospacing="0" w:after="0" w:afterAutospacing="0" w:line="520" w:lineRule="exact"/>
        <w:jc w:val="center"/>
        <w:rPr>
          <w:rFonts w:ascii="黑体" w:hAnsi="黑体" w:eastAsia="黑体" w:cs="黑体"/>
          <w:sz w:val="32"/>
          <w:szCs w:val="32"/>
        </w:rPr>
      </w:pPr>
      <w:r>
        <w:rPr>
          <w:rFonts w:hint="eastAsia" w:ascii="黑体" w:hAnsi="黑体" w:eastAsia="黑体" w:cs="黑体"/>
          <w:sz w:val="32"/>
          <w:szCs w:val="32"/>
        </w:rPr>
        <w:t>固定资产占用情况表</w:t>
      </w:r>
    </w:p>
    <w:p>
      <w:pPr>
        <w:pStyle w:val="7"/>
        <w:shd w:val="clear" w:color="auto" w:fill="FFFFFF"/>
        <w:spacing w:before="0" w:beforeAutospacing="0" w:after="0" w:afterAutospacing="0" w:line="520" w:lineRule="exact"/>
        <w:ind w:firstLine="640"/>
        <w:rPr>
          <w:rFonts w:eastAsia="宋体"/>
          <w:sz w:val="21"/>
          <w:szCs w:val="21"/>
        </w:rPr>
      </w:pPr>
      <w:r>
        <w:rPr>
          <w:rFonts w:hint="eastAsia" w:ascii="仿宋_GB2312" w:hAnsi="仿宋_GB2312" w:eastAsia="仿宋_GB2312" w:cs="仿宋_GB2312"/>
          <w:sz w:val="32"/>
          <w:szCs w:val="32"/>
        </w:rPr>
        <w:t xml:space="preserve">                          </w:t>
      </w:r>
      <w:r>
        <w:rPr>
          <w:rFonts w:hint="eastAsia" w:eastAsia="宋体"/>
          <w:sz w:val="21"/>
          <w:szCs w:val="21"/>
          <w:lang w:eastAsia="zh-CN"/>
        </w:rPr>
        <w:t xml:space="preserve">                </w:t>
      </w:r>
      <w:r>
        <w:rPr>
          <w:rFonts w:hint="eastAsia" w:eastAsia="宋体"/>
          <w:sz w:val="21"/>
          <w:szCs w:val="21"/>
        </w:rPr>
        <w:t xml:space="preserve"> </w:t>
      </w:r>
      <w:r>
        <w:rPr>
          <w:rFonts w:hint="eastAsia" w:eastAsia="宋体"/>
          <w:bCs/>
          <w:color w:val="000000"/>
          <w:sz w:val="21"/>
          <w:szCs w:val="21"/>
        </w:rPr>
        <w:t>截止时间：20</w:t>
      </w:r>
      <w:r>
        <w:rPr>
          <w:rFonts w:hint="eastAsia" w:eastAsia="宋体"/>
          <w:bCs/>
          <w:color w:val="000000"/>
          <w:sz w:val="21"/>
          <w:szCs w:val="21"/>
          <w:lang w:eastAsia="zh-CN"/>
        </w:rPr>
        <w:t>2</w:t>
      </w:r>
      <w:r>
        <w:rPr>
          <w:rFonts w:hint="eastAsia" w:eastAsia="宋体"/>
          <w:bCs/>
          <w:color w:val="000000"/>
          <w:sz w:val="21"/>
          <w:szCs w:val="21"/>
          <w:lang w:val="en-US" w:eastAsia="zh-CN"/>
        </w:rPr>
        <w:t>4</w:t>
      </w:r>
      <w:r>
        <w:rPr>
          <w:rFonts w:hint="eastAsia" w:eastAsia="宋体"/>
          <w:bCs/>
          <w:color w:val="000000"/>
          <w:sz w:val="21"/>
          <w:szCs w:val="21"/>
        </w:rPr>
        <w:t>年12月31日</w:t>
      </w:r>
      <w:r>
        <w:rPr>
          <w:rFonts w:hint="eastAsia" w:eastAsia="宋体"/>
          <w:sz w:val="21"/>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04"/>
        <w:gridCol w:w="3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项　　目</w:t>
            </w:r>
          </w:p>
        </w:tc>
        <w:tc>
          <w:tcPr>
            <w:tcW w:w="130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数量</w:t>
            </w:r>
          </w:p>
        </w:tc>
        <w:tc>
          <w:tcPr>
            <w:tcW w:w="3631"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固定资产总额</w:t>
            </w:r>
          </w:p>
        </w:tc>
        <w:tc>
          <w:tcPr>
            <w:tcW w:w="1304" w:type="dxa"/>
            <w:vAlign w:val="center"/>
          </w:tcPr>
          <w:p>
            <w:pPr>
              <w:widowControl/>
              <w:jc w:val="center"/>
              <w:rPr>
                <w:rFonts w:ascii="宋体" w:hAnsi="宋体" w:eastAsia="宋体" w:cs="宋体"/>
                <w:sz w:val="21"/>
                <w:szCs w:val="21"/>
              </w:rPr>
            </w:pPr>
            <w:r>
              <w:rPr>
                <w:rFonts w:hint="eastAsia" w:ascii="宋体" w:hAnsi="宋体" w:cs="宋体"/>
                <w:color w:val="000000"/>
                <w:kern w:val="0"/>
                <w:szCs w:val="21"/>
              </w:rPr>
              <w:t>—</w:t>
            </w:r>
          </w:p>
        </w:tc>
        <w:tc>
          <w:tcPr>
            <w:tcW w:w="3631" w:type="dxa"/>
            <w:vAlign w:val="top"/>
          </w:tcPr>
          <w:p>
            <w:pPr>
              <w:widowControl/>
              <w:jc w:val="center"/>
              <w:rPr>
                <w:rFonts w:ascii="宋体" w:hAnsi="宋体" w:eastAsia="宋体" w:cs="宋体"/>
                <w:sz w:val="21"/>
                <w:szCs w:val="21"/>
                <w:lang w:eastAsia="zh-CN"/>
              </w:rPr>
            </w:pPr>
            <w:r>
              <w:rPr>
                <w:rFonts w:hint="default" w:ascii="宋体" w:hAnsi="宋体" w:eastAsia="宋体" w:cs="宋体"/>
                <w:color w:val="000000"/>
                <w:kern w:val="0"/>
                <w:szCs w:val="21"/>
                <w:lang w:val="en-US" w:eastAsia="zh-CN"/>
              </w:rPr>
              <w:t>248.38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1、房屋（平方米）</w:t>
            </w:r>
          </w:p>
        </w:tc>
        <w:tc>
          <w:tcPr>
            <w:tcW w:w="1304" w:type="dxa"/>
            <w:vAlign w:val="center"/>
          </w:tcPr>
          <w:p>
            <w:pPr>
              <w:widowControl/>
              <w:jc w:val="center"/>
              <w:rPr>
                <w:rFonts w:ascii="宋体" w:hAnsi="宋体" w:eastAsia="宋体" w:cs="宋体"/>
                <w:sz w:val="21"/>
                <w:szCs w:val="21"/>
                <w:lang w:eastAsia="zh-CN"/>
              </w:rPr>
            </w:pPr>
            <w:r>
              <w:rPr>
                <w:rFonts w:hint="eastAsia" w:ascii="宋体" w:hAnsi="宋体" w:cs="宋体"/>
                <w:szCs w:val="21"/>
                <w:lang w:val="en-US" w:eastAsia="zh-CN"/>
              </w:rPr>
              <w:t>2310</w:t>
            </w:r>
          </w:p>
        </w:tc>
        <w:tc>
          <w:tcPr>
            <w:tcW w:w="3631" w:type="dxa"/>
            <w:vAlign w:val="top"/>
          </w:tcPr>
          <w:p>
            <w:pPr>
              <w:widowControl/>
              <w:jc w:val="center"/>
              <w:rPr>
                <w:rFonts w:ascii="宋体" w:hAnsi="宋体" w:eastAsia="宋体" w:cs="宋体"/>
                <w:sz w:val="21"/>
                <w:szCs w:val="21"/>
                <w:lang w:eastAsia="zh-CN"/>
              </w:rPr>
            </w:pPr>
            <w:r>
              <w:rPr>
                <w:rFonts w:hint="default" w:ascii="宋体" w:hAnsi="宋体" w:eastAsia="宋体" w:cs="宋体"/>
                <w:color w:val="000000"/>
                <w:kern w:val="0"/>
                <w:szCs w:val="21"/>
                <w:lang w:val="en-US"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left"/>
              <w:rPr>
                <w:rFonts w:ascii="宋体" w:hAnsi="宋体" w:eastAsia="宋体" w:cs="宋体"/>
                <w:sz w:val="21"/>
                <w:szCs w:val="21"/>
              </w:rPr>
            </w:pPr>
            <w:r>
              <w:rPr>
                <w:rFonts w:hint="eastAsia" w:ascii="宋体" w:hAnsi="宋体" w:cs="宋体"/>
                <w:color w:val="000000"/>
                <w:kern w:val="0"/>
                <w:szCs w:val="21"/>
              </w:rPr>
              <w:t xml:space="preserve">   其中：办公用房（平方米）</w:t>
            </w:r>
          </w:p>
        </w:tc>
        <w:tc>
          <w:tcPr>
            <w:tcW w:w="1304" w:type="dxa"/>
            <w:vAlign w:val="center"/>
          </w:tcPr>
          <w:p>
            <w:pPr>
              <w:jc w:val="center"/>
              <w:rPr>
                <w:rFonts w:ascii="宋体" w:hAnsi="宋体" w:eastAsia="宋体" w:cs="宋体"/>
                <w:sz w:val="21"/>
                <w:szCs w:val="21"/>
                <w:lang w:eastAsia="zh-CN"/>
              </w:rPr>
            </w:pPr>
            <w:r>
              <w:rPr>
                <w:rFonts w:hint="eastAsia" w:ascii="宋体" w:hAnsi="宋体" w:cs="宋体"/>
                <w:szCs w:val="21"/>
                <w:lang w:val="en-US" w:eastAsia="zh-CN"/>
              </w:rPr>
              <w:t>2310</w:t>
            </w:r>
          </w:p>
        </w:tc>
        <w:tc>
          <w:tcPr>
            <w:tcW w:w="3631" w:type="dxa"/>
            <w:vAlign w:val="top"/>
          </w:tcPr>
          <w:p>
            <w:pPr>
              <w:widowControl/>
              <w:jc w:val="center"/>
              <w:rPr>
                <w:rFonts w:ascii="宋体" w:hAnsi="宋体" w:eastAsia="宋体" w:cs="宋体"/>
                <w:sz w:val="21"/>
                <w:szCs w:val="21"/>
              </w:rPr>
            </w:pPr>
            <w:r>
              <w:rPr>
                <w:rFonts w:hint="default" w:ascii="宋体" w:hAnsi="宋体" w:eastAsia="宋体" w:cs="宋体"/>
                <w:color w:val="000000"/>
                <w:kern w:val="0"/>
                <w:szCs w:val="21"/>
                <w:lang w:val="en-US"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2、车辆（台、辆）</w:t>
            </w:r>
          </w:p>
        </w:tc>
        <w:tc>
          <w:tcPr>
            <w:tcW w:w="1304" w:type="dxa"/>
            <w:vAlign w:val="center"/>
          </w:tcPr>
          <w:p>
            <w:pPr>
              <w:widowControl/>
              <w:jc w:val="center"/>
              <w:rPr>
                <w:rFonts w:ascii="宋体" w:hAnsi="宋体" w:eastAsia="宋体" w:cs="宋体"/>
                <w:sz w:val="21"/>
                <w:szCs w:val="21"/>
                <w:lang w:eastAsia="zh-CN"/>
              </w:rPr>
            </w:pPr>
            <w:r>
              <w:rPr>
                <w:rFonts w:hint="eastAsia" w:ascii="宋体" w:hAnsi="宋体" w:cs="宋体"/>
                <w:color w:val="000000"/>
                <w:kern w:val="0"/>
                <w:szCs w:val="21"/>
                <w:lang w:val="en-US" w:eastAsia="zh-CN"/>
              </w:rPr>
              <w:t>3</w:t>
            </w:r>
          </w:p>
        </w:tc>
        <w:tc>
          <w:tcPr>
            <w:tcW w:w="3631" w:type="dxa"/>
            <w:vAlign w:val="top"/>
          </w:tcPr>
          <w:p>
            <w:pPr>
              <w:widowControl/>
              <w:jc w:val="center"/>
              <w:rPr>
                <w:rFonts w:ascii="宋体" w:hAnsi="宋体" w:eastAsia="宋体" w:cs="宋体"/>
                <w:sz w:val="21"/>
                <w:szCs w:val="21"/>
                <w:lang w:eastAsia="zh-CN"/>
              </w:rPr>
            </w:pPr>
            <w:r>
              <w:rPr>
                <w:rFonts w:hint="eastAsia" w:ascii="宋体" w:hAnsi="宋体" w:eastAsia="宋体" w:cs="宋体"/>
                <w:color w:val="000000"/>
                <w:kern w:val="0"/>
                <w:szCs w:val="21"/>
                <w:lang w:val="en-US" w:eastAsia="zh-CN"/>
              </w:rPr>
              <w:t>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3、单价在20万元以上的设备</w:t>
            </w:r>
          </w:p>
        </w:tc>
        <w:tc>
          <w:tcPr>
            <w:tcW w:w="1304" w:type="dxa"/>
            <w:vAlign w:val="center"/>
          </w:tcPr>
          <w:p>
            <w:pPr>
              <w:widowControl/>
              <w:jc w:val="center"/>
              <w:rPr>
                <w:rFonts w:ascii="宋体" w:hAnsi="宋体" w:eastAsia="宋体" w:cs="宋体"/>
                <w:sz w:val="21"/>
                <w:szCs w:val="21"/>
              </w:rPr>
            </w:pPr>
            <w:r>
              <w:rPr>
                <w:rFonts w:hint="eastAsia" w:ascii="宋体" w:hAnsi="宋体" w:cs="宋体"/>
                <w:color w:val="000000"/>
                <w:kern w:val="0"/>
                <w:szCs w:val="21"/>
              </w:rPr>
              <w:t>—</w:t>
            </w:r>
          </w:p>
        </w:tc>
        <w:tc>
          <w:tcPr>
            <w:tcW w:w="3631" w:type="dxa"/>
            <w:vAlign w:val="top"/>
          </w:tcPr>
          <w:p>
            <w:pPr>
              <w:widowControl/>
              <w:jc w:val="center"/>
              <w:rPr>
                <w:rFonts w:ascii="宋体" w:hAnsi="宋体" w:eastAsia="宋体" w:cs="宋体"/>
                <w:sz w:val="21"/>
                <w:szCs w:val="21"/>
              </w:rPr>
            </w:pPr>
            <w:r>
              <w:rPr>
                <w:rFonts w:hint="eastAsia" w:ascii="宋体" w:hAnsi="宋体" w:eastAsia="宋体" w:cs="宋体"/>
                <w:color w:val="000000"/>
                <w:kern w:val="0"/>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left"/>
              <w:rPr>
                <w:rFonts w:ascii="宋体" w:hAnsi="宋体" w:eastAsia="宋体" w:cs="宋体"/>
                <w:sz w:val="21"/>
                <w:szCs w:val="21"/>
              </w:rPr>
            </w:pPr>
            <w:r>
              <w:rPr>
                <w:rFonts w:hint="eastAsia" w:ascii="宋体" w:hAnsi="宋体" w:cs="宋体"/>
                <w:color w:val="000000"/>
                <w:kern w:val="0"/>
                <w:szCs w:val="21"/>
              </w:rPr>
              <w:t xml:space="preserve">  4、其他固定资产</w:t>
            </w:r>
          </w:p>
        </w:tc>
        <w:tc>
          <w:tcPr>
            <w:tcW w:w="1304" w:type="dxa"/>
            <w:vAlign w:val="center"/>
          </w:tcPr>
          <w:p>
            <w:pPr>
              <w:jc w:val="center"/>
              <w:rPr>
                <w:rFonts w:ascii="宋体" w:hAnsi="宋体" w:eastAsia="宋体" w:cs="宋体"/>
                <w:sz w:val="21"/>
                <w:szCs w:val="21"/>
              </w:rPr>
            </w:pPr>
            <w:r>
              <w:rPr>
                <w:rFonts w:hint="eastAsia" w:ascii="宋体" w:hAnsi="宋体" w:cs="宋体"/>
                <w:color w:val="000000"/>
                <w:kern w:val="0"/>
                <w:szCs w:val="21"/>
                <w:lang w:val="en-US" w:eastAsia="zh-CN"/>
              </w:rPr>
              <w:t>246</w:t>
            </w:r>
          </w:p>
        </w:tc>
        <w:tc>
          <w:tcPr>
            <w:tcW w:w="3631" w:type="dxa"/>
            <w:vAlign w:val="top"/>
          </w:tcPr>
          <w:p>
            <w:pPr>
              <w:widowControl/>
              <w:jc w:val="center"/>
              <w:rPr>
                <w:rFonts w:hint="default" w:ascii="宋体" w:hAnsi="宋体" w:eastAsia="宋体" w:cs="宋体"/>
                <w:sz w:val="21"/>
                <w:szCs w:val="21"/>
                <w:lang w:val="en-US" w:eastAsia="zh-CN"/>
              </w:rPr>
            </w:pPr>
            <w:r>
              <w:rPr>
                <w:rFonts w:hint="eastAsia" w:ascii="宋体" w:hAnsi="宋体" w:eastAsia="宋体" w:cs="宋体"/>
                <w:color w:val="000000"/>
                <w:kern w:val="0"/>
                <w:szCs w:val="21"/>
                <w:lang w:val="en-US" w:eastAsia="zh-CN"/>
              </w:rPr>
              <w:t>40.26</w:t>
            </w:r>
          </w:p>
        </w:tc>
      </w:tr>
    </w:tbl>
    <w:p>
      <w:pPr>
        <w:spacing w:line="500" w:lineRule="exact"/>
        <w:ind w:firstLine="560"/>
        <w:rPr>
          <w:rFonts w:eastAsia="方正仿宋_GBK"/>
          <w:color w:val="000000"/>
          <w:sz w:val="28"/>
        </w:rPr>
      </w:pPr>
    </w:p>
    <w:p>
      <w:pPr>
        <w:rPr>
          <w:rFonts w:eastAsia="宋体"/>
          <w:lang w:eastAsia="zh-CN"/>
        </w:rPr>
      </w:pPr>
    </w:p>
    <w:p>
      <w:pPr>
        <w:spacing w:before="10" w:after="10"/>
        <w:ind w:firstLine="640"/>
        <w:outlineLvl w:val="5"/>
        <w:rPr>
          <w:sz w:val="32"/>
          <w:szCs w:val="32"/>
        </w:rPr>
      </w:pPr>
      <w:r>
        <w:rPr>
          <w:rFonts w:hint="eastAsia" w:ascii="黑体" w:hAnsi="黑体" w:eastAsia="黑体" w:cs="黑体"/>
          <w:color w:val="000000"/>
          <w:sz w:val="32"/>
          <w:szCs w:val="32"/>
          <w:lang w:eastAsia="zh-CN"/>
        </w:rPr>
        <w:t>八、</w:t>
      </w:r>
      <w:r>
        <w:rPr>
          <w:rFonts w:hint="eastAsia" w:ascii="黑体" w:hAnsi="黑体" w:eastAsia="黑体" w:cs="黑体"/>
          <w:color w:val="000000"/>
          <w:sz w:val="32"/>
          <w:szCs w:val="32"/>
        </w:rPr>
        <w:t>名词解释</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b/>
          <w:color w:val="000000"/>
          <w:sz w:val="32"/>
          <w:szCs w:val="32"/>
        </w:rPr>
        <w:t>一般公共预算拨款收入：</w:t>
      </w:r>
      <w:r>
        <w:rPr>
          <w:rFonts w:hint="eastAsia" w:ascii="仿宋" w:hAnsi="仿宋" w:eastAsia="仿宋" w:cs="仿宋"/>
          <w:color w:val="000000"/>
          <w:sz w:val="32"/>
          <w:szCs w:val="32"/>
        </w:rPr>
        <w:t>指省级财政当年拨付的资金。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2、</w:t>
      </w:r>
      <w:r>
        <w:rPr>
          <w:rFonts w:hint="eastAsia" w:ascii="仿宋" w:hAnsi="仿宋" w:eastAsia="仿宋" w:cs="仿宋"/>
          <w:b/>
          <w:color w:val="000000"/>
          <w:sz w:val="32"/>
          <w:szCs w:val="32"/>
        </w:rPr>
        <w:t>事业收入：</w:t>
      </w:r>
      <w:r>
        <w:rPr>
          <w:rFonts w:hint="eastAsia" w:ascii="仿宋" w:hAnsi="仿宋" w:eastAsia="仿宋" w:cs="仿宋"/>
          <w:color w:val="000000"/>
          <w:sz w:val="32"/>
          <w:szCs w:val="32"/>
        </w:rPr>
        <w:t>指事业单位开展专业业务活动及辅助活动所取得的收入。</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3、</w:t>
      </w:r>
      <w:r>
        <w:rPr>
          <w:rFonts w:hint="eastAsia" w:ascii="仿宋" w:hAnsi="仿宋" w:eastAsia="仿宋" w:cs="仿宋"/>
          <w:b/>
          <w:color w:val="000000"/>
          <w:sz w:val="32"/>
          <w:szCs w:val="32"/>
        </w:rPr>
        <w:t>其他收入：</w:t>
      </w:r>
      <w:r>
        <w:rPr>
          <w:rFonts w:hint="eastAsia" w:ascii="仿宋" w:hAnsi="仿宋" w:eastAsia="仿宋" w:cs="仿宋"/>
          <w:color w:val="000000"/>
          <w:sz w:val="32"/>
          <w:szCs w:val="32"/>
        </w:rPr>
        <w:t>指除“一般公共预算拨款收入”、“事业收入”等以外的收入。主要是按规定动用的租房收入、存款利息收入等。</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4、</w:t>
      </w:r>
      <w:r>
        <w:rPr>
          <w:rFonts w:hint="eastAsia" w:ascii="仿宋" w:hAnsi="仿宋" w:eastAsia="仿宋" w:cs="仿宋"/>
          <w:b/>
          <w:color w:val="000000"/>
          <w:sz w:val="32"/>
          <w:szCs w:val="32"/>
        </w:rPr>
        <w:t>基本支出：</w:t>
      </w:r>
      <w:r>
        <w:rPr>
          <w:rFonts w:hint="eastAsia" w:ascii="仿宋" w:hAnsi="仿宋" w:eastAsia="仿宋" w:cs="仿宋"/>
          <w:color w:val="000000"/>
          <w:sz w:val="32"/>
          <w:szCs w:val="32"/>
        </w:rPr>
        <w:t>指为保障机构正常运转、完成日常工作任务而发生的人员支出和公用支出。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5、</w:t>
      </w:r>
      <w:r>
        <w:rPr>
          <w:rFonts w:hint="eastAsia" w:ascii="仿宋" w:hAnsi="仿宋" w:eastAsia="仿宋" w:cs="仿宋"/>
          <w:b/>
          <w:color w:val="000000"/>
          <w:sz w:val="32"/>
          <w:szCs w:val="32"/>
        </w:rPr>
        <w:t>项目支出：</w:t>
      </w:r>
      <w:r>
        <w:rPr>
          <w:rFonts w:hint="eastAsia" w:ascii="仿宋" w:hAnsi="仿宋" w:eastAsia="仿宋" w:cs="仿宋"/>
          <w:color w:val="000000"/>
          <w:sz w:val="32"/>
          <w:szCs w:val="32"/>
        </w:rPr>
        <w:t>指在基本支出之外为完成特定行政任务和事业发展目标所发生的支出。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6、</w:t>
      </w:r>
      <w:r>
        <w:rPr>
          <w:rFonts w:hint="eastAsia" w:ascii="仿宋" w:hAnsi="仿宋" w:eastAsia="仿宋" w:cs="仿宋"/>
          <w:b/>
          <w:color w:val="000000"/>
          <w:sz w:val="32"/>
          <w:szCs w:val="32"/>
        </w:rPr>
        <w:t>上缴上级支出：</w:t>
      </w:r>
      <w:r>
        <w:rPr>
          <w:rFonts w:hint="eastAsia" w:ascii="仿宋" w:hAnsi="仿宋" w:eastAsia="仿宋" w:cs="仿宋"/>
          <w:color w:val="000000"/>
          <w:sz w:val="32"/>
          <w:szCs w:val="32"/>
        </w:rPr>
        <w:t>指下级单位上缴上级的支出。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7、</w:t>
      </w:r>
      <w:r>
        <w:rPr>
          <w:rFonts w:hint="eastAsia" w:ascii="仿宋" w:hAnsi="仿宋" w:eastAsia="仿宋" w:cs="仿宋"/>
          <w:b/>
          <w:color w:val="000000"/>
          <w:sz w:val="32"/>
          <w:szCs w:val="32"/>
        </w:rPr>
        <w:t>“三公”经费：</w:t>
      </w:r>
      <w:r>
        <w:rPr>
          <w:rFonts w:hint="eastAsia" w:ascii="仿宋" w:hAnsi="仿宋" w:eastAsia="仿宋" w:cs="仿宋"/>
          <w:color w:val="000000"/>
          <w:sz w:val="32"/>
          <w:szCs w:val="32"/>
        </w:rPr>
        <w:t>纳入省级财政预算管理的“三公”经费，是指预算</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8、</w:t>
      </w:r>
      <w:r>
        <w:rPr>
          <w:rFonts w:hint="eastAsia" w:ascii="仿宋" w:hAnsi="仿宋" w:eastAsia="仿宋" w:cs="仿宋"/>
          <w:b/>
          <w:color w:val="000000"/>
          <w:sz w:val="32"/>
          <w:szCs w:val="32"/>
        </w:rPr>
        <w:t>机关运行费：</w:t>
      </w:r>
      <w:r>
        <w:rPr>
          <w:rFonts w:hint="eastAsia" w:ascii="仿宋" w:hAnsi="仿宋" w:eastAsia="仿宋" w:cs="仿宋"/>
          <w:color w:val="000000"/>
          <w:sz w:val="32"/>
          <w:szCs w:val="32"/>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9、</w:t>
      </w:r>
      <w:r>
        <w:rPr>
          <w:rFonts w:hint="eastAsia" w:ascii="仿宋" w:hAnsi="仿宋" w:eastAsia="仿宋" w:cs="仿宋"/>
          <w:b/>
          <w:color w:val="000000"/>
          <w:sz w:val="32"/>
          <w:szCs w:val="32"/>
        </w:rPr>
        <w:t>上年结转：</w:t>
      </w:r>
      <w:r>
        <w:rPr>
          <w:rFonts w:hint="eastAsia" w:ascii="仿宋" w:hAnsi="仿宋" w:eastAsia="仿宋" w:cs="仿宋"/>
          <w:color w:val="000000"/>
          <w:sz w:val="32"/>
          <w:szCs w:val="32"/>
        </w:rPr>
        <w:t>指以前年度尚未完成、结转到本年仍按原规定用途继续使用的资金。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10、</w:t>
      </w:r>
      <w:r>
        <w:rPr>
          <w:rFonts w:hint="eastAsia" w:ascii="仿宋" w:hAnsi="仿宋" w:eastAsia="仿宋" w:cs="仿宋"/>
          <w:b/>
          <w:color w:val="000000"/>
          <w:sz w:val="32"/>
          <w:szCs w:val="32"/>
        </w:rPr>
        <w:t>事业单位经营支出：</w:t>
      </w:r>
      <w:r>
        <w:rPr>
          <w:rFonts w:hint="eastAsia" w:ascii="仿宋" w:hAnsi="仿宋" w:eastAsia="仿宋" w:cs="仿宋"/>
          <w:color w:val="000000"/>
          <w:sz w:val="32"/>
          <w:szCs w:val="32"/>
        </w:rPr>
        <w:t>指事业单位在专业业务活动及其辅助活动之外开展非独立核算经营活动发生的支出。</w:t>
      </w:r>
    </w:p>
    <w:p>
      <w:pPr>
        <w:spacing w:before="10" w:after="10"/>
        <w:ind w:firstLine="640"/>
        <w:outlineLvl w:val="5"/>
        <w:rPr>
          <w:sz w:val="32"/>
          <w:szCs w:val="32"/>
        </w:rPr>
      </w:pPr>
      <w:r>
        <w:rPr>
          <w:rFonts w:hint="eastAsia" w:ascii="黑体" w:hAnsi="黑体" w:eastAsia="黑体" w:cs="黑体"/>
          <w:color w:val="000000"/>
          <w:sz w:val="32"/>
          <w:szCs w:val="32"/>
        </w:rPr>
        <w:t>九、其他需要说明的事项</w:t>
      </w:r>
    </w:p>
    <w:p>
      <w:pPr>
        <w:spacing w:line="500" w:lineRule="exact"/>
        <w:ind w:firstLine="560"/>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我</w:t>
      </w:r>
      <w:r>
        <w:rPr>
          <w:rFonts w:hint="eastAsia" w:ascii="仿宋" w:hAnsi="仿宋" w:eastAsia="仿宋" w:cs="仿宋"/>
          <w:color w:val="000000"/>
          <w:sz w:val="32"/>
          <w:szCs w:val="32"/>
        </w:rPr>
        <w:t>单位无其他需要说明的事项</w:t>
      </w:r>
      <w:r>
        <w:rPr>
          <w:rFonts w:hint="eastAsia" w:ascii="仿宋" w:hAnsi="仿宋" w:eastAsia="仿宋" w:cs="仿宋"/>
          <w:color w:val="000000"/>
          <w:sz w:val="32"/>
          <w:szCs w:val="32"/>
          <w:lang w:eastAsia="zh-CN"/>
        </w:rPr>
        <w:t>。</w:t>
      </w: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lang w:eastAsia="zh-CN"/>
        </w:rPr>
        <w:sectPr>
          <w:footerReference r:id="rId8" w:type="default"/>
          <w:pgSz w:w="16840" w:h="11900" w:orient="landscape"/>
          <w:pgMar w:top="1361" w:right="1021" w:bottom="1134" w:left="1021" w:header="720" w:footer="720" w:gutter="0"/>
          <w:cols w:space="720" w:num="1"/>
        </w:sectPr>
      </w:pPr>
    </w:p>
    <w:p/>
    <w:sectPr>
      <w:pgSz w:w="16840" w:h="11900" w:orient="landscape"/>
      <w:pgMar w:top="1361" w:right="1020" w:bottom="1361"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A73E9"/>
    <w:multiLevelType w:val="singleLevel"/>
    <w:tmpl w:val="A01A73E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hNzA5MWVmMGRhYmFhN2M1M2FlNGZiZWQ3YjlmOTQifQ=="/>
  </w:docVars>
  <w:rsids>
    <w:rsidRoot w:val="00E46C0E"/>
    <w:rsid w:val="00357449"/>
    <w:rsid w:val="006E014C"/>
    <w:rsid w:val="0097332D"/>
    <w:rsid w:val="00B577EE"/>
    <w:rsid w:val="00BD00F6"/>
    <w:rsid w:val="00D314E2"/>
    <w:rsid w:val="00E46C0E"/>
    <w:rsid w:val="00FB3E8D"/>
    <w:rsid w:val="015A0FD4"/>
    <w:rsid w:val="0876036B"/>
    <w:rsid w:val="0915197A"/>
    <w:rsid w:val="0C853DCB"/>
    <w:rsid w:val="0CE97902"/>
    <w:rsid w:val="0F815D42"/>
    <w:rsid w:val="13B136FE"/>
    <w:rsid w:val="166C604F"/>
    <w:rsid w:val="1DAE3172"/>
    <w:rsid w:val="1E1D38F7"/>
    <w:rsid w:val="1E3B5A75"/>
    <w:rsid w:val="1F0A076A"/>
    <w:rsid w:val="1FC527B5"/>
    <w:rsid w:val="23D05A31"/>
    <w:rsid w:val="246E64E6"/>
    <w:rsid w:val="24E33C29"/>
    <w:rsid w:val="2C7C232E"/>
    <w:rsid w:val="2DDB14E6"/>
    <w:rsid w:val="2F6621EA"/>
    <w:rsid w:val="312A71CC"/>
    <w:rsid w:val="37CD57D1"/>
    <w:rsid w:val="38764AB1"/>
    <w:rsid w:val="452543D8"/>
    <w:rsid w:val="48767E82"/>
    <w:rsid w:val="4D670AFF"/>
    <w:rsid w:val="512934FA"/>
    <w:rsid w:val="641104BB"/>
    <w:rsid w:val="660C79F6"/>
    <w:rsid w:val="689819A9"/>
    <w:rsid w:val="6DDB755A"/>
    <w:rsid w:val="6F4F2615"/>
    <w:rsid w:val="732B31DB"/>
    <w:rsid w:val="735E1204"/>
    <w:rsid w:val="744D3C1A"/>
    <w:rsid w:val="756F30B0"/>
    <w:rsid w:val="78CC1040"/>
    <w:rsid w:val="790277BE"/>
    <w:rsid w:val="79F74E69"/>
    <w:rsid w:val="7C066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toc 1"/>
    <w:basedOn w:val="1"/>
    <w:next w:val="1"/>
    <w:qFormat/>
    <w:uiPriority w:val="0"/>
    <w:pPr>
      <w:spacing w:before="120"/>
    </w:pPr>
    <w:rPr>
      <w:rFonts w:eastAsia="方正仿宋_GBK" w:cs="Times New Roman"/>
      <w:color w:val="000000"/>
      <w:sz w:val="28"/>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paragraph" w:styleId="7">
    <w:name w:val="Normal (Web)"/>
    <w:basedOn w:val="1"/>
    <w:qFormat/>
    <w:uiPriority w:val="0"/>
    <w:pPr>
      <w:spacing w:before="100" w:beforeAutospacing="1" w:after="100" w:afterAutospacing="1"/>
    </w:pPr>
    <w:rPr>
      <w:rFonts w:ascii="宋体" w:hAnsi="宋体" w:cs="宋体"/>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12">
    <w:name w:val="单元格样式23"/>
    <w:basedOn w:val="1"/>
    <w:qFormat/>
    <w:uiPriority w:val="0"/>
    <w:pPr>
      <w:jc w:val="right"/>
    </w:pPr>
    <w:rPr>
      <w:rFonts w:ascii="方正书宋_GBK" w:hAnsi="方正书宋_GBK" w:eastAsia="方正书宋_GBK" w:cs="方正书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22">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paragraph" w:customStyle="1" w:styleId="23">
    <w:name w:val="单元格样式22"/>
    <w:basedOn w:val="1"/>
    <w:qFormat/>
    <w:uiPriority w:val="99"/>
    <w:pPr>
      <w:jc w:val="right"/>
    </w:pPr>
    <w:rPr>
      <w:rFonts w:ascii="方正小标宋_GBK" w:hAnsi="方正小标宋_GBK" w:eastAsia="方正小标宋_GBK" w:cs="方正小标宋_GBK"/>
    </w:rPr>
  </w:style>
  <w:style w:type="paragraph" w:customStyle="1" w:styleId="24">
    <w:name w:val="单元格样式21"/>
    <w:basedOn w:val="1"/>
    <w:qFormat/>
    <w:uiPriority w:val="99"/>
    <w:pPr>
      <w:jc w:val="center"/>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99</Words>
  <Characters>109</Characters>
  <Lines>125</Lines>
  <Paragraphs>35</Paragraphs>
  <TotalTime>0</TotalTime>
  <ScaleCrop>false</ScaleCrop>
  <LinksUpToDate>false</LinksUpToDate>
  <CharactersWithSpaces>110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2022-02-16T11:37:00Z</dcterms:created>
  <dc:creator>lenovo</dc:creator>
  <cp:lastModifiedBy>xy</cp:lastModifiedBy>
  <dcterms:modified xsi:type="dcterms:W3CDTF">2025-03-04T08:27:31Z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8E1F5CC85BCE4621891FD1189F52FA19_13</vt:lpwstr>
  </property>
  <property fmtid="{D5CDD505-2E9C-101B-9397-08002B2CF9AE}" pid="4" name="KSOSaveFontToCloudKey">
    <vt:lpwstr>0_btnclosed</vt:lpwstr>
  </property>
</Properties>
</file>