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4A75C">
      <w:pPr>
        <w:jc w:val="left"/>
        <w:outlineLvl w:val="0"/>
        <w:rPr>
          <w:rFonts w:ascii="黑体" w:hAnsi="黑体" w:eastAsia="黑体"/>
          <w:sz w:val="32"/>
          <w:szCs w:val="32"/>
        </w:rPr>
      </w:pPr>
    </w:p>
    <w:p w14:paraId="1A9BF3D5">
      <w:pPr>
        <w:jc w:val="center"/>
        <w:outlineLvl w:val="0"/>
        <w:rPr>
          <w:rFonts w:ascii="方正小标宋简体" w:eastAsia="方正小标宋简体"/>
          <w:sz w:val="44"/>
          <w:szCs w:val="44"/>
        </w:rPr>
      </w:pPr>
      <w:r>
        <w:rPr>
          <w:rFonts w:hint="eastAsia" w:ascii="方正小标宋简体" w:eastAsia="方正小标宋简体"/>
          <w:sz w:val="44"/>
          <w:szCs w:val="44"/>
        </w:rPr>
        <w:t>涞水县民政局权责清单事项分表</w:t>
      </w:r>
    </w:p>
    <w:p w14:paraId="1039C1FD">
      <w:pPr>
        <w:jc w:val="center"/>
        <w:outlineLvl w:val="0"/>
        <w:rPr>
          <w:rFonts w:ascii="黑体" w:hAnsi="黑体" w:eastAsia="黑体"/>
          <w:sz w:val="36"/>
          <w:szCs w:val="36"/>
        </w:rPr>
      </w:pPr>
      <w:r>
        <w:rPr>
          <w:rFonts w:hint="eastAsia" w:ascii="黑体" w:hAnsi="黑体" w:eastAsia="黑体"/>
          <w:sz w:val="36"/>
          <w:szCs w:val="36"/>
        </w:rPr>
        <w:t>（共8类、22项）</w:t>
      </w:r>
    </w:p>
    <w:p w14:paraId="66A1EB9A">
      <w:pPr>
        <w:outlineLvl w:val="0"/>
        <w:rPr>
          <w:rFonts w:ascii="黑体" w:hAnsi="黑体" w:eastAsia="黑体"/>
          <w:sz w:val="32"/>
          <w:szCs w:val="32"/>
        </w:rPr>
      </w:pPr>
    </w:p>
    <w:tbl>
      <w:tblPr>
        <w:tblStyle w:val="8"/>
        <w:tblW w:w="15026" w:type="dxa"/>
        <w:tblInd w:w="-459" w:type="dxa"/>
        <w:tblLayout w:type="fixed"/>
        <w:tblCellMar>
          <w:top w:w="0" w:type="dxa"/>
          <w:left w:w="108" w:type="dxa"/>
          <w:bottom w:w="0" w:type="dxa"/>
          <w:right w:w="108" w:type="dxa"/>
        </w:tblCellMar>
      </w:tblPr>
      <w:tblGrid>
        <w:gridCol w:w="847"/>
        <w:gridCol w:w="1138"/>
        <w:gridCol w:w="1130"/>
        <w:gridCol w:w="1138"/>
        <w:gridCol w:w="2693"/>
        <w:gridCol w:w="3827"/>
        <w:gridCol w:w="3402"/>
        <w:gridCol w:w="851"/>
      </w:tblGrid>
      <w:tr w14:paraId="720F4071">
        <w:tblPrEx>
          <w:tblCellMar>
            <w:top w:w="0" w:type="dxa"/>
            <w:left w:w="108" w:type="dxa"/>
            <w:bottom w:w="0" w:type="dxa"/>
            <w:right w:w="108" w:type="dxa"/>
          </w:tblCellMar>
        </w:tblPrEx>
        <w:trPr>
          <w:trHeight w:val="490" w:hRule="atLeast"/>
          <w:tblHeader/>
        </w:trPr>
        <w:tc>
          <w:tcPr>
            <w:tcW w:w="847" w:type="dxa"/>
            <w:tcBorders>
              <w:top w:val="single" w:color="000000" w:sz="4" w:space="0"/>
              <w:left w:val="single" w:color="000000" w:sz="4" w:space="0"/>
              <w:bottom w:val="single" w:color="000000" w:sz="4" w:space="0"/>
              <w:right w:val="single" w:color="000000" w:sz="4" w:space="0"/>
            </w:tcBorders>
            <w:vAlign w:val="center"/>
          </w:tcPr>
          <w:p w14:paraId="2527C74C">
            <w:pPr>
              <w:autoSpaceDN w:val="0"/>
              <w:jc w:val="center"/>
              <w:textAlignment w:val="center"/>
              <w:rPr>
                <w:rFonts w:ascii="宋体" w:hAnsi="宋体" w:cs="仿宋_GB2312"/>
                <w:b/>
                <w:bCs/>
                <w:sz w:val="20"/>
                <w:szCs w:val="20"/>
              </w:rPr>
            </w:pPr>
            <w:r>
              <w:rPr>
                <w:rFonts w:hint="eastAsia" w:ascii="宋体" w:hAnsi="宋体" w:cs="仿宋_GB2312"/>
                <w:b/>
                <w:bCs/>
                <w:sz w:val="20"/>
                <w:szCs w:val="20"/>
              </w:rPr>
              <w:t>序号</w:t>
            </w:r>
          </w:p>
        </w:tc>
        <w:tc>
          <w:tcPr>
            <w:tcW w:w="1138" w:type="dxa"/>
            <w:tcBorders>
              <w:top w:val="single" w:color="000000" w:sz="4" w:space="0"/>
              <w:left w:val="single" w:color="000000" w:sz="4" w:space="0"/>
              <w:bottom w:val="single" w:color="000000" w:sz="4" w:space="0"/>
              <w:right w:val="single" w:color="000000" w:sz="4" w:space="0"/>
            </w:tcBorders>
            <w:vAlign w:val="center"/>
          </w:tcPr>
          <w:p w14:paraId="080F5D97">
            <w:pPr>
              <w:autoSpaceDN w:val="0"/>
              <w:jc w:val="center"/>
              <w:textAlignment w:val="center"/>
              <w:rPr>
                <w:rFonts w:ascii="宋体" w:hAnsi="宋体"/>
                <w:b/>
                <w:bCs/>
                <w:sz w:val="20"/>
                <w:szCs w:val="20"/>
              </w:rPr>
            </w:pPr>
            <w:r>
              <w:rPr>
                <w:rFonts w:hint="eastAsia" w:ascii="宋体" w:hAnsi="宋体" w:cs="仿宋_GB2312"/>
                <w:b/>
                <w:bCs/>
                <w:sz w:val="20"/>
                <w:szCs w:val="20"/>
              </w:rPr>
              <w:t>权力类别</w:t>
            </w:r>
          </w:p>
        </w:tc>
        <w:tc>
          <w:tcPr>
            <w:tcW w:w="1130" w:type="dxa"/>
            <w:tcBorders>
              <w:top w:val="single" w:color="000000" w:sz="4" w:space="0"/>
              <w:bottom w:val="single" w:color="000000" w:sz="4" w:space="0"/>
              <w:right w:val="single" w:color="000000" w:sz="4" w:space="0"/>
            </w:tcBorders>
            <w:vAlign w:val="center"/>
          </w:tcPr>
          <w:p w14:paraId="17E6B1F8">
            <w:pPr>
              <w:autoSpaceDN w:val="0"/>
              <w:jc w:val="center"/>
              <w:textAlignment w:val="center"/>
              <w:rPr>
                <w:rFonts w:ascii="宋体" w:hAnsi="宋体"/>
                <w:b/>
                <w:bCs/>
                <w:sz w:val="20"/>
                <w:szCs w:val="20"/>
              </w:rPr>
            </w:pPr>
            <w:r>
              <w:rPr>
                <w:rFonts w:hint="eastAsia" w:ascii="宋体" w:hAnsi="宋体" w:cs="仿宋_GB2312"/>
                <w:b/>
                <w:bCs/>
                <w:sz w:val="20"/>
                <w:szCs w:val="20"/>
              </w:rPr>
              <w:t>权力事项</w:t>
            </w:r>
          </w:p>
        </w:tc>
        <w:tc>
          <w:tcPr>
            <w:tcW w:w="1138" w:type="dxa"/>
            <w:tcBorders>
              <w:top w:val="single" w:color="000000" w:sz="4" w:space="0"/>
              <w:bottom w:val="single" w:color="000000" w:sz="4" w:space="0"/>
              <w:right w:val="single" w:color="000000" w:sz="4" w:space="0"/>
            </w:tcBorders>
            <w:vAlign w:val="center"/>
          </w:tcPr>
          <w:p w14:paraId="5D2E0BC4">
            <w:pPr>
              <w:autoSpaceDN w:val="0"/>
              <w:jc w:val="center"/>
              <w:textAlignment w:val="center"/>
              <w:rPr>
                <w:rFonts w:ascii="宋体" w:hAnsi="宋体"/>
                <w:b/>
                <w:bCs/>
                <w:sz w:val="20"/>
                <w:szCs w:val="20"/>
              </w:rPr>
            </w:pPr>
            <w:r>
              <w:rPr>
                <w:rFonts w:hint="eastAsia" w:ascii="宋体" w:hAnsi="宋体" w:cs="仿宋_GB2312"/>
                <w:b/>
                <w:bCs/>
                <w:sz w:val="20"/>
                <w:szCs w:val="20"/>
              </w:rPr>
              <w:t>行政主体</w:t>
            </w:r>
          </w:p>
        </w:tc>
        <w:tc>
          <w:tcPr>
            <w:tcW w:w="2693" w:type="dxa"/>
            <w:tcBorders>
              <w:top w:val="single" w:color="000000" w:sz="4" w:space="0"/>
              <w:bottom w:val="single" w:color="000000" w:sz="4" w:space="0"/>
              <w:right w:val="single" w:color="000000" w:sz="4" w:space="0"/>
            </w:tcBorders>
            <w:vAlign w:val="center"/>
          </w:tcPr>
          <w:p w14:paraId="04390AE1">
            <w:pPr>
              <w:autoSpaceDN w:val="0"/>
              <w:jc w:val="center"/>
              <w:textAlignment w:val="center"/>
              <w:rPr>
                <w:rFonts w:ascii="宋体" w:hAnsi="宋体"/>
                <w:b/>
                <w:bCs/>
                <w:sz w:val="20"/>
                <w:szCs w:val="20"/>
              </w:rPr>
            </w:pPr>
            <w:r>
              <w:rPr>
                <w:rFonts w:hint="eastAsia" w:ascii="宋体" w:hAnsi="宋体" w:cs="仿宋_GB2312"/>
                <w:b/>
                <w:bCs/>
                <w:sz w:val="20"/>
                <w:szCs w:val="20"/>
              </w:rPr>
              <w:t>实施依据</w:t>
            </w:r>
          </w:p>
        </w:tc>
        <w:tc>
          <w:tcPr>
            <w:tcW w:w="3827" w:type="dxa"/>
            <w:tcBorders>
              <w:top w:val="single" w:color="000000" w:sz="4" w:space="0"/>
              <w:bottom w:val="single" w:color="000000" w:sz="4" w:space="0"/>
              <w:right w:val="single" w:color="000000" w:sz="4" w:space="0"/>
            </w:tcBorders>
            <w:vAlign w:val="center"/>
          </w:tcPr>
          <w:p w14:paraId="5AB2A397">
            <w:pPr>
              <w:autoSpaceDN w:val="0"/>
              <w:jc w:val="center"/>
              <w:textAlignment w:val="center"/>
              <w:rPr>
                <w:rFonts w:ascii="宋体" w:hAnsi="宋体"/>
                <w:b/>
                <w:bCs/>
                <w:sz w:val="20"/>
                <w:szCs w:val="20"/>
              </w:rPr>
            </w:pPr>
            <w:r>
              <w:rPr>
                <w:rFonts w:hint="eastAsia" w:ascii="宋体" w:hAnsi="宋体" w:cs="仿宋_GB2312"/>
                <w:b/>
                <w:bCs/>
                <w:sz w:val="20"/>
                <w:szCs w:val="20"/>
              </w:rPr>
              <w:t>责任事项</w:t>
            </w:r>
          </w:p>
        </w:tc>
        <w:tc>
          <w:tcPr>
            <w:tcW w:w="3402" w:type="dxa"/>
            <w:tcBorders>
              <w:top w:val="single" w:color="000000" w:sz="4" w:space="0"/>
              <w:bottom w:val="single" w:color="000000" w:sz="4" w:space="0"/>
              <w:right w:val="single" w:color="000000" w:sz="4" w:space="0"/>
            </w:tcBorders>
            <w:vAlign w:val="center"/>
          </w:tcPr>
          <w:p w14:paraId="2A27254A">
            <w:pPr>
              <w:autoSpaceDN w:val="0"/>
              <w:jc w:val="center"/>
              <w:textAlignment w:val="center"/>
              <w:rPr>
                <w:rFonts w:ascii="宋体" w:hAnsi="宋体"/>
                <w:b/>
                <w:bCs/>
                <w:sz w:val="20"/>
                <w:szCs w:val="20"/>
              </w:rPr>
            </w:pPr>
            <w:r>
              <w:rPr>
                <w:rFonts w:hint="eastAsia" w:ascii="宋体" w:hAnsi="宋体" w:cs="仿宋_GB2312"/>
                <w:b/>
                <w:bCs/>
                <w:sz w:val="20"/>
                <w:szCs w:val="20"/>
              </w:rPr>
              <w:t>追责情形</w:t>
            </w:r>
          </w:p>
        </w:tc>
        <w:tc>
          <w:tcPr>
            <w:tcW w:w="851" w:type="dxa"/>
            <w:tcBorders>
              <w:top w:val="single" w:color="000000" w:sz="4" w:space="0"/>
              <w:bottom w:val="single" w:color="000000" w:sz="4" w:space="0"/>
              <w:right w:val="single" w:color="000000" w:sz="4" w:space="0"/>
            </w:tcBorders>
            <w:vAlign w:val="center"/>
          </w:tcPr>
          <w:p w14:paraId="7187DD7C">
            <w:pPr>
              <w:autoSpaceDN w:val="0"/>
              <w:jc w:val="center"/>
              <w:textAlignment w:val="center"/>
              <w:rPr>
                <w:rFonts w:ascii="宋体" w:hAnsi="宋体"/>
                <w:b/>
                <w:bCs/>
                <w:sz w:val="20"/>
                <w:szCs w:val="20"/>
              </w:rPr>
            </w:pPr>
            <w:r>
              <w:rPr>
                <w:rFonts w:hint="eastAsia" w:ascii="宋体" w:hAnsi="宋体" w:cs="仿宋_GB2312"/>
                <w:b/>
                <w:bCs/>
                <w:sz w:val="20"/>
                <w:szCs w:val="20"/>
              </w:rPr>
              <w:t>备注</w:t>
            </w:r>
          </w:p>
        </w:tc>
      </w:tr>
      <w:tr w14:paraId="21495541">
        <w:tblPrEx>
          <w:tblCellMar>
            <w:top w:w="0" w:type="dxa"/>
            <w:left w:w="108" w:type="dxa"/>
            <w:bottom w:w="0" w:type="dxa"/>
            <w:right w:w="108" w:type="dxa"/>
          </w:tblCellMar>
        </w:tblPrEx>
        <w:trPr>
          <w:trHeight w:val="2850" w:hRule="atLeast"/>
        </w:trPr>
        <w:tc>
          <w:tcPr>
            <w:tcW w:w="847" w:type="dxa"/>
            <w:tcBorders>
              <w:left w:val="single" w:color="000000" w:sz="4" w:space="0"/>
              <w:bottom w:val="single" w:color="000000" w:sz="4" w:space="0"/>
              <w:right w:val="single" w:color="000000" w:sz="4" w:space="0"/>
            </w:tcBorders>
            <w:vAlign w:val="center"/>
          </w:tcPr>
          <w:p w14:paraId="1DB7093B">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1</w:t>
            </w:r>
          </w:p>
        </w:tc>
        <w:tc>
          <w:tcPr>
            <w:tcW w:w="1138" w:type="dxa"/>
            <w:tcBorders>
              <w:left w:val="single" w:color="000000" w:sz="4" w:space="0"/>
              <w:bottom w:val="single" w:color="000000" w:sz="4" w:space="0"/>
              <w:right w:val="single" w:color="000000" w:sz="4" w:space="0"/>
            </w:tcBorders>
            <w:vAlign w:val="center"/>
          </w:tcPr>
          <w:p w14:paraId="05E525BA">
            <w:pPr>
              <w:autoSpaceDN w:val="0"/>
              <w:jc w:val="center"/>
              <w:textAlignment w:val="center"/>
              <w:rPr>
                <w:rFonts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行政处罚</w:t>
            </w:r>
          </w:p>
        </w:tc>
        <w:tc>
          <w:tcPr>
            <w:tcW w:w="1130" w:type="dxa"/>
            <w:tcBorders>
              <w:bottom w:val="single" w:color="000000" w:sz="4" w:space="0"/>
              <w:right w:val="single" w:color="000000" w:sz="4" w:space="0"/>
            </w:tcBorders>
            <w:vAlign w:val="center"/>
          </w:tcPr>
          <w:p w14:paraId="707584D6">
            <w:pPr>
              <w:rPr>
                <w:rFonts w:asciiTheme="minorEastAsia" w:hAnsiTheme="minorEastAsia"/>
                <w:color w:val="000000" w:themeColor="text1"/>
                <w:kern w:val="0"/>
                <w:szCs w:val="21"/>
                <w14:textFill>
                  <w14:solidFill>
                    <w14:schemeClr w14:val="tx1"/>
                  </w14:solidFill>
                </w14:textFill>
              </w:rPr>
            </w:pPr>
            <w:r>
              <w:rPr>
                <w:rFonts w:hint="eastAsia" w:ascii="宋体" w:hAnsi="宋体" w:cs="仿宋_GB2312"/>
                <w:kern w:val="0"/>
              </w:rPr>
              <w:t>对行政区域界线违法的处罚</w:t>
            </w:r>
          </w:p>
        </w:tc>
        <w:tc>
          <w:tcPr>
            <w:tcW w:w="1138" w:type="dxa"/>
            <w:tcBorders>
              <w:bottom w:val="single" w:color="000000" w:sz="4" w:space="0"/>
              <w:right w:val="single" w:color="000000" w:sz="4" w:space="0"/>
            </w:tcBorders>
            <w:vAlign w:val="center"/>
          </w:tcPr>
          <w:p w14:paraId="4DC0B305">
            <w:pPr>
              <w:widowControl/>
              <w:jc w:val="center"/>
              <w:rPr>
                <w:rFonts w:asciiTheme="minorEastAsia" w:hAnsiTheme="minorEastAsia"/>
                <w:color w:val="000000" w:themeColor="text1"/>
                <w:kern w:val="0"/>
                <w:szCs w:val="21"/>
                <w14:textFill>
                  <w14:solidFill>
                    <w14:schemeClr w14:val="tx1"/>
                  </w14:solidFill>
                </w14:textFill>
              </w:rPr>
            </w:pPr>
            <w:r>
              <w:rPr>
                <w:rFonts w:hint="eastAsia" w:cs="仿宋_GB2312" w:asciiTheme="minorEastAsia" w:hAnsiTheme="minorEastAsia"/>
                <w:color w:val="000000" w:themeColor="text1"/>
                <w:kern w:val="0"/>
                <w:szCs w:val="21"/>
                <w14:textFill>
                  <w14:solidFill>
                    <w14:schemeClr w14:val="tx1"/>
                  </w14:solidFill>
                </w14:textFill>
              </w:rPr>
              <w:t>涞水县民政局</w:t>
            </w:r>
          </w:p>
        </w:tc>
        <w:tc>
          <w:tcPr>
            <w:tcW w:w="2693" w:type="dxa"/>
            <w:tcBorders>
              <w:bottom w:val="single" w:color="000000" w:sz="4" w:space="0"/>
              <w:right w:val="single" w:color="000000" w:sz="4" w:space="0"/>
            </w:tcBorders>
            <w:vAlign w:val="center"/>
          </w:tcPr>
          <w:p w14:paraId="13C99087">
            <w:pPr>
              <w:widowControl/>
              <w:shd w:val="clear" w:color="auto" w:fill="FFFFFF"/>
              <w:jc w:val="left"/>
              <w:rPr>
                <w:rFonts w:asciiTheme="minorEastAsia" w:hAnsiTheme="minorEastAsia"/>
                <w:color w:val="000000" w:themeColor="text1"/>
                <w:kern w:val="0"/>
                <w:szCs w:val="21"/>
                <w14:textFill>
                  <w14:solidFill>
                    <w14:schemeClr w14:val="tx1"/>
                  </w14:solidFill>
                </w14:textFill>
              </w:rPr>
            </w:pPr>
            <w:r>
              <w:rPr>
                <w:rFonts w:hint="eastAsia" w:ascii="宋体" w:hAnsi="宋体" w:cs="仿宋_GB2312"/>
                <w:kern w:val="0"/>
              </w:rPr>
              <w:t>《行政区域界线管理条例》</w:t>
            </w:r>
            <w:r>
              <w:rPr>
                <w:rFonts w:ascii="宋体" w:hAnsi="宋体" w:cs="仿宋_GB2312"/>
                <w:kern w:val="0"/>
              </w:rPr>
              <w:t>&lt;2002</w:t>
            </w:r>
            <w:r>
              <w:rPr>
                <w:rFonts w:hint="eastAsia" w:ascii="宋体" w:hAnsi="宋体" w:cs="仿宋_GB2312"/>
                <w:kern w:val="0"/>
              </w:rPr>
              <w:t>年</w:t>
            </w:r>
            <w:r>
              <w:rPr>
                <w:rFonts w:ascii="宋体" w:hAnsi="宋体" w:cs="仿宋_GB2312"/>
                <w:kern w:val="0"/>
              </w:rPr>
              <w:t>5</w:t>
            </w:r>
            <w:r>
              <w:rPr>
                <w:rFonts w:hint="eastAsia" w:ascii="宋体" w:hAnsi="宋体" w:cs="仿宋_GB2312"/>
                <w:kern w:val="0"/>
              </w:rPr>
              <w:t>月</w:t>
            </w:r>
            <w:r>
              <w:rPr>
                <w:rFonts w:ascii="宋体" w:hAnsi="宋体" w:cs="仿宋_GB2312"/>
                <w:kern w:val="0"/>
              </w:rPr>
              <w:t>13</w:t>
            </w:r>
            <w:r>
              <w:rPr>
                <w:rFonts w:hint="eastAsia" w:ascii="宋体" w:hAnsi="宋体" w:cs="仿宋_GB2312"/>
                <w:kern w:val="0"/>
              </w:rPr>
              <w:t>日发布、</w:t>
            </w:r>
            <w:r>
              <w:rPr>
                <w:rFonts w:ascii="宋体" w:hAnsi="宋体" w:cs="仿宋_GB2312"/>
                <w:kern w:val="0"/>
              </w:rPr>
              <w:t>2002</w:t>
            </w:r>
            <w:r>
              <w:rPr>
                <w:rFonts w:hint="eastAsia" w:ascii="宋体" w:hAnsi="宋体" w:cs="仿宋_GB2312"/>
                <w:kern w:val="0"/>
              </w:rPr>
              <w:t>年</w:t>
            </w:r>
            <w:r>
              <w:rPr>
                <w:rFonts w:ascii="宋体" w:hAnsi="宋体" w:cs="仿宋_GB2312"/>
                <w:kern w:val="0"/>
              </w:rPr>
              <w:t>7</w:t>
            </w:r>
            <w:r>
              <w:rPr>
                <w:rFonts w:hint="eastAsia" w:ascii="宋体" w:hAnsi="宋体" w:cs="仿宋_GB2312"/>
                <w:kern w:val="0"/>
              </w:rPr>
              <w:t>月</w:t>
            </w:r>
            <w:r>
              <w:rPr>
                <w:rFonts w:ascii="宋体" w:hAnsi="宋体" w:cs="仿宋_GB2312"/>
                <w:kern w:val="0"/>
              </w:rPr>
              <w:t>1</w:t>
            </w:r>
            <w:r>
              <w:rPr>
                <w:rFonts w:hint="eastAsia" w:ascii="宋体" w:hAnsi="宋体" w:cs="仿宋_GB2312"/>
                <w:kern w:val="0"/>
              </w:rPr>
              <w:t>日起施行</w:t>
            </w:r>
            <w:r>
              <w:rPr>
                <w:rFonts w:ascii="宋体" w:hAnsi="宋体" w:cs="仿宋_GB2312"/>
                <w:kern w:val="0"/>
              </w:rPr>
              <w:t>&gt;</w:t>
            </w:r>
            <w:r>
              <w:rPr>
                <w:rFonts w:hint="eastAsia" w:ascii="宋体" w:hAnsi="宋体" w:cs="仿宋_GB2312"/>
                <w:kern w:val="0"/>
              </w:rPr>
              <w:t>第十七条“违反本条例的规定，故意损毁或者擅自移动界桩或者其他行政区域界线标志物的，应当支付修复标志物的费用，并由所在地负责管理该行政区域界线标志的人民政府民政部门处</w:t>
            </w:r>
            <w:r>
              <w:rPr>
                <w:rFonts w:ascii="宋体" w:hAnsi="宋体" w:cs="仿宋_GB2312"/>
                <w:kern w:val="0"/>
              </w:rPr>
              <w:t>1000</w:t>
            </w:r>
            <w:r>
              <w:rPr>
                <w:rFonts w:hint="eastAsia" w:ascii="宋体" w:hAnsi="宋体" w:cs="仿宋_GB2312"/>
                <w:kern w:val="0"/>
              </w:rPr>
              <w:t>元以下罚款</w:t>
            </w:r>
            <w:r>
              <w:rPr>
                <w:rFonts w:ascii="宋体" w:hAnsi="宋体" w:cs="仿宋_GB2312"/>
                <w:kern w:val="0"/>
              </w:rPr>
              <w:t>.</w:t>
            </w:r>
          </w:p>
        </w:tc>
        <w:tc>
          <w:tcPr>
            <w:tcW w:w="3827" w:type="dxa"/>
            <w:tcBorders>
              <w:bottom w:val="single" w:color="000000" w:sz="4" w:space="0"/>
              <w:right w:val="single" w:color="000000" w:sz="4" w:space="0"/>
            </w:tcBorders>
            <w:vAlign w:val="center"/>
          </w:tcPr>
          <w:p w14:paraId="61C81C1F">
            <w:pPr>
              <w:widowControl/>
              <w:jc w:val="left"/>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1、立案责任：发现涉嫌违法行为（或者其他部门移送的违法案件等），予以审查，决定是否立案。</w:t>
            </w:r>
          </w:p>
          <w:p w14:paraId="397AFD17">
            <w:pPr>
              <w:widowControl/>
              <w:jc w:val="left"/>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2、调查责任：对立案的案件，指定专人负责，及时组织调查取证，与当事人有直接利害关系的应当回避。执法人员不得少于两人，调查时应出示执法证件，允许当事人辩解陈述。执法人员应保守有关秘密。</w:t>
            </w:r>
          </w:p>
          <w:p w14:paraId="7F07B02F">
            <w:pPr>
              <w:widowControl/>
              <w:jc w:val="left"/>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p>
          <w:p w14:paraId="0F3B83A4">
            <w:pPr>
              <w:widowControl/>
              <w:jc w:val="left"/>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4、告知责任：作出行政处罚前，应制作《行政处罚告知书》送达当事人，告知违法事实及其享有的陈述、申辩等权利。符合听证规定的，制作并送达《行政处罚听证告知书》。</w:t>
            </w:r>
          </w:p>
          <w:p w14:paraId="0F39F6B6">
            <w:pPr>
              <w:widowControl/>
              <w:jc w:val="left"/>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5、决定责任：制作行政处罚决定书，载明行政处罚告知、当事人陈述申辩或者听证情况等内容。</w:t>
            </w:r>
          </w:p>
          <w:p w14:paraId="76B084C7">
            <w:pPr>
              <w:widowControl/>
              <w:jc w:val="left"/>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6、送达责任：行政处罚决定书按法律规定的方式送达当事人。</w:t>
            </w:r>
          </w:p>
          <w:p w14:paraId="13CCEF89">
            <w:pPr>
              <w:widowControl/>
              <w:jc w:val="left"/>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7、执行责任：依照生效的行政处罚决定，进行处罚。</w:t>
            </w:r>
          </w:p>
          <w:p w14:paraId="66FCDE2C">
            <w:pPr>
              <w:widowControl/>
              <w:jc w:val="left"/>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8、其他法律法规规章文件规定应履行的责任。</w:t>
            </w:r>
          </w:p>
        </w:tc>
        <w:tc>
          <w:tcPr>
            <w:tcW w:w="3402" w:type="dxa"/>
            <w:tcBorders>
              <w:bottom w:val="single" w:color="000000" w:sz="4" w:space="0"/>
              <w:right w:val="single" w:color="000000" w:sz="4" w:space="0"/>
            </w:tcBorders>
            <w:vAlign w:val="center"/>
          </w:tcPr>
          <w:p w14:paraId="3260D123">
            <w:pPr>
              <w:widowControl/>
              <w:jc w:val="left"/>
              <w:rPr>
                <w:rFonts w:asciiTheme="minorEastAsia" w:hAnsiTheme="minorEastAsia"/>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因不履行或不正确履行行政职责，有下列情形的，行政机关及相关工作人员应承担相应责任：</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1、没有法律和事实依据实施行政处罚的；</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2、行政处罚显失公正的；</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3、执法人员玩忽职守，对应当予以制止和处罚的违法行为不予制止、处罚的；</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4、不具备行政执法资格实施行政处罚的；</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5、在制止以及查处违法案件中受阻，依照有关规定应当向本级人民政府或者上级主管部门报告而未报告的；</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6、应当依法移送追究刑事责任，而未依法移送有权机关的；</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7、擅自改变行政处罚种类、幅度的；</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8、违反法定的行政处罚程序的；</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9、符合听证条件、行政管理相对人要求听证，应予组织听证而不组织听证的；</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10、在行政处罚过程中发生腐败行为的；</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11、其他违反法律法规规章文件规定的行为。</w:t>
            </w:r>
          </w:p>
        </w:tc>
        <w:tc>
          <w:tcPr>
            <w:tcW w:w="851" w:type="dxa"/>
            <w:tcBorders>
              <w:bottom w:val="single" w:color="000000" w:sz="4" w:space="0"/>
              <w:right w:val="single" w:color="000000" w:sz="4" w:space="0"/>
            </w:tcBorders>
            <w:vAlign w:val="center"/>
          </w:tcPr>
          <w:p w14:paraId="13B98FC0">
            <w:pPr>
              <w:autoSpaceDN w:val="0"/>
              <w:textAlignment w:val="center"/>
              <w:rPr>
                <w:rFonts w:ascii="宋体" w:hAnsi="宋体"/>
                <w:sz w:val="20"/>
                <w:szCs w:val="20"/>
              </w:rPr>
            </w:pPr>
          </w:p>
        </w:tc>
      </w:tr>
      <w:tr w14:paraId="2777DF46">
        <w:tblPrEx>
          <w:tblCellMar>
            <w:top w:w="0" w:type="dxa"/>
            <w:left w:w="108" w:type="dxa"/>
            <w:bottom w:w="0" w:type="dxa"/>
            <w:right w:w="108" w:type="dxa"/>
          </w:tblCellMar>
        </w:tblPrEx>
        <w:trPr>
          <w:trHeight w:val="2850" w:hRule="atLeast"/>
        </w:trPr>
        <w:tc>
          <w:tcPr>
            <w:tcW w:w="847" w:type="dxa"/>
            <w:tcBorders>
              <w:left w:val="single" w:color="000000" w:sz="4" w:space="0"/>
              <w:bottom w:val="single" w:color="000000" w:sz="4" w:space="0"/>
              <w:right w:val="single" w:color="000000" w:sz="4" w:space="0"/>
            </w:tcBorders>
            <w:vAlign w:val="center"/>
          </w:tcPr>
          <w:p w14:paraId="015C50A4">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2</w:t>
            </w:r>
          </w:p>
        </w:tc>
        <w:tc>
          <w:tcPr>
            <w:tcW w:w="1138" w:type="dxa"/>
            <w:tcBorders>
              <w:left w:val="single" w:color="000000" w:sz="4" w:space="0"/>
              <w:bottom w:val="single" w:color="000000" w:sz="4" w:space="0"/>
              <w:right w:val="single" w:color="000000" w:sz="4" w:space="0"/>
            </w:tcBorders>
            <w:vAlign w:val="center"/>
          </w:tcPr>
          <w:p w14:paraId="6A25F8BD">
            <w:pPr>
              <w:autoSpaceDN w:val="0"/>
              <w:jc w:val="center"/>
              <w:textAlignment w:val="center"/>
              <w:rPr>
                <w:rFonts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行政处罚</w:t>
            </w:r>
          </w:p>
        </w:tc>
        <w:tc>
          <w:tcPr>
            <w:tcW w:w="1130" w:type="dxa"/>
            <w:tcBorders>
              <w:bottom w:val="single" w:color="000000" w:sz="4" w:space="0"/>
              <w:right w:val="single" w:color="000000" w:sz="4" w:space="0"/>
            </w:tcBorders>
            <w:vAlign w:val="center"/>
          </w:tcPr>
          <w:p w14:paraId="2BEA2233">
            <w:pPr>
              <w:autoSpaceDN w:val="0"/>
              <w:jc w:val="center"/>
              <w:textAlignment w:val="center"/>
              <w:rPr>
                <w:rFonts w:cs="仿宋_GB2312" w:asciiTheme="minorEastAsia" w:hAnsiTheme="minorEastAsia"/>
                <w:color w:val="000000" w:themeColor="text1"/>
                <w:kern w:val="0"/>
                <w:szCs w:val="21"/>
                <w14:textFill>
                  <w14:solidFill>
                    <w14:schemeClr w14:val="tx1"/>
                  </w14:solidFill>
                </w14:textFill>
              </w:rPr>
            </w:pPr>
            <w:r>
              <w:rPr>
                <w:rFonts w:hint="eastAsia" w:ascii="宋体" w:hAnsi="宋体" w:cs="仿宋_GB2312"/>
                <w:kern w:val="0"/>
              </w:rPr>
              <w:t>对违反地名管理规定的处罚</w:t>
            </w:r>
          </w:p>
        </w:tc>
        <w:tc>
          <w:tcPr>
            <w:tcW w:w="1138" w:type="dxa"/>
            <w:tcBorders>
              <w:bottom w:val="single" w:color="000000" w:sz="4" w:space="0"/>
              <w:right w:val="single" w:color="000000" w:sz="4" w:space="0"/>
            </w:tcBorders>
            <w:vAlign w:val="center"/>
          </w:tcPr>
          <w:p w14:paraId="0C3E9322">
            <w:pPr>
              <w:autoSpaceDN w:val="0"/>
              <w:jc w:val="center"/>
              <w:textAlignment w:val="center"/>
              <w:rPr>
                <w:rFonts w:asciiTheme="minorEastAsia" w:hAnsiTheme="minorEastAsia"/>
                <w:color w:val="000000" w:themeColor="text1"/>
                <w:kern w:val="0"/>
                <w:szCs w:val="21"/>
                <w14:textFill>
                  <w14:solidFill>
                    <w14:schemeClr w14:val="tx1"/>
                  </w14:solidFill>
                </w14:textFill>
              </w:rPr>
            </w:pPr>
            <w:r>
              <w:rPr>
                <w:rFonts w:hint="eastAsia" w:cs="仿宋_GB2312" w:asciiTheme="minorEastAsia" w:hAnsiTheme="minorEastAsia"/>
                <w:color w:val="000000" w:themeColor="text1"/>
                <w:kern w:val="0"/>
                <w:szCs w:val="21"/>
                <w14:textFill>
                  <w14:solidFill>
                    <w14:schemeClr w14:val="tx1"/>
                  </w14:solidFill>
                </w14:textFill>
              </w:rPr>
              <w:t>涞水县民政局</w:t>
            </w:r>
          </w:p>
        </w:tc>
        <w:tc>
          <w:tcPr>
            <w:tcW w:w="2693" w:type="dxa"/>
            <w:tcBorders>
              <w:bottom w:val="single" w:color="000000" w:sz="4" w:space="0"/>
              <w:right w:val="single" w:color="000000" w:sz="4" w:space="0"/>
            </w:tcBorders>
            <w:vAlign w:val="center"/>
          </w:tcPr>
          <w:p w14:paraId="72907746">
            <w:pPr>
              <w:rPr>
                <w:rFonts w:asciiTheme="minorEastAsia" w:hAnsiTheme="minorEastAsia"/>
                <w:color w:val="000000" w:themeColor="text1"/>
                <w:kern w:val="0"/>
                <w:szCs w:val="21"/>
                <w14:textFill>
                  <w14:solidFill>
                    <w14:schemeClr w14:val="tx1"/>
                  </w14:solidFill>
                </w14:textFill>
              </w:rPr>
            </w:pPr>
            <w:r>
              <w:rPr>
                <w:rFonts w:hint="eastAsia" w:ascii="宋体" w:hAnsi="宋体" w:cs="仿宋_GB2312"/>
                <w:kern w:val="0"/>
              </w:rPr>
              <w:t>《河北省地名管理规定》</w:t>
            </w:r>
            <w:r>
              <w:rPr>
                <w:rFonts w:ascii="宋体" w:hAnsi="宋体" w:cs="仿宋_GB2312"/>
                <w:kern w:val="0"/>
              </w:rPr>
              <w:t>&lt;2010</w:t>
            </w:r>
            <w:r>
              <w:rPr>
                <w:rFonts w:hint="eastAsia" w:ascii="宋体" w:hAnsi="宋体" w:cs="仿宋_GB2312"/>
                <w:kern w:val="0"/>
              </w:rPr>
              <w:t>年</w:t>
            </w:r>
            <w:r>
              <w:rPr>
                <w:rFonts w:ascii="宋体" w:hAnsi="宋体" w:cs="仿宋_GB2312"/>
                <w:kern w:val="0"/>
              </w:rPr>
              <w:t>11</w:t>
            </w:r>
            <w:r>
              <w:rPr>
                <w:rFonts w:hint="eastAsia" w:ascii="宋体" w:hAnsi="宋体" w:cs="仿宋_GB2312"/>
                <w:kern w:val="0"/>
              </w:rPr>
              <w:t>月</w:t>
            </w:r>
            <w:r>
              <w:rPr>
                <w:rFonts w:ascii="宋体" w:hAnsi="宋体" w:cs="仿宋_GB2312"/>
                <w:kern w:val="0"/>
              </w:rPr>
              <w:t>3</w:t>
            </w:r>
            <w:r>
              <w:rPr>
                <w:rFonts w:hint="eastAsia" w:ascii="宋体" w:hAnsi="宋体" w:cs="仿宋_GB2312"/>
                <w:kern w:val="0"/>
              </w:rPr>
              <w:t>日发布、</w:t>
            </w:r>
            <w:r>
              <w:rPr>
                <w:rFonts w:ascii="宋体" w:hAnsi="宋体" w:cs="仿宋_GB2312"/>
                <w:kern w:val="0"/>
              </w:rPr>
              <w:t>2011</w:t>
            </w:r>
            <w:r>
              <w:rPr>
                <w:rFonts w:hint="eastAsia" w:ascii="宋体" w:hAnsi="宋体" w:cs="仿宋_GB2312"/>
                <w:kern w:val="0"/>
              </w:rPr>
              <w:t>年</w:t>
            </w:r>
            <w:r>
              <w:rPr>
                <w:rFonts w:ascii="宋体" w:hAnsi="宋体" w:cs="仿宋_GB2312"/>
                <w:kern w:val="0"/>
              </w:rPr>
              <w:t>1</w:t>
            </w:r>
            <w:r>
              <w:rPr>
                <w:rFonts w:hint="eastAsia" w:ascii="宋体" w:hAnsi="宋体" w:cs="仿宋_GB2312"/>
                <w:kern w:val="0"/>
              </w:rPr>
              <w:t>月</w:t>
            </w:r>
            <w:r>
              <w:rPr>
                <w:rFonts w:ascii="宋体" w:hAnsi="宋体" w:cs="仿宋_GB2312"/>
                <w:kern w:val="0"/>
              </w:rPr>
              <w:t>1</w:t>
            </w:r>
            <w:r>
              <w:rPr>
                <w:rFonts w:hint="eastAsia" w:ascii="宋体" w:hAnsi="宋体" w:cs="仿宋_GB2312"/>
                <w:kern w:val="0"/>
              </w:rPr>
              <w:t>日起施行</w:t>
            </w:r>
            <w:r>
              <w:rPr>
                <w:rFonts w:ascii="宋体" w:hAnsi="宋体" w:cs="仿宋_GB2312"/>
                <w:kern w:val="0"/>
              </w:rPr>
              <w:t>&gt;</w:t>
            </w:r>
            <w:r>
              <w:rPr>
                <w:rFonts w:hint="eastAsia" w:ascii="宋体" w:hAnsi="宋体" w:cs="仿宋_GB2312"/>
                <w:kern w:val="0"/>
              </w:rPr>
              <w:t>“违反本规定，有下列行为之一的，由民政部门责令限期改正，并处以二百元以上一千元以下罚款：（一）擅自命名、更名地名的……</w:t>
            </w:r>
          </w:p>
        </w:tc>
        <w:tc>
          <w:tcPr>
            <w:tcW w:w="3827" w:type="dxa"/>
            <w:tcBorders>
              <w:bottom w:val="single" w:color="000000" w:sz="4" w:space="0"/>
              <w:right w:val="single" w:color="000000" w:sz="4" w:space="0"/>
            </w:tcBorders>
            <w:vAlign w:val="center"/>
          </w:tcPr>
          <w:p w14:paraId="41AD835E">
            <w:pPr>
              <w:widowControl/>
              <w:jc w:val="left"/>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1、立案责任：发现涉嫌违法行为（或者其他部门移送的违法案件等），予以审查，决定是否立案。</w:t>
            </w:r>
          </w:p>
          <w:p w14:paraId="15B1CE7E">
            <w:pPr>
              <w:widowControl/>
              <w:jc w:val="left"/>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2、调查责任：对立案的案件，指定专人负责，及时组织调查取证，与当事人有直接利害关系的应当回避。执法人员不得少于两人，调查时应出示执法证件，允许当事人辩解陈述。执法人员应保守有关秘密。</w:t>
            </w:r>
          </w:p>
          <w:p w14:paraId="13B73B0B">
            <w:pPr>
              <w:widowControl/>
              <w:jc w:val="left"/>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p>
          <w:p w14:paraId="40FA28D4">
            <w:pPr>
              <w:widowControl/>
              <w:jc w:val="left"/>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4、告知责任：作出行政处罚前，应制作《行政处罚告知书》送达当事人，告知违法事实及其享有的陈述、申辩等权利。符合听证规定的，制作并送达《行政处罚听证告知书》。</w:t>
            </w:r>
          </w:p>
          <w:p w14:paraId="02449224">
            <w:pPr>
              <w:widowControl/>
              <w:jc w:val="left"/>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5、决定责任：制作行政处罚决定书，载明行政处罚告知、当事人陈述申辩或者听证情况等内容。</w:t>
            </w:r>
          </w:p>
          <w:p w14:paraId="58866B69">
            <w:pPr>
              <w:widowControl/>
              <w:jc w:val="left"/>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6、送达责任：行政处罚决定书按法律规定的方式送达当事人。</w:t>
            </w:r>
          </w:p>
          <w:p w14:paraId="78BBBA9C">
            <w:pPr>
              <w:widowControl/>
              <w:jc w:val="left"/>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7、执行责任：依照生效的行政处罚决定，进行处罚。</w:t>
            </w:r>
          </w:p>
          <w:p w14:paraId="5D195EEA">
            <w:pPr>
              <w:widowControl/>
              <w:jc w:val="left"/>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8、其他法律法规规章文件规定应履行的责任。</w:t>
            </w:r>
          </w:p>
        </w:tc>
        <w:tc>
          <w:tcPr>
            <w:tcW w:w="3402" w:type="dxa"/>
            <w:tcBorders>
              <w:bottom w:val="single" w:color="000000" w:sz="4" w:space="0"/>
              <w:right w:val="single" w:color="000000" w:sz="4" w:space="0"/>
            </w:tcBorders>
            <w:vAlign w:val="center"/>
          </w:tcPr>
          <w:p w14:paraId="3DF1F97E">
            <w:pPr>
              <w:widowControl/>
              <w:jc w:val="left"/>
              <w:rPr>
                <w:rFonts w:asciiTheme="minorEastAsia" w:hAnsiTheme="minorEastAsia"/>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因不履行或不正确履行行政职责，有下列情形的，行政机关及相关工作人员应承担相应责任：</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1、没有法律和事实依据实施行政处罚的；</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2、行政处罚显失公正的；</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3、执法人员玩忽职守，对应当予以制止和处罚的违法行为不予制止、处罚的；</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4、不具备行政执法资格实施行政处罚的；</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5、在制止以及查处违法案件中受阻，依照有关规定应当向本级人民政府或者上级主管部门报告而未报告的；</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6、应当依法移送追究刑事责任，而未依法移送有权机关的；</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7、擅自改变行政处罚种类、幅度的；</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8、违反法定的行政处罚程序的；</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9、符合听证条件、行政管理相对人要求听证，应予组织听证而不组织听证的；</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10、在行政处罚过程中发生腐败行为的；</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11、其他违反法律法规规章文件规定的行为。</w:t>
            </w:r>
          </w:p>
        </w:tc>
        <w:tc>
          <w:tcPr>
            <w:tcW w:w="851" w:type="dxa"/>
            <w:tcBorders>
              <w:bottom w:val="single" w:color="000000" w:sz="4" w:space="0"/>
              <w:right w:val="single" w:color="000000" w:sz="4" w:space="0"/>
            </w:tcBorders>
            <w:vAlign w:val="center"/>
          </w:tcPr>
          <w:p w14:paraId="0F6863C2">
            <w:pPr>
              <w:autoSpaceDN w:val="0"/>
              <w:textAlignment w:val="center"/>
              <w:rPr>
                <w:rFonts w:ascii="宋体" w:hAnsi="宋体"/>
                <w:sz w:val="20"/>
                <w:szCs w:val="20"/>
              </w:rPr>
            </w:pPr>
          </w:p>
        </w:tc>
      </w:tr>
      <w:tr w14:paraId="6AF1750E">
        <w:tblPrEx>
          <w:tblCellMar>
            <w:top w:w="0" w:type="dxa"/>
            <w:left w:w="108" w:type="dxa"/>
            <w:bottom w:w="0" w:type="dxa"/>
            <w:right w:w="108" w:type="dxa"/>
          </w:tblCellMar>
        </w:tblPrEx>
        <w:trPr>
          <w:trHeight w:val="2850" w:hRule="atLeast"/>
        </w:trPr>
        <w:tc>
          <w:tcPr>
            <w:tcW w:w="847" w:type="dxa"/>
            <w:tcBorders>
              <w:left w:val="single" w:color="000000" w:sz="4" w:space="0"/>
              <w:bottom w:val="single" w:color="000000" w:sz="4" w:space="0"/>
              <w:right w:val="single" w:color="000000" w:sz="4" w:space="0"/>
            </w:tcBorders>
            <w:vAlign w:val="center"/>
          </w:tcPr>
          <w:p w14:paraId="4A6AE11E">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3</w:t>
            </w:r>
          </w:p>
        </w:tc>
        <w:tc>
          <w:tcPr>
            <w:tcW w:w="1138" w:type="dxa"/>
            <w:tcBorders>
              <w:left w:val="single" w:color="000000" w:sz="4" w:space="0"/>
              <w:bottom w:val="single" w:color="000000" w:sz="4" w:space="0"/>
              <w:right w:val="single" w:color="000000" w:sz="4" w:space="0"/>
            </w:tcBorders>
            <w:vAlign w:val="center"/>
          </w:tcPr>
          <w:p w14:paraId="03F6E4AF">
            <w:pPr>
              <w:tabs>
                <w:tab w:val="left" w:pos="7937"/>
              </w:tabs>
              <w:spacing w:line="260" w:lineRule="exact"/>
              <w:jc w:val="center"/>
              <w:rPr>
                <w:rFonts w:ascii="宋体" w:hAnsi="宋体" w:eastAsia="宋体"/>
                <w:szCs w:val="21"/>
              </w:rPr>
            </w:pPr>
            <w:r>
              <w:rPr>
                <w:rFonts w:hint="eastAsia" w:ascii="宋体" w:hAnsi="宋体" w:eastAsia="宋体"/>
                <w:szCs w:val="21"/>
              </w:rPr>
              <w:t>行政强制</w:t>
            </w:r>
          </w:p>
        </w:tc>
        <w:tc>
          <w:tcPr>
            <w:tcW w:w="1130" w:type="dxa"/>
            <w:tcBorders>
              <w:bottom w:val="single" w:color="000000" w:sz="4" w:space="0"/>
              <w:right w:val="single" w:color="000000" w:sz="4" w:space="0"/>
            </w:tcBorders>
            <w:vAlign w:val="center"/>
          </w:tcPr>
          <w:p w14:paraId="63319AE1">
            <w:pPr>
              <w:tabs>
                <w:tab w:val="left" w:pos="7937"/>
              </w:tabs>
              <w:spacing w:line="260" w:lineRule="exact"/>
              <w:jc w:val="left"/>
              <w:rPr>
                <w:rFonts w:ascii="宋体" w:hAnsi="宋体" w:eastAsia="宋体"/>
                <w:szCs w:val="21"/>
              </w:rPr>
            </w:pPr>
            <w:r>
              <w:rPr>
                <w:rFonts w:hint="eastAsia" w:ascii="宋体" w:hAnsi="宋体" w:eastAsia="宋体"/>
                <w:szCs w:val="21"/>
              </w:rPr>
              <w:t>封存《社会团体法人登记证书》、《民办非企业单位登记证书》、《基金会法人登记证书》，印章和财务凭证</w:t>
            </w:r>
          </w:p>
        </w:tc>
        <w:tc>
          <w:tcPr>
            <w:tcW w:w="1138" w:type="dxa"/>
            <w:tcBorders>
              <w:bottom w:val="single" w:color="000000" w:sz="4" w:space="0"/>
              <w:right w:val="single" w:color="000000" w:sz="4" w:space="0"/>
            </w:tcBorders>
            <w:vAlign w:val="center"/>
          </w:tcPr>
          <w:p w14:paraId="70187B70">
            <w:pPr>
              <w:tabs>
                <w:tab w:val="left" w:pos="7937"/>
              </w:tabs>
              <w:spacing w:line="260" w:lineRule="exact"/>
              <w:jc w:val="left"/>
              <w:rPr>
                <w:rFonts w:ascii="宋体" w:hAnsi="宋体" w:eastAsia="宋体"/>
                <w:szCs w:val="21"/>
              </w:rPr>
            </w:pPr>
            <w:r>
              <w:rPr>
                <w:rFonts w:hint="eastAsia" w:ascii="宋体" w:hAnsi="宋体" w:eastAsia="宋体"/>
                <w:szCs w:val="21"/>
              </w:rPr>
              <w:t>县民政局</w:t>
            </w:r>
          </w:p>
        </w:tc>
        <w:tc>
          <w:tcPr>
            <w:tcW w:w="2693" w:type="dxa"/>
            <w:tcBorders>
              <w:bottom w:val="single" w:color="000000" w:sz="4" w:space="0"/>
              <w:right w:val="single" w:color="000000" w:sz="4" w:space="0"/>
            </w:tcBorders>
            <w:vAlign w:val="center"/>
          </w:tcPr>
          <w:p w14:paraId="5CA85592">
            <w:pPr>
              <w:tabs>
                <w:tab w:val="left" w:pos="7937"/>
              </w:tabs>
              <w:spacing w:line="260" w:lineRule="exact"/>
              <w:rPr>
                <w:rFonts w:ascii="宋体" w:hAnsi="宋体" w:eastAsia="宋体"/>
                <w:szCs w:val="21"/>
              </w:rPr>
            </w:pPr>
            <w:r>
              <w:rPr>
                <w:rFonts w:hint="eastAsia" w:ascii="宋体" w:hAnsi="宋体" w:eastAsia="宋体"/>
                <w:spacing w:val="-4"/>
                <w:szCs w:val="21"/>
              </w:rPr>
              <w:t>《社会团体登记管理条例》第三十三条，《民办非企业单位登记管理暂行条例》第二十八条、《基金会管理条例》第四十四条</w:t>
            </w:r>
          </w:p>
        </w:tc>
        <w:tc>
          <w:tcPr>
            <w:tcW w:w="3827" w:type="dxa"/>
            <w:tcBorders>
              <w:bottom w:val="single" w:color="000000" w:sz="4" w:space="0"/>
              <w:right w:val="single" w:color="000000" w:sz="4" w:space="0"/>
            </w:tcBorders>
            <w:vAlign w:val="center"/>
          </w:tcPr>
          <w:p w14:paraId="1EF1D157">
            <w:pPr>
              <w:tabs>
                <w:tab w:val="left" w:pos="7937"/>
              </w:tabs>
              <w:spacing w:line="260" w:lineRule="exact"/>
              <w:rPr>
                <w:rFonts w:ascii="宋体" w:hAnsi="宋体" w:eastAsia="宋体"/>
                <w:szCs w:val="21"/>
              </w:rPr>
            </w:pPr>
            <w:r>
              <w:rPr>
                <w:rFonts w:hint="eastAsia" w:ascii="宋体" w:hAnsi="宋体" w:eastAsia="宋体"/>
                <w:szCs w:val="21"/>
              </w:rPr>
              <w:t>1、</w:t>
            </w:r>
            <w:r>
              <w:rPr>
                <w:rFonts w:hint="eastAsia" w:ascii="宋体" w:hAnsi="宋体"/>
                <w:kern w:val="0"/>
              </w:rPr>
              <w:t>告知责任：社会组织在被限期停止活动前，应制作《行政处罚告知书》送达当事人，告知违法事实及其享有的陈述、申辩等权利。符合听证规定的，制作并送达《行政处罚听证告知书》。</w:t>
            </w:r>
          </w:p>
          <w:p w14:paraId="6E9A24D5">
            <w:pPr>
              <w:tabs>
                <w:tab w:val="left" w:pos="7937"/>
              </w:tabs>
              <w:spacing w:line="260" w:lineRule="exact"/>
              <w:rPr>
                <w:rFonts w:ascii="宋体" w:hAnsi="宋体" w:eastAsia="宋体"/>
                <w:szCs w:val="21"/>
              </w:rPr>
            </w:pPr>
            <w:r>
              <w:rPr>
                <w:rFonts w:hint="eastAsia" w:ascii="宋体" w:hAnsi="宋体" w:eastAsia="宋体"/>
                <w:szCs w:val="21"/>
              </w:rPr>
              <w:t>2、决定责任:充分听取当事人的意见，对当事人提出的事实、理由和证据，应当进行记录、复核，无正当理由的，向行政机关负责人报告并经批准作出强制执行决定，送达行政强制执行决定书。根据中止和终结执行的适用情形，</w:t>
            </w:r>
            <w:bookmarkStart w:id="0" w:name="_GoBack"/>
            <w:bookmarkEnd w:id="0"/>
            <w:r>
              <w:rPr>
                <w:rFonts w:hint="eastAsia" w:ascii="宋体" w:hAnsi="宋体" w:eastAsia="宋体"/>
                <w:szCs w:val="21"/>
              </w:rPr>
              <w:t>做出中止或终结执行决定。</w:t>
            </w:r>
          </w:p>
          <w:p w14:paraId="296FDE53">
            <w:pPr>
              <w:tabs>
                <w:tab w:val="left" w:pos="7937"/>
              </w:tabs>
              <w:spacing w:line="260" w:lineRule="exact"/>
              <w:rPr>
                <w:rFonts w:ascii="宋体" w:hAnsi="宋体" w:eastAsia="宋体"/>
                <w:szCs w:val="21"/>
              </w:rPr>
            </w:pPr>
            <w:r>
              <w:rPr>
                <w:rFonts w:hint="eastAsia" w:ascii="宋体" w:hAnsi="宋体" w:eastAsia="宋体"/>
                <w:szCs w:val="21"/>
              </w:rPr>
              <w:t>3、执行责任:由民政部门收缴并封存《社会团体法人登记证书》、《民办非企业单位登记证书》、《基金会法人登记证书》，印章和财务凭证。</w:t>
            </w:r>
          </w:p>
          <w:p w14:paraId="4237B7AC">
            <w:pPr>
              <w:tabs>
                <w:tab w:val="left" w:pos="7937"/>
              </w:tabs>
              <w:spacing w:line="260" w:lineRule="exact"/>
              <w:rPr>
                <w:rFonts w:ascii="宋体" w:hAnsi="宋体" w:eastAsia="宋体"/>
                <w:szCs w:val="21"/>
              </w:rPr>
            </w:pPr>
            <w:r>
              <w:rPr>
                <w:rFonts w:hint="eastAsia" w:ascii="宋体" w:hAnsi="宋体" w:eastAsia="宋体"/>
                <w:szCs w:val="21"/>
              </w:rPr>
              <w:t>4、其他法律法规规章文件规定应履行的责任。</w:t>
            </w:r>
          </w:p>
        </w:tc>
        <w:tc>
          <w:tcPr>
            <w:tcW w:w="3402" w:type="dxa"/>
            <w:tcBorders>
              <w:bottom w:val="single" w:color="000000" w:sz="4" w:space="0"/>
              <w:right w:val="single" w:color="000000" w:sz="4" w:space="0"/>
            </w:tcBorders>
            <w:vAlign w:val="center"/>
          </w:tcPr>
          <w:p w14:paraId="51E161DE">
            <w:pPr>
              <w:tabs>
                <w:tab w:val="left" w:pos="7937"/>
              </w:tabs>
              <w:spacing w:line="250" w:lineRule="exact"/>
              <w:rPr>
                <w:rFonts w:ascii="宋体" w:hAnsi="宋体" w:eastAsia="宋体"/>
                <w:sz w:val="18"/>
              </w:rPr>
            </w:pPr>
            <w:r>
              <w:rPr>
                <w:rFonts w:hint="eastAsia" w:ascii="宋体" w:hAnsi="宋体" w:eastAsia="宋体" w:cs="宋体"/>
                <w:color w:val="000000" w:themeColor="text1"/>
                <w:kern w:val="0"/>
                <w:sz w:val="18"/>
                <w:szCs w:val="18"/>
                <w:lang w:bidi="ar"/>
                <w14:textFill>
                  <w14:solidFill>
                    <w14:schemeClr w14:val="tx1"/>
                  </w14:solidFill>
                </w14:textFill>
              </w:rPr>
              <w:t>因不履行或不正确履行行政职责，有下列情形的，行政机关及相关工作人员应承担相应责任：</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1、没有法律和事实依据实施行政处罚的；</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2、行政处罚显失公正的；</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3、执法人员玩忽职守，对应当予以制止和处罚的违法行为不予制止、处罚的；</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4、不具备行政执法资格实施行政处罚的；</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5、在制止以及查处违法案件中受阻，依照有关规定应当向本级人民政府或者上级主管部门报告而未报告的；</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6、应当依法移送追究刑事责任，而未依法移送有权机关的；</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7、擅自改变行政处罚种类、幅度的；</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8、违反法定的行政处罚程序的；</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9、符合听证条件、行政管理相对人要求听证，应予组织听证而不组织听证的；</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10、在行政处罚过程中发生腐败行为的；</w:t>
            </w:r>
            <w:r>
              <w:rPr>
                <w:rFonts w:hint="eastAsia" w:ascii="宋体" w:hAnsi="宋体" w:eastAsia="宋体" w:cs="宋体"/>
                <w:color w:val="000000" w:themeColor="text1"/>
                <w:kern w:val="0"/>
                <w:sz w:val="18"/>
                <w:szCs w:val="18"/>
                <w:lang w:bidi="ar"/>
                <w14:textFill>
                  <w14:solidFill>
                    <w14:schemeClr w14:val="tx1"/>
                  </w14:solidFill>
                </w14:textFill>
              </w:rPr>
              <w:br w:type="textWrapping"/>
            </w:r>
            <w:r>
              <w:rPr>
                <w:rFonts w:hint="eastAsia" w:ascii="宋体" w:hAnsi="宋体" w:eastAsia="宋体" w:cs="宋体"/>
                <w:color w:val="000000" w:themeColor="text1"/>
                <w:kern w:val="0"/>
                <w:sz w:val="18"/>
                <w:szCs w:val="18"/>
                <w:lang w:bidi="ar"/>
                <w14:textFill>
                  <w14:solidFill>
                    <w14:schemeClr w14:val="tx1"/>
                  </w14:solidFill>
                </w14:textFill>
              </w:rPr>
              <w:t>11、其他违反法律法规规章文件规定的行为。</w:t>
            </w:r>
          </w:p>
        </w:tc>
        <w:tc>
          <w:tcPr>
            <w:tcW w:w="851" w:type="dxa"/>
            <w:tcBorders>
              <w:bottom w:val="single" w:color="000000" w:sz="4" w:space="0"/>
              <w:right w:val="single" w:color="000000" w:sz="4" w:space="0"/>
            </w:tcBorders>
            <w:vAlign w:val="center"/>
          </w:tcPr>
          <w:p w14:paraId="03A1C6AE">
            <w:pPr>
              <w:autoSpaceDN w:val="0"/>
              <w:textAlignment w:val="center"/>
              <w:rPr>
                <w:rFonts w:ascii="宋体" w:hAnsi="宋体"/>
                <w:sz w:val="20"/>
                <w:szCs w:val="20"/>
              </w:rPr>
            </w:pPr>
          </w:p>
        </w:tc>
      </w:tr>
      <w:tr w14:paraId="1B965B91">
        <w:tblPrEx>
          <w:tblCellMar>
            <w:top w:w="0" w:type="dxa"/>
            <w:left w:w="108" w:type="dxa"/>
            <w:bottom w:w="0" w:type="dxa"/>
            <w:right w:w="108" w:type="dxa"/>
          </w:tblCellMar>
        </w:tblPrEx>
        <w:trPr>
          <w:trHeight w:val="1754" w:hRule="atLeast"/>
        </w:trPr>
        <w:tc>
          <w:tcPr>
            <w:tcW w:w="847" w:type="dxa"/>
            <w:tcBorders>
              <w:left w:val="single" w:color="000000" w:sz="4" w:space="0"/>
              <w:bottom w:val="single" w:color="000000" w:sz="4" w:space="0"/>
              <w:right w:val="single" w:color="000000" w:sz="4" w:space="0"/>
            </w:tcBorders>
            <w:vAlign w:val="center"/>
          </w:tcPr>
          <w:p w14:paraId="060E5A50">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4</w:t>
            </w:r>
          </w:p>
        </w:tc>
        <w:tc>
          <w:tcPr>
            <w:tcW w:w="1138" w:type="dxa"/>
            <w:tcBorders>
              <w:left w:val="single" w:color="000000" w:sz="4" w:space="0"/>
              <w:bottom w:val="single" w:color="000000" w:sz="4" w:space="0"/>
              <w:right w:val="single" w:color="000000" w:sz="4" w:space="0"/>
            </w:tcBorders>
            <w:vAlign w:val="center"/>
          </w:tcPr>
          <w:p w14:paraId="046F8323">
            <w:pPr>
              <w:autoSpaceDN w:val="0"/>
              <w:jc w:val="center"/>
              <w:textAlignment w:val="center"/>
              <w:rPr>
                <w:rFonts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行政给付</w:t>
            </w:r>
          </w:p>
        </w:tc>
        <w:tc>
          <w:tcPr>
            <w:tcW w:w="1130" w:type="dxa"/>
            <w:tcBorders>
              <w:bottom w:val="single" w:color="000000" w:sz="4" w:space="0"/>
              <w:right w:val="single" w:color="000000" w:sz="4" w:space="0"/>
            </w:tcBorders>
            <w:vAlign w:val="center"/>
          </w:tcPr>
          <w:p w14:paraId="39036DA7">
            <w:pPr>
              <w:rPr>
                <w:rFonts w:asciiTheme="minorEastAsia" w:hAnsiTheme="minorEastAsia"/>
                <w:color w:val="000000" w:themeColor="text1"/>
                <w:kern w:val="0"/>
                <w:szCs w:val="21"/>
                <w14:textFill>
                  <w14:solidFill>
                    <w14:schemeClr w14:val="tx1"/>
                  </w14:solidFill>
                </w14:textFill>
              </w:rPr>
            </w:pPr>
            <w:r>
              <w:rPr>
                <w:rFonts w:hint="eastAsia" w:ascii="宋体" w:hAnsi="宋体" w:cs="仿宋_GB2312"/>
                <w:kern w:val="0"/>
                <w:szCs w:val="21"/>
              </w:rPr>
              <w:t>最低生活保障救助资金的给付</w:t>
            </w:r>
          </w:p>
        </w:tc>
        <w:tc>
          <w:tcPr>
            <w:tcW w:w="1138" w:type="dxa"/>
            <w:tcBorders>
              <w:bottom w:val="single" w:color="000000" w:sz="4" w:space="0"/>
              <w:right w:val="single" w:color="000000" w:sz="4" w:space="0"/>
            </w:tcBorders>
            <w:vAlign w:val="center"/>
          </w:tcPr>
          <w:p w14:paraId="44D89877">
            <w:pPr>
              <w:widowControl/>
              <w:jc w:val="center"/>
              <w:rPr>
                <w:rFonts w:asciiTheme="minorEastAsia" w:hAnsiTheme="minorEastAsia"/>
                <w:color w:val="000000" w:themeColor="text1"/>
                <w:kern w:val="0"/>
                <w:szCs w:val="21"/>
                <w14:textFill>
                  <w14:solidFill>
                    <w14:schemeClr w14:val="tx1"/>
                  </w14:solidFill>
                </w14:textFill>
              </w:rPr>
            </w:pPr>
            <w:r>
              <w:rPr>
                <w:rFonts w:hint="eastAsia" w:cs="仿宋_GB2312" w:asciiTheme="minorEastAsia" w:hAnsiTheme="minorEastAsia"/>
                <w:color w:val="000000" w:themeColor="text1"/>
                <w:kern w:val="0"/>
                <w:szCs w:val="21"/>
                <w14:textFill>
                  <w14:solidFill>
                    <w14:schemeClr w14:val="tx1"/>
                  </w14:solidFill>
                </w14:textFill>
              </w:rPr>
              <w:t>县民政局</w:t>
            </w:r>
          </w:p>
        </w:tc>
        <w:tc>
          <w:tcPr>
            <w:tcW w:w="2693" w:type="dxa"/>
            <w:tcBorders>
              <w:bottom w:val="single" w:color="000000" w:sz="4" w:space="0"/>
              <w:right w:val="single" w:color="000000" w:sz="4" w:space="0"/>
            </w:tcBorders>
            <w:vAlign w:val="center"/>
          </w:tcPr>
          <w:p w14:paraId="4EF13AE6">
            <w:pPr>
              <w:widowControl/>
              <w:shd w:val="clear" w:color="auto" w:fill="FFFFFF"/>
              <w:jc w:val="left"/>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社会救助暂行办法》（2019年国务院令第649号；国务院令第709号）第十二条第一款对批准获得最低生活保障的家庭，县级人民政府民政部门按照共同生活的家庭成员人均收入低于当地最低生活保障标准的差额，按月发给最低生活保障金。</w:t>
            </w:r>
          </w:p>
          <w:p w14:paraId="7D8D9337">
            <w:pPr>
              <w:widowControl/>
              <w:shd w:val="clear" w:color="auto" w:fill="FFFFFF"/>
              <w:jc w:val="left"/>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kern w:val="0"/>
                <w:szCs w:val="21"/>
              </w:rPr>
              <w:t>《社会救助暂行办法》（国务院令第649号）第九条、第十二条。</w:t>
            </w:r>
          </w:p>
        </w:tc>
        <w:tc>
          <w:tcPr>
            <w:tcW w:w="3827" w:type="dxa"/>
            <w:tcBorders>
              <w:bottom w:val="single" w:color="000000" w:sz="4" w:space="0"/>
              <w:right w:val="single" w:color="000000" w:sz="4" w:space="0"/>
            </w:tcBorders>
            <w:vAlign w:val="center"/>
          </w:tcPr>
          <w:p w14:paraId="0D8263C5">
            <w:pPr>
              <w:widowControl/>
              <w:jc w:val="left"/>
              <w:rPr>
                <w:rFonts w:asciiTheme="minorEastAsia" w:hAnsiTheme="minorEastAsia"/>
                <w:color w:val="000000" w:themeColor="text1"/>
                <w:kern w:val="0"/>
                <w:szCs w:val="21"/>
                <w14:textFill>
                  <w14:solidFill>
                    <w14:schemeClr w14:val="tx1"/>
                  </w14:solidFill>
                </w14:textFill>
              </w:rPr>
            </w:pPr>
            <w:r>
              <w:rPr>
                <w:rFonts w:hint="eastAsia"/>
                <w:color w:val="000000"/>
                <w:szCs w:val="21"/>
                <w:shd w:val="clear" w:color="auto" w:fill="FFFFFF"/>
              </w:rPr>
              <w:t>1.受理责任：公示法定应当提交的材料；一次性告知补正材料，依法受理或不予受理申请（不予受理的说明理由）。</w:t>
            </w:r>
            <w:r>
              <w:rPr>
                <w:rFonts w:hint="eastAsia"/>
                <w:color w:val="000000"/>
                <w:szCs w:val="21"/>
              </w:rPr>
              <w:br w:type="textWrapping"/>
            </w:r>
            <w:r>
              <w:rPr>
                <w:rFonts w:hint="eastAsia"/>
                <w:color w:val="000000"/>
                <w:szCs w:val="21"/>
                <w:shd w:val="clear" w:color="auto" w:fill="FFFFFF"/>
              </w:rPr>
              <w:t>2.审查责任：对申请人提交的申请材料进行审查，提出审查意见。</w:t>
            </w:r>
            <w:r>
              <w:rPr>
                <w:rFonts w:hint="eastAsia"/>
                <w:color w:val="000000"/>
                <w:szCs w:val="21"/>
              </w:rPr>
              <w:br w:type="textWrapping"/>
            </w:r>
            <w:r>
              <w:rPr>
                <w:rFonts w:hint="eastAsia"/>
                <w:color w:val="000000"/>
                <w:szCs w:val="21"/>
                <w:shd w:val="clear" w:color="auto" w:fill="FFFFFF"/>
              </w:rPr>
              <w:t>3.决定责任：作出给付的行政决定，依法送达。</w:t>
            </w:r>
            <w:r>
              <w:rPr>
                <w:rFonts w:hint="eastAsia"/>
                <w:color w:val="000000"/>
                <w:szCs w:val="21"/>
              </w:rPr>
              <w:br w:type="textWrapping"/>
            </w:r>
            <w:r>
              <w:rPr>
                <w:rFonts w:hint="eastAsia"/>
                <w:color w:val="000000"/>
                <w:szCs w:val="21"/>
                <w:shd w:val="clear" w:color="auto" w:fill="FFFFFF"/>
              </w:rPr>
              <w:t>4.法律法规规章文件规定应履行的其他责任。</w:t>
            </w:r>
          </w:p>
        </w:tc>
        <w:tc>
          <w:tcPr>
            <w:tcW w:w="3402" w:type="dxa"/>
            <w:tcBorders>
              <w:bottom w:val="single" w:color="000000" w:sz="4" w:space="0"/>
              <w:right w:val="single" w:color="000000" w:sz="4" w:space="0"/>
            </w:tcBorders>
            <w:vAlign w:val="center"/>
          </w:tcPr>
          <w:p w14:paraId="68C0E6FA">
            <w:pPr>
              <w:widowControl/>
              <w:jc w:val="left"/>
              <w:rPr>
                <w:rFonts w:asciiTheme="minorEastAsia" w:hAnsiTheme="minorEastAsia"/>
                <w:color w:val="000000" w:themeColor="text1"/>
                <w:kern w:val="0"/>
                <w:szCs w:val="21"/>
                <w14:textFill>
                  <w14:solidFill>
                    <w14:schemeClr w14:val="tx1"/>
                  </w14:solidFill>
                </w14:textFill>
              </w:rPr>
            </w:pPr>
          </w:p>
          <w:p w14:paraId="3C5B6A5E">
            <w:pPr>
              <w:widowControl/>
              <w:jc w:val="left"/>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对直接负责的主管人员和其他直接责任人员依法给予处分： （一）对符合申请条件的救助申请不予受理的； （二）对符合救助条件的救助申请不予批准的； （三）对不符合救助条件的救助申请予以批准的； （四）泄露在工作中知悉的公民个人信息，造成后果的； （五）丢失、篡改接受社会救助款物、服务记录等数据的； （六）不按照规定发放社会救助资金、物资或者提供相关服务的； （七）在履行社会救助职责过程中有其他滥用职权、玩忽职守、徇私舞弊行为的。</w:t>
            </w:r>
          </w:p>
          <w:p w14:paraId="6B9AAE5C">
            <w:pPr>
              <w:widowControl/>
              <w:jc w:val="left"/>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违反本办法规定，截留、挤占、挪用、私分社会救助资金、物资的，由有关部门责令追回；有违法所得的，没收违法所得；对直接负责的主管人员和其他直接责任人员依法给予处分。</w:t>
            </w:r>
          </w:p>
        </w:tc>
        <w:tc>
          <w:tcPr>
            <w:tcW w:w="851" w:type="dxa"/>
            <w:tcBorders>
              <w:bottom w:val="single" w:color="000000" w:sz="4" w:space="0"/>
              <w:right w:val="single" w:color="000000" w:sz="4" w:space="0"/>
            </w:tcBorders>
            <w:vAlign w:val="center"/>
          </w:tcPr>
          <w:p w14:paraId="6741C4DC">
            <w:pPr>
              <w:autoSpaceDN w:val="0"/>
              <w:textAlignment w:val="center"/>
              <w:rPr>
                <w:rFonts w:ascii="宋体" w:hAnsi="宋体"/>
                <w:sz w:val="20"/>
                <w:szCs w:val="20"/>
              </w:rPr>
            </w:pPr>
          </w:p>
        </w:tc>
      </w:tr>
      <w:tr w14:paraId="2B6EB8DB">
        <w:tblPrEx>
          <w:tblCellMar>
            <w:top w:w="0" w:type="dxa"/>
            <w:left w:w="108" w:type="dxa"/>
            <w:bottom w:w="0" w:type="dxa"/>
            <w:right w:w="108" w:type="dxa"/>
          </w:tblCellMar>
        </w:tblPrEx>
        <w:trPr>
          <w:trHeight w:val="761" w:hRule="atLeast"/>
        </w:trPr>
        <w:tc>
          <w:tcPr>
            <w:tcW w:w="847" w:type="dxa"/>
            <w:tcBorders>
              <w:left w:val="single" w:color="000000" w:sz="4" w:space="0"/>
              <w:bottom w:val="single" w:color="000000" w:sz="4" w:space="0"/>
              <w:right w:val="single" w:color="000000" w:sz="4" w:space="0"/>
            </w:tcBorders>
            <w:vAlign w:val="center"/>
          </w:tcPr>
          <w:p w14:paraId="5D99A614">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5</w:t>
            </w:r>
          </w:p>
        </w:tc>
        <w:tc>
          <w:tcPr>
            <w:tcW w:w="1138" w:type="dxa"/>
            <w:tcBorders>
              <w:left w:val="single" w:color="000000" w:sz="4" w:space="0"/>
              <w:bottom w:val="single" w:color="000000" w:sz="4" w:space="0"/>
              <w:right w:val="single" w:color="000000" w:sz="4" w:space="0"/>
            </w:tcBorders>
            <w:vAlign w:val="center"/>
          </w:tcPr>
          <w:p w14:paraId="6FE3A853">
            <w:pPr>
              <w:autoSpaceDN w:val="0"/>
              <w:jc w:val="center"/>
              <w:textAlignment w:val="center"/>
              <w:rPr>
                <w:rFonts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行政给付</w:t>
            </w:r>
          </w:p>
        </w:tc>
        <w:tc>
          <w:tcPr>
            <w:tcW w:w="1130" w:type="dxa"/>
            <w:tcBorders>
              <w:bottom w:val="single" w:color="000000" w:sz="4" w:space="0"/>
              <w:right w:val="single" w:color="000000" w:sz="4" w:space="0"/>
            </w:tcBorders>
            <w:vAlign w:val="center"/>
          </w:tcPr>
          <w:p w14:paraId="0EB6AA2F">
            <w:pPr>
              <w:autoSpaceDN w:val="0"/>
              <w:jc w:val="center"/>
              <w:textAlignment w:val="center"/>
              <w:rPr>
                <w:rFonts w:cs="仿宋_GB2312" w:asciiTheme="minorEastAsia" w:hAnsiTheme="minorEastAsia"/>
                <w:color w:val="000000" w:themeColor="text1"/>
                <w:kern w:val="0"/>
                <w:szCs w:val="21"/>
                <w14:textFill>
                  <w14:solidFill>
                    <w14:schemeClr w14:val="tx1"/>
                  </w14:solidFill>
                </w14:textFill>
              </w:rPr>
            </w:pPr>
            <w:r>
              <w:rPr>
                <w:rFonts w:hint="eastAsia" w:cs="仿宋_GB2312" w:asciiTheme="minorEastAsia" w:hAnsiTheme="minorEastAsia"/>
                <w:kern w:val="0"/>
                <w:szCs w:val="21"/>
              </w:rPr>
              <w:t>临时救助</w:t>
            </w:r>
          </w:p>
        </w:tc>
        <w:tc>
          <w:tcPr>
            <w:tcW w:w="1138" w:type="dxa"/>
            <w:tcBorders>
              <w:bottom w:val="single" w:color="000000" w:sz="4" w:space="0"/>
              <w:right w:val="single" w:color="000000" w:sz="4" w:space="0"/>
            </w:tcBorders>
            <w:vAlign w:val="center"/>
          </w:tcPr>
          <w:p w14:paraId="2E1CB532">
            <w:pPr>
              <w:autoSpaceDN w:val="0"/>
              <w:jc w:val="center"/>
              <w:textAlignment w:val="center"/>
              <w:rPr>
                <w:rFonts w:asciiTheme="minorEastAsia" w:hAnsiTheme="minorEastAsia"/>
                <w:color w:val="000000" w:themeColor="text1"/>
                <w:kern w:val="0"/>
                <w:szCs w:val="21"/>
                <w14:textFill>
                  <w14:solidFill>
                    <w14:schemeClr w14:val="tx1"/>
                  </w14:solidFill>
                </w14:textFill>
              </w:rPr>
            </w:pPr>
            <w:r>
              <w:rPr>
                <w:rFonts w:hint="eastAsia" w:cs="仿宋_GB2312" w:asciiTheme="minorEastAsia" w:hAnsiTheme="minorEastAsia"/>
                <w:color w:val="000000" w:themeColor="text1"/>
                <w:kern w:val="0"/>
                <w:szCs w:val="21"/>
                <w14:textFill>
                  <w14:solidFill>
                    <w14:schemeClr w14:val="tx1"/>
                  </w14:solidFill>
                </w14:textFill>
              </w:rPr>
              <w:t>县民政局</w:t>
            </w:r>
          </w:p>
        </w:tc>
        <w:tc>
          <w:tcPr>
            <w:tcW w:w="2693" w:type="dxa"/>
            <w:tcBorders>
              <w:bottom w:val="single" w:color="000000" w:sz="4" w:space="0"/>
              <w:right w:val="single" w:color="000000" w:sz="4" w:space="0"/>
            </w:tcBorders>
            <w:vAlign w:val="center"/>
          </w:tcPr>
          <w:p w14:paraId="5F99E5A9">
            <w:pPr>
              <w:widowControl/>
              <w:shd w:val="clear" w:color="auto" w:fill="FFFFFF"/>
              <w:jc w:val="left"/>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《社会救助暂行办法》</w:t>
            </w:r>
          </w:p>
          <w:p w14:paraId="18209595">
            <w:pPr>
              <w:widowControl/>
              <w:shd w:val="clear" w:color="auto" w:fill="FFFFFF"/>
              <w:jc w:val="left"/>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2019年国务院令第649号；国务院令第709号）第四十七条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14:paraId="68B1A679">
            <w:pPr>
              <w:widowControl/>
              <w:shd w:val="clear" w:color="auto" w:fill="FFFFFF"/>
              <w:jc w:val="left"/>
              <w:rPr>
                <w:rFonts w:asciiTheme="minorEastAsia" w:hAnsiTheme="minorEastAsia"/>
                <w:kern w:val="0"/>
                <w:szCs w:val="21"/>
              </w:rPr>
            </w:pPr>
            <w:r>
              <w:rPr>
                <w:rFonts w:hint="eastAsia" w:asciiTheme="minorEastAsia" w:hAnsiTheme="minorEastAsia"/>
                <w:kern w:val="0"/>
                <w:szCs w:val="21"/>
              </w:rPr>
              <w:t>《社会救助暂行办法》（国务院令第649号）第四十七条、第四十八条</w:t>
            </w:r>
          </w:p>
          <w:p w14:paraId="1D23C2DA">
            <w:pPr>
              <w:widowControl/>
              <w:shd w:val="clear" w:color="auto" w:fill="FFFFFF"/>
              <w:jc w:val="left"/>
              <w:rPr>
                <w:rFonts w:asciiTheme="minorEastAsia" w:hAnsiTheme="minorEastAsia"/>
                <w:kern w:val="0"/>
                <w:szCs w:val="21"/>
              </w:rPr>
            </w:pPr>
            <w:r>
              <w:rPr>
                <w:rFonts w:hint="eastAsia" w:asciiTheme="minorEastAsia" w:hAnsiTheme="minorEastAsia"/>
                <w:kern w:val="0"/>
                <w:szCs w:val="21"/>
              </w:rPr>
              <w:t>《关于全面建立临时救助制度的通知》（国发〔2014〕47号）第二条</w:t>
            </w:r>
          </w:p>
          <w:p w14:paraId="7AA4571E">
            <w:pPr>
              <w:rPr>
                <w:rFonts w:asciiTheme="minorEastAsia" w:hAnsiTheme="minorEastAsia"/>
                <w:color w:val="000000" w:themeColor="text1"/>
                <w:kern w:val="0"/>
                <w:szCs w:val="21"/>
                <w14:textFill>
                  <w14:solidFill>
                    <w14:schemeClr w14:val="tx1"/>
                  </w14:solidFill>
                </w14:textFill>
              </w:rPr>
            </w:pPr>
          </w:p>
        </w:tc>
        <w:tc>
          <w:tcPr>
            <w:tcW w:w="3827" w:type="dxa"/>
            <w:tcBorders>
              <w:bottom w:val="single" w:color="000000" w:sz="4" w:space="0"/>
              <w:right w:val="single" w:color="000000" w:sz="4" w:space="0"/>
            </w:tcBorders>
            <w:vAlign w:val="center"/>
          </w:tcPr>
          <w:p w14:paraId="45006215">
            <w:pPr>
              <w:widowControl/>
              <w:jc w:val="left"/>
              <w:rPr>
                <w:rFonts w:asciiTheme="minorEastAsia" w:hAnsiTheme="minorEastAsia"/>
                <w:color w:val="000000" w:themeColor="text1"/>
                <w:kern w:val="0"/>
                <w:szCs w:val="21"/>
                <w14:textFill>
                  <w14:solidFill>
                    <w14:schemeClr w14:val="tx1"/>
                  </w14:solidFill>
                </w14:textFill>
              </w:rPr>
            </w:pPr>
            <w:r>
              <w:rPr>
                <w:rFonts w:hint="eastAsia"/>
                <w:color w:val="000000"/>
                <w:szCs w:val="21"/>
                <w:shd w:val="clear" w:color="auto" w:fill="FFFFFF"/>
              </w:rPr>
              <w:t>1.受理责任：公示法定应当提交的材料；一次性告知补正材料，依法受理或不予受理申请（不予受理的说明理由）。</w:t>
            </w:r>
            <w:r>
              <w:rPr>
                <w:rFonts w:hint="eastAsia"/>
                <w:color w:val="000000"/>
                <w:szCs w:val="21"/>
              </w:rPr>
              <w:br w:type="textWrapping"/>
            </w:r>
            <w:r>
              <w:rPr>
                <w:rFonts w:hint="eastAsia"/>
                <w:color w:val="000000"/>
                <w:szCs w:val="21"/>
                <w:shd w:val="clear" w:color="auto" w:fill="FFFFFF"/>
              </w:rPr>
              <w:t>2.审查责任：对申请人提交的申请材料进行审查，提出审查意见。</w:t>
            </w:r>
            <w:r>
              <w:rPr>
                <w:rFonts w:hint="eastAsia"/>
                <w:color w:val="000000"/>
                <w:szCs w:val="21"/>
              </w:rPr>
              <w:br w:type="textWrapping"/>
            </w:r>
            <w:r>
              <w:rPr>
                <w:rFonts w:hint="eastAsia"/>
                <w:color w:val="000000"/>
                <w:szCs w:val="21"/>
                <w:shd w:val="clear" w:color="auto" w:fill="FFFFFF"/>
              </w:rPr>
              <w:t>3.决定责任：作出给付的行政决定，依法送达。</w:t>
            </w:r>
            <w:r>
              <w:rPr>
                <w:rFonts w:hint="eastAsia"/>
                <w:color w:val="000000"/>
                <w:szCs w:val="21"/>
              </w:rPr>
              <w:br w:type="textWrapping"/>
            </w:r>
            <w:r>
              <w:rPr>
                <w:rFonts w:hint="eastAsia"/>
                <w:color w:val="000000"/>
                <w:szCs w:val="21"/>
                <w:shd w:val="clear" w:color="auto" w:fill="FFFFFF"/>
              </w:rPr>
              <w:t>4.法律法规规章文件规定应履行的其他责任。</w:t>
            </w:r>
          </w:p>
        </w:tc>
        <w:tc>
          <w:tcPr>
            <w:tcW w:w="3402" w:type="dxa"/>
            <w:tcBorders>
              <w:bottom w:val="single" w:color="000000" w:sz="4" w:space="0"/>
              <w:right w:val="single" w:color="000000" w:sz="4" w:space="0"/>
            </w:tcBorders>
            <w:vAlign w:val="center"/>
          </w:tcPr>
          <w:p w14:paraId="593CEE1D">
            <w:pPr>
              <w:widowControl/>
              <w:jc w:val="left"/>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 xml:space="preserve">有下列情形之一的，由上级行政机关或者监察机关责令改正；对直接负责的主管人员和其他直接责任人员依法给予处分： （一）对符合申请条件的救助申请不予受理的； （二）对符合救助条件的救助申请不予批准的； </w:t>
            </w:r>
          </w:p>
          <w:p w14:paraId="5474EA95">
            <w:pPr>
              <w:widowControl/>
              <w:jc w:val="left"/>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（三）对不符合救助条件的救助申请予以批准的； （四）泄露在工作中知悉的公民个人信息，造成后果的； （五）丢失、篡改接受社会救助款物、服务记录等数据的； （六）不按照规定发放社会救助资金、物资或者提供相关服务的； （七）在履行社会救助职责过程中有其他滥用职权、玩忽职守、徇私舞弊行为的。违反本办法规定，截留、挤占、挪用、私分社会救助资金、物资的，由有关部门责令追回；有违法所得的，没收违法所得；对直接负责的主管人员和其他直接责任人员依法给予处分。</w:t>
            </w:r>
          </w:p>
        </w:tc>
        <w:tc>
          <w:tcPr>
            <w:tcW w:w="851" w:type="dxa"/>
            <w:tcBorders>
              <w:bottom w:val="single" w:color="000000" w:sz="4" w:space="0"/>
              <w:right w:val="single" w:color="000000" w:sz="4" w:space="0"/>
            </w:tcBorders>
            <w:vAlign w:val="center"/>
          </w:tcPr>
          <w:p w14:paraId="3CC3C76F">
            <w:pPr>
              <w:autoSpaceDN w:val="0"/>
              <w:textAlignment w:val="center"/>
              <w:rPr>
                <w:rFonts w:ascii="宋体" w:hAnsi="宋体"/>
                <w:sz w:val="20"/>
                <w:szCs w:val="20"/>
              </w:rPr>
            </w:pPr>
          </w:p>
        </w:tc>
      </w:tr>
      <w:tr w14:paraId="0F8405E5">
        <w:tblPrEx>
          <w:tblCellMar>
            <w:top w:w="0" w:type="dxa"/>
            <w:left w:w="108" w:type="dxa"/>
            <w:bottom w:w="0" w:type="dxa"/>
            <w:right w:w="108" w:type="dxa"/>
          </w:tblCellMar>
        </w:tblPrEx>
        <w:trPr>
          <w:trHeight w:val="365" w:hRule="atLeast"/>
        </w:trPr>
        <w:tc>
          <w:tcPr>
            <w:tcW w:w="847" w:type="dxa"/>
            <w:tcBorders>
              <w:left w:val="single" w:color="000000" w:sz="4" w:space="0"/>
              <w:bottom w:val="single" w:color="000000" w:sz="4" w:space="0"/>
              <w:right w:val="single" w:color="000000" w:sz="4" w:space="0"/>
            </w:tcBorders>
            <w:vAlign w:val="center"/>
          </w:tcPr>
          <w:p w14:paraId="2632BB6A">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6</w:t>
            </w:r>
          </w:p>
        </w:tc>
        <w:tc>
          <w:tcPr>
            <w:tcW w:w="1138" w:type="dxa"/>
            <w:tcBorders>
              <w:left w:val="single" w:color="000000" w:sz="4" w:space="0"/>
              <w:bottom w:val="single" w:color="000000" w:sz="4" w:space="0"/>
              <w:right w:val="single" w:color="000000" w:sz="4" w:space="0"/>
            </w:tcBorders>
            <w:vAlign w:val="center"/>
          </w:tcPr>
          <w:p w14:paraId="49548C4E">
            <w:pPr>
              <w:autoSpaceDN w:val="0"/>
              <w:jc w:val="center"/>
              <w:textAlignment w:val="center"/>
              <w:rPr>
                <w:rFonts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行政给付</w:t>
            </w:r>
          </w:p>
        </w:tc>
        <w:tc>
          <w:tcPr>
            <w:tcW w:w="1130" w:type="dxa"/>
            <w:tcBorders>
              <w:bottom w:val="single" w:color="000000" w:sz="4" w:space="0"/>
              <w:right w:val="single" w:color="000000" w:sz="4" w:space="0"/>
            </w:tcBorders>
            <w:vAlign w:val="center"/>
          </w:tcPr>
          <w:p w14:paraId="6D13D0FE">
            <w:pPr>
              <w:rPr>
                <w:rFonts w:cs="仿宋_GB2312" w:asciiTheme="minorEastAsia" w:hAnsiTheme="minorEastAsia"/>
                <w:color w:val="000000" w:themeColor="text1"/>
                <w:kern w:val="0"/>
                <w:szCs w:val="21"/>
                <w14:textFill>
                  <w14:solidFill>
                    <w14:schemeClr w14:val="tx1"/>
                  </w14:solidFill>
                </w14:textFill>
              </w:rPr>
            </w:pPr>
            <w:r>
              <w:rPr>
                <w:rFonts w:hint="eastAsia" w:cs="仿宋_GB2312" w:asciiTheme="minorEastAsia" w:hAnsiTheme="minorEastAsia"/>
                <w:kern w:val="0"/>
                <w:szCs w:val="21"/>
              </w:rPr>
              <w:t>对孤儿基本生活保障金的给付</w:t>
            </w:r>
          </w:p>
        </w:tc>
        <w:tc>
          <w:tcPr>
            <w:tcW w:w="1138" w:type="dxa"/>
            <w:tcBorders>
              <w:bottom w:val="single" w:color="000000" w:sz="4" w:space="0"/>
              <w:right w:val="single" w:color="000000" w:sz="4" w:space="0"/>
            </w:tcBorders>
            <w:vAlign w:val="center"/>
          </w:tcPr>
          <w:p w14:paraId="2CE0B9E6">
            <w:pPr>
              <w:jc w:val="center"/>
              <w:rPr>
                <w:rFonts w:asciiTheme="minorEastAsia" w:hAnsiTheme="minorEastAsia"/>
                <w:color w:val="000000" w:themeColor="text1"/>
                <w:kern w:val="0"/>
                <w:szCs w:val="21"/>
                <w14:textFill>
                  <w14:solidFill>
                    <w14:schemeClr w14:val="tx1"/>
                  </w14:solidFill>
                </w14:textFill>
              </w:rPr>
            </w:pPr>
            <w:r>
              <w:rPr>
                <w:rFonts w:hint="eastAsia" w:cs="仿宋_GB2312" w:asciiTheme="minorEastAsia" w:hAnsiTheme="minorEastAsia"/>
                <w:color w:val="000000" w:themeColor="text1"/>
                <w:kern w:val="0"/>
                <w:szCs w:val="21"/>
                <w14:textFill>
                  <w14:solidFill>
                    <w14:schemeClr w14:val="tx1"/>
                  </w14:solidFill>
                </w14:textFill>
              </w:rPr>
              <w:t>县民政局</w:t>
            </w:r>
          </w:p>
        </w:tc>
        <w:tc>
          <w:tcPr>
            <w:tcW w:w="2693" w:type="dxa"/>
            <w:tcBorders>
              <w:bottom w:val="single" w:color="000000" w:sz="4" w:space="0"/>
              <w:right w:val="single" w:color="000000" w:sz="4" w:space="0"/>
            </w:tcBorders>
            <w:vAlign w:val="center"/>
          </w:tcPr>
          <w:p w14:paraId="61999E03">
            <w:pPr>
              <w:widowControl/>
              <w:shd w:val="clear" w:color="auto" w:fill="FFFFFF"/>
              <w:jc w:val="left"/>
              <w:rPr>
                <w:rFonts w:cs="仿宋_GB2312" w:asciiTheme="minorEastAsia" w:hAnsiTheme="minorEastAsia"/>
                <w:color w:val="000000" w:themeColor="text1"/>
                <w:kern w:val="0"/>
                <w:szCs w:val="21"/>
                <w14:textFill>
                  <w14:solidFill>
                    <w14:schemeClr w14:val="tx1"/>
                  </w14:solidFill>
                </w14:textFill>
              </w:rPr>
            </w:pPr>
            <w:r>
              <w:rPr>
                <w:rFonts w:hint="eastAsia" w:cs="仿宋_GB2312" w:asciiTheme="minorEastAsia" w:hAnsiTheme="minorEastAsia"/>
                <w:color w:val="000000" w:themeColor="text1"/>
                <w:kern w:val="0"/>
                <w:szCs w:val="21"/>
                <w14:textFill>
                  <w14:solidFill>
                    <w14:schemeClr w14:val="tx1"/>
                  </w14:solidFill>
                </w14:textFill>
              </w:rPr>
              <w:t>《国务院办公</w:t>
            </w:r>
            <w:r>
              <w:rPr>
                <w:rFonts w:hint="eastAsia" w:cs="仿宋_GB2312" w:asciiTheme="minorEastAsia" w:hAnsiTheme="minorEastAsia"/>
                <w:color w:val="000000" w:themeColor="text1"/>
                <w:kern w:val="0"/>
                <w:szCs w:val="21"/>
                <w:lang w:eastAsia="zh-CN"/>
                <w14:textFill>
                  <w14:solidFill>
                    <w14:schemeClr w14:val="tx1"/>
                  </w14:solidFill>
                </w14:textFill>
              </w:rPr>
              <w:t>厅</w:t>
            </w:r>
            <w:r>
              <w:rPr>
                <w:rFonts w:hint="eastAsia" w:cs="仿宋_GB2312" w:asciiTheme="minorEastAsia" w:hAnsiTheme="minorEastAsia"/>
                <w:color w:val="000000" w:themeColor="text1"/>
                <w:kern w:val="0"/>
                <w:szCs w:val="21"/>
                <w14:textFill>
                  <w14:solidFill>
                    <w14:schemeClr w14:val="tx1"/>
                  </w14:solidFill>
                </w14:textFill>
              </w:rPr>
              <w:t>关于加强孤儿保障工作的意见》（2010年国办发[2010]54号） 意见全文</w:t>
            </w:r>
          </w:p>
          <w:p w14:paraId="4F569696">
            <w:pPr>
              <w:widowControl/>
              <w:shd w:val="clear" w:color="auto" w:fill="FFFFFF"/>
              <w:jc w:val="left"/>
              <w:rPr>
                <w:rFonts w:cs="仿宋_GB2312" w:asciiTheme="minorEastAsia" w:hAnsiTheme="minorEastAsia"/>
                <w:kern w:val="0"/>
                <w:szCs w:val="21"/>
              </w:rPr>
            </w:pPr>
            <w:r>
              <w:rPr>
                <w:rFonts w:hint="eastAsia" w:cs="仿宋_GB2312" w:asciiTheme="minorEastAsia" w:hAnsiTheme="minorEastAsia"/>
                <w:color w:val="000000" w:themeColor="text1"/>
                <w:kern w:val="0"/>
                <w:szCs w:val="21"/>
                <w14:textFill>
                  <w14:solidFill>
                    <w14:schemeClr w14:val="tx1"/>
                  </w14:solidFill>
                </w14:textFill>
              </w:rPr>
              <w:t>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项专用、按时发放，确保孤儿基本生活费用于孤儿。</w:t>
            </w:r>
            <w:r>
              <w:rPr>
                <w:rFonts w:hint="eastAsia" w:cs="仿宋_GB2312" w:asciiTheme="minorEastAsia" w:hAnsiTheme="minorEastAsia"/>
                <w:kern w:val="0"/>
                <w:szCs w:val="21"/>
              </w:rPr>
              <w:t>《国务院办公</w:t>
            </w:r>
            <w:r>
              <w:rPr>
                <w:rFonts w:hint="eastAsia" w:cs="仿宋_GB2312" w:asciiTheme="minorEastAsia" w:hAnsiTheme="minorEastAsia"/>
                <w:kern w:val="0"/>
                <w:szCs w:val="21"/>
                <w:lang w:eastAsia="zh-CN"/>
              </w:rPr>
              <w:t>厅</w:t>
            </w:r>
            <w:r>
              <w:rPr>
                <w:rFonts w:hint="eastAsia" w:cs="仿宋_GB2312" w:asciiTheme="minorEastAsia" w:hAnsiTheme="minorEastAsia"/>
                <w:kern w:val="0"/>
                <w:szCs w:val="21"/>
              </w:rPr>
              <w:t>关于加强孤儿保障工作的意见》（国办发〔2010〕54号）第二条</w:t>
            </w:r>
          </w:p>
          <w:p w14:paraId="2B85DDB7">
            <w:pPr>
              <w:jc w:val="left"/>
              <w:rPr>
                <w:rFonts w:asciiTheme="minorEastAsia" w:hAnsiTheme="minorEastAsia"/>
                <w:color w:val="000000" w:themeColor="text1"/>
                <w:kern w:val="0"/>
                <w:szCs w:val="21"/>
                <w14:textFill>
                  <w14:solidFill>
                    <w14:schemeClr w14:val="tx1"/>
                  </w14:solidFill>
                </w14:textFill>
              </w:rPr>
            </w:pPr>
          </w:p>
        </w:tc>
        <w:tc>
          <w:tcPr>
            <w:tcW w:w="3827" w:type="dxa"/>
            <w:tcBorders>
              <w:bottom w:val="single" w:color="000000" w:sz="4" w:space="0"/>
              <w:right w:val="single" w:color="000000" w:sz="4" w:space="0"/>
            </w:tcBorders>
            <w:vAlign w:val="center"/>
          </w:tcPr>
          <w:p w14:paraId="3D5A158C">
            <w:pPr>
              <w:widowControl/>
              <w:numPr>
                <w:ilvl w:val="0"/>
                <w:numId w:val="1"/>
              </w:numPr>
              <w:ind w:left="0"/>
              <w:jc w:val="left"/>
            </w:pPr>
          </w:p>
          <w:p w14:paraId="00DCC84D">
            <w:pPr>
              <w:pStyle w:val="6"/>
              <w:widowControl/>
              <w:spacing w:beforeAutospacing="0" w:afterAutospacing="0"/>
              <w:rPr>
                <w:rFonts w:cs="仿宋_GB2312" w:asciiTheme="minorEastAsia" w:hAnsiTheme="minorEastAsia"/>
                <w:color w:val="000000" w:themeColor="text1"/>
                <w:sz w:val="21"/>
                <w:szCs w:val="21"/>
                <w14:textFill>
                  <w14:solidFill>
                    <w14:schemeClr w14:val="tx1"/>
                  </w14:solidFill>
                </w14:textFill>
              </w:rPr>
            </w:pPr>
            <w:r>
              <w:rPr>
                <w:rFonts w:hint="eastAsia" w:cs="仿宋_GB2312" w:asciiTheme="minorEastAsia" w:hAnsiTheme="minorEastAsia"/>
                <w:color w:val="000000" w:themeColor="text1"/>
                <w:sz w:val="21"/>
                <w:szCs w:val="21"/>
                <w14:textFill>
                  <w14:solidFill>
                    <w14:schemeClr w14:val="tx1"/>
                  </w14:solidFill>
                </w14:textFill>
              </w:rPr>
              <w:t>1.</w:t>
            </w:r>
            <w:r>
              <w:rPr>
                <w:rFonts w:cs="仿宋_GB2312" w:asciiTheme="minorEastAsia" w:hAnsiTheme="minorEastAsia"/>
                <w:color w:val="000000" w:themeColor="text1"/>
                <w:sz w:val="21"/>
                <w:szCs w:val="21"/>
                <w14:textFill>
                  <w14:solidFill>
                    <w14:schemeClr w14:val="tx1"/>
                  </w14:solidFill>
                </w14:textFill>
              </w:rPr>
              <w:t>受理责任：依法受理或不予受理，并一次性告知不予受理的理由。</w:t>
            </w:r>
          </w:p>
          <w:p w14:paraId="1B9304BD">
            <w:pPr>
              <w:pStyle w:val="6"/>
              <w:widowControl/>
              <w:spacing w:beforeAutospacing="0" w:afterAutospacing="0"/>
              <w:rPr>
                <w:rFonts w:cs="仿宋_GB2312" w:asciiTheme="minorEastAsia" w:hAnsiTheme="minorEastAsia"/>
                <w:color w:val="000000" w:themeColor="text1"/>
                <w:sz w:val="21"/>
                <w:szCs w:val="21"/>
                <w14:textFill>
                  <w14:solidFill>
                    <w14:schemeClr w14:val="tx1"/>
                  </w14:solidFill>
                </w14:textFill>
              </w:rPr>
            </w:pPr>
            <w:r>
              <w:rPr>
                <w:rFonts w:hint="eastAsia" w:cs="仿宋_GB2312" w:asciiTheme="minorEastAsia" w:hAnsiTheme="minorEastAsia"/>
                <w:color w:val="000000" w:themeColor="text1"/>
                <w:sz w:val="21"/>
                <w:szCs w:val="21"/>
                <w14:textFill>
                  <w14:solidFill>
                    <w14:schemeClr w14:val="tx1"/>
                  </w14:solidFill>
                </w14:textFill>
              </w:rPr>
              <w:t>2.审查责任：审查相关材料，并组织专人进行入户调查。</w:t>
            </w:r>
          </w:p>
          <w:p w14:paraId="228271CC">
            <w:pPr>
              <w:pStyle w:val="6"/>
              <w:widowControl/>
              <w:spacing w:beforeAutospacing="0" w:afterAutospacing="0"/>
              <w:rPr>
                <w:rFonts w:cs="仿宋_GB2312" w:asciiTheme="minorEastAsia" w:hAnsiTheme="minorEastAsia"/>
                <w:color w:val="000000" w:themeColor="text1"/>
                <w:sz w:val="21"/>
                <w:szCs w:val="21"/>
                <w14:textFill>
                  <w14:solidFill>
                    <w14:schemeClr w14:val="tx1"/>
                  </w14:solidFill>
                </w14:textFill>
              </w:rPr>
            </w:pPr>
            <w:r>
              <w:rPr>
                <w:rFonts w:hint="eastAsia" w:cs="仿宋_GB2312" w:asciiTheme="minorEastAsia" w:hAnsiTheme="minorEastAsia"/>
                <w:color w:val="000000" w:themeColor="text1"/>
                <w:sz w:val="21"/>
                <w:szCs w:val="21"/>
                <w14:textFill>
                  <w14:solidFill>
                    <w14:schemeClr w14:val="tx1"/>
                  </w14:solidFill>
                </w14:textFill>
              </w:rPr>
              <w:t>3.决定责任：符合要求的孤儿纳入孤儿保障范围，不符合要求的解释原因。 </w:t>
            </w:r>
          </w:p>
          <w:p w14:paraId="5DDF0E6E">
            <w:pPr>
              <w:pStyle w:val="6"/>
              <w:widowControl/>
              <w:spacing w:beforeAutospacing="0" w:afterAutospacing="0"/>
              <w:rPr>
                <w:rFonts w:cs="仿宋_GB2312" w:asciiTheme="minorEastAsia" w:hAnsiTheme="minorEastAsia"/>
                <w:color w:val="000000" w:themeColor="text1"/>
                <w:sz w:val="21"/>
                <w:szCs w:val="21"/>
                <w14:textFill>
                  <w14:solidFill>
                    <w14:schemeClr w14:val="tx1"/>
                  </w14:solidFill>
                </w14:textFill>
              </w:rPr>
            </w:pPr>
            <w:r>
              <w:rPr>
                <w:rFonts w:hint="eastAsia" w:cs="仿宋_GB2312" w:asciiTheme="minorEastAsia" w:hAnsiTheme="minorEastAsia"/>
                <w:color w:val="000000" w:themeColor="text1"/>
                <w:sz w:val="21"/>
                <w:szCs w:val="21"/>
                <w14:textFill>
                  <w14:solidFill>
                    <w14:schemeClr w14:val="tx1"/>
                  </w14:solidFill>
                </w14:textFill>
              </w:rPr>
              <w:t xml:space="preserve"> 4.事后监管：登记并建立档案，定期或不定期巡访，与监护人签订监护协议，明确责任义务和追究机制。  </w:t>
            </w:r>
          </w:p>
          <w:p w14:paraId="58612FA2">
            <w:pPr>
              <w:pStyle w:val="6"/>
              <w:widowControl/>
              <w:spacing w:beforeAutospacing="0" w:afterAutospacing="0"/>
              <w:rPr>
                <w:rFonts w:cs="仿宋_GB2312" w:asciiTheme="minorEastAsia" w:hAnsiTheme="minorEastAsia"/>
                <w:color w:val="000000" w:themeColor="text1"/>
                <w:sz w:val="21"/>
                <w:szCs w:val="21"/>
                <w14:textFill>
                  <w14:solidFill>
                    <w14:schemeClr w14:val="tx1"/>
                  </w14:solidFill>
                </w14:textFill>
              </w:rPr>
            </w:pPr>
            <w:r>
              <w:rPr>
                <w:rFonts w:hint="eastAsia" w:cs="仿宋_GB2312" w:asciiTheme="minorEastAsia" w:hAnsiTheme="minorEastAsia"/>
                <w:color w:val="000000" w:themeColor="text1"/>
                <w:sz w:val="21"/>
                <w:szCs w:val="21"/>
                <w14:textFill>
                  <w14:solidFill>
                    <w14:schemeClr w14:val="tx1"/>
                  </w14:solidFill>
                </w14:textFill>
              </w:rPr>
              <w:t> 5.其他：法律法规规章规定应履行的责任。</w:t>
            </w:r>
          </w:p>
          <w:p w14:paraId="5BA77AB0">
            <w:pPr>
              <w:widowControl/>
              <w:jc w:val="left"/>
              <w:rPr>
                <w:rFonts w:asciiTheme="minorEastAsia" w:hAnsiTheme="minorEastAsia"/>
                <w:color w:val="000000" w:themeColor="text1"/>
                <w:kern w:val="0"/>
                <w:szCs w:val="21"/>
                <w14:textFill>
                  <w14:solidFill>
                    <w14:schemeClr w14:val="tx1"/>
                  </w14:solidFill>
                </w14:textFill>
              </w:rPr>
            </w:pPr>
          </w:p>
        </w:tc>
        <w:tc>
          <w:tcPr>
            <w:tcW w:w="3402" w:type="dxa"/>
            <w:tcBorders>
              <w:bottom w:val="single" w:color="000000" w:sz="4" w:space="0"/>
              <w:right w:val="single" w:color="000000" w:sz="4" w:space="0"/>
            </w:tcBorders>
            <w:vAlign w:val="center"/>
          </w:tcPr>
          <w:p w14:paraId="0AF0585F">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因不履行或不正确履行行政职责，有下列情形的，行政机关及相关工作人员应承担相应责任：</w:t>
            </w:r>
          </w:p>
          <w:p w14:paraId="01B9183D">
            <w:pPr>
              <w:widowControl/>
              <w:numPr>
                <w:ilvl w:val="0"/>
                <w:numId w:val="2"/>
              </w:numPr>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对符合条件不予手里的；</w:t>
            </w:r>
          </w:p>
          <w:p w14:paraId="78D2F927">
            <w:pPr>
              <w:widowControl/>
              <w:numPr>
                <w:ilvl w:val="0"/>
                <w:numId w:val="2"/>
              </w:numPr>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违反规定办理的；</w:t>
            </w:r>
          </w:p>
          <w:p w14:paraId="33DE2918">
            <w:pPr>
              <w:widowControl/>
              <w:numPr>
                <w:ilvl w:val="0"/>
                <w:numId w:val="2"/>
              </w:numPr>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未按照规定班里的；</w:t>
            </w:r>
          </w:p>
          <w:p w14:paraId="08A09B6B">
            <w:pPr>
              <w:widowControl/>
              <w:numPr>
                <w:ilvl w:val="0"/>
                <w:numId w:val="2"/>
              </w:numPr>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侵犯当事人权益的；</w:t>
            </w:r>
          </w:p>
          <w:p w14:paraId="2AFC4BF2">
            <w:pPr>
              <w:widowControl/>
              <w:jc w:val="center"/>
              <w:rPr>
                <w:rFonts w:asciiTheme="minorEastAsia" w:hAnsiTheme="minorEastAsia"/>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5、其他法律法规规章文件规定应履行的责任。</w:t>
            </w:r>
          </w:p>
        </w:tc>
        <w:tc>
          <w:tcPr>
            <w:tcW w:w="851" w:type="dxa"/>
            <w:tcBorders>
              <w:bottom w:val="single" w:color="000000" w:sz="4" w:space="0"/>
              <w:right w:val="single" w:color="000000" w:sz="4" w:space="0"/>
            </w:tcBorders>
            <w:vAlign w:val="center"/>
          </w:tcPr>
          <w:p w14:paraId="6EBB951A">
            <w:pPr>
              <w:autoSpaceDN w:val="0"/>
              <w:textAlignment w:val="center"/>
              <w:rPr>
                <w:rFonts w:ascii="宋体" w:hAnsi="宋体"/>
                <w:sz w:val="20"/>
                <w:szCs w:val="20"/>
              </w:rPr>
            </w:pPr>
          </w:p>
        </w:tc>
      </w:tr>
      <w:tr w14:paraId="4C09A435">
        <w:tblPrEx>
          <w:tblCellMar>
            <w:top w:w="0" w:type="dxa"/>
            <w:left w:w="108" w:type="dxa"/>
            <w:bottom w:w="0" w:type="dxa"/>
            <w:right w:w="108" w:type="dxa"/>
          </w:tblCellMar>
        </w:tblPrEx>
        <w:trPr>
          <w:trHeight w:val="365" w:hRule="atLeast"/>
        </w:trPr>
        <w:tc>
          <w:tcPr>
            <w:tcW w:w="847" w:type="dxa"/>
            <w:tcBorders>
              <w:left w:val="single" w:color="000000" w:sz="4" w:space="0"/>
              <w:bottom w:val="single" w:color="000000" w:sz="4" w:space="0"/>
              <w:right w:val="single" w:color="000000" w:sz="4" w:space="0"/>
            </w:tcBorders>
            <w:vAlign w:val="center"/>
          </w:tcPr>
          <w:p w14:paraId="2BA98475">
            <w:pPr>
              <w:autoSpaceDN w:val="0"/>
              <w:jc w:val="center"/>
              <w:textAlignment w:val="center"/>
              <w:rPr>
                <w:rFonts w:ascii="仿宋" w:hAnsi="仿宋" w:eastAsia="仿宋" w:cs="仿宋_GB2312"/>
                <w:szCs w:val="21"/>
              </w:rPr>
            </w:pPr>
            <w:r>
              <w:rPr>
                <w:rFonts w:hint="eastAsia" w:ascii="仿宋" w:hAnsi="仿宋" w:eastAsia="仿宋" w:cs="仿宋_GB2312"/>
                <w:szCs w:val="21"/>
              </w:rPr>
              <w:t>7</w:t>
            </w:r>
          </w:p>
        </w:tc>
        <w:tc>
          <w:tcPr>
            <w:tcW w:w="1138" w:type="dxa"/>
            <w:tcBorders>
              <w:left w:val="single" w:color="000000" w:sz="4" w:space="0"/>
              <w:bottom w:val="single" w:color="000000" w:sz="4" w:space="0"/>
              <w:right w:val="single" w:color="000000" w:sz="4" w:space="0"/>
            </w:tcBorders>
            <w:vAlign w:val="center"/>
          </w:tcPr>
          <w:p w14:paraId="01C493BF">
            <w:pPr>
              <w:autoSpaceDN w:val="0"/>
              <w:jc w:val="center"/>
              <w:textAlignment w:val="center"/>
              <w:rPr>
                <w:rFonts w:ascii="宋体" w:hAnsi="宋体"/>
                <w:sz w:val="20"/>
                <w:szCs w:val="20"/>
              </w:rPr>
            </w:pPr>
            <w:r>
              <w:rPr>
                <w:rFonts w:hint="eastAsia" w:cs="仿宋_GB2312" w:asciiTheme="minorEastAsia" w:hAnsiTheme="minorEastAsia"/>
                <w:color w:val="000000" w:themeColor="text1"/>
                <w:szCs w:val="21"/>
                <w14:textFill>
                  <w14:solidFill>
                    <w14:schemeClr w14:val="tx1"/>
                  </w14:solidFill>
                </w14:textFill>
              </w:rPr>
              <w:t>行政给付</w:t>
            </w:r>
          </w:p>
        </w:tc>
        <w:tc>
          <w:tcPr>
            <w:tcW w:w="1130" w:type="dxa"/>
            <w:tcBorders>
              <w:bottom w:val="single" w:color="000000" w:sz="4" w:space="0"/>
              <w:right w:val="single" w:color="000000" w:sz="4" w:space="0"/>
            </w:tcBorders>
            <w:vAlign w:val="center"/>
          </w:tcPr>
          <w:p w14:paraId="3B4A4A63">
            <w:pPr>
              <w:jc w:val="center"/>
              <w:rPr>
                <w:rFonts w:ascii="宋体" w:hAnsi="宋体" w:cs="仿宋_GB2312"/>
                <w:kern w:val="0"/>
              </w:rPr>
            </w:pPr>
            <w:r>
              <w:rPr>
                <w:rFonts w:hint="eastAsia" w:ascii="宋体" w:hAnsi="宋体" w:cs="仿宋_GB2312"/>
                <w:kern w:val="0"/>
              </w:rPr>
              <w:t>城市生活无着的流浪乞讨人员救助管理</w:t>
            </w:r>
          </w:p>
        </w:tc>
        <w:tc>
          <w:tcPr>
            <w:tcW w:w="1138" w:type="dxa"/>
            <w:tcBorders>
              <w:bottom w:val="single" w:color="000000" w:sz="4" w:space="0"/>
              <w:right w:val="single" w:color="000000" w:sz="4" w:space="0"/>
            </w:tcBorders>
            <w:vAlign w:val="center"/>
          </w:tcPr>
          <w:p w14:paraId="220CDFF6">
            <w:pPr>
              <w:jc w:val="center"/>
              <w:rPr>
                <w:rFonts w:ascii="宋体" w:hAnsi="宋体" w:cs="仿宋_GB2312"/>
                <w:kern w:val="0"/>
              </w:rPr>
            </w:pPr>
            <w:r>
              <w:rPr>
                <w:rFonts w:hint="eastAsia" w:ascii="宋体" w:hAnsi="宋体" w:cs="仿宋_GB2312"/>
                <w:kern w:val="0"/>
              </w:rPr>
              <w:t>县民政局</w:t>
            </w:r>
          </w:p>
        </w:tc>
        <w:tc>
          <w:tcPr>
            <w:tcW w:w="2693" w:type="dxa"/>
            <w:tcBorders>
              <w:bottom w:val="single" w:color="000000" w:sz="4" w:space="0"/>
              <w:right w:val="single" w:color="000000" w:sz="4" w:space="0"/>
            </w:tcBorders>
            <w:vAlign w:val="center"/>
          </w:tcPr>
          <w:p w14:paraId="5D45D95A">
            <w:pPr>
              <w:shd w:val="clear" w:color="auto" w:fill="FFFFFF"/>
              <w:rPr>
                <w:rFonts w:ascii="宋体" w:hAnsi="宋体" w:cs="仿宋_GB2312"/>
                <w:kern w:val="0"/>
              </w:rPr>
            </w:pPr>
            <w:r>
              <w:rPr>
                <w:rFonts w:hint="eastAsia" w:ascii="宋体" w:hAnsi="宋体" w:cs="仿宋_GB2312"/>
                <w:kern w:val="0"/>
              </w:rPr>
              <w:t>《城市生活无着的流浪乞讨人员救助管理办法》（2003年国务院令第381号）第二条 县级以上城市人民政府应当根据需要设立流浪乞讨人员救助站。救助站对流浪乞讨人员的救助是一项临时性社会救助措施。《城市生活无着的流浪乞讨人员救助管理办法》（2003年国务院令第381号）第三条第一款  县级以上城市人民政府应当采取积极措施及时救助流浪乞讨人员，并应当将救助工作所需经费列入财政预算，予以保障。《城市生活无着的流浪乞讨人员救助管理办法》（2003年国务院令第381号）第七条 救助站应当根据受助人员的需要提供下列救助： (一)提供符合食品卫生要求的食物； (二)提供符合基本条件的住处； (三)对在站内突发急病的，及时送医院救治； (四)帮助与其亲属或者所在单位联系； (五)对没有交通费返回其住所地或者所在单位的，提供乘车凭证。《城市生活无着的流浪乞讨人员救助管理办法实施细则》（2003年 民政部令第24号）第二十二条  县级以上地方人民政府民政部门应当加强对救助站的领导和监督管理，履行以下职责： （一）监督救助站落实救助措施和规章制度； （二）指导检查救助工作情况; （三）对救助站工作人员进行教育、培训; （四）调查、处理救助站及其工作人员违法违纪问题； （五）帮助救助站解决困难，提供工作条件。</w:t>
            </w:r>
          </w:p>
          <w:p w14:paraId="499564A5">
            <w:pPr>
              <w:jc w:val="center"/>
              <w:rPr>
                <w:rFonts w:ascii="宋体" w:hAnsi="宋体"/>
                <w:kern w:val="0"/>
              </w:rPr>
            </w:pPr>
          </w:p>
        </w:tc>
        <w:tc>
          <w:tcPr>
            <w:tcW w:w="3827" w:type="dxa"/>
            <w:tcBorders>
              <w:bottom w:val="single" w:color="000000" w:sz="4" w:space="0"/>
              <w:right w:val="single" w:color="000000" w:sz="4" w:space="0"/>
            </w:tcBorders>
            <w:vAlign w:val="center"/>
          </w:tcPr>
          <w:p w14:paraId="09F5D2A7">
            <w:pPr>
              <w:widowControl/>
              <w:jc w:val="left"/>
              <w:rPr>
                <w:rFonts w:ascii="宋体" w:hAnsi="宋体"/>
                <w:kern w:val="0"/>
              </w:rPr>
            </w:pPr>
            <w:r>
              <w:rPr>
                <w:rFonts w:hint="eastAsia"/>
                <w:color w:val="000000"/>
                <w:szCs w:val="21"/>
                <w:shd w:val="clear" w:color="auto" w:fill="FFFFFF"/>
              </w:rPr>
              <w:t>1.受理责任：公示法定应当提交的材料；一次性告知补正材料，依法受理或不予受理申请（不予受理的说明理由）。</w:t>
            </w:r>
            <w:r>
              <w:rPr>
                <w:rFonts w:hint="eastAsia"/>
                <w:color w:val="000000"/>
                <w:szCs w:val="21"/>
              </w:rPr>
              <w:br w:type="textWrapping"/>
            </w:r>
            <w:r>
              <w:rPr>
                <w:rFonts w:hint="eastAsia"/>
                <w:color w:val="000000"/>
                <w:szCs w:val="21"/>
                <w:shd w:val="clear" w:color="auto" w:fill="FFFFFF"/>
              </w:rPr>
              <w:t>2.审查责任：对申请人提交的申请材料进行审查，提出审查意见。</w:t>
            </w:r>
            <w:r>
              <w:rPr>
                <w:rFonts w:hint="eastAsia"/>
                <w:color w:val="000000"/>
                <w:szCs w:val="21"/>
              </w:rPr>
              <w:br w:type="textWrapping"/>
            </w:r>
            <w:r>
              <w:rPr>
                <w:rFonts w:hint="eastAsia"/>
                <w:color w:val="000000"/>
                <w:szCs w:val="21"/>
                <w:shd w:val="clear" w:color="auto" w:fill="FFFFFF"/>
              </w:rPr>
              <w:t>3.决定责任：作出给付的行政决定，依法送达。</w:t>
            </w:r>
            <w:r>
              <w:rPr>
                <w:rFonts w:hint="eastAsia"/>
                <w:color w:val="000000"/>
                <w:szCs w:val="21"/>
              </w:rPr>
              <w:br w:type="textWrapping"/>
            </w:r>
            <w:r>
              <w:rPr>
                <w:rFonts w:hint="eastAsia"/>
                <w:color w:val="000000"/>
                <w:szCs w:val="21"/>
                <w:shd w:val="clear" w:color="auto" w:fill="FFFFFF"/>
              </w:rPr>
              <w:t>4.法律法规规章文件规定应履行的其他责任。</w:t>
            </w:r>
          </w:p>
        </w:tc>
        <w:tc>
          <w:tcPr>
            <w:tcW w:w="3402" w:type="dxa"/>
            <w:tcBorders>
              <w:bottom w:val="single" w:color="000000" w:sz="4" w:space="0"/>
              <w:right w:val="single" w:color="000000" w:sz="4" w:space="0"/>
            </w:tcBorders>
            <w:vAlign w:val="center"/>
          </w:tcPr>
          <w:p w14:paraId="5CA17A10">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color w:val="000000"/>
                <w:szCs w:val="21"/>
                <w:shd w:val="clear" w:color="auto" w:fill="FFFFFF"/>
              </w:rPr>
              <w:t>受助人员应当遵守法律法规。受助人员违反法律法规的，应当依法处理。受助人员应当遵守救助站的各项规章制度。</w:t>
            </w:r>
            <w:r>
              <w:rPr>
                <w:rFonts w:hint="eastAsia"/>
                <w:color w:val="000000"/>
                <w:szCs w:val="21"/>
                <w:shd w:val="clear" w:color="auto" w:fill="FFFFFF"/>
              </w:rPr>
              <w:t xml:space="preserve"> </w:t>
            </w:r>
            <w:r>
              <w:rPr>
                <w:color w:val="000000"/>
                <w:szCs w:val="21"/>
                <w:shd w:val="clear" w:color="auto" w:fill="FFFFFF"/>
              </w:rPr>
              <w:t>救</w:t>
            </w:r>
            <w:r>
              <w:rPr>
                <w:rFonts w:ascii="宋体" w:hAnsi="宋体" w:cs="仿宋_GB2312"/>
                <w:kern w:val="0"/>
              </w:rPr>
              <w:t>助站的上级民政主管部门不及时受理救助对象举报，不及时责令救助站履行职责，或者对应当安置的受助人员不报请当地人民政府予以安置的，对直接负责的主管人员和其他直接责任人员依法给予行政处分。</w:t>
            </w:r>
            <w:r>
              <w:rPr>
                <w:rFonts w:hint="eastAsia" w:ascii="宋体" w:hAnsi="宋体" w:eastAsia="宋体" w:cs="宋体"/>
                <w:color w:val="000000" w:themeColor="text1"/>
                <w:kern w:val="0"/>
                <w:sz w:val="18"/>
                <w:szCs w:val="18"/>
                <w:lang w:bidi="ar"/>
                <w14:textFill>
                  <w14:solidFill>
                    <w14:schemeClr w14:val="tx1"/>
                  </w14:solidFill>
                </w14:textFill>
              </w:rPr>
              <w:t>因不履行或不正确履行行政职责，有下列情形的，行政机关及相关工作人员应承担相应责任：</w:t>
            </w:r>
          </w:p>
          <w:p w14:paraId="1BDE63A1">
            <w:pPr>
              <w:widowControl/>
              <w:numPr>
                <w:ilvl w:val="0"/>
                <w:numId w:val="3"/>
              </w:numPr>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对符合条件不予手里的；</w:t>
            </w:r>
          </w:p>
          <w:p w14:paraId="0D13EA62">
            <w:pPr>
              <w:widowControl/>
              <w:numPr>
                <w:ilvl w:val="0"/>
                <w:numId w:val="3"/>
              </w:numPr>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违反规定办理的；</w:t>
            </w:r>
          </w:p>
          <w:p w14:paraId="0115FE21">
            <w:pPr>
              <w:widowControl/>
              <w:numPr>
                <w:ilvl w:val="0"/>
                <w:numId w:val="3"/>
              </w:numPr>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未按照规定班里的；</w:t>
            </w:r>
          </w:p>
          <w:p w14:paraId="079051C8">
            <w:pPr>
              <w:widowControl/>
              <w:numPr>
                <w:ilvl w:val="0"/>
                <w:numId w:val="3"/>
              </w:numPr>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侵犯当事人权益的；</w:t>
            </w:r>
          </w:p>
          <w:p w14:paraId="355102C7">
            <w:pPr>
              <w:widowControl/>
              <w:jc w:val="left"/>
              <w:rPr>
                <w:rFonts w:ascii="宋体" w:hAnsi="宋体"/>
                <w:kern w:val="0"/>
              </w:rPr>
            </w:pPr>
            <w:r>
              <w:rPr>
                <w:rFonts w:hint="eastAsia" w:ascii="宋体" w:hAnsi="宋体" w:eastAsia="宋体" w:cs="宋体"/>
                <w:color w:val="000000" w:themeColor="text1"/>
                <w:kern w:val="0"/>
                <w:sz w:val="18"/>
                <w:szCs w:val="18"/>
                <w:lang w:bidi="ar"/>
                <w14:textFill>
                  <w14:solidFill>
                    <w14:schemeClr w14:val="tx1"/>
                  </w14:solidFill>
                </w14:textFill>
              </w:rPr>
              <w:t>5、其他法律法规规章文件规定应履行的责</w:t>
            </w:r>
          </w:p>
        </w:tc>
        <w:tc>
          <w:tcPr>
            <w:tcW w:w="851" w:type="dxa"/>
            <w:tcBorders>
              <w:bottom w:val="single" w:color="000000" w:sz="4" w:space="0"/>
              <w:right w:val="single" w:color="000000" w:sz="4" w:space="0"/>
            </w:tcBorders>
            <w:vAlign w:val="center"/>
          </w:tcPr>
          <w:p w14:paraId="57335D3C">
            <w:pPr>
              <w:autoSpaceDN w:val="0"/>
              <w:textAlignment w:val="center"/>
              <w:rPr>
                <w:rFonts w:ascii="宋体" w:hAnsi="宋体"/>
                <w:sz w:val="20"/>
                <w:szCs w:val="20"/>
              </w:rPr>
            </w:pPr>
          </w:p>
        </w:tc>
      </w:tr>
      <w:tr w14:paraId="18B414BD">
        <w:tblPrEx>
          <w:tblCellMar>
            <w:top w:w="0" w:type="dxa"/>
            <w:left w:w="108" w:type="dxa"/>
            <w:bottom w:w="0" w:type="dxa"/>
            <w:right w:w="108" w:type="dxa"/>
          </w:tblCellMar>
        </w:tblPrEx>
        <w:trPr>
          <w:trHeight w:val="2604" w:hRule="atLeast"/>
        </w:trPr>
        <w:tc>
          <w:tcPr>
            <w:tcW w:w="847" w:type="dxa"/>
            <w:tcBorders>
              <w:left w:val="single" w:color="000000" w:sz="4" w:space="0"/>
              <w:bottom w:val="single" w:color="000000" w:sz="4" w:space="0"/>
              <w:right w:val="single" w:color="000000" w:sz="4" w:space="0"/>
            </w:tcBorders>
            <w:vAlign w:val="center"/>
          </w:tcPr>
          <w:p w14:paraId="2215B4FD">
            <w:pPr>
              <w:autoSpaceDN w:val="0"/>
              <w:jc w:val="center"/>
              <w:textAlignment w:val="center"/>
              <w:rPr>
                <w:rFonts w:ascii="仿宋" w:hAnsi="仿宋" w:eastAsia="仿宋" w:cs="仿宋_GB2312"/>
                <w:szCs w:val="21"/>
              </w:rPr>
            </w:pPr>
            <w:r>
              <w:rPr>
                <w:rFonts w:hint="eastAsia" w:ascii="仿宋" w:hAnsi="仿宋" w:eastAsia="仿宋" w:cs="仿宋_GB2312"/>
                <w:szCs w:val="21"/>
              </w:rPr>
              <w:t>8</w:t>
            </w:r>
          </w:p>
        </w:tc>
        <w:tc>
          <w:tcPr>
            <w:tcW w:w="1138" w:type="dxa"/>
            <w:tcBorders>
              <w:left w:val="single" w:color="000000" w:sz="4" w:space="0"/>
              <w:bottom w:val="single" w:color="000000" w:sz="4" w:space="0"/>
              <w:right w:val="single" w:color="000000" w:sz="4" w:space="0"/>
            </w:tcBorders>
            <w:vAlign w:val="center"/>
          </w:tcPr>
          <w:p w14:paraId="42EB46C0">
            <w:pPr>
              <w:autoSpaceDN w:val="0"/>
              <w:jc w:val="center"/>
              <w:textAlignment w:val="center"/>
              <w:rPr>
                <w:rFonts w:ascii="宋体" w:hAnsi="宋体" w:cs="仿宋_GB2312"/>
                <w:sz w:val="20"/>
                <w:szCs w:val="20"/>
              </w:rPr>
            </w:pPr>
            <w:r>
              <w:rPr>
                <w:rFonts w:hint="eastAsia" w:cs="仿宋_GB2312" w:asciiTheme="minorEastAsia" w:hAnsiTheme="minorEastAsia"/>
                <w:color w:val="000000" w:themeColor="text1"/>
                <w:szCs w:val="21"/>
                <w14:textFill>
                  <w14:solidFill>
                    <w14:schemeClr w14:val="tx1"/>
                  </w14:solidFill>
                </w14:textFill>
              </w:rPr>
              <w:t>行政给付</w:t>
            </w:r>
          </w:p>
        </w:tc>
        <w:tc>
          <w:tcPr>
            <w:tcW w:w="1130" w:type="dxa"/>
            <w:tcBorders>
              <w:bottom w:val="single" w:color="000000" w:sz="4" w:space="0"/>
              <w:right w:val="single" w:color="000000" w:sz="4" w:space="0"/>
            </w:tcBorders>
            <w:vAlign w:val="center"/>
          </w:tcPr>
          <w:p w14:paraId="77BA89C7">
            <w:pPr>
              <w:jc w:val="center"/>
              <w:rPr>
                <w:rFonts w:ascii="宋体" w:hAnsi="宋体" w:cs="仿宋_GB2312"/>
                <w:kern w:val="0"/>
              </w:rPr>
            </w:pPr>
            <w:r>
              <w:rPr>
                <w:rFonts w:hint="eastAsia" w:ascii="宋体" w:hAnsi="宋体" w:cs="仿宋_GB2312"/>
                <w:kern w:val="0"/>
              </w:rPr>
              <w:t>特困人员救助供养</w:t>
            </w:r>
          </w:p>
        </w:tc>
        <w:tc>
          <w:tcPr>
            <w:tcW w:w="1138" w:type="dxa"/>
            <w:tcBorders>
              <w:bottom w:val="single" w:color="000000" w:sz="4" w:space="0"/>
              <w:right w:val="single" w:color="000000" w:sz="4" w:space="0"/>
            </w:tcBorders>
            <w:vAlign w:val="center"/>
          </w:tcPr>
          <w:p w14:paraId="7E08DCD9">
            <w:pPr>
              <w:jc w:val="center"/>
              <w:rPr>
                <w:rFonts w:ascii="宋体" w:hAnsi="宋体" w:cs="仿宋_GB2312"/>
                <w:kern w:val="0"/>
              </w:rPr>
            </w:pPr>
            <w:r>
              <w:rPr>
                <w:rFonts w:hint="eastAsia" w:ascii="宋体" w:hAnsi="宋体" w:cs="仿宋_GB2312"/>
                <w:kern w:val="0"/>
              </w:rPr>
              <w:t>县民政局</w:t>
            </w:r>
          </w:p>
        </w:tc>
        <w:tc>
          <w:tcPr>
            <w:tcW w:w="2693" w:type="dxa"/>
            <w:tcBorders>
              <w:bottom w:val="single" w:color="000000" w:sz="4" w:space="0"/>
              <w:right w:val="single" w:color="000000" w:sz="4" w:space="0"/>
            </w:tcBorders>
            <w:vAlign w:val="center"/>
          </w:tcPr>
          <w:p w14:paraId="49731904">
            <w:pPr>
              <w:shd w:val="clear" w:color="auto" w:fill="FFFFFF"/>
              <w:rPr>
                <w:rFonts w:ascii="宋体" w:hAnsi="宋体"/>
                <w:kern w:val="0"/>
              </w:rPr>
            </w:pPr>
            <w:r>
              <w:rPr>
                <w:rFonts w:hint="eastAsia" w:ascii="宋体" w:hAnsi="宋体"/>
                <w:kern w:val="0"/>
              </w:rPr>
              <w:t>《社会救助暂行办法》（2019年 国务院令第649号；国务院令第709号）第十四条国家对无劳动能力、无生活来源且无法定赡养、抚养、扶养义务人，或者其法定赡养、抚养、扶养义务人无赡养、抚养、扶养能力的老年人、残疾人以及未满16周岁的未成年人，给予特困人员供养。《社会救助暂行办法》（2019年 国务院令第649号；国务院令第709号）第十五条第一款特困人员供养的内容包括： （一）提供基本生活条件； （二）对生活不能自理的给予照料； （三）提供疾病治疗； （四）办理丧葬事宜。《国务院关于进一步健全特困人员救助供养制度的意见》（2016年 国发〔2016〕14号</w:t>
            </w:r>
          </w:p>
          <w:p w14:paraId="1EC4C430">
            <w:pPr>
              <w:widowControl/>
              <w:shd w:val="clear" w:color="auto" w:fill="FFFFFF"/>
              <w:jc w:val="left"/>
              <w:rPr>
                <w:rFonts w:ascii="宋体" w:hAnsi="宋体"/>
                <w:kern w:val="0"/>
              </w:rPr>
            </w:pPr>
            <w:r>
              <w:rPr>
                <w:rFonts w:hint="eastAsia" w:ascii="宋体" w:hAnsi="宋体"/>
                <w:kern w:val="0"/>
              </w:rPr>
              <w:t>全文</w:t>
            </w:r>
          </w:p>
          <w:p w14:paraId="449A9100">
            <w:pPr>
              <w:widowControl/>
              <w:shd w:val="clear" w:color="auto" w:fill="FFFFFF"/>
              <w:jc w:val="left"/>
              <w:rPr>
                <w:rFonts w:ascii="宋体" w:hAnsi="宋体"/>
                <w:kern w:val="0"/>
              </w:rPr>
            </w:pPr>
            <w:r>
              <w:rPr>
                <w:rFonts w:hint="eastAsia" w:ascii="宋体" w:hAnsi="宋体"/>
                <w:kern w:val="0"/>
              </w:rPr>
              <w:t>《社会救助暂行办法》（国务院令第649号）</w:t>
            </w:r>
          </w:p>
          <w:p w14:paraId="0CB61596">
            <w:pPr>
              <w:widowControl/>
              <w:shd w:val="clear" w:color="auto" w:fill="FFFFFF"/>
              <w:jc w:val="left"/>
              <w:rPr>
                <w:rFonts w:ascii="宋体" w:hAnsi="宋体"/>
                <w:kern w:val="0"/>
              </w:rPr>
            </w:pPr>
            <w:r>
              <w:rPr>
                <w:rFonts w:hint="eastAsia" w:ascii="宋体" w:hAnsi="宋体"/>
                <w:kern w:val="0"/>
              </w:rPr>
              <w:t>《国务院关于进一步健全特困人员救助供养制度的意见》（国发〔2016〕14号）</w:t>
            </w:r>
          </w:p>
        </w:tc>
        <w:tc>
          <w:tcPr>
            <w:tcW w:w="3827" w:type="dxa"/>
            <w:tcBorders>
              <w:bottom w:val="single" w:color="000000" w:sz="4" w:space="0"/>
              <w:right w:val="single" w:color="000000" w:sz="4" w:space="0"/>
            </w:tcBorders>
            <w:vAlign w:val="center"/>
          </w:tcPr>
          <w:p w14:paraId="27FCD3E3">
            <w:pPr>
              <w:widowControl/>
              <w:jc w:val="left"/>
              <w:rPr>
                <w:rFonts w:ascii="宋体" w:hAnsi="宋体"/>
                <w:kern w:val="0"/>
              </w:rPr>
            </w:pPr>
            <w:r>
              <w:rPr>
                <w:rFonts w:hint="eastAsia"/>
                <w:color w:val="000000"/>
                <w:szCs w:val="21"/>
                <w:shd w:val="clear" w:color="auto" w:fill="FFFFFF"/>
              </w:rPr>
              <w:t>1.受理责任：公示法定应当提交的材料；一次性告知补正材料，依法受理或不予受理申请（不予受理的说明理由）。</w:t>
            </w:r>
            <w:r>
              <w:rPr>
                <w:rFonts w:hint="eastAsia"/>
                <w:color w:val="000000"/>
                <w:szCs w:val="21"/>
              </w:rPr>
              <w:br w:type="textWrapping"/>
            </w:r>
            <w:r>
              <w:rPr>
                <w:rFonts w:hint="eastAsia"/>
                <w:color w:val="000000"/>
                <w:szCs w:val="21"/>
                <w:shd w:val="clear" w:color="auto" w:fill="FFFFFF"/>
              </w:rPr>
              <w:t>2.审查责任：对申请人提交的申请材料进行审查，提出审查意见。</w:t>
            </w:r>
            <w:r>
              <w:rPr>
                <w:rFonts w:hint="eastAsia"/>
                <w:color w:val="000000"/>
                <w:szCs w:val="21"/>
              </w:rPr>
              <w:br w:type="textWrapping"/>
            </w:r>
            <w:r>
              <w:rPr>
                <w:rFonts w:hint="eastAsia"/>
                <w:color w:val="000000"/>
                <w:szCs w:val="21"/>
                <w:shd w:val="clear" w:color="auto" w:fill="FFFFFF"/>
              </w:rPr>
              <w:t>3.决定责任：作出给付的行政决定，依法送达。</w:t>
            </w:r>
            <w:r>
              <w:rPr>
                <w:rFonts w:hint="eastAsia"/>
                <w:color w:val="000000"/>
                <w:szCs w:val="21"/>
              </w:rPr>
              <w:br w:type="textWrapping"/>
            </w:r>
            <w:r>
              <w:rPr>
                <w:rFonts w:hint="eastAsia"/>
                <w:color w:val="000000"/>
                <w:szCs w:val="21"/>
                <w:shd w:val="clear" w:color="auto" w:fill="FFFFFF"/>
              </w:rPr>
              <w:t>4.法律法规规章文件规定应履行的其他责任。</w:t>
            </w:r>
          </w:p>
          <w:p w14:paraId="7B858E37">
            <w:pPr>
              <w:widowControl/>
              <w:jc w:val="left"/>
              <w:rPr>
                <w:rFonts w:ascii="宋体" w:hAnsi="宋体"/>
                <w:kern w:val="0"/>
              </w:rPr>
            </w:pPr>
          </w:p>
        </w:tc>
        <w:tc>
          <w:tcPr>
            <w:tcW w:w="3402" w:type="dxa"/>
            <w:tcBorders>
              <w:bottom w:val="single" w:color="000000" w:sz="4" w:space="0"/>
              <w:right w:val="single" w:color="000000" w:sz="4" w:space="0"/>
            </w:tcBorders>
            <w:vAlign w:val="center"/>
          </w:tcPr>
          <w:p w14:paraId="7DED3800">
            <w:pPr>
              <w:widowControl/>
              <w:jc w:val="center"/>
              <w:rPr>
                <w:rFonts w:ascii="宋体" w:hAnsi="宋体"/>
                <w:kern w:val="0"/>
              </w:rPr>
            </w:pPr>
            <w:r>
              <w:rPr>
                <w:rFonts w:hint="eastAsia" w:ascii="宋体" w:hAnsi="宋体"/>
                <w:kern w:val="0"/>
              </w:rPr>
              <w:t>有下列情形之一的，由上级行政机关或者监察机关责令改正；对直接负责的主管人员和其他直接责任人员依法给予处分： （一）对符合申请条件的救助申请不予受理的； （二）对符合救助条件的救助申请不予批准的； （三）对不符合救助条件的救助申请予以批准的； （四）泄露在工作中知悉的公民个人信息，造成后果的； （五）丢失、篡改接受社会救助款物、服务记录等数据的； （六）不按照规定发放社会救助资金、物资或者提供相关服务的； （七）在履行社会救助职责过程中有其他滥用职权、玩忽职守、徇私舞弊行为的。违反本办法规定，截留、挤占、挪用、私分社会救助资金、物资的，由有关部门责令追回；有违法所得的，没收违法所得；对直接负责的主管人员和其他直接责任人员依法给予处分。</w:t>
            </w:r>
          </w:p>
        </w:tc>
        <w:tc>
          <w:tcPr>
            <w:tcW w:w="851" w:type="dxa"/>
            <w:tcBorders>
              <w:bottom w:val="single" w:color="000000" w:sz="4" w:space="0"/>
              <w:right w:val="single" w:color="000000" w:sz="4" w:space="0"/>
            </w:tcBorders>
            <w:vAlign w:val="center"/>
          </w:tcPr>
          <w:p w14:paraId="06B990B2">
            <w:pPr>
              <w:autoSpaceDN w:val="0"/>
              <w:textAlignment w:val="center"/>
              <w:rPr>
                <w:rFonts w:ascii="宋体" w:hAnsi="宋体"/>
                <w:sz w:val="20"/>
                <w:szCs w:val="20"/>
              </w:rPr>
            </w:pPr>
          </w:p>
        </w:tc>
      </w:tr>
      <w:tr w14:paraId="2BB6A7F8">
        <w:tblPrEx>
          <w:tblCellMar>
            <w:top w:w="0" w:type="dxa"/>
            <w:left w:w="108" w:type="dxa"/>
            <w:bottom w:w="0" w:type="dxa"/>
            <w:right w:w="108" w:type="dxa"/>
          </w:tblCellMar>
        </w:tblPrEx>
        <w:trPr>
          <w:trHeight w:val="5297" w:hRule="atLeast"/>
        </w:trPr>
        <w:tc>
          <w:tcPr>
            <w:tcW w:w="847" w:type="dxa"/>
            <w:tcBorders>
              <w:left w:val="single" w:color="000000" w:sz="4" w:space="0"/>
              <w:bottom w:val="single" w:color="000000" w:sz="4" w:space="0"/>
              <w:right w:val="single" w:color="000000" w:sz="4" w:space="0"/>
            </w:tcBorders>
            <w:vAlign w:val="center"/>
          </w:tcPr>
          <w:p w14:paraId="2DB31321">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9</w:t>
            </w:r>
          </w:p>
        </w:tc>
        <w:tc>
          <w:tcPr>
            <w:tcW w:w="1138" w:type="dxa"/>
            <w:tcBorders>
              <w:left w:val="single" w:color="000000" w:sz="4" w:space="0"/>
              <w:bottom w:val="single" w:color="000000" w:sz="4" w:space="0"/>
              <w:right w:val="single" w:color="000000" w:sz="4" w:space="0"/>
            </w:tcBorders>
            <w:vAlign w:val="center"/>
          </w:tcPr>
          <w:p w14:paraId="23DE29B5">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行政给付</w:t>
            </w:r>
          </w:p>
        </w:tc>
        <w:tc>
          <w:tcPr>
            <w:tcW w:w="1130" w:type="dxa"/>
            <w:tcBorders>
              <w:bottom w:val="single" w:color="000000" w:sz="4" w:space="0"/>
              <w:right w:val="single" w:color="000000" w:sz="4" w:space="0"/>
            </w:tcBorders>
            <w:vAlign w:val="center"/>
          </w:tcPr>
          <w:p w14:paraId="380FD383">
            <w:pPr>
              <w:widowControl/>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szCs w:val="21"/>
              </w:rPr>
              <w:t>老年人福利补贴</w:t>
            </w:r>
          </w:p>
        </w:tc>
        <w:tc>
          <w:tcPr>
            <w:tcW w:w="1138" w:type="dxa"/>
            <w:tcBorders>
              <w:bottom w:val="single" w:color="000000" w:sz="4" w:space="0"/>
              <w:right w:val="single" w:color="000000" w:sz="4" w:space="0"/>
            </w:tcBorders>
            <w:vAlign w:val="center"/>
          </w:tcPr>
          <w:p w14:paraId="02C51B07">
            <w:pPr>
              <w:widowControl/>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县民政局</w:t>
            </w:r>
          </w:p>
        </w:tc>
        <w:tc>
          <w:tcPr>
            <w:tcW w:w="2693" w:type="dxa"/>
            <w:tcBorders>
              <w:bottom w:val="single" w:color="000000" w:sz="4" w:space="0"/>
              <w:right w:val="single" w:color="000000" w:sz="4" w:space="0"/>
            </w:tcBorders>
            <w:vAlign w:val="center"/>
          </w:tcPr>
          <w:p w14:paraId="0982BA67">
            <w:pPr>
              <w:widowControl/>
              <w:shd w:val="clear" w:color="auto" w:fill="FFFFFF"/>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《中华人民共和国老年人权益保障法》（2018年全国人大常委会  主席令第72号）第三十三条 国家建立和完善老年人福利制度，根据经济社会发展水平和老年人的实际需要，增加老年人的社会福利。 国家鼓励地方建立八十周岁以上低收入老年人高龄津贴制度。 国家建立和完善计划生育家庭老年人扶助制度。 农村可以将未承包的集体所有的部分土地、山林、水面、滩涂等作为养老基地，收益供老年人养老。</w:t>
            </w:r>
          </w:p>
          <w:p w14:paraId="093CF4C6">
            <w:pPr>
              <w:widowControl/>
              <w:shd w:val="clear" w:color="auto" w:fill="FFFFFF"/>
              <w:jc w:val="left"/>
              <w:rPr>
                <w:rFonts w:cs="仿宋_GB2312" w:asciiTheme="minorEastAsia" w:hAnsiTheme="minorEastAsia"/>
                <w:szCs w:val="21"/>
              </w:rPr>
            </w:pPr>
            <w:r>
              <w:rPr>
                <w:rFonts w:hint="eastAsia" w:cs="仿宋_GB2312" w:asciiTheme="minorEastAsia" w:hAnsiTheme="minorEastAsia"/>
                <w:szCs w:val="21"/>
              </w:rPr>
              <w:t>《中华人民共和国老年人权益保障法》（主席令第24号）第三十三条</w:t>
            </w:r>
          </w:p>
          <w:p w14:paraId="3DDF33D5">
            <w:pPr>
              <w:widowControl/>
              <w:shd w:val="clear" w:color="auto" w:fill="FFFFFF"/>
              <w:jc w:val="left"/>
              <w:rPr>
                <w:rFonts w:cs="仿宋_GB2312" w:asciiTheme="minorEastAsia" w:hAnsiTheme="minorEastAsia"/>
                <w:szCs w:val="21"/>
              </w:rPr>
            </w:pPr>
            <w:r>
              <w:rPr>
                <w:rFonts w:hint="eastAsia" w:cs="仿宋_GB2312" w:asciiTheme="minorEastAsia" w:hAnsiTheme="minorEastAsia"/>
                <w:szCs w:val="21"/>
              </w:rPr>
              <w:t>《河北省老年人优待办法》（河北省人民政府令2014年7号）第九条</w:t>
            </w:r>
          </w:p>
          <w:p w14:paraId="4E63E761">
            <w:pPr>
              <w:widowControl/>
              <w:shd w:val="clear" w:color="auto" w:fill="FFFFFF"/>
              <w:jc w:val="left"/>
              <w:rPr>
                <w:rFonts w:cs="仿宋_GB2312" w:asciiTheme="minorEastAsia" w:hAnsiTheme="minorEastAsia"/>
                <w:szCs w:val="21"/>
              </w:rPr>
            </w:pPr>
            <w:r>
              <w:rPr>
                <w:rFonts w:hint="eastAsia" w:cs="仿宋_GB2312" w:asciiTheme="minorEastAsia" w:hAnsiTheme="minorEastAsia"/>
                <w:szCs w:val="21"/>
              </w:rPr>
              <w:t>《河北省老年人权益保障条例》（河北省第十三届人民代表大会常务委员会公告第16号）第二十五条</w:t>
            </w:r>
          </w:p>
          <w:p w14:paraId="49308FE3">
            <w:pPr>
              <w:widowControl/>
              <w:shd w:val="clear" w:color="auto" w:fill="FFFFFF"/>
              <w:jc w:val="left"/>
              <w:rPr>
                <w:rFonts w:cs="仿宋_GB2312" w:asciiTheme="minorEastAsia" w:hAnsiTheme="minorEastAsia"/>
                <w:color w:val="000000" w:themeColor="text1"/>
                <w:szCs w:val="21"/>
                <w14:textFill>
                  <w14:solidFill>
                    <w14:schemeClr w14:val="tx1"/>
                  </w14:solidFill>
                </w14:textFill>
              </w:rPr>
            </w:pPr>
          </w:p>
        </w:tc>
        <w:tc>
          <w:tcPr>
            <w:tcW w:w="3827" w:type="dxa"/>
            <w:tcBorders>
              <w:bottom w:val="single" w:color="000000" w:sz="4" w:space="0"/>
              <w:right w:val="single" w:color="000000" w:sz="4" w:space="0"/>
            </w:tcBorders>
            <w:vAlign w:val="center"/>
          </w:tcPr>
          <w:p w14:paraId="7A761DDD">
            <w:pPr>
              <w:widowControl/>
              <w:rPr>
                <w:rFonts w:cs="仿宋_GB2312" w:asciiTheme="minorEastAsia" w:hAnsiTheme="minorEastAsia"/>
                <w:color w:val="000000" w:themeColor="text1"/>
                <w:szCs w:val="21"/>
                <w14:textFill>
                  <w14:solidFill>
                    <w14:schemeClr w14:val="tx1"/>
                  </w14:solidFill>
                </w14:textFill>
              </w:rPr>
            </w:pPr>
            <w:r>
              <w:rPr>
                <w:rFonts w:hint="eastAsia"/>
                <w:color w:val="000000"/>
                <w:szCs w:val="21"/>
                <w:shd w:val="clear" w:color="auto" w:fill="FFFFFF"/>
              </w:rPr>
              <w:t>1.受理责任：按本人申请</w:t>
            </w:r>
            <w:r>
              <w:rPr>
                <w:rFonts w:hint="eastAsia"/>
                <w:color w:val="000000"/>
                <w:szCs w:val="21"/>
              </w:rPr>
              <w:br w:type="textWrapping"/>
            </w:r>
            <w:r>
              <w:rPr>
                <w:rFonts w:hint="eastAsia"/>
                <w:color w:val="000000"/>
                <w:szCs w:val="21"/>
                <w:shd w:val="clear" w:color="auto" w:fill="FFFFFF"/>
              </w:rPr>
              <w:t>2.审查责任：村居审核</w:t>
            </w:r>
            <w:r>
              <w:rPr>
                <w:rFonts w:hint="eastAsia"/>
                <w:color w:val="000000"/>
                <w:szCs w:val="21"/>
              </w:rPr>
              <w:br w:type="textWrapping"/>
            </w:r>
            <w:r>
              <w:rPr>
                <w:rFonts w:hint="eastAsia"/>
                <w:color w:val="000000"/>
                <w:szCs w:val="21"/>
                <w:shd w:val="clear" w:color="auto" w:fill="FFFFFF"/>
              </w:rPr>
              <w:t>3.决定责任：乡镇核查。县民政局审批、发放：。</w:t>
            </w:r>
            <w:r>
              <w:rPr>
                <w:rFonts w:hint="eastAsia"/>
                <w:color w:val="000000"/>
                <w:szCs w:val="21"/>
              </w:rPr>
              <w:br w:type="textWrapping"/>
            </w:r>
            <w:r>
              <w:rPr>
                <w:rFonts w:hint="eastAsia"/>
                <w:color w:val="000000"/>
                <w:szCs w:val="21"/>
                <w:shd w:val="clear" w:color="auto" w:fill="FFFFFF"/>
              </w:rPr>
              <w:t>5.事中事后责任：建立健全事中事后监管措施，加强监管。</w:t>
            </w:r>
            <w:r>
              <w:rPr>
                <w:rFonts w:hint="eastAsia"/>
                <w:color w:val="000000"/>
                <w:szCs w:val="21"/>
              </w:rPr>
              <w:br w:type="textWrapping"/>
            </w:r>
            <w:r>
              <w:rPr>
                <w:rFonts w:hint="eastAsia"/>
                <w:color w:val="000000"/>
                <w:szCs w:val="21"/>
                <w:shd w:val="clear" w:color="auto" w:fill="FFFFFF"/>
              </w:rPr>
              <w:t>6.法律法规规章文件规定应履行的其他责任。</w:t>
            </w:r>
          </w:p>
        </w:tc>
        <w:tc>
          <w:tcPr>
            <w:tcW w:w="3402" w:type="dxa"/>
            <w:tcBorders>
              <w:bottom w:val="single" w:color="000000" w:sz="4" w:space="0"/>
              <w:right w:val="single" w:color="000000" w:sz="4" w:space="0"/>
            </w:tcBorders>
            <w:vAlign w:val="center"/>
          </w:tcPr>
          <w:p w14:paraId="1B8CD120">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color w:val="000000"/>
                <w:szCs w:val="21"/>
                <w:shd w:val="clear" w:color="auto" w:fill="FFFFFF"/>
              </w:rPr>
              <w:t>国家工作人员违法失职，致使老年人合法权益受到损害的，由其所在单位或者上级机关责令改正，或者依法给予处分；构成犯罪的，依法追究刑事责任。</w:t>
            </w:r>
            <w:r>
              <w:rPr>
                <w:rFonts w:hint="eastAsia" w:ascii="宋体" w:hAnsi="宋体" w:eastAsia="宋体" w:cs="宋体"/>
                <w:color w:val="000000" w:themeColor="text1"/>
                <w:kern w:val="0"/>
                <w:sz w:val="18"/>
                <w:szCs w:val="18"/>
                <w:lang w:bidi="ar"/>
                <w14:textFill>
                  <w14:solidFill>
                    <w14:schemeClr w14:val="tx1"/>
                  </w14:solidFill>
                </w14:textFill>
              </w:rPr>
              <w:t>因不履行或不正确履行行政职责，有下列情形的，行政机关及相关工作人员应承担相应责任：</w:t>
            </w:r>
          </w:p>
          <w:p w14:paraId="0F27D854">
            <w:pPr>
              <w:widowControl/>
              <w:numPr>
                <w:ilvl w:val="0"/>
                <w:numId w:val="4"/>
              </w:numPr>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对符合条件不予手里的；</w:t>
            </w:r>
          </w:p>
          <w:p w14:paraId="34C52B30">
            <w:pPr>
              <w:widowControl/>
              <w:numPr>
                <w:ilvl w:val="0"/>
                <w:numId w:val="4"/>
              </w:numPr>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违反规定办理的；</w:t>
            </w:r>
          </w:p>
          <w:p w14:paraId="1B47D688">
            <w:pPr>
              <w:widowControl/>
              <w:numPr>
                <w:ilvl w:val="0"/>
                <w:numId w:val="4"/>
              </w:numPr>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未按照规定班里的；</w:t>
            </w:r>
          </w:p>
          <w:p w14:paraId="102BDEB1">
            <w:pPr>
              <w:widowControl/>
              <w:numPr>
                <w:ilvl w:val="0"/>
                <w:numId w:val="4"/>
              </w:numPr>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侵犯当事人权益的；</w:t>
            </w:r>
          </w:p>
          <w:p w14:paraId="44CBFED5">
            <w:pPr>
              <w:tabs>
                <w:tab w:val="left" w:pos="7937"/>
              </w:tabs>
              <w:spacing w:line="280" w:lineRule="exact"/>
              <w:rPr>
                <w:color w:val="000000"/>
                <w:szCs w:val="21"/>
                <w:shd w:val="clear" w:color="auto" w:fill="FFFFFF"/>
              </w:rPr>
            </w:pPr>
            <w:r>
              <w:rPr>
                <w:rFonts w:hint="eastAsia" w:ascii="宋体" w:hAnsi="宋体" w:eastAsia="宋体" w:cs="宋体"/>
                <w:color w:val="000000" w:themeColor="text1"/>
                <w:kern w:val="0"/>
                <w:sz w:val="18"/>
                <w:szCs w:val="18"/>
                <w:lang w:bidi="ar"/>
                <w14:textFill>
                  <w14:solidFill>
                    <w14:schemeClr w14:val="tx1"/>
                  </w14:solidFill>
                </w14:textFill>
              </w:rPr>
              <w:t>5、其他法律法规规章文件规定应履行的责任。</w:t>
            </w:r>
          </w:p>
        </w:tc>
        <w:tc>
          <w:tcPr>
            <w:tcW w:w="851" w:type="dxa"/>
            <w:tcBorders>
              <w:bottom w:val="single" w:color="000000" w:sz="4" w:space="0"/>
              <w:right w:val="single" w:color="000000" w:sz="4" w:space="0"/>
            </w:tcBorders>
            <w:vAlign w:val="center"/>
          </w:tcPr>
          <w:p w14:paraId="590E1476">
            <w:pPr>
              <w:autoSpaceDN w:val="0"/>
              <w:textAlignment w:val="center"/>
              <w:rPr>
                <w:rFonts w:ascii="宋体" w:hAnsi="宋体"/>
                <w:sz w:val="20"/>
                <w:szCs w:val="20"/>
              </w:rPr>
            </w:pPr>
          </w:p>
        </w:tc>
      </w:tr>
      <w:tr w14:paraId="17AAD1E2">
        <w:tblPrEx>
          <w:tblCellMar>
            <w:top w:w="0" w:type="dxa"/>
            <w:left w:w="108" w:type="dxa"/>
            <w:bottom w:w="0" w:type="dxa"/>
            <w:right w:w="108" w:type="dxa"/>
          </w:tblCellMar>
        </w:tblPrEx>
        <w:trPr>
          <w:trHeight w:val="5297" w:hRule="atLeast"/>
        </w:trPr>
        <w:tc>
          <w:tcPr>
            <w:tcW w:w="847" w:type="dxa"/>
            <w:tcBorders>
              <w:left w:val="single" w:color="000000" w:sz="4" w:space="0"/>
              <w:bottom w:val="single" w:color="000000" w:sz="4" w:space="0"/>
              <w:right w:val="single" w:color="000000" w:sz="4" w:space="0"/>
            </w:tcBorders>
            <w:vAlign w:val="center"/>
          </w:tcPr>
          <w:p w14:paraId="794F3330">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10</w:t>
            </w:r>
          </w:p>
        </w:tc>
        <w:tc>
          <w:tcPr>
            <w:tcW w:w="1138" w:type="dxa"/>
            <w:tcBorders>
              <w:left w:val="single" w:color="000000" w:sz="4" w:space="0"/>
              <w:bottom w:val="single" w:color="000000" w:sz="4" w:space="0"/>
              <w:right w:val="single" w:color="000000" w:sz="4" w:space="0"/>
            </w:tcBorders>
            <w:vAlign w:val="center"/>
          </w:tcPr>
          <w:p w14:paraId="51D6DED3">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行政给付</w:t>
            </w:r>
          </w:p>
        </w:tc>
        <w:tc>
          <w:tcPr>
            <w:tcW w:w="1130" w:type="dxa"/>
            <w:tcBorders>
              <w:bottom w:val="single" w:color="000000" w:sz="4" w:space="0"/>
              <w:right w:val="single" w:color="000000" w:sz="4" w:space="0"/>
            </w:tcBorders>
            <w:vAlign w:val="center"/>
          </w:tcPr>
          <w:p w14:paraId="7C41BAED">
            <w:pPr>
              <w:widowControl/>
              <w:jc w:val="center"/>
              <w:rPr>
                <w:rFonts w:cs="仿宋_GB2312" w:asciiTheme="minorEastAsia" w:hAnsiTheme="minorEastAsia"/>
                <w:color w:val="000000" w:themeColor="text1"/>
                <w:szCs w:val="21"/>
                <w14:textFill>
                  <w14:solidFill>
                    <w14:schemeClr w14:val="tx1"/>
                  </w14:solidFill>
                </w14:textFill>
              </w:rPr>
            </w:pPr>
            <w:r>
              <w:rPr>
                <w:rFonts w:hint="eastAsia" w:ascii="宋体" w:hAnsi="宋体" w:cs="仿宋_GB2312"/>
                <w:kern w:val="0"/>
                <w:szCs w:val="21"/>
              </w:rPr>
              <w:t>事实无人抚养儿童基本生活补贴申领</w:t>
            </w:r>
          </w:p>
        </w:tc>
        <w:tc>
          <w:tcPr>
            <w:tcW w:w="1138" w:type="dxa"/>
            <w:tcBorders>
              <w:bottom w:val="single" w:color="000000" w:sz="4" w:space="0"/>
              <w:right w:val="single" w:color="000000" w:sz="4" w:space="0"/>
            </w:tcBorders>
            <w:vAlign w:val="center"/>
          </w:tcPr>
          <w:p w14:paraId="2856C6C7">
            <w:pPr>
              <w:widowControl/>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县民政局</w:t>
            </w:r>
          </w:p>
        </w:tc>
        <w:tc>
          <w:tcPr>
            <w:tcW w:w="2693" w:type="dxa"/>
            <w:tcBorders>
              <w:bottom w:val="single" w:color="000000" w:sz="4" w:space="0"/>
              <w:right w:val="single" w:color="000000" w:sz="4" w:space="0"/>
            </w:tcBorders>
            <w:vAlign w:val="center"/>
          </w:tcPr>
          <w:p w14:paraId="6622975D">
            <w:pPr>
              <w:widowControl/>
              <w:shd w:val="clear" w:color="auto" w:fill="FFFFFF"/>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《河北省民政厅等12部门关于进一步加强孤儿和事实无人抚养儿童保障工作的实施意见》;依据文号：冀民规〔2019〕4号；条款号：第二条（二）。</w:t>
            </w:r>
          </w:p>
        </w:tc>
        <w:tc>
          <w:tcPr>
            <w:tcW w:w="3827" w:type="dxa"/>
            <w:tcBorders>
              <w:bottom w:val="single" w:color="000000" w:sz="4" w:space="0"/>
              <w:right w:val="single" w:color="000000" w:sz="4" w:space="0"/>
            </w:tcBorders>
            <w:vAlign w:val="center"/>
          </w:tcPr>
          <w:p w14:paraId="564873A7">
            <w:pPr>
              <w:pStyle w:val="6"/>
              <w:widowControl/>
              <w:spacing w:beforeAutospacing="0" w:afterAutospacing="0"/>
              <w:rPr>
                <w:rFonts w:cs="仿宋_GB2312" w:asciiTheme="minorEastAsia" w:hAnsiTheme="minorEastAsia"/>
                <w:color w:val="000000" w:themeColor="text1"/>
                <w:sz w:val="21"/>
                <w:szCs w:val="21"/>
                <w14:textFill>
                  <w14:solidFill>
                    <w14:schemeClr w14:val="tx1"/>
                  </w14:solidFill>
                </w14:textFill>
              </w:rPr>
            </w:pPr>
            <w:r>
              <w:rPr>
                <w:rFonts w:hint="eastAsia" w:cs="仿宋_GB2312" w:asciiTheme="minorEastAsia" w:hAnsiTheme="minorEastAsia"/>
                <w:color w:val="000000" w:themeColor="text1"/>
                <w:sz w:val="21"/>
                <w:szCs w:val="21"/>
                <w14:textFill>
                  <w14:solidFill>
                    <w14:schemeClr w14:val="tx1"/>
                  </w14:solidFill>
                </w14:textFill>
              </w:rPr>
              <w:t>1.</w:t>
            </w:r>
            <w:r>
              <w:rPr>
                <w:rFonts w:cs="仿宋_GB2312" w:asciiTheme="minorEastAsia" w:hAnsiTheme="minorEastAsia"/>
                <w:color w:val="000000" w:themeColor="text1"/>
                <w:sz w:val="21"/>
                <w:szCs w:val="21"/>
                <w14:textFill>
                  <w14:solidFill>
                    <w14:schemeClr w14:val="tx1"/>
                  </w14:solidFill>
                </w14:textFill>
              </w:rPr>
              <w:t>受理责任：依法受理或不予受理，并一次性告知不予受理的理由。</w:t>
            </w:r>
          </w:p>
          <w:p w14:paraId="2D252C81">
            <w:pPr>
              <w:pStyle w:val="6"/>
              <w:widowControl/>
              <w:spacing w:beforeAutospacing="0" w:afterAutospacing="0"/>
              <w:rPr>
                <w:rFonts w:cs="仿宋_GB2312" w:asciiTheme="minorEastAsia" w:hAnsiTheme="minorEastAsia"/>
                <w:color w:val="000000" w:themeColor="text1"/>
                <w:sz w:val="21"/>
                <w:szCs w:val="21"/>
                <w14:textFill>
                  <w14:solidFill>
                    <w14:schemeClr w14:val="tx1"/>
                  </w14:solidFill>
                </w14:textFill>
              </w:rPr>
            </w:pPr>
            <w:r>
              <w:rPr>
                <w:rFonts w:hint="eastAsia" w:cs="仿宋_GB2312" w:asciiTheme="minorEastAsia" w:hAnsiTheme="minorEastAsia"/>
                <w:color w:val="000000" w:themeColor="text1"/>
                <w:sz w:val="21"/>
                <w:szCs w:val="21"/>
                <w14:textFill>
                  <w14:solidFill>
                    <w14:schemeClr w14:val="tx1"/>
                  </w14:solidFill>
                </w14:textFill>
              </w:rPr>
              <w:t>2.审查责任：审查相关材料，并组织专人进行入户调查。</w:t>
            </w:r>
          </w:p>
          <w:p w14:paraId="750E42FF">
            <w:pPr>
              <w:pStyle w:val="6"/>
              <w:widowControl/>
              <w:spacing w:beforeAutospacing="0" w:afterAutospacing="0"/>
              <w:rPr>
                <w:rFonts w:cs="仿宋_GB2312" w:asciiTheme="minorEastAsia" w:hAnsiTheme="minorEastAsia"/>
                <w:color w:val="000000" w:themeColor="text1"/>
                <w:sz w:val="21"/>
                <w:szCs w:val="21"/>
                <w14:textFill>
                  <w14:solidFill>
                    <w14:schemeClr w14:val="tx1"/>
                  </w14:solidFill>
                </w14:textFill>
              </w:rPr>
            </w:pPr>
            <w:r>
              <w:rPr>
                <w:rFonts w:hint="eastAsia" w:cs="仿宋_GB2312" w:asciiTheme="minorEastAsia" w:hAnsiTheme="minorEastAsia"/>
                <w:color w:val="000000" w:themeColor="text1"/>
                <w:sz w:val="21"/>
                <w:szCs w:val="21"/>
                <w14:textFill>
                  <w14:solidFill>
                    <w14:schemeClr w14:val="tx1"/>
                  </w14:solidFill>
                </w14:textFill>
              </w:rPr>
              <w:t>3.决定责任：符合要求的儿童纳入保障范围，不符合要求的解释原因。 </w:t>
            </w:r>
          </w:p>
          <w:p w14:paraId="133A13BA">
            <w:pPr>
              <w:pStyle w:val="6"/>
              <w:widowControl/>
              <w:spacing w:beforeAutospacing="0" w:afterAutospacing="0"/>
              <w:rPr>
                <w:rFonts w:cs="仿宋_GB2312" w:asciiTheme="minorEastAsia" w:hAnsiTheme="minorEastAsia"/>
                <w:color w:val="000000" w:themeColor="text1"/>
                <w:sz w:val="21"/>
                <w:szCs w:val="21"/>
                <w14:textFill>
                  <w14:solidFill>
                    <w14:schemeClr w14:val="tx1"/>
                  </w14:solidFill>
                </w14:textFill>
              </w:rPr>
            </w:pPr>
            <w:r>
              <w:rPr>
                <w:rFonts w:hint="eastAsia" w:cs="仿宋_GB2312" w:asciiTheme="minorEastAsia" w:hAnsiTheme="minorEastAsia"/>
                <w:color w:val="000000" w:themeColor="text1"/>
                <w:sz w:val="21"/>
                <w:szCs w:val="21"/>
                <w14:textFill>
                  <w14:solidFill>
                    <w14:schemeClr w14:val="tx1"/>
                  </w14:solidFill>
                </w14:textFill>
              </w:rPr>
              <w:t xml:space="preserve"> 4.事后监管：登记并建立档案，定期或不定期巡访，与监护人签订监护协议，明确责任义务和追究机制。  </w:t>
            </w:r>
          </w:p>
          <w:p w14:paraId="64DE1A1E">
            <w:pPr>
              <w:pStyle w:val="6"/>
              <w:widowControl/>
              <w:spacing w:beforeAutospacing="0" w:afterAutospacing="0"/>
              <w:rPr>
                <w:rFonts w:cs="仿宋_GB2312" w:asciiTheme="minorEastAsia" w:hAnsiTheme="minorEastAsia"/>
                <w:color w:val="000000" w:themeColor="text1"/>
                <w:sz w:val="21"/>
                <w:szCs w:val="21"/>
                <w14:textFill>
                  <w14:solidFill>
                    <w14:schemeClr w14:val="tx1"/>
                  </w14:solidFill>
                </w14:textFill>
              </w:rPr>
            </w:pPr>
            <w:r>
              <w:rPr>
                <w:rFonts w:hint="eastAsia" w:cs="仿宋_GB2312" w:asciiTheme="minorEastAsia" w:hAnsiTheme="minorEastAsia"/>
                <w:color w:val="000000" w:themeColor="text1"/>
                <w:sz w:val="21"/>
                <w:szCs w:val="21"/>
                <w14:textFill>
                  <w14:solidFill>
                    <w14:schemeClr w14:val="tx1"/>
                  </w14:solidFill>
                </w14:textFill>
              </w:rPr>
              <w:t> 5.其他：法律法规规章规定应履行的责任。</w:t>
            </w:r>
          </w:p>
          <w:p w14:paraId="55350B6B">
            <w:pPr>
              <w:widowControl/>
              <w:rPr>
                <w:color w:val="000000"/>
                <w:szCs w:val="21"/>
                <w:shd w:val="clear" w:color="auto" w:fill="FFFFFF"/>
              </w:rPr>
            </w:pPr>
          </w:p>
        </w:tc>
        <w:tc>
          <w:tcPr>
            <w:tcW w:w="3402" w:type="dxa"/>
            <w:tcBorders>
              <w:bottom w:val="single" w:color="000000" w:sz="4" w:space="0"/>
              <w:right w:val="single" w:color="000000" w:sz="4" w:space="0"/>
            </w:tcBorders>
            <w:vAlign w:val="center"/>
          </w:tcPr>
          <w:p w14:paraId="155F2601">
            <w:pPr>
              <w:widowControl/>
              <w:jc w:val="left"/>
              <w:textAlignment w:val="center"/>
              <w:rPr>
                <w:color w:val="000000"/>
                <w:szCs w:val="21"/>
                <w:shd w:val="clear" w:color="auto" w:fill="FFFFFF"/>
              </w:rPr>
            </w:pPr>
            <w:r>
              <w:rPr>
                <w:rFonts w:hint="eastAsia"/>
                <w:color w:val="000000"/>
                <w:szCs w:val="21"/>
                <w:shd w:val="clear" w:color="auto" w:fill="FFFFFF"/>
              </w:rPr>
              <w:t>对于监护人不认真履行监护责任的，按相关规定另行确定监护人，同时，民政部门可依法追索抚养费。财政、民政部门要加强资金使用管理，提高财政资金绩效，防止发生挤占、挪用、冒领、套取等违法违规现象，对存在违法违规行为的，要按照相关规定进行处理。</w:t>
            </w:r>
            <w:r>
              <w:rPr>
                <w:rFonts w:hint="eastAsia" w:ascii="宋体" w:hAnsi="宋体" w:eastAsia="宋体" w:cs="宋体"/>
                <w:color w:val="000000" w:themeColor="text1"/>
                <w:kern w:val="0"/>
                <w:sz w:val="18"/>
                <w:szCs w:val="18"/>
                <w:lang w:bidi="ar"/>
                <w14:textFill>
                  <w14:solidFill>
                    <w14:schemeClr w14:val="tx1"/>
                  </w14:solidFill>
                </w14:textFill>
              </w:rPr>
              <w:t>因不履行或不正确履行行政职责，有下列情形的，行政机关及相关工作人员应承担相应责任：1、对符合条件不予手里的；2、违反规定办理的；3、未按照规定班里的；4、侵犯当事人权益的；5、其他法律法规规章文件规</w:t>
            </w:r>
          </w:p>
        </w:tc>
        <w:tc>
          <w:tcPr>
            <w:tcW w:w="851" w:type="dxa"/>
            <w:tcBorders>
              <w:bottom w:val="single" w:color="000000" w:sz="4" w:space="0"/>
              <w:right w:val="single" w:color="000000" w:sz="4" w:space="0"/>
            </w:tcBorders>
            <w:vAlign w:val="center"/>
          </w:tcPr>
          <w:p w14:paraId="19784F6B">
            <w:pPr>
              <w:autoSpaceDN w:val="0"/>
              <w:textAlignment w:val="center"/>
              <w:rPr>
                <w:rFonts w:ascii="宋体" w:hAnsi="宋体"/>
                <w:sz w:val="20"/>
                <w:szCs w:val="20"/>
              </w:rPr>
            </w:pPr>
          </w:p>
        </w:tc>
      </w:tr>
      <w:tr w14:paraId="357915FC">
        <w:tblPrEx>
          <w:tblCellMar>
            <w:top w:w="0" w:type="dxa"/>
            <w:left w:w="108" w:type="dxa"/>
            <w:bottom w:w="0" w:type="dxa"/>
            <w:right w:w="108" w:type="dxa"/>
          </w:tblCellMar>
        </w:tblPrEx>
        <w:trPr>
          <w:trHeight w:val="5297" w:hRule="atLeast"/>
        </w:trPr>
        <w:tc>
          <w:tcPr>
            <w:tcW w:w="847" w:type="dxa"/>
            <w:tcBorders>
              <w:left w:val="single" w:color="000000" w:sz="4" w:space="0"/>
              <w:bottom w:val="single" w:color="000000" w:sz="4" w:space="0"/>
              <w:right w:val="single" w:color="000000" w:sz="4" w:space="0"/>
            </w:tcBorders>
            <w:vAlign w:val="center"/>
          </w:tcPr>
          <w:p w14:paraId="5E0AC890">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11</w:t>
            </w:r>
          </w:p>
        </w:tc>
        <w:tc>
          <w:tcPr>
            <w:tcW w:w="1138" w:type="dxa"/>
            <w:tcBorders>
              <w:left w:val="single" w:color="000000" w:sz="4" w:space="0"/>
              <w:bottom w:val="single" w:color="000000" w:sz="4" w:space="0"/>
              <w:right w:val="single" w:color="000000" w:sz="4" w:space="0"/>
            </w:tcBorders>
            <w:vAlign w:val="center"/>
          </w:tcPr>
          <w:p w14:paraId="2B98513F">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行政给付</w:t>
            </w:r>
          </w:p>
        </w:tc>
        <w:tc>
          <w:tcPr>
            <w:tcW w:w="1130" w:type="dxa"/>
            <w:tcBorders>
              <w:bottom w:val="single" w:color="000000" w:sz="4" w:space="0"/>
              <w:right w:val="single" w:color="000000" w:sz="4" w:space="0"/>
            </w:tcBorders>
            <w:vAlign w:val="center"/>
          </w:tcPr>
          <w:p w14:paraId="57F718C0">
            <w:pPr>
              <w:widowControl/>
              <w:jc w:val="center"/>
              <w:rPr>
                <w:rFonts w:cs="仿宋_GB2312" w:asciiTheme="minorEastAsia" w:hAnsiTheme="minorEastAsia"/>
                <w:color w:val="000000" w:themeColor="text1"/>
                <w:szCs w:val="21"/>
                <w14:textFill>
                  <w14:solidFill>
                    <w14:schemeClr w14:val="tx1"/>
                  </w14:solidFill>
                </w14:textFill>
              </w:rPr>
            </w:pPr>
            <w:r>
              <w:rPr>
                <w:rFonts w:hint="eastAsia" w:ascii="宋体" w:hAnsi="宋体" w:cs="仿宋_GB2312"/>
                <w:kern w:val="0"/>
                <w:szCs w:val="21"/>
              </w:rPr>
              <w:t>困难残疾人生活补贴和重度残疾人护理补贴</w:t>
            </w:r>
          </w:p>
        </w:tc>
        <w:tc>
          <w:tcPr>
            <w:tcW w:w="1138" w:type="dxa"/>
            <w:tcBorders>
              <w:bottom w:val="single" w:color="000000" w:sz="4" w:space="0"/>
              <w:right w:val="single" w:color="000000" w:sz="4" w:space="0"/>
            </w:tcBorders>
            <w:vAlign w:val="center"/>
          </w:tcPr>
          <w:p w14:paraId="2D1A157C">
            <w:pPr>
              <w:widowControl/>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县民政局</w:t>
            </w:r>
          </w:p>
        </w:tc>
        <w:tc>
          <w:tcPr>
            <w:tcW w:w="2693" w:type="dxa"/>
            <w:tcBorders>
              <w:bottom w:val="single" w:color="000000" w:sz="4" w:space="0"/>
              <w:right w:val="single" w:color="000000" w:sz="4" w:space="0"/>
            </w:tcBorders>
            <w:vAlign w:val="center"/>
          </w:tcPr>
          <w:p w14:paraId="0C055721">
            <w:pPr>
              <w:widowControl/>
              <w:shd w:val="clear" w:color="auto" w:fill="FFFFFF"/>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《国务院关于全面建立困难残疾人生活补贴和重度残疾人护理 补贴制度的意见》;依据文号:国发(2015)52号;条款号:全文。</w:t>
            </w:r>
          </w:p>
        </w:tc>
        <w:tc>
          <w:tcPr>
            <w:tcW w:w="3827" w:type="dxa"/>
            <w:tcBorders>
              <w:bottom w:val="single" w:color="000000" w:sz="4" w:space="0"/>
              <w:right w:val="single" w:color="000000" w:sz="4" w:space="0"/>
            </w:tcBorders>
            <w:vAlign w:val="center"/>
          </w:tcPr>
          <w:p w14:paraId="3004C6B3">
            <w:pPr>
              <w:widowControl/>
              <w:rPr>
                <w:color w:val="000000"/>
                <w:szCs w:val="21"/>
                <w:shd w:val="clear" w:color="auto" w:fill="FFFFFF"/>
              </w:rPr>
            </w:pPr>
            <w:r>
              <w:rPr>
                <w:rFonts w:hint="eastAsia"/>
                <w:color w:val="000000"/>
                <w:szCs w:val="21"/>
                <w:shd w:val="clear" w:color="auto" w:fill="FFFFFF"/>
              </w:rPr>
              <w:t>1.受理责任：公示法定应当提交的材料；一次性告知补正材料，依法受理或不予受理申请（不予受理的说明理由）。</w:t>
            </w:r>
            <w:r>
              <w:rPr>
                <w:rFonts w:hint="eastAsia"/>
                <w:color w:val="000000"/>
                <w:szCs w:val="21"/>
              </w:rPr>
              <w:br w:type="textWrapping"/>
            </w:r>
            <w:r>
              <w:rPr>
                <w:rFonts w:hint="eastAsia"/>
                <w:color w:val="000000"/>
                <w:szCs w:val="21"/>
                <w:shd w:val="clear" w:color="auto" w:fill="FFFFFF"/>
              </w:rPr>
              <w:t>2.审查责任：对申请人提交的申请材料进行审查，提出审查意见。</w:t>
            </w:r>
            <w:r>
              <w:rPr>
                <w:rFonts w:hint="eastAsia"/>
                <w:color w:val="000000"/>
                <w:szCs w:val="21"/>
              </w:rPr>
              <w:br w:type="textWrapping"/>
            </w:r>
            <w:r>
              <w:rPr>
                <w:rFonts w:hint="eastAsia"/>
                <w:color w:val="000000"/>
                <w:szCs w:val="21"/>
                <w:shd w:val="clear" w:color="auto" w:fill="FFFFFF"/>
              </w:rPr>
              <w:t>3.决定责任：作出给付的行政决定，依法送达。</w:t>
            </w:r>
            <w:r>
              <w:rPr>
                <w:rFonts w:hint="eastAsia"/>
                <w:color w:val="000000"/>
                <w:szCs w:val="21"/>
              </w:rPr>
              <w:br w:type="textWrapping"/>
            </w:r>
            <w:r>
              <w:rPr>
                <w:rFonts w:hint="eastAsia"/>
                <w:color w:val="000000"/>
                <w:szCs w:val="21"/>
                <w:shd w:val="clear" w:color="auto" w:fill="FFFFFF"/>
              </w:rPr>
              <w:t>4.法律法规规章文件规定应履行的其他责任。</w:t>
            </w:r>
          </w:p>
        </w:tc>
        <w:tc>
          <w:tcPr>
            <w:tcW w:w="3402" w:type="dxa"/>
            <w:tcBorders>
              <w:bottom w:val="single" w:color="000000" w:sz="4" w:space="0"/>
              <w:right w:val="single" w:color="000000" w:sz="4" w:space="0"/>
            </w:tcBorders>
            <w:vAlign w:val="center"/>
          </w:tcPr>
          <w:p w14:paraId="3D6985D4">
            <w:pPr>
              <w:tabs>
                <w:tab w:val="left" w:pos="7937"/>
              </w:tabs>
              <w:spacing w:line="280" w:lineRule="exact"/>
              <w:rPr>
                <w:color w:val="000000"/>
                <w:szCs w:val="21"/>
                <w:shd w:val="clear" w:color="auto" w:fill="FFFFFF"/>
              </w:rPr>
            </w:pPr>
            <w:r>
              <w:rPr>
                <w:rFonts w:hint="eastAsia"/>
                <w:color w:val="000000"/>
                <w:szCs w:val="21"/>
                <w:shd w:val="clear" w:color="auto" w:fill="FFFFFF"/>
              </w:rPr>
              <w:t>审计部门要加强监督检查，发现虚报冒领、挤占、挪用、套取等违规违纪问题移交纪检监察机关追究责任。因不履行或不正确履行行政职责，有下列情形的，行政机关及相关工作人员应承担相应责任：</w:t>
            </w:r>
          </w:p>
          <w:p w14:paraId="10AF91C7">
            <w:pPr>
              <w:tabs>
                <w:tab w:val="left" w:pos="7937"/>
              </w:tabs>
              <w:spacing w:line="280" w:lineRule="exact"/>
              <w:rPr>
                <w:color w:val="000000"/>
                <w:szCs w:val="21"/>
                <w:shd w:val="clear" w:color="auto" w:fill="FFFFFF"/>
              </w:rPr>
            </w:pPr>
            <w:r>
              <w:rPr>
                <w:rFonts w:hint="eastAsia"/>
                <w:color w:val="000000"/>
                <w:szCs w:val="21"/>
                <w:shd w:val="clear" w:color="auto" w:fill="FFFFFF"/>
              </w:rPr>
              <w:t>1、对符合条件不予手里的；</w:t>
            </w:r>
          </w:p>
          <w:p w14:paraId="1569FD52">
            <w:pPr>
              <w:tabs>
                <w:tab w:val="left" w:pos="7937"/>
              </w:tabs>
              <w:spacing w:line="280" w:lineRule="exact"/>
              <w:rPr>
                <w:color w:val="000000"/>
                <w:szCs w:val="21"/>
                <w:shd w:val="clear" w:color="auto" w:fill="FFFFFF"/>
              </w:rPr>
            </w:pPr>
            <w:r>
              <w:rPr>
                <w:rFonts w:hint="eastAsia"/>
                <w:color w:val="000000"/>
                <w:szCs w:val="21"/>
                <w:shd w:val="clear" w:color="auto" w:fill="FFFFFF"/>
              </w:rPr>
              <w:t>2、违反规定办理的；</w:t>
            </w:r>
          </w:p>
          <w:p w14:paraId="631BE1E2">
            <w:pPr>
              <w:tabs>
                <w:tab w:val="left" w:pos="7937"/>
              </w:tabs>
              <w:spacing w:line="280" w:lineRule="exact"/>
              <w:rPr>
                <w:color w:val="000000"/>
                <w:szCs w:val="21"/>
                <w:shd w:val="clear" w:color="auto" w:fill="FFFFFF"/>
              </w:rPr>
            </w:pPr>
            <w:r>
              <w:rPr>
                <w:rFonts w:hint="eastAsia"/>
                <w:color w:val="000000"/>
                <w:szCs w:val="21"/>
                <w:shd w:val="clear" w:color="auto" w:fill="FFFFFF"/>
              </w:rPr>
              <w:t>3、未按照规定班里的；</w:t>
            </w:r>
          </w:p>
          <w:p w14:paraId="04832E5C">
            <w:pPr>
              <w:tabs>
                <w:tab w:val="left" w:pos="7937"/>
              </w:tabs>
              <w:spacing w:line="280" w:lineRule="exact"/>
              <w:rPr>
                <w:color w:val="000000"/>
                <w:szCs w:val="21"/>
                <w:shd w:val="clear" w:color="auto" w:fill="FFFFFF"/>
              </w:rPr>
            </w:pPr>
            <w:r>
              <w:rPr>
                <w:rFonts w:hint="eastAsia"/>
                <w:color w:val="000000"/>
                <w:szCs w:val="21"/>
                <w:shd w:val="clear" w:color="auto" w:fill="FFFFFF"/>
              </w:rPr>
              <w:t>4、侵犯当事人权益的；</w:t>
            </w:r>
          </w:p>
          <w:p w14:paraId="4041D2D9">
            <w:pPr>
              <w:tabs>
                <w:tab w:val="left" w:pos="7937"/>
              </w:tabs>
              <w:spacing w:line="280" w:lineRule="exact"/>
              <w:rPr>
                <w:color w:val="000000"/>
                <w:szCs w:val="21"/>
                <w:shd w:val="clear" w:color="auto" w:fill="FFFFFF"/>
              </w:rPr>
            </w:pPr>
            <w:r>
              <w:rPr>
                <w:rFonts w:hint="eastAsia"/>
                <w:color w:val="000000"/>
                <w:szCs w:val="21"/>
                <w:shd w:val="clear" w:color="auto" w:fill="FFFFFF"/>
              </w:rPr>
              <w:t>5、其他法律法规规章文件规定应履行的责任。</w:t>
            </w:r>
          </w:p>
        </w:tc>
        <w:tc>
          <w:tcPr>
            <w:tcW w:w="851" w:type="dxa"/>
            <w:tcBorders>
              <w:bottom w:val="single" w:color="000000" w:sz="4" w:space="0"/>
              <w:right w:val="single" w:color="000000" w:sz="4" w:space="0"/>
            </w:tcBorders>
            <w:vAlign w:val="center"/>
          </w:tcPr>
          <w:p w14:paraId="2D24E89E">
            <w:pPr>
              <w:autoSpaceDN w:val="0"/>
              <w:textAlignment w:val="center"/>
              <w:rPr>
                <w:rFonts w:ascii="宋体" w:hAnsi="宋体"/>
                <w:sz w:val="20"/>
                <w:szCs w:val="20"/>
              </w:rPr>
            </w:pPr>
          </w:p>
        </w:tc>
      </w:tr>
      <w:tr w14:paraId="62CFB3A5">
        <w:tblPrEx>
          <w:tblCellMar>
            <w:top w:w="0" w:type="dxa"/>
            <w:left w:w="108" w:type="dxa"/>
            <w:bottom w:w="0" w:type="dxa"/>
            <w:right w:w="108" w:type="dxa"/>
          </w:tblCellMar>
        </w:tblPrEx>
        <w:trPr>
          <w:trHeight w:val="2850" w:hRule="atLeast"/>
        </w:trPr>
        <w:tc>
          <w:tcPr>
            <w:tcW w:w="847" w:type="dxa"/>
            <w:tcBorders>
              <w:left w:val="single" w:color="000000" w:sz="4" w:space="0"/>
              <w:bottom w:val="single" w:color="000000" w:sz="4" w:space="0"/>
              <w:right w:val="single" w:color="000000" w:sz="4" w:space="0"/>
            </w:tcBorders>
            <w:vAlign w:val="center"/>
          </w:tcPr>
          <w:p w14:paraId="16783FFD">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12</w:t>
            </w:r>
          </w:p>
        </w:tc>
        <w:tc>
          <w:tcPr>
            <w:tcW w:w="1138" w:type="dxa"/>
            <w:tcBorders>
              <w:left w:val="single" w:color="000000" w:sz="4" w:space="0"/>
              <w:bottom w:val="single" w:color="000000" w:sz="4" w:space="0"/>
              <w:right w:val="single" w:color="000000" w:sz="4" w:space="0"/>
            </w:tcBorders>
            <w:vAlign w:val="center"/>
          </w:tcPr>
          <w:p w14:paraId="761CA132">
            <w:pPr>
              <w:tabs>
                <w:tab w:val="left" w:pos="7937"/>
              </w:tabs>
              <w:spacing w:line="240" w:lineRule="exact"/>
              <w:jc w:val="center"/>
              <w:rPr>
                <w:rFonts w:ascii="宋体" w:hAnsi="宋体" w:eastAsia="宋体"/>
                <w:szCs w:val="21"/>
              </w:rPr>
            </w:pPr>
            <w:r>
              <w:rPr>
                <w:rFonts w:hint="eastAsia" w:ascii="宋体" w:hAnsi="宋体" w:eastAsia="宋体"/>
                <w:szCs w:val="21"/>
              </w:rPr>
              <w:t>行政检查</w:t>
            </w:r>
          </w:p>
        </w:tc>
        <w:tc>
          <w:tcPr>
            <w:tcW w:w="1130" w:type="dxa"/>
            <w:tcBorders>
              <w:bottom w:val="single" w:color="000000" w:sz="4" w:space="0"/>
              <w:right w:val="single" w:color="000000" w:sz="4" w:space="0"/>
            </w:tcBorders>
            <w:vAlign w:val="center"/>
          </w:tcPr>
          <w:p w14:paraId="5D50F27D">
            <w:pPr>
              <w:tabs>
                <w:tab w:val="left" w:pos="7937"/>
              </w:tabs>
              <w:spacing w:line="240" w:lineRule="exact"/>
              <w:jc w:val="center"/>
              <w:rPr>
                <w:rFonts w:ascii="宋体" w:hAnsi="宋体" w:eastAsia="宋体"/>
                <w:szCs w:val="21"/>
              </w:rPr>
            </w:pPr>
            <w:r>
              <w:rPr>
                <w:rFonts w:hint="eastAsia" w:ascii="宋体" w:hAnsi="宋体" w:eastAsia="宋体"/>
                <w:szCs w:val="21"/>
              </w:rPr>
              <w:t>对社会团体、民办非企业单位、基金会实施年度检查</w:t>
            </w:r>
          </w:p>
        </w:tc>
        <w:tc>
          <w:tcPr>
            <w:tcW w:w="1138" w:type="dxa"/>
            <w:tcBorders>
              <w:bottom w:val="single" w:color="000000" w:sz="4" w:space="0"/>
              <w:right w:val="single" w:color="000000" w:sz="4" w:space="0"/>
            </w:tcBorders>
            <w:vAlign w:val="center"/>
          </w:tcPr>
          <w:p w14:paraId="1EDF9549">
            <w:pPr>
              <w:tabs>
                <w:tab w:val="left" w:pos="7937"/>
              </w:tabs>
              <w:spacing w:line="240" w:lineRule="exact"/>
              <w:jc w:val="center"/>
              <w:rPr>
                <w:rFonts w:ascii="宋体" w:hAnsi="宋体" w:eastAsia="宋体"/>
                <w:szCs w:val="21"/>
              </w:rPr>
            </w:pPr>
            <w:r>
              <w:rPr>
                <w:rFonts w:hint="eastAsia" w:ascii="宋体" w:hAnsi="宋体" w:eastAsia="宋体"/>
                <w:szCs w:val="21"/>
              </w:rPr>
              <w:t>县民政局</w:t>
            </w:r>
          </w:p>
        </w:tc>
        <w:tc>
          <w:tcPr>
            <w:tcW w:w="2693" w:type="dxa"/>
            <w:tcBorders>
              <w:bottom w:val="single" w:color="000000" w:sz="4" w:space="0"/>
              <w:right w:val="single" w:color="000000" w:sz="4" w:space="0"/>
            </w:tcBorders>
            <w:vAlign w:val="center"/>
          </w:tcPr>
          <w:p w14:paraId="25F2B2CF">
            <w:pPr>
              <w:tabs>
                <w:tab w:val="left" w:pos="7937"/>
              </w:tabs>
              <w:spacing w:line="240" w:lineRule="exact"/>
              <w:jc w:val="left"/>
              <w:rPr>
                <w:rFonts w:ascii="宋体" w:hAnsi="宋体" w:eastAsia="宋体"/>
                <w:szCs w:val="21"/>
              </w:rPr>
            </w:pPr>
            <w:r>
              <w:rPr>
                <w:rFonts w:hint="eastAsia" w:ascii="宋体" w:hAnsi="宋体" w:eastAsia="宋体"/>
                <w:szCs w:val="21"/>
              </w:rPr>
              <w:t>《社会团体登记管理条例》第二十四条、第二十五条；《民办非企业单位登记管理暂行条例》第二十三条；《基金会管理条例》第三十六条。</w:t>
            </w:r>
          </w:p>
          <w:p w14:paraId="451DD988">
            <w:pPr>
              <w:tabs>
                <w:tab w:val="left" w:pos="7937"/>
              </w:tabs>
              <w:spacing w:line="240" w:lineRule="exact"/>
              <w:jc w:val="left"/>
              <w:rPr>
                <w:rFonts w:ascii="宋体" w:hAnsi="宋体" w:eastAsia="宋体"/>
                <w:szCs w:val="21"/>
              </w:rPr>
            </w:pPr>
          </w:p>
        </w:tc>
        <w:tc>
          <w:tcPr>
            <w:tcW w:w="3827" w:type="dxa"/>
            <w:tcBorders>
              <w:bottom w:val="single" w:color="000000" w:sz="4" w:space="0"/>
              <w:right w:val="single" w:color="000000" w:sz="4" w:space="0"/>
            </w:tcBorders>
            <w:vAlign w:val="center"/>
          </w:tcPr>
          <w:p w14:paraId="2F712E84">
            <w:pPr>
              <w:spacing w:line="240" w:lineRule="exact"/>
              <w:rPr>
                <w:rFonts w:ascii="宋体" w:hAnsi="宋体" w:eastAsia="宋体"/>
                <w:szCs w:val="21"/>
              </w:rPr>
            </w:pPr>
            <w:r>
              <w:rPr>
                <w:rFonts w:hint="eastAsia" w:ascii="宋体" w:hAnsi="宋体" w:eastAsia="宋体"/>
                <w:szCs w:val="21"/>
              </w:rPr>
              <w:t>1.检查责任：对县属社会组织进行监督检查；</w:t>
            </w:r>
          </w:p>
          <w:p w14:paraId="07DEF000">
            <w:pPr>
              <w:spacing w:line="240" w:lineRule="exact"/>
              <w:rPr>
                <w:rFonts w:ascii="宋体" w:hAnsi="宋体" w:eastAsia="宋体"/>
                <w:szCs w:val="21"/>
              </w:rPr>
            </w:pPr>
            <w:r>
              <w:rPr>
                <w:rFonts w:hint="eastAsia" w:ascii="宋体" w:hAnsi="宋体" w:eastAsia="宋体"/>
                <w:szCs w:val="21"/>
              </w:rPr>
              <w:t>2.处置责任：对监督检查发现的问题，责令限期整改、依法实施处罚、依法撤消登记证书；</w:t>
            </w:r>
          </w:p>
          <w:p w14:paraId="5FA14566">
            <w:pPr>
              <w:spacing w:line="240" w:lineRule="exact"/>
              <w:rPr>
                <w:rFonts w:ascii="宋体" w:hAnsi="宋体" w:eastAsia="宋体"/>
                <w:szCs w:val="21"/>
              </w:rPr>
            </w:pPr>
            <w:r>
              <w:rPr>
                <w:rFonts w:hint="eastAsia" w:ascii="宋体" w:hAnsi="宋体" w:eastAsia="宋体"/>
                <w:szCs w:val="21"/>
              </w:rPr>
              <w:t>3.移送责任：及时予以公告，对构成违法犯罪的移交司法机关；</w:t>
            </w:r>
          </w:p>
          <w:p w14:paraId="36E8F1C0">
            <w:pPr>
              <w:spacing w:line="240" w:lineRule="exact"/>
              <w:rPr>
                <w:rFonts w:ascii="宋体" w:hAnsi="宋体" w:eastAsia="宋体"/>
                <w:szCs w:val="21"/>
              </w:rPr>
            </w:pPr>
            <w:r>
              <w:rPr>
                <w:rFonts w:hint="eastAsia" w:ascii="宋体" w:hAnsi="宋体" w:eastAsia="宋体"/>
                <w:szCs w:val="21"/>
              </w:rPr>
              <w:t>4.事后管理责任：对监督检查发现的问题，社会组织整改完成后，对整改情况进行核查；</w:t>
            </w:r>
          </w:p>
          <w:p w14:paraId="76C542A4">
            <w:pPr>
              <w:spacing w:line="240" w:lineRule="exact"/>
              <w:rPr>
                <w:rFonts w:ascii="宋体" w:hAnsi="宋体" w:eastAsia="宋体"/>
                <w:szCs w:val="21"/>
              </w:rPr>
            </w:pPr>
            <w:r>
              <w:rPr>
                <w:rFonts w:hint="eastAsia" w:ascii="宋体" w:hAnsi="宋体" w:eastAsia="宋体"/>
                <w:szCs w:val="21"/>
              </w:rPr>
              <w:t>5.其他责任：法律法规规章等规定应履行的责任。</w:t>
            </w:r>
          </w:p>
          <w:p w14:paraId="4FB8F2A8">
            <w:pPr>
              <w:tabs>
                <w:tab w:val="left" w:pos="7937"/>
              </w:tabs>
              <w:spacing w:line="240" w:lineRule="exact"/>
              <w:jc w:val="left"/>
              <w:rPr>
                <w:rFonts w:ascii="宋体" w:hAnsi="宋体" w:eastAsia="宋体"/>
                <w:szCs w:val="21"/>
              </w:rPr>
            </w:pPr>
          </w:p>
        </w:tc>
        <w:tc>
          <w:tcPr>
            <w:tcW w:w="3402" w:type="dxa"/>
            <w:tcBorders>
              <w:bottom w:val="single" w:color="000000" w:sz="4" w:space="0"/>
              <w:right w:val="single" w:color="000000" w:sz="4" w:space="0"/>
            </w:tcBorders>
            <w:vAlign w:val="center"/>
          </w:tcPr>
          <w:p w14:paraId="24CD52C8">
            <w:pPr>
              <w:tabs>
                <w:tab w:val="left" w:pos="7937"/>
              </w:tabs>
              <w:spacing w:line="260" w:lineRule="exact"/>
              <w:rPr>
                <w:rFonts w:ascii="宋体" w:hAnsi="宋体" w:eastAsia="宋体"/>
                <w:szCs w:val="21"/>
              </w:rPr>
            </w:pPr>
            <w:r>
              <w:rPr>
                <w:rFonts w:hint="eastAsia" w:ascii="宋体" w:hAnsi="宋体" w:eastAsia="宋体"/>
                <w:szCs w:val="21"/>
              </w:rPr>
              <w:br w:type="textWrapping"/>
            </w:r>
            <w:r>
              <w:rPr>
                <w:rFonts w:hint="eastAsia" w:ascii="宋体" w:hAnsi="宋体" w:eastAsia="宋体"/>
                <w:szCs w:val="21"/>
              </w:rPr>
              <w:t>因不履行或不正确履行行政职责，有下列情形的，行政机关及相关工作人员应承担相应责任：</w:t>
            </w:r>
          </w:p>
          <w:p w14:paraId="16F587EE">
            <w:pPr>
              <w:spacing w:line="240" w:lineRule="exact"/>
              <w:rPr>
                <w:rFonts w:ascii="宋体" w:hAnsi="宋体" w:eastAsia="宋体"/>
                <w:szCs w:val="21"/>
              </w:rPr>
            </w:pPr>
            <w:r>
              <w:rPr>
                <w:rFonts w:hint="eastAsia" w:ascii="宋体" w:hAnsi="宋体" w:eastAsia="宋体"/>
                <w:szCs w:val="21"/>
              </w:rPr>
              <w:t>1.不对县属社会组织监督检查；</w:t>
            </w:r>
          </w:p>
          <w:p w14:paraId="450CBEA8">
            <w:pPr>
              <w:spacing w:line="240" w:lineRule="exact"/>
              <w:rPr>
                <w:rFonts w:ascii="宋体" w:hAnsi="宋体" w:eastAsia="宋体"/>
                <w:szCs w:val="21"/>
              </w:rPr>
            </w:pPr>
            <w:r>
              <w:rPr>
                <w:rFonts w:hint="eastAsia" w:ascii="宋体" w:hAnsi="宋体" w:eastAsia="宋体"/>
                <w:szCs w:val="21"/>
              </w:rPr>
              <w:t>2.对在检查中发现的问题，不责令限期整改、不依法实施处罚；</w:t>
            </w:r>
          </w:p>
          <w:p w14:paraId="49CD644E">
            <w:pPr>
              <w:spacing w:line="240" w:lineRule="exact"/>
              <w:rPr>
                <w:rFonts w:ascii="宋体" w:hAnsi="宋体" w:eastAsia="宋体"/>
                <w:szCs w:val="21"/>
              </w:rPr>
            </w:pPr>
            <w:r>
              <w:rPr>
                <w:rFonts w:hint="eastAsia" w:ascii="宋体" w:hAnsi="宋体" w:eastAsia="宋体"/>
                <w:szCs w:val="21"/>
              </w:rPr>
              <w:t>3.不及时予以公告，对构成违法犯罪的不移交司法机关；</w:t>
            </w:r>
          </w:p>
          <w:p w14:paraId="3581D378">
            <w:pPr>
              <w:spacing w:line="240" w:lineRule="exact"/>
              <w:rPr>
                <w:rFonts w:ascii="宋体" w:hAnsi="宋体" w:eastAsia="宋体"/>
                <w:szCs w:val="21"/>
              </w:rPr>
            </w:pPr>
            <w:r>
              <w:rPr>
                <w:rFonts w:hint="eastAsia" w:ascii="宋体" w:hAnsi="宋体" w:eastAsia="宋体"/>
                <w:szCs w:val="21"/>
              </w:rPr>
              <w:t>4.对监督检查发现的问题，社会组织整改完成后，不对整改情况组织进行核查；</w:t>
            </w:r>
          </w:p>
          <w:p w14:paraId="4953F6AC">
            <w:pPr>
              <w:spacing w:line="240" w:lineRule="exact"/>
              <w:rPr>
                <w:rFonts w:ascii="宋体" w:hAnsi="宋体" w:eastAsia="宋体"/>
                <w:szCs w:val="21"/>
              </w:rPr>
            </w:pPr>
            <w:r>
              <w:rPr>
                <w:rFonts w:hint="eastAsia" w:ascii="宋体" w:hAnsi="宋体" w:eastAsia="宋体"/>
                <w:szCs w:val="21"/>
              </w:rPr>
              <w:t>5.其他违反法律法规规章文件规定的行为。</w:t>
            </w:r>
          </w:p>
        </w:tc>
        <w:tc>
          <w:tcPr>
            <w:tcW w:w="851" w:type="dxa"/>
            <w:tcBorders>
              <w:bottom w:val="single" w:color="000000" w:sz="4" w:space="0"/>
              <w:right w:val="single" w:color="000000" w:sz="4" w:space="0"/>
            </w:tcBorders>
            <w:vAlign w:val="center"/>
          </w:tcPr>
          <w:p w14:paraId="16227F69">
            <w:pPr>
              <w:autoSpaceDN w:val="0"/>
              <w:textAlignment w:val="center"/>
              <w:rPr>
                <w:rFonts w:ascii="宋体" w:hAnsi="宋体"/>
                <w:sz w:val="20"/>
                <w:szCs w:val="20"/>
              </w:rPr>
            </w:pPr>
          </w:p>
        </w:tc>
      </w:tr>
      <w:tr w14:paraId="15464816">
        <w:tblPrEx>
          <w:tblCellMar>
            <w:top w:w="0" w:type="dxa"/>
            <w:left w:w="108" w:type="dxa"/>
            <w:bottom w:w="0" w:type="dxa"/>
            <w:right w:w="108" w:type="dxa"/>
          </w:tblCellMar>
        </w:tblPrEx>
        <w:trPr>
          <w:trHeight w:val="4588" w:hRule="atLeast"/>
        </w:trPr>
        <w:tc>
          <w:tcPr>
            <w:tcW w:w="847" w:type="dxa"/>
            <w:tcBorders>
              <w:left w:val="single" w:color="000000" w:sz="4" w:space="0"/>
              <w:bottom w:val="single" w:color="000000" w:sz="4" w:space="0"/>
              <w:right w:val="single" w:color="000000" w:sz="4" w:space="0"/>
            </w:tcBorders>
            <w:vAlign w:val="center"/>
          </w:tcPr>
          <w:p w14:paraId="05DE229F">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13</w:t>
            </w:r>
          </w:p>
        </w:tc>
        <w:tc>
          <w:tcPr>
            <w:tcW w:w="1138" w:type="dxa"/>
            <w:tcBorders>
              <w:left w:val="single" w:color="000000" w:sz="4" w:space="0"/>
              <w:bottom w:val="single" w:color="000000" w:sz="4" w:space="0"/>
              <w:right w:val="single" w:color="000000" w:sz="4" w:space="0"/>
            </w:tcBorders>
            <w:vAlign w:val="center"/>
          </w:tcPr>
          <w:p w14:paraId="05E15034">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行政确认</w:t>
            </w:r>
          </w:p>
        </w:tc>
        <w:tc>
          <w:tcPr>
            <w:tcW w:w="1130" w:type="dxa"/>
            <w:tcBorders>
              <w:bottom w:val="single" w:color="000000" w:sz="4" w:space="0"/>
              <w:right w:val="single" w:color="000000" w:sz="4" w:space="0"/>
            </w:tcBorders>
            <w:vAlign w:val="center"/>
          </w:tcPr>
          <w:p w14:paraId="171F5BA5">
            <w:pPr>
              <w:widowControl/>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内地居民婚姻登记</w:t>
            </w:r>
          </w:p>
        </w:tc>
        <w:tc>
          <w:tcPr>
            <w:tcW w:w="1138" w:type="dxa"/>
            <w:tcBorders>
              <w:bottom w:val="single" w:color="000000" w:sz="4" w:space="0"/>
              <w:right w:val="single" w:color="000000" w:sz="4" w:space="0"/>
            </w:tcBorders>
            <w:vAlign w:val="center"/>
          </w:tcPr>
          <w:p w14:paraId="1E5BAA43">
            <w:pPr>
              <w:widowControl/>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县民政局</w:t>
            </w:r>
          </w:p>
        </w:tc>
        <w:tc>
          <w:tcPr>
            <w:tcW w:w="2693" w:type="dxa"/>
            <w:tcBorders>
              <w:bottom w:val="single" w:color="000000" w:sz="4" w:space="0"/>
              <w:right w:val="single" w:color="000000" w:sz="4" w:space="0"/>
            </w:tcBorders>
            <w:vAlign w:val="center"/>
          </w:tcPr>
          <w:p w14:paraId="2B1B1FAB">
            <w:pPr>
              <w:widowControl/>
              <w:shd w:val="clear" w:color="auto" w:fill="FFFFFF"/>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《婚姻登记条例》（2003年国务院令第387号） 第二条第一款  内地居民办理婚姻登记的机关是县级人民政府民政部门或者乡（镇）人民政府，省、自治区、直辖市人民政府可以按照便民原则确定农村居民办理婚姻登记的具体机关。</w:t>
            </w:r>
          </w:p>
        </w:tc>
        <w:tc>
          <w:tcPr>
            <w:tcW w:w="3827" w:type="dxa"/>
            <w:tcBorders>
              <w:bottom w:val="single" w:color="000000" w:sz="4" w:space="0"/>
              <w:right w:val="single" w:color="000000" w:sz="4" w:space="0"/>
            </w:tcBorders>
            <w:vAlign w:val="center"/>
          </w:tcPr>
          <w:p w14:paraId="252BD9D1">
            <w:pPr>
              <w:widowControl/>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1、受理责任：公示依法应当提交的材料；一次性告知所需材料；依法受理或不予受理当事人的婚姻登记，不予受理应当告知理由。</w:t>
            </w:r>
          </w:p>
          <w:p w14:paraId="53F1A6B0">
            <w:pPr>
              <w:widowControl/>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2、审查责任：按照《婚姻登记条例》中婚姻登记相关规定，对申请人提交的证件材料进行审查，询问双方意愿，提出审核意见。</w:t>
            </w:r>
            <w:r>
              <w:rPr>
                <w:rFonts w:cs="仿宋_GB2312" w:asciiTheme="minorEastAsia" w:hAnsiTheme="minorEastAsia"/>
                <w:color w:val="000000" w:themeColor="text1"/>
                <w:szCs w:val="21"/>
                <w14:textFill>
                  <w14:solidFill>
                    <w14:schemeClr w14:val="tx1"/>
                  </w14:solidFill>
                </w14:textFill>
              </w:rPr>
              <w:br w:type="textWrapping"/>
            </w:r>
            <w:r>
              <w:rPr>
                <w:rFonts w:hint="eastAsia" w:cs="仿宋_GB2312" w:asciiTheme="minorEastAsia" w:hAnsiTheme="minorEastAsia"/>
                <w:color w:val="000000" w:themeColor="text1"/>
                <w:szCs w:val="21"/>
                <w14:textFill>
                  <w14:solidFill>
                    <w14:schemeClr w14:val="tx1"/>
                  </w14:solidFill>
                </w14:textFill>
              </w:rPr>
              <w:t>3、登记责任：审核无误通过确认登记，颁发婚姻登记证，并建立婚姻登记档案。</w:t>
            </w:r>
          </w:p>
        </w:tc>
        <w:tc>
          <w:tcPr>
            <w:tcW w:w="3402" w:type="dxa"/>
            <w:tcBorders>
              <w:bottom w:val="single" w:color="000000" w:sz="4" w:space="0"/>
              <w:right w:val="single" w:color="000000" w:sz="4" w:space="0"/>
            </w:tcBorders>
            <w:vAlign w:val="center"/>
          </w:tcPr>
          <w:p w14:paraId="274CF774">
            <w:pPr>
              <w:autoSpaceDN w:val="0"/>
              <w:spacing w:line="300" w:lineRule="exact"/>
              <w:jc w:val="center"/>
              <w:textAlignment w:val="center"/>
              <w:rPr>
                <w:rFonts w:ascii="仿宋_GB2312" w:hAnsi="仿宋_GB2312" w:eastAsia="仿宋_GB2312" w:cs="仿宋_GB2312"/>
                <w:sz w:val="20"/>
                <w:szCs w:val="18"/>
              </w:rPr>
            </w:pPr>
            <w:r>
              <w:rPr>
                <w:rFonts w:hint="eastAsia" w:ascii="仿宋_GB2312" w:hAnsi="仿宋_GB2312" w:eastAsia="仿宋_GB2312" w:cs="仿宋_GB2312"/>
                <w:sz w:val="20"/>
                <w:szCs w:val="18"/>
              </w:rPr>
              <w:t>因不履行或不正确履行行政职责，有下列情形的，行政机关及相关工作人员应承担相应责任：</w:t>
            </w:r>
          </w:p>
          <w:p w14:paraId="66A2BC57">
            <w:pPr>
              <w:autoSpaceDN w:val="0"/>
              <w:spacing w:line="300" w:lineRule="exact"/>
              <w:jc w:val="center"/>
              <w:textAlignment w:val="center"/>
              <w:rPr>
                <w:rFonts w:ascii="仿宋_GB2312" w:hAnsi="仿宋_GB2312" w:eastAsia="仿宋_GB2312" w:cs="仿宋_GB2312"/>
                <w:sz w:val="20"/>
                <w:szCs w:val="18"/>
              </w:rPr>
            </w:pPr>
            <w:r>
              <w:rPr>
                <w:rFonts w:hint="eastAsia" w:ascii="仿宋_GB2312" w:hAnsi="仿宋_GB2312" w:eastAsia="仿宋_GB2312" w:cs="仿宋_GB2312"/>
                <w:sz w:val="20"/>
                <w:szCs w:val="18"/>
              </w:rPr>
              <w:t>1、为不符合婚姻登记条件的当事人办理婚姻登记；</w:t>
            </w:r>
          </w:p>
          <w:p w14:paraId="46D59097">
            <w:pPr>
              <w:autoSpaceDN w:val="0"/>
              <w:spacing w:line="300" w:lineRule="exact"/>
              <w:jc w:val="center"/>
              <w:textAlignment w:val="center"/>
              <w:rPr>
                <w:rFonts w:ascii="仿宋_GB2312" w:hAnsi="仿宋_GB2312" w:eastAsia="仿宋_GB2312" w:cs="仿宋_GB2312"/>
                <w:sz w:val="20"/>
                <w:szCs w:val="18"/>
              </w:rPr>
            </w:pPr>
            <w:r>
              <w:rPr>
                <w:rFonts w:hint="eastAsia" w:ascii="仿宋_GB2312" w:hAnsi="仿宋_GB2312" w:eastAsia="仿宋_GB2312" w:cs="仿宋_GB2312"/>
                <w:sz w:val="20"/>
                <w:szCs w:val="18"/>
              </w:rPr>
              <w:t>2、未严格按照相关政策、法律、法规履行审查义务，违反程序规定办理婚姻登记、发放婚姻登记证、撤销婚姻的；</w:t>
            </w:r>
          </w:p>
          <w:p w14:paraId="7FFF4F3F">
            <w:pPr>
              <w:autoSpaceDN w:val="0"/>
              <w:spacing w:line="300" w:lineRule="exact"/>
              <w:jc w:val="center"/>
              <w:textAlignment w:val="center"/>
              <w:rPr>
                <w:rFonts w:ascii="仿宋_GB2312" w:hAnsi="仿宋_GB2312" w:eastAsia="仿宋_GB2312" w:cs="仿宋_GB2312"/>
                <w:sz w:val="20"/>
                <w:szCs w:val="18"/>
              </w:rPr>
            </w:pPr>
            <w:r>
              <w:rPr>
                <w:rFonts w:hint="eastAsia" w:ascii="仿宋_GB2312" w:hAnsi="仿宋_GB2312" w:eastAsia="仿宋_GB2312" w:cs="仿宋_GB2312"/>
                <w:sz w:val="20"/>
                <w:szCs w:val="18"/>
              </w:rPr>
              <w:t>3、办理婚姻登记或补发结婚证、离婚证收取费用的；</w:t>
            </w:r>
          </w:p>
          <w:p w14:paraId="294313A7">
            <w:pPr>
              <w:autoSpaceDN w:val="0"/>
              <w:spacing w:line="300" w:lineRule="exact"/>
              <w:jc w:val="center"/>
              <w:textAlignment w:val="center"/>
              <w:rPr>
                <w:rFonts w:ascii="仿宋_GB2312" w:hAnsi="仿宋_GB2312" w:eastAsia="仿宋_GB2312" w:cs="仿宋_GB2312"/>
                <w:sz w:val="20"/>
                <w:szCs w:val="18"/>
              </w:rPr>
            </w:pPr>
            <w:r>
              <w:rPr>
                <w:rFonts w:hint="eastAsia" w:ascii="仿宋_GB2312" w:hAnsi="仿宋_GB2312" w:eastAsia="仿宋_GB2312" w:cs="仿宋_GB2312"/>
                <w:sz w:val="20"/>
                <w:szCs w:val="18"/>
              </w:rPr>
              <w:t>4、要求当事人提交《婚姻登记条例》和本规范规定以外的证件材料的；</w:t>
            </w:r>
          </w:p>
          <w:p w14:paraId="080A694C">
            <w:pPr>
              <w:autoSpaceDN w:val="0"/>
              <w:spacing w:line="300" w:lineRule="exact"/>
              <w:jc w:val="center"/>
              <w:textAlignment w:val="center"/>
              <w:rPr>
                <w:rFonts w:ascii="仿宋_GB2312" w:hAnsi="仿宋_GB2312" w:eastAsia="仿宋_GB2312" w:cs="仿宋_GB2312"/>
                <w:sz w:val="20"/>
                <w:szCs w:val="18"/>
              </w:rPr>
            </w:pPr>
            <w:r>
              <w:rPr>
                <w:rFonts w:hint="eastAsia" w:ascii="仿宋_GB2312" w:hAnsi="仿宋_GB2312" w:eastAsia="仿宋_GB2312" w:cs="仿宋_GB2312"/>
                <w:sz w:val="20"/>
                <w:szCs w:val="18"/>
              </w:rPr>
              <w:t>5、工作中玩忽职守、滥用职权，造成婚姻登记档案损毁的；</w:t>
            </w:r>
          </w:p>
          <w:p w14:paraId="0A151F41">
            <w:pPr>
              <w:autoSpaceDN w:val="0"/>
              <w:spacing w:line="300" w:lineRule="exact"/>
              <w:jc w:val="center"/>
              <w:textAlignment w:val="center"/>
              <w:rPr>
                <w:rFonts w:ascii="仿宋_GB2312" w:hAnsi="仿宋_GB2312" w:eastAsia="仿宋_GB2312" w:cs="仿宋_GB2312"/>
                <w:sz w:val="20"/>
                <w:szCs w:val="18"/>
              </w:rPr>
            </w:pPr>
            <w:r>
              <w:rPr>
                <w:rFonts w:hint="eastAsia" w:ascii="仿宋_GB2312" w:hAnsi="仿宋_GB2312" w:eastAsia="仿宋_GB2312" w:cs="仿宋_GB2312"/>
                <w:sz w:val="20"/>
                <w:szCs w:val="18"/>
              </w:rPr>
              <w:t>6、购买使用伪造婚姻证书的；</w:t>
            </w:r>
          </w:p>
          <w:p w14:paraId="6E10CD9F">
            <w:pPr>
              <w:autoSpaceDN w:val="0"/>
              <w:spacing w:line="300" w:lineRule="exact"/>
              <w:jc w:val="center"/>
              <w:textAlignment w:val="center"/>
              <w:rPr>
                <w:rFonts w:ascii="仿宋_GB2312" w:hAnsi="仿宋_GB2312" w:eastAsia="仿宋_GB2312" w:cs="仿宋_GB2312"/>
                <w:sz w:val="20"/>
                <w:szCs w:val="18"/>
              </w:rPr>
            </w:pPr>
            <w:r>
              <w:rPr>
                <w:rFonts w:hint="eastAsia" w:ascii="仿宋_GB2312" w:hAnsi="仿宋_GB2312" w:eastAsia="仿宋_GB2312" w:cs="仿宋_GB2312"/>
                <w:sz w:val="20"/>
                <w:szCs w:val="18"/>
              </w:rPr>
              <w:t>7、违反规定应用婚姻登记信息系统的；</w:t>
            </w:r>
          </w:p>
          <w:p w14:paraId="32C5977F">
            <w:pPr>
              <w:autoSpaceDN w:val="0"/>
              <w:spacing w:line="300" w:lineRule="exact"/>
              <w:jc w:val="center"/>
              <w:textAlignment w:val="center"/>
              <w:rPr>
                <w:rFonts w:ascii="仿宋_GB2312" w:hAnsi="仿宋_GB2312" w:eastAsia="仿宋_GB2312" w:cs="仿宋_GB2312"/>
                <w:sz w:val="20"/>
                <w:szCs w:val="18"/>
              </w:rPr>
            </w:pPr>
            <w:r>
              <w:rPr>
                <w:rFonts w:hint="eastAsia" w:ascii="仿宋_GB2312" w:hAnsi="仿宋_GB2312" w:eastAsia="仿宋_GB2312" w:cs="仿宋_GB2312"/>
                <w:sz w:val="20"/>
                <w:szCs w:val="18"/>
              </w:rPr>
              <w:t>8、其他违反法律法规规章文件规定的行为。</w:t>
            </w:r>
          </w:p>
        </w:tc>
        <w:tc>
          <w:tcPr>
            <w:tcW w:w="851" w:type="dxa"/>
            <w:tcBorders>
              <w:bottom w:val="single" w:color="000000" w:sz="4" w:space="0"/>
              <w:right w:val="single" w:color="000000" w:sz="4" w:space="0"/>
            </w:tcBorders>
            <w:vAlign w:val="center"/>
          </w:tcPr>
          <w:p w14:paraId="4E060264">
            <w:pPr>
              <w:autoSpaceDN w:val="0"/>
              <w:textAlignment w:val="center"/>
              <w:rPr>
                <w:rFonts w:cs="仿宋_GB2312" w:asciiTheme="minorEastAsia" w:hAnsiTheme="minorEastAsia"/>
                <w:color w:val="000000" w:themeColor="text1"/>
                <w:szCs w:val="21"/>
                <w14:textFill>
                  <w14:solidFill>
                    <w14:schemeClr w14:val="tx1"/>
                  </w14:solidFill>
                </w14:textFill>
              </w:rPr>
            </w:pPr>
          </w:p>
        </w:tc>
      </w:tr>
      <w:tr w14:paraId="7AD1571A">
        <w:tblPrEx>
          <w:tblCellMar>
            <w:top w:w="0" w:type="dxa"/>
            <w:left w:w="108" w:type="dxa"/>
            <w:bottom w:w="0" w:type="dxa"/>
            <w:right w:w="108" w:type="dxa"/>
          </w:tblCellMar>
        </w:tblPrEx>
        <w:trPr>
          <w:trHeight w:val="2746" w:hRule="atLeast"/>
        </w:trPr>
        <w:tc>
          <w:tcPr>
            <w:tcW w:w="847" w:type="dxa"/>
            <w:tcBorders>
              <w:left w:val="single" w:color="000000" w:sz="4" w:space="0"/>
              <w:bottom w:val="single" w:color="000000" w:sz="4" w:space="0"/>
              <w:right w:val="single" w:color="000000" w:sz="4" w:space="0"/>
            </w:tcBorders>
            <w:vAlign w:val="center"/>
          </w:tcPr>
          <w:p w14:paraId="0EC2C4B3">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14</w:t>
            </w:r>
          </w:p>
        </w:tc>
        <w:tc>
          <w:tcPr>
            <w:tcW w:w="1138" w:type="dxa"/>
            <w:tcBorders>
              <w:left w:val="single" w:color="000000" w:sz="4" w:space="0"/>
              <w:bottom w:val="single" w:color="000000" w:sz="4" w:space="0"/>
              <w:right w:val="single" w:color="000000" w:sz="4" w:space="0"/>
            </w:tcBorders>
            <w:vAlign w:val="center"/>
          </w:tcPr>
          <w:p w14:paraId="735DA2AA">
            <w:pPr>
              <w:tabs>
                <w:tab w:val="left" w:pos="7937"/>
              </w:tabs>
              <w:spacing w:line="240" w:lineRule="exact"/>
              <w:jc w:val="center"/>
              <w:rPr>
                <w:rFonts w:ascii="宋体" w:hAnsi="宋体" w:eastAsia="宋体"/>
                <w:szCs w:val="21"/>
              </w:rPr>
            </w:pPr>
            <w:r>
              <w:rPr>
                <w:rFonts w:hint="eastAsia" w:ascii="宋体" w:hAnsi="宋体" w:eastAsia="宋体"/>
                <w:szCs w:val="21"/>
              </w:rPr>
              <w:t>行政确认</w:t>
            </w:r>
          </w:p>
        </w:tc>
        <w:tc>
          <w:tcPr>
            <w:tcW w:w="1130" w:type="dxa"/>
            <w:tcBorders>
              <w:bottom w:val="single" w:color="000000" w:sz="4" w:space="0"/>
              <w:right w:val="single" w:color="000000" w:sz="4" w:space="0"/>
            </w:tcBorders>
            <w:vAlign w:val="center"/>
          </w:tcPr>
          <w:p w14:paraId="09B5EA08">
            <w:pPr>
              <w:tabs>
                <w:tab w:val="left" w:pos="7937"/>
              </w:tabs>
              <w:spacing w:line="240" w:lineRule="exact"/>
              <w:jc w:val="center"/>
              <w:rPr>
                <w:rFonts w:ascii="宋体" w:hAnsi="宋体" w:eastAsia="宋体"/>
                <w:szCs w:val="21"/>
              </w:rPr>
            </w:pPr>
            <w:r>
              <w:rPr>
                <w:rFonts w:hint="eastAsia" w:ascii="宋体" w:hAnsi="宋体" w:eastAsia="宋体"/>
                <w:szCs w:val="21"/>
              </w:rPr>
              <w:t>撤销中国公民收养登记</w:t>
            </w:r>
          </w:p>
        </w:tc>
        <w:tc>
          <w:tcPr>
            <w:tcW w:w="1138" w:type="dxa"/>
            <w:tcBorders>
              <w:bottom w:val="single" w:color="000000" w:sz="4" w:space="0"/>
              <w:right w:val="single" w:color="000000" w:sz="4" w:space="0"/>
            </w:tcBorders>
            <w:vAlign w:val="center"/>
          </w:tcPr>
          <w:p w14:paraId="598752C4">
            <w:pPr>
              <w:tabs>
                <w:tab w:val="left" w:pos="7937"/>
              </w:tabs>
              <w:spacing w:line="240" w:lineRule="exact"/>
              <w:jc w:val="center"/>
              <w:rPr>
                <w:rFonts w:ascii="宋体" w:hAnsi="宋体" w:eastAsia="宋体"/>
                <w:szCs w:val="21"/>
              </w:rPr>
            </w:pPr>
            <w:r>
              <w:rPr>
                <w:rFonts w:hint="eastAsia" w:ascii="宋体" w:hAnsi="宋体" w:eastAsia="宋体"/>
                <w:szCs w:val="21"/>
              </w:rPr>
              <w:t>县</w:t>
            </w:r>
            <w:r>
              <w:rPr>
                <w:rFonts w:ascii="宋体" w:hAnsi="宋体" w:eastAsia="宋体"/>
                <w:szCs w:val="21"/>
              </w:rPr>
              <w:t>民政局</w:t>
            </w:r>
          </w:p>
        </w:tc>
        <w:tc>
          <w:tcPr>
            <w:tcW w:w="2693" w:type="dxa"/>
            <w:tcBorders>
              <w:bottom w:val="single" w:color="000000" w:sz="4" w:space="0"/>
              <w:right w:val="single" w:color="000000" w:sz="4" w:space="0"/>
            </w:tcBorders>
            <w:vAlign w:val="center"/>
          </w:tcPr>
          <w:p w14:paraId="5C566646">
            <w:pPr>
              <w:widowControl/>
              <w:shd w:val="clear" w:color="auto" w:fill="FFFFFF"/>
              <w:jc w:val="left"/>
              <w:rPr>
                <w:rFonts w:ascii="宋体" w:hAnsi="宋体" w:eastAsia="宋体"/>
                <w:szCs w:val="21"/>
              </w:rPr>
            </w:pPr>
            <w:r>
              <w:rPr>
                <w:rFonts w:hint="eastAsia" w:ascii="宋体" w:hAnsi="宋体" w:eastAsia="宋体"/>
                <w:szCs w:val="21"/>
              </w:rPr>
              <w:t>《中国公民收养子女登记办法》（1999年民政部令第14号）第十二条</w:t>
            </w:r>
          </w:p>
          <w:p w14:paraId="0E390F48">
            <w:pPr>
              <w:widowControl/>
              <w:shd w:val="clear" w:color="auto" w:fill="FFFFFF"/>
              <w:jc w:val="left"/>
              <w:rPr>
                <w:rFonts w:ascii="宋体" w:hAnsi="宋体" w:eastAsia="宋体"/>
                <w:szCs w:val="21"/>
              </w:rPr>
            </w:pPr>
            <w:r>
              <w:rPr>
                <w:rFonts w:hint="eastAsia" w:ascii="宋体" w:hAnsi="宋体" w:eastAsia="宋体"/>
                <w:szCs w:val="21"/>
              </w:rPr>
              <w:t>收养关系当事人弄虚作假骗取收养登记的，收养关系无效，由收养登记机关撤销登记，收缴收养登记证。</w:t>
            </w:r>
          </w:p>
          <w:p w14:paraId="7FBD25A5">
            <w:pPr>
              <w:widowControl/>
              <w:shd w:val="clear" w:color="auto" w:fill="FFFFFF"/>
              <w:jc w:val="left"/>
              <w:rPr>
                <w:rFonts w:ascii="宋体" w:hAnsi="宋体" w:eastAsia="宋体"/>
                <w:szCs w:val="21"/>
              </w:rPr>
            </w:pPr>
          </w:p>
          <w:p w14:paraId="46D7BAE3">
            <w:pPr>
              <w:widowControl/>
              <w:shd w:val="clear" w:color="auto" w:fill="FFFFFF"/>
              <w:jc w:val="left"/>
              <w:rPr>
                <w:rFonts w:ascii="宋体" w:hAnsi="宋体" w:eastAsia="宋体"/>
                <w:szCs w:val="21"/>
              </w:rPr>
            </w:pPr>
          </w:p>
        </w:tc>
        <w:tc>
          <w:tcPr>
            <w:tcW w:w="3827" w:type="dxa"/>
            <w:tcBorders>
              <w:bottom w:val="single" w:color="000000" w:sz="4" w:space="0"/>
              <w:right w:val="single" w:color="000000" w:sz="4" w:space="0"/>
            </w:tcBorders>
            <w:vAlign w:val="center"/>
          </w:tcPr>
          <w:p w14:paraId="51F1F093">
            <w:pPr>
              <w:widowControl/>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1、受理责任：公示依法应当提交的材料；一次性告知所需材料；依法受理或不予受理当事人的收养登记，不予受理应当告知理由。</w:t>
            </w:r>
          </w:p>
          <w:p w14:paraId="38F3B119">
            <w:pPr>
              <w:spacing w:line="240" w:lineRule="exact"/>
              <w:rPr>
                <w:rFonts w:ascii="宋体" w:hAnsi="宋体" w:eastAsia="宋体"/>
                <w:szCs w:val="21"/>
              </w:rPr>
            </w:pPr>
            <w:r>
              <w:rPr>
                <w:rFonts w:hint="eastAsia" w:cs="仿宋_GB2312" w:asciiTheme="minorEastAsia" w:hAnsiTheme="minorEastAsia"/>
                <w:color w:val="000000" w:themeColor="text1"/>
                <w:szCs w:val="21"/>
                <w14:textFill>
                  <w14:solidFill>
                    <w14:schemeClr w14:val="tx1"/>
                  </w14:solidFill>
                </w14:textFill>
              </w:rPr>
              <w:t>2、审查责任：按照《收养登记条例》中收养登记相关规定，对申请人提交的证件材料进行审查，提出审核意见。</w:t>
            </w:r>
            <w:r>
              <w:rPr>
                <w:rFonts w:cs="仿宋_GB2312" w:asciiTheme="minorEastAsia" w:hAnsiTheme="minorEastAsia"/>
                <w:color w:val="000000" w:themeColor="text1"/>
                <w:szCs w:val="21"/>
                <w14:textFill>
                  <w14:solidFill>
                    <w14:schemeClr w14:val="tx1"/>
                  </w14:solidFill>
                </w14:textFill>
              </w:rPr>
              <w:br w:type="textWrapping"/>
            </w:r>
            <w:r>
              <w:rPr>
                <w:rFonts w:hint="eastAsia" w:cs="仿宋_GB2312" w:asciiTheme="minorEastAsia" w:hAnsiTheme="minorEastAsia"/>
                <w:color w:val="000000" w:themeColor="text1"/>
                <w:szCs w:val="21"/>
                <w14:textFill>
                  <w14:solidFill>
                    <w14:schemeClr w14:val="tx1"/>
                  </w14:solidFill>
                </w14:textFill>
              </w:rPr>
              <w:t>3、登记责任：审核无误通过确认登记，颁发收养登记证，并建立收养登记档案。</w:t>
            </w:r>
          </w:p>
        </w:tc>
        <w:tc>
          <w:tcPr>
            <w:tcW w:w="3402" w:type="dxa"/>
            <w:tcBorders>
              <w:bottom w:val="single" w:color="000000" w:sz="4" w:space="0"/>
              <w:right w:val="single" w:color="000000" w:sz="4" w:space="0"/>
            </w:tcBorders>
            <w:vAlign w:val="center"/>
          </w:tcPr>
          <w:p w14:paraId="5D83A163">
            <w:pPr>
              <w:tabs>
                <w:tab w:val="left" w:pos="7937"/>
              </w:tabs>
              <w:spacing w:line="260" w:lineRule="exact"/>
              <w:rPr>
                <w:rFonts w:ascii="宋体" w:hAnsi="宋体" w:eastAsia="宋体"/>
                <w:szCs w:val="21"/>
              </w:rPr>
            </w:pPr>
            <w:r>
              <w:rPr>
                <w:rFonts w:ascii="微软雅黑" w:hAnsi="微软雅黑" w:eastAsia="微软雅黑" w:cs="微软雅黑"/>
                <w:color w:val="333333"/>
                <w:szCs w:val="21"/>
                <w:shd w:val="clear" w:color="auto" w:fill="FFFFFF"/>
              </w:rPr>
              <w:t>《民政部关于印发＜收养登记工作规范＞的通知》(民发〔2008〕118号)第四十八条 收养登记机关及其收养登记员有下列行为之一的，对直接负责的主管人员和其他直接责任人员依法给予行政处分：(一)为不符合收养登记条件的当事人办理收养登记的；(二)依法应当予以登记而不予登记的；(三)违反程序规定办理收养登记、解除收养关系登记、撤销收养登记及其他证明的；(四)要求当事人提交《中华人民共和国收养法》、《中国公民收养子女登记办法》、《华侨以及居住在香港、澳门、台湾地区的中国公民办理收养登记的管辖以及所需要出具的证件和证明材料的规定》、《外国人在中华人民共和国收养子女登记办法》和本规范规定以外的证件和证明材料的；(五)擅自提高收费标准、增加收费项目或者不使用规定收费票据的；(六)玩忽职守造成收养登记档案损毁的；(七)泄露当事人收养秘密并造成严重后果的；(八)购买使用伪造收养证书的。 </w:t>
            </w:r>
            <w:r>
              <w:rPr>
                <w:rFonts w:hint="eastAsia" w:ascii="微软雅黑" w:hAnsi="微软雅黑" w:eastAsia="微软雅黑" w:cs="微软雅黑"/>
                <w:color w:val="333333"/>
                <w:szCs w:val="21"/>
                <w:shd w:val="clear" w:color="auto" w:fill="FFFFFF"/>
              </w:rPr>
              <w:br w:type="textWrapping"/>
            </w:r>
            <w:r>
              <w:rPr>
                <w:rFonts w:hint="eastAsia" w:ascii="微软雅黑" w:hAnsi="微软雅黑" w:eastAsia="微软雅黑" w:cs="微软雅黑"/>
                <w:color w:val="333333"/>
                <w:szCs w:val="21"/>
                <w:shd w:val="clear" w:color="auto" w:fill="FFFFFF"/>
              </w:rPr>
              <w:t>第四十九条 收养登记员违反规定办理收养登记，给当事人造成严重后果的，应当由收养登记机关承担对当事人的赔偿责任，并对承办人员进行追偿。</w:t>
            </w:r>
            <w:r>
              <w:rPr>
                <w:rFonts w:hint="eastAsia" w:ascii="宋体" w:hAnsi="宋体" w:eastAsia="宋体"/>
                <w:szCs w:val="21"/>
              </w:rPr>
              <w:br w:type="textWrapping"/>
            </w:r>
          </w:p>
        </w:tc>
        <w:tc>
          <w:tcPr>
            <w:tcW w:w="851" w:type="dxa"/>
            <w:tcBorders>
              <w:bottom w:val="single" w:color="000000" w:sz="4" w:space="0"/>
              <w:right w:val="single" w:color="000000" w:sz="4" w:space="0"/>
            </w:tcBorders>
            <w:vAlign w:val="center"/>
          </w:tcPr>
          <w:p w14:paraId="767A1266">
            <w:pPr>
              <w:autoSpaceDN w:val="0"/>
              <w:textAlignment w:val="center"/>
              <w:rPr>
                <w:rFonts w:cs="仿宋_GB2312" w:asciiTheme="minorEastAsia" w:hAnsiTheme="minorEastAsia"/>
                <w:color w:val="000000" w:themeColor="text1"/>
                <w:szCs w:val="21"/>
                <w14:textFill>
                  <w14:solidFill>
                    <w14:schemeClr w14:val="tx1"/>
                  </w14:solidFill>
                </w14:textFill>
              </w:rPr>
            </w:pPr>
          </w:p>
        </w:tc>
      </w:tr>
      <w:tr w14:paraId="2218A21C">
        <w:tblPrEx>
          <w:tblCellMar>
            <w:top w:w="0" w:type="dxa"/>
            <w:left w:w="108" w:type="dxa"/>
            <w:bottom w:w="0" w:type="dxa"/>
            <w:right w:w="108" w:type="dxa"/>
          </w:tblCellMar>
        </w:tblPrEx>
        <w:trPr>
          <w:trHeight w:val="3596" w:hRule="atLeast"/>
        </w:trPr>
        <w:tc>
          <w:tcPr>
            <w:tcW w:w="847" w:type="dxa"/>
            <w:tcBorders>
              <w:left w:val="single" w:color="000000" w:sz="4" w:space="0"/>
              <w:bottom w:val="single" w:color="000000" w:sz="4" w:space="0"/>
              <w:right w:val="single" w:color="000000" w:sz="4" w:space="0"/>
            </w:tcBorders>
            <w:vAlign w:val="center"/>
          </w:tcPr>
          <w:p w14:paraId="00A7BBC1">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15</w:t>
            </w:r>
          </w:p>
        </w:tc>
        <w:tc>
          <w:tcPr>
            <w:tcW w:w="1138" w:type="dxa"/>
            <w:tcBorders>
              <w:left w:val="single" w:color="000000" w:sz="4" w:space="0"/>
              <w:bottom w:val="single" w:color="000000" w:sz="4" w:space="0"/>
              <w:right w:val="single" w:color="000000" w:sz="4" w:space="0"/>
            </w:tcBorders>
            <w:vAlign w:val="center"/>
          </w:tcPr>
          <w:p w14:paraId="623D0524">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行政确认</w:t>
            </w:r>
          </w:p>
        </w:tc>
        <w:tc>
          <w:tcPr>
            <w:tcW w:w="1130" w:type="dxa"/>
            <w:tcBorders>
              <w:bottom w:val="single" w:color="000000" w:sz="4" w:space="0"/>
              <w:right w:val="single" w:color="000000" w:sz="4" w:space="0"/>
            </w:tcBorders>
            <w:vAlign w:val="center"/>
          </w:tcPr>
          <w:p w14:paraId="47B11F23">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特困人员认定登记</w:t>
            </w:r>
          </w:p>
        </w:tc>
        <w:tc>
          <w:tcPr>
            <w:tcW w:w="1138" w:type="dxa"/>
            <w:tcBorders>
              <w:bottom w:val="single" w:color="000000" w:sz="4" w:space="0"/>
              <w:right w:val="single" w:color="000000" w:sz="4" w:space="0"/>
            </w:tcBorders>
            <w:vAlign w:val="center"/>
          </w:tcPr>
          <w:p w14:paraId="063096E0">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县民政局</w:t>
            </w:r>
          </w:p>
        </w:tc>
        <w:tc>
          <w:tcPr>
            <w:tcW w:w="2693" w:type="dxa"/>
            <w:tcBorders>
              <w:bottom w:val="single" w:color="000000" w:sz="4" w:space="0"/>
              <w:right w:val="single" w:color="000000" w:sz="4" w:space="0"/>
            </w:tcBorders>
            <w:vAlign w:val="center"/>
          </w:tcPr>
          <w:p w14:paraId="0EEE8355">
            <w:pPr>
              <w:widowControl/>
              <w:shd w:val="clear" w:color="auto" w:fill="FFFFFF"/>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《社会救助暂行办法》</w:t>
            </w:r>
          </w:p>
          <w:p w14:paraId="6ABF5FF1">
            <w:pPr>
              <w:shd w:val="clear" w:color="auto" w:fill="FFFFFF"/>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2019年国务院令第649号；国务院令第709号）第十六条：申请特困人员供养，由本人向户籍所在地的乡镇人民政府、街道办事处提出书面申请；本人申请有困难的，可以委托村民委员会、居民委员会代为提出申请。 特困人员供养的审批程序适用本办法第十一条规定。《特困人员认定办法》</w:t>
            </w:r>
          </w:p>
          <w:p w14:paraId="7FC28120">
            <w:pPr>
              <w:shd w:val="clear" w:color="auto" w:fill="FFFFFF"/>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民发〔2016〕178号第三条县级以上地方人民政府民政部门统筹做好本行政区域内特困人员认定及救助供养工作。 县级人民政府民政部门以及乡镇人民政府（街道办事处）具体负责特困人员认定工作，村（居）民委员会协助做好相关工作。第十条</w:t>
            </w:r>
          </w:p>
          <w:p w14:paraId="048712C5">
            <w:pPr>
              <w:shd w:val="clear" w:color="auto" w:fill="FFFFFF"/>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申请特困人员救助供养，应当由本人向户籍所在地乡镇人民政府（街道办事处）提出书面申请。本人申请有困难的，可以委托村（居）民委员会或者他人代为提出申请。 申请材料主要包括本人有效身份证明，劳动能力、生活来源、财产状况以及赡养、抚养、扶养情况的书面声明，承诺所提供信息真实、完整的承诺书，残疾人还应当提供第二代《中华人民共和国残疾证》。 申请人应当履行授权核查家庭经济状况的相关手续。第十二条乡镇人民政府（街道办事处）应当对申请人或者其代理人提交的材料进行审查，材料齐备的，予以受理；材料不齐备的，应当一次性告知申请人或者其代理人补齐所有规定材料。</w:t>
            </w:r>
          </w:p>
          <w:p w14:paraId="576D9F11">
            <w:pPr>
              <w:widowControl/>
              <w:shd w:val="clear" w:color="auto" w:fill="FFFFFF"/>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第十三条乡镇人民政府（街道办事处）应当自受理申请之日起20个工作日内，通过入户调查、邻里访问、信函索证、民主评议、信息核对等方式，对申请人的经济状况、实际生活状况以及赡养、抚养、扶养状况等进行调查核实，并提出审核意见。 申请人以及有关单位、组织或者个人应当配合调查，如实提供有关情况。村（居）民委员会应当协助乡镇人民政府（街道办事处）开展调查核实。</w:t>
            </w:r>
          </w:p>
        </w:tc>
        <w:tc>
          <w:tcPr>
            <w:tcW w:w="3827" w:type="dxa"/>
            <w:tcBorders>
              <w:bottom w:val="single" w:color="000000" w:sz="4" w:space="0"/>
              <w:right w:val="single" w:color="000000" w:sz="4" w:space="0"/>
            </w:tcBorders>
            <w:vAlign w:val="center"/>
          </w:tcPr>
          <w:p w14:paraId="5311404E">
            <w:pPr>
              <w:widowControl/>
              <w:jc w:val="left"/>
              <w:rPr>
                <w:rFonts w:cs="仿宋_GB2312" w:asciiTheme="minorEastAsia" w:hAnsiTheme="minorEastAsia"/>
                <w:color w:val="000000" w:themeColor="text1"/>
                <w:szCs w:val="21"/>
                <w14:textFill>
                  <w14:solidFill>
                    <w14:schemeClr w14:val="tx1"/>
                  </w14:solidFill>
                </w14:textFill>
              </w:rPr>
            </w:pPr>
            <w:r>
              <w:rPr>
                <w:rFonts w:hint="eastAsia"/>
                <w:color w:val="000000"/>
                <w:szCs w:val="21"/>
                <w:shd w:val="clear" w:color="auto" w:fill="FFFFFF"/>
              </w:rPr>
              <w:t>1.受理责任：</w:t>
            </w:r>
            <w:r>
              <w:rPr>
                <w:rFonts w:hint="eastAsia" w:cs="仿宋_GB2312" w:asciiTheme="minorEastAsia" w:hAnsiTheme="minorEastAsia"/>
                <w:color w:val="000000" w:themeColor="text1"/>
                <w:szCs w:val="21"/>
                <w14:textFill>
                  <w14:solidFill>
                    <w14:schemeClr w14:val="tx1"/>
                  </w14:solidFill>
                </w14:textFill>
              </w:rPr>
              <w:t>由共同生活的家庭成员向户籍所在地的乡镇人民政府、街道办事处提出书面申请；家庭成员申请有困难的，可以委托村民委员会、居民委员会代为提出申请。</w:t>
            </w:r>
            <w:r>
              <w:rPr>
                <w:rFonts w:hint="eastAsia"/>
                <w:color w:val="000000"/>
                <w:szCs w:val="21"/>
              </w:rPr>
              <w:br w:type="textWrapping"/>
            </w:r>
            <w:r>
              <w:rPr>
                <w:rFonts w:hint="eastAsia"/>
                <w:color w:val="000000"/>
                <w:szCs w:val="21"/>
                <w:shd w:val="clear" w:color="auto" w:fill="FFFFFF"/>
              </w:rPr>
              <w:t>2.审查责任：</w:t>
            </w:r>
            <w:r>
              <w:rPr>
                <w:rFonts w:hint="eastAsia" w:cs="仿宋_GB2312" w:asciiTheme="minorEastAsia" w:hAnsiTheme="minorEastAsia"/>
                <w:color w:val="000000" w:themeColor="text1"/>
                <w:szCs w:val="21"/>
                <w14:textFill>
                  <w14:solidFill>
                    <w14:schemeClr w14:val="tx1"/>
                  </w14:solidFill>
                </w14:textFill>
              </w:rPr>
              <w:t>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14:paraId="3BC3EF2C">
            <w:pPr>
              <w:widowControl/>
              <w:rPr>
                <w:rFonts w:cs="仿宋_GB2312" w:asciiTheme="minorEastAsia" w:hAnsiTheme="minorEastAsia"/>
                <w:color w:val="000000" w:themeColor="text1"/>
                <w:szCs w:val="21"/>
                <w14:textFill>
                  <w14:solidFill>
                    <w14:schemeClr w14:val="tx1"/>
                  </w14:solidFill>
                </w14:textFill>
              </w:rPr>
            </w:pPr>
            <w:r>
              <w:rPr>
                <w:rFonts w:hint="eastAsia"/>
                <w:color w:val="000000"/>
                <w:szCs w:val="21"/>
                <w:shd w:val="clear" w:color="auto" w:fill="FFFFFF"/>
              </w:rPr>
              <w:t>3.决定责任：乡镇核查。县民政局审批、发放。</w:t>
            </w:r>
            <w:r>
              <w:rPr>
                <w:rFonts w:hint="eastAsia"/>
                <w:color w:val="000000"/>
                <w:szCs w:val="21"/>
              </w:rPr>
              <w:br w:type="textWrapping"/>
            </w:r>
            <w:r>
              <w:rPr>
                <w:rFonts w:hint="eastAsia"/>
                <w:color w:val="000000"/>
                <w:szCs w:val="21"/>
                <w:shd w:val="clear" w:color="auto" w:fill="FFFFFF"/>
              </w:rPr>
              <w:t>5.事中事后责任：建立健全事中事后监管措施，加强监管。</w:t>
            </w:r>
            <w:r>
              <w:rPr>
                <w:rFonts w:hint="eastAsia"/>
                <w:color w:val="000000"/>
                <w:szCs w:val="21"/>
              </w:rPr>
              <w:br w:type="textWrapping"/>
            </w:r>
            <w:r>
              <w:rPr>
                <w:rFonts w:hint="eastAsia"/>
                <w:color w:val="000000"/>
                <w:szCs w:val="21"/>
                <w:shd w:val="clear" w:color="auto" w:fill="FFFFFF"/>
              </w:rPr>
              <w:t>6.法律法规规章文件规定应履行的其他责任。</w:t>
            </w:r>
          </w:p>
        </w:tc>
        <w:tc>
          <w:tcPr>
            <w:tcW w:w="3402" w:type="dxa"/>
            <w:tcBorders>
              <w:bottom w:val="single" w:color="000000" w:sz="4" w:space="0"/>
              <w:right w:val="single" w:color="000000" w:sz="4" w:space="0"/>
            </w:tcBorders>
            <w:vAlign w:val="center"/>
          </w:tcPr>
          <w:p w14:paraId="14E42563">
            <w:pPr>
              <w:widowControl/>
              <w:shd w:val="clear" w:color="auto" w:fill="FFFFFF"/>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《社会救助暂行办法》</w:t>
            </w:r>
          </w:p>
          <w:p w14:paraId="05CC3C9E">
            <w:pPr>
              <w:widowControl/>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第六十六条</w:t>
            </w:r>
          </w:p>
          <w:p w14:paraId="6F7B9364">
            <w:pPr>
              <w:widowControl/>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违反本办法规定，有下列情形之一的，由上级行政机关或者监察机关责令改正；对直接负责的主管人员和其他直接责任人员依法给予处分： （一）对符合申请条件的救助申请不予受理的； （二）对符合救助条件的救助申请不予批准的； （三）对不符合救助条件的救助申请予以批准的； （四）泄露在工作中知悉的公民个人信息，造成后果的； （五）丢失、篡改接受社会救助款物、服务记录等数据的； （六）不按照规定发放社会救助资金、物资或者提供相关服务的； （七）在履行社会救助职责过程中有其他滥用职权、玩忽职守、徇私舞弊行为的。</w:t>
            </w:r>
          </w:p>
        </w:tc>
        <w:tc>
          <w:tcPr>
            <w:tcW w:w="851" w:type="dxa"/>
            <w:tcBorders>
              <w:bottom w:val="single" w:color="000000" w:sz="4" w:space="0"/>
              <w:right w:val="single" w:color="000000" w:sz="4" w:space="0"/>
            </w:tcBorders>
            <w:vAlign w:val="center"/>
          </w:tcPr>
          <w:p w14:paraId="2C07ABC8">
            <w:pPr>
              <w:widowControl/>
              <w:autoSpaceDN w:val="0"/>
              <w:textAlignment w:val="center"/>
              <w:rPr>
                <w:rFonts w:ascii="宋体" w:hAnsi="宋体" w:cs="仿宋_GB2312"/>
                <w:kern w:val="0"/>
                <w:szCs w:val="21"/>
              </w:rPr>
            </w:pPr>
          </w:p>
        </w:tc>
      </w:tr>
      <w:tr w14:paraId="499E049D">
        <w:tblPrEx>
          <w:tblCellMar>
            <w:top w:w="0" w:type="dxa"/>
            <w:left w:w="108" w:type="dxa"/>
            <w:bottom w:w="0" w:type="dxa"/>
            <w:right w:w="108" w:type="dxa"/>
          </w:tblCellMar>
        </w:tblPrEx>
        <w:trPr>
          <w:trHeight w:val="1328" w:hRule="atLeast"/>
        </w:trPr>
        <w:tc>
          <w:tcPr>
            <w:tcW w:w="847" w:type="dxa"/>
            <w:tcBorders>
              <w:left w:val="single" w:color="000000" w:sz="4" w:space="0"/>
              <w:bottom w:val="single" w:color="000000" w:sz="4" w:space="0"/>
              <w:right w:val="single" w:color="000000" w:sz="4" w:space="0"/>
            </w:tcBorders>
            <w:vAlign w:val="center"/>
          </w:tcPr>
          <w:p w14:paraId="5262B193">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16</w:t>
            </w:r>
          </w:p>
        </w:tc>
        <w:tc>
          <w:tcPr>
            <w:tcW w:w="1138" w:type="dxa"/>
            <w:tcBorders>
              <w:left w:val="single" w:color="000000" w:sz="4" w:space="0"/>
              <w:bottom w:val="single" w:color="000000" w:sz="4" w:space="0"/>
              <w:right w:val="single" w:color="000000" w:sz="4" w:space="0"/>
            </w:tcBorders>
            <w:vAlign w:val="center"/>
          </w:tcPr>
          <w:p w14:paraId="7ACF552B">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行政确认</w:t>
            </w:r>
          </w:p>
        </w:tc>
        <w:tc>
          <w:tcPr>
            <w:tcW w:w="1130" w:type="dxa"/>
            <w:tcBorders>
              <w:bottom w:val="single" w:color="000000" w:sz="4" w:space="0"/>
              <w:right w:val="single" w:color="000000" w:sz="4" w:space="0"/>
            </w:tcBorders>
            <w:vAlign w:val="center"/>
          </w:tcPr>
          <w:p w14:paraId="0574FB8A">
            <w:pPr>
              <w:widowControl/>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szCs w:val="21"/>
              </w:rPr>
              <w:t>临时救助对象认定</w:t>
            </w:r>
          </w:p>
        </w:tc>
        <w:tc>
          <w:tcPr>
            <w:tcW w:w="1138" w:type="dxa"/>
            <w:tcBorders>
              <w:bottom w:val="single" w:color="000000" w:sz="4" w:space="0"/>
              <w:right w:val="single" w:color="000000" w:sz="4" w:space="0"/>
            </w:tcBorders>
            <w:vAlign w:val="center"/>
          </w:tcPr>
          <w:p w14:paraId="31B94434">
            <w:pPr>
              <w:widowControl/>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县民政局</w:t>
            </w:r>
          </w:p>
        </w:tc>
        <w:tc>
          <w:tcPr>
            <w:tcW w:w="2693" w:type="dxa"/>
            <w:tcBorders>
              <w:bottom w:val="single" w:color="000000" w:sz="4" w:space="0"/>
              <w:right w:val="single" w:color="000000" w:sz="4" w:space="0"/>
            </w:tcBorders>
            <w:vAlign w:val="center"/>
          </w:tcPr>
          <w:p w14:paraId="3A64E5D6">
            <w:pPr>
              <w:widowControl/>
              <w:shd w:val="clear" w:color="auto" w:fill="FFFFFF"/>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社会救助暂行办法》（2019年国务院令第649号；国务院令第709号）第四十八条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p w14:paraId="264050CD">
            <w:pPr>
              <w:widowControl/>
              <w:shd w:val="clear" w:color="auto" w:fill="FFFFFF"/>
              <w:jc w:val="left"/>
              <w:rPr>
                <w:rFonts w:cs="仿宋_GB2312" w:asciiTheme="minorEastAsia" w:hAnsiTheme="minorEastAsia"/>
                <w:szCs w:val="21"/>
              </w:rPr>
            </w:pPr>
            <w:r>
              <w:rPr>
                <w:rFonts w:hint="eastAsia" w:cs="仿宋_GB2312" w:asciiTheme="minorEastAsia" w:hAnsiTheme="minorEastAsia"/>
                <w:szCs w:val="21"/>
              </w:rPr>
              <w:t>《社会救助暂行办法》（国务院令第649号）第四十八条</w:t>
            </w:r>
          </w:p>
          <w:p w14:paraId="0F60C367">
            <w:pPr>
              <w:widowControl/>
              <w:shd w:val="clear" w:color="auto" w:fill="FFFFFF"/>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szCs w:val="21"/>
              </w:rPr>
              <w:t>《河北省临时救助管理办法》（冀民规〔2022〕1号）第四条</w:t>
            </w:r>
          </w:p>
        </w:tc>
        <w:tc>
          <w:tcPr>
            <w:tcW w:w="3827" w:type="dxa"/>
            <w:tcBorders>
              <w:bottom w:val="single" w:color="000000" w:sz="4" w:space="0"/>
              <w:right w:val="single" w:color="000000" w:sz="4" w:space="0"/>
            </w:tcBorders>
            <w:vAlign w:val="center"/>
          </w:tcPr>
          <w:p w14:paraId="67EA5C33">
            <w:pPr>
              <w:widowControl/>
              <w:jc w:val="left"/>
              <w:rPr>
                <w:rFonts w:cs="仿宋_GB2312" w:asciiTheme="minorEastAsia" w:hAnsiTheme="minorEastAsia"/>
                <w:color w:val="000000" w:themeColor="text1"/>
                <w:szCs w:val="21"/>
                <w14:textFill>
                  <w14:solidFill>
                    <w14:schemeClr w14:val="tx1"/>
                  </w14:solidFill>
                </w14:textFill>
              </w:rPr>
            </w:pPr>
            <w:r>
              <w:rPr>
                <w:rFonts w:hint="eastAsia"/>
                <w:color w:val="000000"/>
                <w:szCs w:val="21"/>
                <w:shd w:val="clear" w:color="auto" w:fill="FFFFFF"/>
              </w:rPr>
              <w:t>1.受理责任：</w:t>
            </w:r>
            <w:r>
              <w:rPr>
                <w:rFonts w:hint="eastAsia" w:cs="仿宋_GB2312" w:asciiTheme="minorEastAsia" w:hAnsiTheme="minorEastAsia"/>
                <w:color w:val="000000" w:themeColor="text1"/>
                <w:szCs w:val="21"/>
                <w14:textFill>
                  <w14:solidFill>
                    <w14:schemeClr w14:val="tx1"/>
                  </w14:solidFill>
                </w14:textFill>
              </w:rPr>
              <w:t>由共同生活的家庭成员向户籍所在地的乡镇人民政府、街道办事处提出书面申请；家庭成员申请有困难的，可以委托村民委员会、居民委员会代为提出申请。</w:t>
            </w:r>
            <w:r>
              <w:rPr>
                <w:rFonts w:hint="eastAsia"/>
                <w:color w:val="000000"/>
                <w:szCs w:val="21"/>
              </w:rPr>
              <w:br w:type="textWrapping"/>
            </w:r>
            <w:r>
              <w:rPr>
                <w:rFonts w:hint="eastAsia"/>
                <w:color w:val="000000"/>
                <w:szCs w:val="21"/>
                <w:shd w:val="clear" w:color="auto" w:fill="FFFFFF"/>
              </w:rPr>
              <w:t>2.审查责任：</w:t>
            </w:r>
            <w:r>
              <w:rPr>
                <w:rFonts w:hint="eastAsia" w:cs="仿宋_GB2312" w:asciiTheme="minorEastAsia" w:hAnsiTheme="minorEastAsia"/>
                <w:color w:val="000000" w:themeColor="text1"/>
                <w:szCs w:val="21"/>
                <w14:textFill>
                  <w14:solidFill>
                    <w14:schemeClr w14:val="tx1"/>
                  </w14:solidFill>
                </w14:textFill>
              </w:rPr>
              <w:t>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14:paraId="46445F7C">
            <w:pPr>
              <w:widowControl/>
              <w:jc w:val="left"/>
              <w:rPr>
                <w:rFonts w:cs="仿宋_GB2312" w:asciiTheme="minorEastAsia" w:hAnsiTheme="minorEastAsia"/>
                <w:color w:val="000000" w:themeColor="text1"/>
                <w:szCs w:val="21"/>
                <w14:textFill>
                  <w14:solidFill>
                    <w14:schemeClr w14:val="tx1"/>
                  </w14:solidFill>
                </w14:textFill>
              </w:rPr>
            </w:pPr>
            <w:r>
              <w:rPr>
                <w:rFonts w:hint="eastAsia"/>
                <w:color w:val="000000"/>
                <w:szCs w:val="21"/>
                <w:shd w:val="clear" w:color="auto" w:fill="FFFFFF"/>
              </w:rPr>
              <w:t>3.决定责任：乡镇核查。县民政局审批、发放。</w:t>
            </w:r>
            <w:r>
              <w:rPr>
                <w:rFonts w:hint="eastAsia"/>
                <w:color w:val="000000"/>
                <w:szCs w:val="21"/>
              </w:rPr>
              <w:br w:type="textWrapping"/>
            </w:r>
            <w:r>
              <w:rPr>
                <w:rFonts w:hint="eastAsia"/>
                <w:color w:val="000000"/>
                <w:szCs w:val="21"/>
                <w:shd w:val="clear" w:color="auto" w:fill="FFFFFF"/>
              </w:rPr>
              <w:t>5.事中事后责任：建立健全事中事后监管措施，加强监管。</w:t>
            </w:r>
            <w:r>
              <w:rPr>
                <w:rFonts w:hint="eastAsia"/>
                <w:color w:val="000000"/>
                <w:szCs w:val="21"/>
              </w:rPr>
              <w:br w:type="textWrapping"/>
            </w:r>
            <w:r>
              <w:rPr>
                <w:rFonts w:hint="eastAsia"/>
                <w:color w:val="000000"/>
                <w:szCs w:val="21"/>
                <w:shd w:val="clear" w:color="auto" w:fill="FFFFFF"/>
              </w:rPr>
              <w:t>6.法律法规规章文件规定应履行的其他责任。</w:t>
            </w:r>
          </w:p>
        </w:tc>
        <w:tc>
          <w:tcPr>
            <w:tcW w:w="3402" w:type="dxa"/>
            <w:tcBorders>
              <w:bottom w:val="single" w:color="000000" w:sz="4" w:space="0"/>
              <w:right w:val="single" w:color="000000" w:sz="4" w:space="0"/>
            </w:tcBorders>
            <w:vAlign w:val="center"/>
          </w:tcPr>
          <w:p w14:paraId="43E9DF3E">
            <w:pPr>
              <w:pStyle w:val="6"/>
              <w:widowControl/>
              <w:shd w:val="clear" w:color="auto" w:fill="FFFFFF"/>
              <w:rPr>
                <w:rFonts w:cs="仿宋_GB2312" w:asciiTheme="minorEastAsia" w:hAnsiTheme="minorEastAsia"/>
                <w:color w:val="000000" w:themeColor="text1"/>
                <w:kern w:val="2"/>
                <w:sz w:val="21"/>
                <w:szCs w:val="21"/>
                <w14:textFill>
                  <w14:solidFill>
                    <w14:schemeClr w14:val="tx1"/>
                  </w14:solidFill>
                </w14:textFill>
              </w:rPr>
            </w:pPr>
            <w:r>
              <w:rPr>
                <w:rFonts w:hint="eastAsia" w:cs="仿宋_GB2312" w:asciiTheme="minorEastAsia" w:hAnsiTheme="minorEastAsia"/>
                <w:color w:val="000000" w:themeColor="text1"/>
                <w:kern w:val="2"/>
                <w:sz w:val="21"/>
                <w:szCs w:val="21"/>
                <w14:textFill>
                  <w14:solidFill>
                    <w14:schemeClr w14:val="tx1"/>
                  </w14:solidFill>
                </w14:textFill>
              </w:rPr>
              <w:br w:type="textWrapping"/>
            </w:r>
            <w:r>
              <w:rPr>
                <w:rFonts w:hint="eastAsia" w:cs="仿宋_GB2312" w:asciiTheme="minorEastAsia" w:hAnsiTheme="minorEastAsia"/>
                <w:color w:val="000000" w:themeColor="text1"/>
                <w:kern w:val="2"/>
                <w:sz w:val="21"/>
                <w:szCs w:val="21"/>
                <w14:textFill>
                  <w14:solidFill>
                    <w14:schemeClr w14:val="tx1"/>
                  </w14:solidFill>
                </w14:textFill>
              </w:rPr>
              <w:t>第六十六条</w:t>
            </w:r>
          </w:p>
          <w:p w14:paraId="4D09B971">
            <w:pPr>
              <w:pStyle w:val="6"/>
              <w:widowControl/>
              <w:shd w:val="clear" w:color="auto" w:fill="FFFFFF"/>
              <w:spacing w:beforeAutospacing="0" w:afterAutospacing="0"/>
              <w:rPr>
                <w:rFonts w:cs="仿宋_GB2312" w:asciiTheme="minorEastAsia" w:hAnsiTheme="minorEastAsia"/>
                <w:color w:val="000000" w:themeColor="text1"/>
                <w:kern w:val="2"/>
                <w:sz w:val="21"/>
                <w:szCs w:val="21"/>
                <w14:textFill>
                  <w14:solidFill>
                    <w14:schemeClr w14:val="tx1"/>
                  </w14:solidFill>
                </w14:textFill>
              </w:rPr>
            </w:pPr>
            <w:r>
              <w:rPr>
                <w:rFonts w:hint="eastAsia" w:cs="仿宋_GB2312" w:asciiTheme="minorEastAsia" w:hAnsiTheme="minorEastAsia"/>
                <w:color w:val="000000" w:themeColor="text1"/>
                <w:kern w:val="2"/>
                <w:sz w:val="21"/>
                <w:szCs w:val="21"/>
                <w14:textFill>
                  <w14:solidFill>
                    <w14:schemeClr w14:val="tx1"/>
                  </w14:solidFill>
                </w14:textFill>
              </w:rPr>
              <w:t>违反本办法规定，有下列情形之一的，由上级行政机关或者监察机关责令改正；对直接负责的主管人员和其他直接责任人员依法给予处分： （一）对符合申请条件的救助申请不予受理的； （二）对符合救助条件的救助申请不予批准的； （三）对不符合救助条件的救助申请予以批准的； （四）泄露在工作中知悉的公民个人信息，造成后果的； （五）丢失、篡改接受社会救助款物、服务记录等数据的； （六）不按照规定发放社会救助资金、物资或者提供相关服务的； （七）在履行社会救助职责过程中有其他滥用职权、玩忽职守、徇私舞弊行为的。</w:t>
            </w:r>
          </w:p>
          <w:p w14:paraId="5DDAE92B">
            <w:pPr>
              <w:pStyle w:val="6"/>
              <w:widowControl/>
              <w:shd w:val="clear" w:color="auto" w:fill="FFFFFF"/>
              <w:spacing w:beforeAutospacing="0" w:afterAutospacing="0"/>
              <w:rPr>
                <w:rFonts w:cs="仿宋_GB2312" w:asciiTheme="minorEastAsia" w:hAnsiTheme="minorEastAsia"/>
                <w:color w:val="000000" w:themeColor="text1"/>
                <w:kern w:val="2"/>
                <w:sz w:val="21"/>
                <w:szCs w:val="21"/>
                <w14:textFill>
                  <w14:solidFill>
                    <w14:schemeClr w14:val="tx1"/>
                  </w14:solidFill>
                </w14:textFill>
              </w:rPr>
            </w:pPr>
          </w:p>
        </w:tc>
        <w:tc>
          <w:tcPr>
            <w:tcW w:w="851" w:type="dxa"/>
            <w:tcBorders>
              <w:bottom w:val="single" w:color="000000" w:sz="4" w:space="0"/>
              <w:right w:val="single" w:color="000000" w:sz="4" w:space="0"/>
            </w:tcBorders>
            <w:vAlign w:val="center"/>
          </w:tcPr>
          <w:p w14:paraId="3717EA95">
            <w:pPr>
              <w:autoSpaceDN w:val="0"/>
              <w:textAlignment w:val="center"/>
              <w:rPr>
                <w:rFonts w:ascii="宋体" w:hAnsi="宋体"/>
                <w:sz w:val="20"/>
                <w:szCs w:val="20"/>
              </w:rPr>
            </w:pPr>
          </w:p>
        </w:tc>
      </w:tr>
      <w:tr w14:paraId="24C95F9E">
        <w:tblPrEx>
          <w:tblCellMar>
            <w:top w:w="0" w:type="dxa"/>
            <w:left w:w="108" w:type="dxa"/>
            <w:bottom w:w="0" w:type="dxa"/>
            <w:right w:w="108" w:type="dxa"/>
          </w:tblCellMar>
        </w:tblPrEx>
        <w:trPr>
          <w:trHeight w:val="2462" w:hRule="atLeast"/>
        </w:trPr>
        <w:tc>
          <w:tcPr>
            <w:tcW w:w="847" w:type="dxa"/>
            <w:tcBorders>
              <w:left w:val="single" w:color="000000" w:sz="4" w:space="0"/>
              <w:bottom w:val="single" w:color="000000" w:sz="4" w:space="0"/>
              <w:right w:val="single" w:color="000000" w:sz="4" w:space="0"/>
            </w:tcBorders>
            <w:vAlign w:val="center"/>
          </w:tcPr>
          <w:p w14:paraId="78385254">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17</w:t>
            </w:r>
          </w:p>
        </w:tc>
        <w:tc>
          <w:tcPr>
            <w:tcW w:w="1138" w:type="dxa"/>
            <w:tcBorders>
              <w:left w:val="single" w:color="000000" w:sz="4" w:space="0"/>
              <w:bottom w:val="single" w:color="000000" w:sz="4" w:space="0"/>
              <w:right w:val="single" w:color="000000" w:sz="4" w:space="0"/>
            </w:tcBorders>
            <w:vAlign w:val="center"/>
          </w:tcPr>
          <w:p w14:paraId="7437525D">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行政确认</w:t>
            </w:r>
          </w:p>
        </w:tc>
        <w:tc>
          <w:tcPr>
            <w:tcW w:w="1130" w:type="dxa"/>
            <w:tcBorders>
              <w:bottom w:val="single" w:color="000000" w:sz="4" w:space="0"/>
              <w:right w:val="single" w:color="000000" w:sz="4" w:space="0"/>
            </w:tcBorders>
            <w:vAlign w:val="center"/>
          </w:tcPr>
          <w:p w14:paraId="3A297602">
            <w:pP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szCs w:val="21"/>
              </w:rPr>
              <w:t>城乡最低生活保障对象认定</w:t>
            </w:r>
          </w:p>
        </w:tc>
        <w:tc>
          <w:tcPr>
            <w:tcW w:w="1138" w:type="dxa"/>
            <w:tcBorders>
              <w:bottom w:val="single" w:color="000000" w:sz="4" w:space="0"/>
              <w:right w:val="single" w:color="000000" w:sz="4" w:space="0"/>
            </w:tcBorders>
            <w:vAlign w:val="center"/>
          </w:tcPr>
          <w:p w14:paraId="44A38105">
            <w:pPr>
              <w:widowControl/>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县民政局</w:t>
            </w:r>
          </w:p>
        </w:tc>
        <w:tc>
          <w:tcPr>
            <w:tcW w:w="2693" w:type="dxa"/>
            <w:tcBorders>
              <w:bottom w:val="single" w:color="000000" w:sz="4" w:space="0"/>
              <w:right w:val="single" w:color="000000" w:sz="4" w:space="0"/>
            </w:tcBorders>
            <w:vAlign w:val="center"/>
          </w:tcPr>
          <w:p w14:paraId="4F9BE96F">
            <w:pPr>
              <w:widowControl/>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《社会救助暂行办法》</w:t>
            </w:r>
          </w:p>
          <w:p w14:paraId="7DC4D3D7">
            <w:pPr>
              <w:widowControl/>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（2019年  国务院令第649号；国务院令第709号）第十一条申请最低生活保障，按照下列程序办理： （一）由共同生活的家庭成员向户籍所在地的乡镇人民政府、街道办事处提出书面申请；家庭成员申请有困难的，可以委托村民委员会、居民委员会代为提出申请。 （二）乡镇人民政府、街道办事处应当通过入户调查、邻里访问、信函索证、群众评议、信息核查等方式，对申请人的家庭收入状况、财产状况进行调查核实，提出初审意见，在申请人所在村、社区公示后报县级人民政府民政部门审批。 （三）县级人民政府民政部门经审查，对符合条件的申请予以批准，并在申请人所在村、社区公布；对不符合条件的申请不予批准，并书面向申请人说明理由。</w:t>
            </w:r>
          </w:p>
          <w:p w14:paraId="518F7EF8">
            <w:pPr>
              <w:widowControl/>
              <w:rPr>
                <w:rFonts w:cs="仿宋_GB2312" w:asciiTheme="minorEastAsia" w:hAnsiTheme="minorEastAsia"/>
                <w:szCs w:val="21"/>
              </w:rPr>
            </w:pPr>
            <w:r>
              <w:rPr>
                <w:rFonts w:hint="eastAsia" w:cs="仿宋_GB2312" w:asciiTheme="minorEastAsia" w:hAnsiTheme="minorEastAsia"/>
                <w:szCs w:val="21"/>
              </w:rPr>
              <w:t>《社会救助暂行办法》（国务院令第649号）第十一条</w:t>
            </w:r>
          </w:p>
          <w:p w14:paraId="6060E2F7">
            <w:pPr>
              <w:widowControl/>
              <w:rPr>
                <w:rFonts w:cs="仿宋_GB2312" w:asciiTheme="minorEastAsia" w:hAnsiTheme="minorEastAsia"/>
                <w:szCs w:val="21"/>
              </w:rPr>
            </w:pPr>
            <w:r>
              <w:rPr>
                <w:rFonts w:hint="eastAsia" w:cs="仿宋_GB2312" w:asciiTheme="minorEastAsia" w:hAnsiTheme="minorEastAsia"/>
                <w:szCs w:val="21"/>
              </w:rPr>
              <w:t>《河北省最低生活保障审核确认办法》（冀民规〔2021〕8号）第四条</w:t>
            </w:r>
          </w:p>
          <w:p w14:paraId="2A5F38F0">
            <w:pPr>
              <w:rPr>
                <w:rFonts w:cs="仿宋_GB2312" w:asciiTheme="minorEastAsia" w:hAnsiTheme="minorEastAsia"/>
                <w:color w:val="000000" w:themeColor="text1"/>
                <w:szCs w:val="21"/>
                <w14:textFill>
                  <w14:solidFill>
                    <w14:schemeClr w14:val="tx1"/>
                  </w14:solidFill>
                </w14:textFill>
              </w:rPr>
            </w:pPr>
          </w:p>
        </w:tc>
        <w:tc>
          <w:tcPr>
            <w:tcW w:w="3827" w:type="dxa"/>
            <w:tcBorders>
              <w:bottom w:val="single" w:color="000000" w:sz="4" w:space="0"/>
              <w:right w:val="single" w:color="000000" w:sz="4" w:space="0"/>
            </w:tcBorders>
            <w:vAlign w:val="center"/>
          </w:tcPr>
          <w:p w14:paraId="4E9AC27A">
            <w:pPr>
              <w:widowControl/>
              <w:jc w:val="left"/>
              <w:rPr>
                <w:rFonts w:cs="仿宋_GB2312" w:asciiTheme="minorEastAsia" w:hAnsiTheme="minorEastAsia"/>
                <w:color w:val="000000" w:themeColor="text1"/>
                <w:szCs w:val="21"/>
                <w14:textFill>
                  <w14:solidFill>
                    <w14:schemeClr w14:val="tx1"/>
                  </w14:solidFill>
                </w14:textFill>
              </w:rPr>
            </w:pPr>
          </w:p>
          <w:p w14:paraId="7948DF00">
            <w:pPr>
              <w:widowControl/>
              <w:jc w:val="left"/>
              <w:rPr>
                <w:rFonts w:cs="仿宋_GB2312" w:asciiTheme="minorEastAsia" w:hAnsiTheme="minorEastAsia"/>
                <w:color w:val="000000" w:themeColor="text1"/>
                <w:szCs w:val="21"/>
                <w14:textFill>
                  <w14:solidFill>
                    <w14:schemeClr w14:val="tx1"/>
                  </w14:solidFill>
                </w14:textFill>
              </w:rPr>
            </w:pPr>
          </w:p>
          <w:p w14:paraId="1A37404C">
            <w:pPr>
              <w:widowControl/>
              <w:jc w:val="left"/>
              <w:rPr>
                <w:rFonts w:cs="仿宋_GB2312" w:asciiTheme="minorEastAsia" w:hAnsiTheme="minorEastAsia"/>
                <w:color w:val="000000" w:themeColor="text1"/>
                <w:szCs w:val="21"/>
                <w14:textFill>
                  <w14:solidFill>
                    <w14:schemeClr w14:val="tx1"/>
                  </w14:solidFill>
                </w14:textFill>
              </w:rPr>
            </w:pPr>
            <w:r>
              <w:rPr>
                <w:rFonts w:hint="eastAsia"/>
                <w:color w:val="000000"/>
                <w:szCs w:val="21"/>
                <w:shd w:val="clear" w:color="auto" w:fill="FFFFFF"/>
              </w:rPr>
              <w:t>1.受理责任：</w:t>
            </w:r>
            <w:r>
              <w:rPr>
                <w:rFonts w:hint="eastAsia" w:cs="仿宋_GB2312" w:asciiTheme="minorEastAsia" w:hAnsiTheme="minorEastAsia"/>
                <w:color w:val="000000" w:themeColor="text1"/>
                <w:szCs w:val="21"/>
                <w14:textFill>
                  <w14:solidFill>
                    <w14:schemeClr w14:val="tx1"/>
                  </w14:solidFill>
                </w14:textFill>
              </w:rPr>
              <w:t>由共同生活的家庭成员向户籍所在地的乡镇人民政府、街道办事处提出书面申请；家庭成员申请有困难的，可以委托村民委员会、居民委员会代为提出申请。</w:t>
            </w:r>
            <w:r>
              <w:rPr>
                <w:rFonts w:hint="eastAsia"/>
                <w:color w:val="000000"/>
                <w:szCs w:val="21"/>
              </w:rPr>
              <w:br w:type="textWrapping"/>
            </w:r>
            <w:r>
              <w:rPr>
                <w:rFonts w:hint="eastAsia"/>
                <w:color w:val="000000"/>
                <w:szCs w:val="21"/>
                <w:shd w:val="clear" w:color="auto" w:fill="FFFFFF"/>
              </w:rPr>
              <w:t>2.审查责任：</w:t>
            </w:r>
            <w:r>
              <w:rPr>
                <w:rFonts w:hint="eastAsia" w:cs="仿宋_GB2312" w:asciiTheme="minorEastAsia" w:hAnsiTheme="minorEastAsia"/>
                <w:color w:val="000000" w:themeColor="text1"/>
                <w:szCs w:val="21"/>
                <w14:textFill>
                  <w14:solidFill>
                    <w14:schemeClr w14:val="tx1"/>
                  </w14:solidFill>
                </w14:textFill>
              </w:rPr>
              <w:t>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14:paraId="771424A7">
            <w:pPr>
              <w:widowControl/>
              <w:jc w:val="left"/>
              <w:rPr>
                <w:rFonts w:cs="仿宋_GB2312" w:asciiTheme="minorEastAsia" w:hAnsiTheme="minorEastAsia"/>
                <w:color w:val="000000" w:themeColor="text1"/>
                <w:szCs w:val="21"/>
                <w14:textFill>
                  <w14:solidFill>
                    <w14:schemeClr w14:val="tx1"/>
                  </w14:solidFill>
                </w14:textFill>
              </w:rPr>
            </w:pPr>
            <w:r>
              <w:rPr>
                <w:rFonts w:hint="eastAsia"/>
                <w:color w:val="000000"/>
                <w:szCs w:val="21"/>
                <w:shd w:val="clear" w:color="auto" w:fill="FFFFFF"/>
              </w:rPr>
              <w:t>3.决定责任：乡镇核查。县民政局审批、发放。</w:t>
            </w:r>
            <w:r>
              <w:rPr>
                <w:rFonts w:hint="eastAsia"/>
                <w:color w:val="000000"/>
                <w:szCs w:val="21"/>
              </w:rPr>
              <w:br w:type="textWrapping"/>
            </w:r>
            <w:r>
              <w:rPr>
                <w:rFonts w:hint="eastAsia"/>
                <w:color w:val="000000"/>
                <w:szCs w:val="21"/>
                <w:shd w:val="clear" w:color="auto" w:fill="FFFFFF"/>
              </w:rPr>
              <w:t>5.事中事后责任：建立健全事中事后监管措施，加强监管。</w:t>
            </w:r>
            <w:r>
              <w:rPr>
                <w:rFonts w:hint="eastAsia"/>
                <w:color w:val="000000"/>
                <w:szCs w:val="21"/>
              </w:rPr>
              <w:br w:type="textWrapping"/>
            </w:r>
            <w:r>
              <w:rPr>
                <w:rFonts w:hint="eastAsia"/>
                <w:color w:val="000000"/>
                <w:szCs w:val="21"/>
                <w:shd w:val="clear" w:color="auto" w:fill="FFFFFF"/>
              </w:rPr>
              <w:t>6.法律法规规章文件规定应履行的其他责任。</w:t>
            </w:r>
          </w:p>
        </w:tc>
        <w:tc>
          <w:tcPr>
            <w:tcW w:w="3402" w:type="dxa"/>
            <w:tcBorders>
              <w:bottom w:val="single" w:color="000000" w:sz="4" w:space="0"/>
              <w:right w:val="single" w:color="000000" w:sz="4" w:space="0"/>
            </w:tcBorders>
            <w:vAlign w:val="center"/>
          </w:tcPr>
          <w:p w14:paraId="4A8E5760">
            <w:pPr>
              <w:tabs>
                <w:tab w:val="left" w:pos="7937"/>
              </w:tabs>
              <w:spacing w:line="260" w:lineRule="exac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第六十六条</w:t>
            </w:r>
          </w:p>
          <w:p w14:paraId="45B50954">
            <w:pPr>
              <w:tabs>
                <w:tab w:val="left" w:pos="7937"/>
              </w:tabs>
              <w:spacing w:line="260" w:lineRule="exac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违反本办法规定，有下列情形之一的，由上级行政机关或者监察机关责令改正；对直接负责的主管人员和其他直接责任人员依法给予处分： （一）对符合申请条件的救助申请不予受理的； （二）对符合救助条件的救助申请不予批准的； （三）对不符合救助条件的救助申请予以批准的； （四）泄露在工作中知悉的公民个人信息，造成后果的； （五）丢失、篡改接受社会救助款物、服务记录等数据的； （六）不按照规定发放社会救助资金、物资或者提供相关服务的； （七）在履行社会救助职责过程中有其他滥用职权、玩忽职守、徇私舞弊行为的。</w:t>
            </w:r>
          </w:p>
        </w:tc>
        <w:tc>
          <w:tcPr>
            <w:tcW w:w="851" w:type="dxa"/>
            <w:tcBorders>
              <w:bottom w:val="single" w:color="000000" w:sz="4" w:space="0"/>
              <w:right w:val="single" w:color="000000" w:sz="4" w:space="0"/>
            </w:tcBorders>
            <w:vAlign w:val="center"/>
          </w:tcPr>
          <w:p w14:paraId="28EFCF38">
            <w:pPr>
              <w:autoSpaceDN w:val="0"/>
              <w:textAlignment w:val="center"/>
              <w:rPr>
                <w:rFonts w:ascii="宋体" w:hAnsi="宋体"/>
                <w:sz w:val="20"/>
                <w:szCs w:val="20"/>
              </w:rPr>
            </w:pPr>
          </w:p>
        </w:tc>
      </w:tr>
      <w:tr w14:paraId="4A680C90">
        <w:tblPrEx>
          <w:tblCellMar>
            <w:top w:w="0" w:type="dxa"/>
            <w:left w:w="108" w:type="dxa"/>
            <w:bottom w:w="0" w:type="dxa"/>
            <w:right w:w="108" w:type="dxa"/>
          </w:tblCellMar>
        </w:tblPrEx>
        <w:trPr>
          <w:trHeight w:val="2850" w:hRule="atLeast"/>
        </w:trPr>
        <w:tc>
          <w:tcPr>
            <w:tcW w:w="847" w:type="dxa"/>
            <w:tcBorders>
              <w:left w:val="single" w:color="000000" w:sz="4" w:space="0"/>
              <w:bottom w:val="single" w:color="000000" w:sz="4" w:space="0"/>
              <w:right w:val="single" w:color="000000" w:sz="4" w:space="0"/>
            </w:tcBorders>
            <w:vAlign w:val="center"/>
          </w:tcPr>
          <w:p w14:paraId="4A8DC53C">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18</w:t>
            </w:r>
          </w:p>
        </w:tc>
        <w:tc>
          <w:tcPr>
            <w:tcW w:w="1138" w:type="dxa"/>
            <w:tcBorders>
              <w:left w:val="single" w:color="000000" w:sz="4" w:space="0"/>
              <w:bottom w:val="single" w:color="000000" w:sz="4" w:space="0"/>
              <w:right w:val="single" w:color="000000" w:sz="4" w:space="0"/>
            </w:tcBorders>
            <w:vAlign w:val="center"/>
          </w:tcPr>
          <w:p w14:paraId="60859E5D">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行政确认</w:t>
            </w:r>
          </w:p>
        </w:tc>
        <w:tc>
          <w:tcPr>
            <w:tcW w:w="1130" w:type="dxa"/>
            <w:tcBorders>
              <w:bottom w:val="single" w:color="000000" w:sz="4" w:space="0"/>
              <w:right w:val="single" w:color="000000" w:sz="4" w:space="0"/>
            </w:tcBorders>
            <w:vAlign w:val="center"/>
          </w:tcPr>
          <w:p w14:paraId="4C2D7123">
            <w:pPr>
              <w:widowControl/>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szCs w:val="21"/>
              </w:rPr>
              <w:t>居住在中国内地的中国公民在内地收养登记、解除收养关系登记</w:t>
            </w:r>
          </w:p>
        </w:tc>
        <w:tc>
          <w:tcPr>
            <w:tcW w:w="1138" w:type="dxa"/>
            <w:tcBorders>
              <w:bottom w:val="single" w:color="000000" w:sz="4" w:space="0"/>
              <w:right w:val="single" w:color="000000" w:sz="4" w:space="0"/>
            </w:tcBorders>
            <w:vAlign w:val="center"/>
          </w:tcPr>
          <w:p w14:paraId="57863394">
            <w:pPr>
              <w:widowControl/>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县民政局</w:t>
            </w:r>
          </w:p>
        </w:tc>
        <w:tc>
          <w:tcPr>
            <w:tcW w:w="2693" w:type="dxa"/>
            <w:tcBorders>
              <w:bottom w:val="single" w:color="000000" w:sz="4" w:space="0"/>
              <w:right w:val="single" w:color="000000" w:sz="4" w:space="0"/>
            </w:tcBorders>
            <w:vAlign w:val="center"/>
          </w:tcPr>
          <w:p w14:paraId="3855239A">
            <w:pPr>
              <w:widowControl/>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《中华人民共和国收养法》（1998年11月4日主席令</w:t>
            </w:r>
            <w:r>
              <w:rPr>
                <w:rFonts w:hint="eastAsia" w:cs="仿宋_GB2312" w:asciiTheme="minorEastAsia" w:hAnsiTheme="minorEastAsia"/>
                <w:color w:val="000000" w:themeColor="text1"/>
                <w:szCs w:val="21"/>
                <w:lang w:eastAsia="zh-CN"/>
                <w14:textFill>
                  <w14:solidFill>
                    <w14:schemeClr w14:val="tx1"/>
                  </w14:solidFill>
                </w14:textFill>
              </w:rPr>
              <w:t>第</w:t>
            </w:r>
            <w:r>
              <w:rPr>
                <w:rFonts w:hint="eastAsia" w:cs="仿宋_GB2312" w:asciiTheme="minorEastAsia" w:hAnsiTheme="minorEastAsia"/>
                <w:color w:val="000000" w:themeColor="text1"/>
                <w:szCs w:val="21"/>
                <w14:textFill>
                  <w14:solidFill>
                    <w14:schemeClr w14:val="tx1"/>
                  </w14:solidFill>
                </w14:textFill>
              </w:rPr>
              <w:t>10号）第十五条收养应当向县级以上人民政府民政部门登记。收养关系自登记之日起成立；</w:t>
            </w:r>
          </w:p>
          <w:p w14:paraId="2598C1D2">
            <w:pPr>
              <w:widowControl/>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《中国公民收养子女登记办法》（中华人民共和国民政部令）第二条 办理收养登记的机关是县级人民政府民政部门</w:t>
            </w:r>
          </w:p>
          <w:p w14:paraId="6F8DB18A">
            <w:pPr>
              <w:widowControl/>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《河北省收养登记办法》第五条“县级民政部门是本行政区域的收养登记机关”。</w:t>
            </w:r>
          </w:p>
          <w:p w14:paraId="2789DEC1">
            <w:pPr>
              <w:widowControl/>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《收养登记管理工作规范》</w:t>
            </w:r>
          </w:p>
        </w:tc>
        <w:tc>
          <w:tcPr>
            <w:tcW w:w="3827" w:type="dxa"/>
            <w:tcBorders>
              <w:bottom w:val="single" w:color="000000" w:sz="4" w:space="0"/>
              <w:right w:val="single" w:color="000000" w:sz="4" w:space="0"/>
            </w:tcBorders>
            <w:vAlign w:val="center"/>
          </w:tcPr>
          <w:p w14:paraId="7220F527">
            <w:pPr>
              <w:widowControl/>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1、受理责任：公示依法应当提交的材料；一次性告知补正材料；依法受理或不予受理当事人的收养登记。</w:t>
            </w:r>
            <w:r>
              <w:rPr>
                <w:rFonts w:hint="eastAsia" w:cs="仿宋_GB2312" w:asciiTheme="minorEastAsia" w:hAnsiTheme="minorEastAsia"/>
                <w:color w:val="000000" w:themeColor="text1"/>
                <w:szCs w:val="21"/>
                <w14:textFill>
                  <w14:solidFill>
                    <w14:schemeClr w14:val="tx1"/>
                  </w14:solidFill>
                </w14:textFill>
              </w:rPr>
              <w:br w:type="textWrapping"/>
            </w:r>
            <w:r>
              <w:rPr>
                <w:rFonts w:hint="eastAsia" w:cs="仿宋_GB2312" w:asciiTheme="minorEastAsia" w:hAnsiTheme="minorEastAsia"/>
                <w:color w:val="000000" w:themeColor="text1"/>
                <w:szCs w:val="21"/>
                <w14:textFill>
                  <w14:solidFill>
                    <w14:schemeClr w14:val="tx1"/>
                  </w14:solidFill>
                </w14:textFill>
              </w:rPr>
              <w:t>2、审查责任：收养登记机关收养登记申请书及有关材料后，应当自次日起30日内进行审查。</w:t>
            </w:r>
          </w:p>
          <w:p w14:paraId="2C30FBAD">
            <w:pPr>
              <w:widowControl/>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3、审批责任：对符合收养条件的，为当事人办理收养登记，填写《收养登记审查处理》后，报民政局主管领导或分管领导批准。</w:t>
            </w:r>
          </w:p>
          <w:p w14:paraId="7844F21D">
            <w:pPr>
              <w:widowControl/>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4、送达责任：审批通过颁发中华人民共和国收养登记证，并建立收养登记档案。</w:t>
            </w:r>
            <w:r>
              <w:rPr>
                <w:rFonts w:hint="eastAsia" w:cs="仿宋_GB2312" w:asciiTheme="minorEastAsia" w:hAnsiTheme="minorEastAsia"/>
                <w:color w:val="000000" w:themeColor="text1"/>
                <w:szCs w:val="21"/>
                <w14:textFill>
                  <w14:solidFill>
                    <w14:schemeClr w14:val="tx1"/>
                  </w14:solidFill>
                </w14:textFill>
              </w:rPr>
              <w:br w:type="textWrapping"/>
            </w:r>
            <w:r>
              <w:rPr>
                <w:rFonts w:hint="eastAsia" w:cs="仿宋_GB2312" w:asciiTheme="minorEastAsia" w:hAnsiTheme="minorEastAsia"/>
                <w:color w:val="000000" w:themeColor="text1"/>
                <w:szCs w:val="21"/>
                <w14:textFill>
                  <w14:solidFill>
                    <w14:schemeClr w14:val="tx1"/>
                  </w14:solidFill>
                </w14:textFill>
              </w:rPr>
              <w:t>5、其他法律法规规章文件规定应履行的责任。</w:t>
            </w:r>
          </w:p>
        </w:tc>
        <w:tc>
          <w:tcPr>
            <w:tcW w:w="3402" w:type="dxa"/>
            <w:tcBorders>
              <w:bottom w:val="single" w:color="000000" w:sz="4" w:space="0"/>
              <w:right w:val="single" w:color="000000" w:sz="4" w:space="0"/>
            </w:tcBorders>
            <w:vAlign w:val="center"/>
          </w:tcPr>
          <w:p w14:paraId="6E35E012">
            <w:pPr>
              <w:pStyle w:val="6"/>
              <w:widowControl/>
              <w:shd w:val="clear" w:color="auto" w:fill="FFFFFF"/>
              <w:rPr>
                <w:rFonts w:cs="仿宋_GB2312" w:asciiTheme="minorEastAsia" w:hAnsiTheme="minorEastAsia"/>
                <w:color w:val="000000" w:themeColor="text1"/>
                <w:kern w:val="2"/>
                <w:sz w:val="21"/>
                <w:szCs w:val="21"/>
                <w14:textFill>
                  <w14:solidFill>
                    <w14:schemeClr w14:val="tx1"/>
                  </w14:solidFill>
                </w14:textFill>
              </w:rPr>
            </w:pPr>
            <w:r>
              <w:rPr>
                <w:rFonts w:hint="eastAsia" w:cs="仿宋_GB2312" w:asciiTheme="minorEastAsia" w:hAnsiTheme="minorEastAsia"/>
                <w:color w:val="000000" w:themeColor="text1"/>
                <w:kern w:val="2"/>
                <w:sz w:val="21"/>
                <w:szCs w:val="21"/>
                <w14:textFill>
                  <w14:solidFill>
                    <w14:schemeClr w14:val="tx1"/>
                  </w14:solidFill>
                </w14:textFill>
              </w:rPr>
              <w:t>收养登记机关及其收养登记员有下列行为之一的，对直接负责的主管人员和其他直接责任人员依法给予行政处分：</w:t>
            </w:r>
            <w:r>
              <w:rPr>
                <w:rFonts w:hint="eastAsia" w:cs="仿宋_GB2312" w:asciiTheme="minorEastAsia" w:hAnsiTheme="minorEastAsia"/>
                <w:color w:val="000000" w:themeColor="text1"/>
                <w:kern w:val="2"/>
                <w:sz w:val="21"/>
                <w:szCs w:val="21"/>
                <w14:textFill>
                  <w14:solidFill>
                    <w14:schemeClr w14:val="tx1"/>
                  </w14:solidFill>
                </w14:textFill>
              </w:rPr>
              <w:br w:type="textWrapping"/>
            </w:r>
            <w:r>
              <w:rPr>
                <w:rFonts w:hint="eastAsia" w:cs="仿宋_GB2312" w:asciiTheme="minorEastAsia" w:hAnsiTheme="minorEastAsia"/>
                <w:color w:val="000000" w:themeColor="text1"/>
                <w:kern w:val="2"/>
                <w:sz w:val="21"/>
                <w:szCs w:val="21"/>
                <w14:textFill>
                  <w14:solidFill>
                    <w14:schemeClr w14:val="tx1"/>
                  </w14:solidFill>
                </w14:textFill>
              </w:rPr>
              <w:t>1、为不符合收养登记条件的当事人办理收养登记的；</w:t>
            </w:r>
            <w:r>
              <w:rPr>
                <w:rFonts w:hint="eastAsia" w:cs="仿宋_GB2312" w:asciiTheme="minorEastAsia" w:hAnsiTheme="minorEastAsia"/>
                <w:color w:val="000000" w:themeColor="text1"/>
                <w:kern w:val="2"/>
                <w:sz w:val="21"/>
                <w:szCs w:val="21"/>
                <w14:textFill>
                  <w14:solidFill>
                    <w14:schemeClr w14:val="tx1"/>
                  </w14:solidFill>
                </w14:textFill>
              </w:rPr>
              <w:br w:type="textWrapping"/>
            </w:r>
            <w:r>
              <w:rPr>
                <w:rFonts w:hint="eastAsia" w:cs="仿宋_GB2312" w:asciiTheme="minorEastAsia" w:hAnsiTheme="minorEastAsia"/>
                <w:color w:val="000000" w:themeColor="text1"/>
                <w:kern w:val="2"/>
                <w:sz w:val="21"/>
                <w:szCs w:val="21"/>
                <w14:textFill>
                  <w14:solidFill>
                    <w14:schemeClr w14:val="tx1"/>
                  </w14:solidFill>
                </w14:textFill>
              </w:rPr>
              <w:t>2、依法应当予以登记而不予登记的；</w:t>
            </w:r>
            <w:r>
              <w:rPr>
                <w:rFonts w:hint="eastAsia" w:cs="仿宋_GB2312" w:asciiTheme="minorEastAsia" w:hAnsiTheme="minorEastAsia"/>
                <w:color w:val="000000" w:themeColor="text1"/>
                <w:kern w:val="2"/>
                <w:sz w:val="21"/>
                <w:szCs w:val="21"/>
                <w14:textFill>
                  <w14:solidFill>
                    <w14:schemeClr w14:val="tx1"/>
                  </w14:solidFill>
                </w14:textFill>
              </w:rPr>
              <w:br w:type="textWrapping"/>
            </w:r>
            <w:r>
              <w:rPr>
                <w:rFonts w:hint="eastAsia" w:cs="仿宋_GB2312" w:asciiTheme="minorEastAsia" w:hAnsiTheme="minorEastAsia"/>
                <w:color w:val="000000" w:themeColor="text1"/>
                <w:kern w:val="2"/>
                <w:sz w:val="21"/>
                <w:szCs w:val="21"/>
                <w14:textFill>
                  <w14:solidFill>
                    <w14:schemeClr w14:val="tx1"/>
                  </w14:solidFill>
                </w14:textFill>
              </w:rPr>
              <w:t>3、违反程序规定办理收养登记、解除收养关系登记、撤销收养登记及其他证明的；</w:t>
            </w:r>
            <w:r>
              <w:rPr>
                <w:rFonts w:hint="eastAsia" w:cs="仿宋_GB2312" w:asciiTheme="minorEastAsia" w:hAnsiTheme="minorEastAsia"/>
                <w:color w:val="000000" w:themeColor="text1"/>
                <w:kern w:val="2"/>
                <w:sz w:val="21"/>
                <w:szCs w:val="21"/>
                <w14:textFill>
                  <w14:solidFill>
                    <w14:schemeClr w14:val="tx1"/>
                  </w14:solidFill>
                </w14:textFill>
              </w:rPr>
              <w:br w:type="textWrapping"/>
            </w:r>
            <w:r>
              <w:rPr>
                <w:rFonts w:hint="eastAsia" w:cs="仿宋_GB2312" w:asciiTheme="minorEastAsia" w:hAnsiTheme="minorEastAsia"/>
                <w:color w:val="000000" w:themeColor="text1"/>
                <w:kern w:val="2"/>
                <w:sz w:val="21"/>
                <w:szCs w:val="21"/>
                <w14:textFill>
                  <w14:solidFill>
                    <w14:schemeClr w14:val="tx1"/>
                  </w14:solidFill>
                </w14:textFill>
              </w:rPr>
              <w:t>4、要求当事人提交《中华人民共和国收养法》、《中国公民收养子女登记办法》、《华侨以及居住在香港、澳门、台湾地区的中国公民办理收养登记的管辖以及所需要出具的证件和证明材料的规定》、《外国人在中华人民共和国收养子女登记办法》和本规范规定以外的证件和证明材料的；</w:t>
            </w:r>
            <w:r>
              <w:rPr>
                <w:rFonts w:hint="eastAsia" w:cs="仿宋_GB2312" w:asciiTheme="minorEastAsia" w:hAnsiTheme="minorEastAsia"/>
                <w:color w:val="000000" w:themeColor="text1"/>
                <w:kern w:val="2"/>
                <w:sz w:val="21"/>
                <w:szCs w:val="21"/>
                <w14:textFill>
                  <w14:solidFill>
                    <w14:schemeClr w14:val="tx1"/>
                  </w14:solidFill>
                </w14:textFill>
              </w:rPr>
              <w:br w:type="textWrapping"/>
            </w:r>
            <w:r>
              <w:rPr>
                <w:rFonts w:hint="eastAsia" w:cs="仿宋_GB2312" w:asciiTheme="minorEastAsia" w:hAnsiTheme="minorEastAsia"/>
                <w:color w:val="000000" w:themeColor="text1"/>
                <w:kern w:val="2"/>
                <w:sz w:val="21"/>
                <w:szCs w:val="21"/>
                <w14:textFill>
                  <w14:solidFill>
                    <w14:schemeClr w14:val="tx1"/>
                  </w14:solidFill>
                </w14:textFill>
              </w:rPr>
              <w:t>5、擅自提高收费标准、增加收费项目或者不使用规定收费票据的；</w:t>
            </w:r>
            <w:r>
              <w:rPr>
                <w:rFonts w:hint="eastAsia" w:cs="仿宋_GB2312" w:asciiTheme="minorEastAsia" w:hAnsiTheme="minorEastAsia"/>
                <w:color w:val="000000" w:themeColor="text1"/>
                <w:kern w:val="2"/>
                <w:sz w:val="21"/>
                <w:szCs w:val="21"/>
                <w14:textFill>
                  <w14:solidFill>
                    <w14:schemeClr w14:val="tx1"/>
                  </w14:solidFill>
                </w14:textFill>
              </w:rPr>
              <w:br w:type="textWrapping"/>
            </w:r>
            <w:r>
              <w:rPr>
                <w:rFonts w:hint="eastAsia" w:cs="仿宋_GB2312" w:asciiTheme="minorEastAsia" w:hAnsiTheme="minorEastAsia"/>
                <w:color w:val="000000" w:themeColor="text1"/>
                <w:kern w:val="2"/>
                <w:sz w:val="21"/>
                <w:szCs w:val="21"/>
                <w14:textFill>
                  <w14:solidFill>
                    <w14:schemeClr w14:val="tx1"/>
                  </w14:solidFill>
                </w14:textFill>
              </w:rPr>
              <w:t>6、玩忽职守造成收养登记档案损毁的；</w:t>
            </w:r>
            <w:r>
              <w:rPr>
                <w:rFonts w:hint="eastAsia" w:cs="仿宋_GB2312" w:asciiTheme="minorEastAsia" w:hAnsiTheme="minorEastAsia"/>
                <w:color w:val="000000" w:themeColor="text1"/>
                <w:kern w:val="2"/>
                <w:sz w:val="21"/>
                <w:szCs w:val="21"/>
                <w14:textFill>
                  <w14:solidFill>
                    <w14:schemeClr w14:val="tx1"/>
                  </w14:solidFill>
                </w14:textFill>
              </w:rPr>
              <w:br w:type="textWrapping"/>
            </w:r>
            <w:r>
              <w:rPr>
                <w:rFonts w:hint="eastAsia" w:cs="仿宋_GB2312" w:asciiTheme="minorEastAsia" w:hAnsiTheme="minorEastAsia"/>
                <w:color w:val="000000" w:themeColor="text1"/>
                <w:kern w:val="2"/>
                <w:sz w:val="21"/>
                <w:szCs w:val="21"/>
                <w14:textFill>
                  <w14:solidFill>
                    <w14:schemeClr w14:val="tx1"/>
                  </w14:solidFill>
                </w14:textFill>
              </w:rPr>
              <w:t>7、泄露当事人收养秘密并造成严重后果的；</w:t>
            </w:r>
          </w:p>
          <w:p w14:paraId="5A2229FF">
            <w:pPr>
              <w:pStyle w:val="6"/>
              <w:widowControl/>
              <w:shd w:val="clear" w:color="auto" w:fill="FFFFFF"/>
              <w:rPr>
                <w:rFonts w:cs="仿宋_GB2312" w:asciiTheme="minorEastAsia" w:hAnsiTheme="minorEastAsia"/>
                <w:color w:val="000000" w:themeColor="text1"/>
                <w:kern w:val="2"/>
                <w:sz w:val="21"/>
                <w:szCs w:val="21"/>
                <w14:textFill>
                  <w14:solidFill>
                    <w14:schemeClr w14:val="tx1"/>
                  </w14:solidFill>
                </w14:textFill>
              </w:rPr>
            </w:pPr>
            <w:r>
              <w:rPr>
                <w:rFonts w:hint="eastAsia" w:cs="仿宋_GB2312" w:asciiTheme="minorEastAsia" w:hAnsiTheme="minorEastAsia"/>
                <w:color w:val="000000" w:themeColor="text1"/>
                <w:kern w:val="2"/>
                <w:sz w:val="21"/>
                <w:szCs w:val="21"/>
                <w14:textFill>
                  <w14:solidFill>
                    <w14:schemeClr w14:val="tx1"/>
                  </w14:solidFill>
                </w14:textFill>
              </w:rPr>
              <w:t>8、购买使用伪造收养证书的；</w:t>
            </w:r>
          </w:p>
          <w:p w14:paraId="0504E59B">
            <w:pPr>
              <w:pStyle w:val="6"/>
              <w:widowControl/>
              <w:shd w:val="clear" w:color="auto" w:fill="FFFFFF"/>
              <w:rPr>
                <w:rFonts w:cs="仿宋_GB2312" w:asciiTheme="minorEastAsia" w:hAnsiTheme="minorEastAsia"/>
                <w:color w:val="000000" w:themeColor="text1"/>
                <w:kern w:val="2"/>
                <w:sz w:val="21"/>
                <w:szCs w:val="21"/>
                <w14:textFill>
                  <w14:solidFill>
                    <w14:schemeClr w14:val="tx1"/>
                  </w14:solidFill>
                </w14:textFill>
              </w:rPr>
            </w:pPr>
            <w:r>
              <w:rPr>
                <w:rFonts w:hint="eastAsia" w:cs="仿宋_GB2312" w:asciiTheme="minorEastAsia" w:hAnsiTheme="minorEastAsia"/>
                <w:color w:val="000000" w:themeColor="text1"/>
                <w:kern w:val="2"/>
                <w:sz w:val="21"/>
                <w:szCs w:val="21"/>
                <w14:textFill>
                  <w14:solidFill>
                    <w14:schemeClr w14:val="tx1"/>
                  </w14:solidFill>
                </w14:textFill>
              </w:rPr>
              <w:t>9、收养登记员违反规定办理收养登记，给当事人造成严重后果的，应当由收养登记机关承担对当事人的赔偿责任，并对承办人员进行追偿。</w:t>
            </w:r>
          </w:p>
        </w:tc>
        <w:tc>
          <w:tcPr>
            <w:tcW w:w="851" w:type="dxa"/>
            <w:tcBorders>
              <w:bottom w:val="single" w:color="000000" w:sz="4" w:space="0"/>
              <w:right w:val="single" w:color="000000" w:sz="4" w:space="0"/>
            </w:tcBorders>
            <w:vAlign w:val="center"/>
          </w:tcPr>
          <w:p w14:paraId="3F1901A1">
            <w:pPr>
              <w:autoSpaceDN w:val="0"/>
              <w:textAlignment w:val="center"/>
              <w:rPr>
                <w:rFonts w:ascii="宋体" w:hAnsi="宋体"/>
                <w:sz w:val="20"/>
                <w:szCs w:val="20"/>
              </w:rPr>
            </w:pPr>
          </w:p>
        </w:tc>
      </w:tr>
      <w:tr w14:paraId="06BE6573">
        <w:tblPrEx>
          <w:tblCellMar>
            <w:top w:w="0" w:type="dxa"/>
            <w:left w:w="108" w:type="dxa"/>
            <w:bottom w:w="0" w:type="dxa"/>
            <w:right w:w="108" w:type="dxa"/>
          </w:tblCellMar>
        </w:tblPrEx>
        <w:trPr>
          <w:trHeight w:val="1470" w:hRule="atLeast"/>
        </w:trPr>
        <w:tc>
          <w:tcPr>
            <w:tcW w:w="847" w:type="dxa"/>
            <w:tcBorders>
              <w:left w:val="single" w:color="000000" w:sz="4" w:space="0"/>
              <w:bottom w:val="single" w:color="000000" w:sz="4" w:space="0"/>
              <w:right w:val="single" w:color="000000" w:sz="4" w:space="0"/>
            </w:tcBorders>
            <w:vAlign w:val="center"/>
          </w:tcPr>
          <w:p w14:paraId="531C0914">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19</w:t>
            </w:r>
          </w:p>
        </w:tc>
        <w:tc>
          <w:tcPr>
            <w:tcW w:w="1138" w:type="dxa"/>
            <w:tcBorders>
              <w:left w:val="single" w:color="000000" w:sz="4" w:space="0"/>
              <w:bottom w:val="single" w:color="000000" w:sz="4" w:space="0"/>
              <w:right w:val="single" w:color="000000" w:sz="4" w:space="0"/>
            </w:tcBorders>
            <w:vAlign w:val="center"/>
          </w:tcPr>
          <w:p w14:paraId="587E53E0">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行政奖励</w:t>
            </w:r>
          </w:p>
        </w:tc>
        <w:tc>
          <w:tcPr>
            <w:tcW w:w="1130" w:type="dxa"/>
            <w:tcBorders>
              <w:bottom w:val="single" w:color="000000" w:sz="4" w:space="0"/>
              <w:right w:val="single" w:color="000000" w:sz="4" w:space="0"/>
            </w:tcBorders>
            <w:vAlign w:val="center"/>
          </w:tcPr>
          <w:p w14:paraId="722CCD7C">
            <w:pPr>
              <w:widowControl/>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慈善表彰</w:t>
            </w:r>
          </w:p>
        </w:tc>
        <w:tc>
          <w:tcPr>
            <w:tcW w:w="1138" w:type="dxa"/>
            <w:tcBorders>
              <w:bottom w:val="single" w:color="000000" w:sz="4" w:space="0"/>
              <w:right w:val="single" w:color="000000" w:sz="4" w:space="0"/>
            </w:tcBorders>
            <w:vAlign w:val="center"/>
          </w:tcPr>
          <w:p w14:paraId="71AB59E8">
            <w:pPr>
              <w:widowControl/>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县民政局</w:t>
            </w:r>
          </w:p>
        </w:tc>
        <w:tc>
          <w:tcPr>
            <w:tcW w:w="2693" w:type="dxa"/>
            <w:tcBorders>
              <w:bottom w:val="single" w:color="000000" w:sz="4" w:space="0"/>
              <w:right w:val="single" w:color="000000" w:sz="4" w:space="0"/>
            </w:tcBorders>
            <w:vAlign w:val="center"/>
          </w:tcPr>
          <w:p w14:paraId="6443614B">
            <w:pPr>
              <w:tabs>
                <w:tab w:val="left" w:pos="7937"/>
              </w:tabs>
              <w:spacing w:line="260" w:lineRule="exact"/>
              <w:rPr>
                <w:rFonts w:ascii="宋体" w:hAnsi="宋体" w:eastAsia="宋体"/>
                <w:spacing w:val="-4"/>
                <w:szCs w:val="21"/>
              </w:rPr>
            </w:pPr>
            <w:r>
              <w:rPr>
                <w:rFonts w:hint="eastAsia" w:ascii="宋体" w:hAnsi="宋体" w:eastAsia="宋体"/>
                <w:spacing w:val="-4"/>
                <w:szCs w:val="21"/>
              </w:rPr>
              <w:t>法律法规名称:《中华人民共和国慈善法》;依据文号:主席令第43号;条款号:第九十一条;条款内容:国家建立慈善表彰制度，对在慈善事业发展中</w:t>
            </w:r>
            <w:r>
              <w:rPr>
                <w:rFonts w:hint="eastAsia" w:ascii="宋体" w:hAnsi="宋体" w:eastAsia="宋体"/>
                <w:spacing w:val="-4"/>
                <w:szCs w:val="21"/>
                <w:lang w:eastAsia="zh-CN"/>
              </w:rPr>
              <w:t>作</w:t>
            </w:r>
            <w:r>
              <w:rPr>
                <w:rFonts w:hint="eastAsia" w:ascii="宋体" w:hAnsi="宋体" w:eastAsia="宋体"/>
                <w:spacing w:val="-4"/>
                <w:szCs w:val="21"/>
              </w:rPr>
              <w:t>出突出贡献的自然人、法人和其他组织由县级以上人民政府或有关部门予以表彰。</w:t>
            </w:r>
          </w:p>
        </w:tc>
        <w:tc>
          <w:tcPr>
            <w:tcW w:w="3827" w:type="dxa"/>
            <w:tcBorders>
              <w:bottom w:val="single" w:color="000000" w:sz="4" w:space="0"/>
              <w:right w:val="single" w:color="000000" w:sz="4" w:space="0"/>
            </w:tcBorders>
            <w:vAlign w:val="center"/>
          </w:tcPr>
          <w:p w14:paraId="76646734">
            <w:pPr>
              <w:tabs>
                <w:tab w:val="left" w:pos="7937"/>
              </w:tabs>
              <w:spacing w:line="260" w:lineRule="exact"/>
              <w:rPr>
                <w:rFonts w:ascii="宋体" w:hAnsi="宋体" w:eastAsia="宋体"/>
                <w:spacing w:val="-4"/>
                <w:szCs w:val="21"/>
              </w:rPr>
            </w:pPr>
            <w:r>
              <w:rPr>
                <w:rFonts w:hint="eastAsia" w:ascii="宋体" w:hAnsi="宋体" w:eastAsia="宋体"/>
                <w:spacing w:val="-4"/>
                <w:szCs w:val="21"/>
              </w:rPr>
              <w:t xml:space="preserve">1.制定方案责任：按照文件要求，科学制定表彰方案。 </w:t>
            </w:r>
          </w:p>
          <w:p w14:paraId="1A068C56">
            <w:pPr>
              <w:tabs>
                <w:tab w:val="left" w:pos="7937"/>
              </w:tabs>
              <w:spacing w:line="260" w:lineRule="exact"/>
              <w:rPr>
                <w:rFonts w:ascii="宋体" w:hAnsi="宋体" w:eastAsia="宋体"/>
                <w:spacing w:val="-4"/>
                <w:szCs w:val="21"/>
              </w:rPr>
            </w:pPr>
            <w:r>
              <w:rPr>
                <w:rFonts w:hint="eastAsia" w:ascii="宋体" w:hAnsi="宋体" w:eastAsia="宋体"/>
                <w:spacing w:val="-4"/>
                <w:szCs w:val="21"/>
              </w:rPr>
              <w:t xml:space="preserve">2.组织推荐责任：严格按照表彰方案规定的条件、程序，组织推荐工作，对推荐对象进行初审。 </w:t>
            </w:r>
          </w:p>
          <w:p w14:paraId="632929EB">
            <w:pPr>
              <w:tabs>
                <w:tab w:val="left" w:pos="7937"/>
              </w:tabs>
              <w:spacing w:line="260" w:lineRule="exact"/>
              <w:rPr>
                <w:rFonts w:ascii="宋体" w:hAnsi="宋体" w:eastAsia="宋体"/>
                <w:spacing w:val="-4"/>
                <w:szCs w:val="21"/>
              </w:rPr>
            </w:pPr>
            <w:r>
              <w:rPr>
                <w:rFonts w:hint="eastAsia" w:ascii="宋体" w:hAnsi="宋体" w:eastAsia="宋体"/>
                <w:spacing w:val="-4"/>
                <w:szCs w:val="21"/>
              </w:rPr>
              <w:t xml:space="preserve">3.审核公示责任：对符合条件的推荐对象进行审核，并进行公示。 </w:t>
            </w:r>
          </w:p>
          <w:p w14:paraId="533E25BC">
            <w:pPr>
              <w:tabs>
                <w:tab w:val="left" w:pos="7937"/>
              </w:tabs>
              <w:spacing w:line="260" w:lineRule="exact"/>
              <w:rPr>
                <w:rFonts w:ascii="宋体" w:hAnsi="宋体" w:eastAsia="宋体"/>
                <w:spacing w:val="-4"/>
                <w:szCs w:val="21"/>
              </w:rPr>
            </w:pPr>
            <w:r>
              <w:rPr>
                <w:rFonts w:hint="eastAsia" w:ascii="宋体" w:hAnsi="宋体" w:eastAsia="宋体"/>
                <w:spacing w:val="-4"/>
                <w:szCs w:val="21"/>
              </w:rPr>
              <w:t xml:space="preserve">4.表彰责任：按照程序研究决定，以文件对应奖励方式进行表彰和奖励。 </w:t>
            </w:r>
          </w:p>
          <w:p w14:paraId="3FEAA6F4">
            <w:pPr>
              <w:tabs>
                <w:tab w:val="left" w:pos="7937"/>
              </w:tabs>
              <w:spacing w:line="260" w:lineRule="exact"/>
              <w:rPr>
                <w:rFonts w:ascii="宋体" w:hAnsi="宋体" w:eastAsia="宋体"/>
                <w:spacing w:val="-4"/>
                <w:szCs w:val="21"/>
              </w:rPr>
            </w:pPr>
            <w:r>
              <w:rPr>
                <w:rFonts w:hint="eastAsia" w:ascii="宋体" w:hAnsi="宋体" w:eastAsia="宋体"/>
                <w:spacing w:val="-4"/>
                <w:szCs w:val="21"/>
              </w:rPr>
              <w:t>5.法律法规规章文件规定应履行的其他责任。</w:t>
            </w:r>
          </w:p>
        </w:tc>
        <w:tc>
          <w:tcPr>
            <w:tcW w:w="3402" w:type="dxa"/>
            <w:tcBorders>
              <w:bottom w:val="single" w:color="000000" w:sz="4" w:space="0"/>
              <w:right w:val="single" w:color="000000" w:sz="4" w:space="0"/>
            </w:tcBorders>
            <w:vAlign w:val="center"/>
          </w:tcPr>
          <w:p w14:paraId="2493BFAD">
            <w:pPr>
              <w:widowControl/>
              <w:spacing w:line="230" w:lineRule="exact"/>
              <w:jc w:val="left"/>
              <w:rPr>
                <w:rFonts w:ascii="宋体" w:hAnsi="宋体" w:eastAsia="宋体"/>
                <w:spacing w:val="-4"/>
                <w:szCs w:val="21"/>
              </w:rPr>
            </w:pPr>
            <w:r>
              <w:rPr>
                <w:rFonts w:hint="eastAsia" w:ascii="宋体" w:hAnsi="宋体" w:eastAsia="宋体"/>
                <w:spacing w:val="-4"/>
                <w:szCs w:val="21"/>
              </w:rPr>
              <w:t>因不履行或不正确履行行政职责，由下列情形的，行政机关及相关工作人员应承担相应责任：</w:t>
            </w:r>
          </w:p>
          <w:p w14:paraId="7CDEBE5F">
            <w:pPr>
              <w:widowControl/>
              <w:spacing w:line="230" w:lineRule="exact"/>
              <w:jc w:val="left"/>
              <w:rPr>
                <w:rFonts w:ascii="宋体" w:hAnsi="宋体" w:eastAsia="宋体"/>
                <w:spacing w:val="-4"/>
                <w:szCs w:val="21"/>
              </w:rPr>
            </w:pPr>
            <w:r>
              <w:rPr>
                <w:rFonts w:hint="eastAsia" w:ascii="宋体" w:hAnsi="宋体" w:eastAsia="宋体"/>
                <w:spacing w:val="-4"/>
                <w:szCs w:val="21"/>
              </w:rPr>
              <w:t>1、不符合条件的申请，违规受理并通过初评，造成不良影响的；</w:t>
            </w:r>
          </w:p>
          <w:p w14:paraId="4324C361">
            <w:pPr>
              <w:widowControl/>
              <w:spacing w:line="230" w:lineRule="exact"/>
              <w:jc w:val="left"/>
              <w:rPr>
                <w:rFonts w:ascii="宋体" w:hAnsi="宋体" w:eastAsia="宋体"/>
                <w:spacing w:val="-4"/>
                <w:szCs w:val="21"/>
              </w:rPr>
            </w:pPr>
            <w:r>
              <w:rPr>
                <w:rFonts w:hint="eastAsia" w:ascii="宋体" w:hAnsi="宋体" w:eastAsia="宋体"/>
                <w:spacing w:val="-4"/>
                <w:szCs w:val="21"/>
              </w:rPr>
              <w:t>2、未经批准擅自举办表彰奖励活动的；</w:t>
            </w:r>
          </w:p>
          <w:p w14:paraId="6B52A6B4">
            <w:pPr>
              <w:widowControl/>
              <w:spacing w:line="230" w:lineRule="exact"/>
              <w:jc w:val="left"/>
              <w:rPr>
                <w:rFonts w:ascii="宋体" w:hAnsi="宋体" w:eastAsia="宋体"/>
                <w:spacing w:val="-4"/>
                <w:szCs w:val="21"/>
              </w:rPr>
            </w:pPr>
            <w:r>
              <w:rPr>
                <w:rFonts w:hint="eastAsia" w:ascii="宋体" w:hAnsi="宋体" w:eastAsia="宋体"/>
                <w:spacing w:val="-4"/>
                <w:szCs w:val="21"/>
              </w:rPr>
              <w:t>3、向参评单位和个人收取费用的；</w:t>
            </w:r>
          </w:p>
          <w:p w14:paraId="235A98D3">
            <w:pPr>
              <w:widowControl/>
              <w:spacing w:line="230" w:lineRule="exact"/>
              <w:jc w:val="left"/>
              <w:rPr>
                <w:rFonts w:ascii="宋体" w:hAnsi="宋体" w:eastAsia="宋体"/>
                <w:spacing w:val="-4"/>
                <w:szCs w:val="21"/>
              </w:rPr>
            </w:pPr>
            <w:r>
              <w:rPr>
                <w:rFonts w:hint="eastAsia" w:ascii="宋体" w:hAnsi="宋体" w:eastAsia="宋体"/>
                <w:spacing w:val="-4"/>
                <w:szCs w:val="21"/>
              </w:rPr>
              <w:t>4、未按照规定进行公示的；</w:t>
            </w:r>
          </w:p>
          <w:p w14:paraId="1FF369F4">
            <w:pPr>
              <w:widowControl/>
              <w:spacing w:line="230" w:lineRule="exact"/>
              <w:jc w:val="left"/>
              <w:rPr>
                <w:rFonts w:ascii="宋体" w:hAnsi="宋体" w:eastAsia="宋体"/>
                <w:spacing w:val="-4"/>
                <w:szCs w:val="21"/>
              </w:rPr>
            </w:pPr>
            <w:r>
              <w:rPr>
                <w:rFonts w:hint="eastAsia" w:ascii="宋体" w:hAnsi="宋体" w:eastAsia="宋体"/>
                <w:spacing w:val="-4"/>
                <w:szCs w:val="21"/>
              </w:rPr>
              <w:t>5、工作中滥用职权、徇私舞弊、玩忽职守造成不良后果的；</w:t>
            </w:r>
          </w:p>
          <w:p w14:paraId="519C3C51">
            <w:pPr>
              <w:widowControl/>
              <w:spacing w:line="230" w:lineRule="exact"/>
              <w:jc w:val="left"/>
              <w:rPr>
                <w:rFonts w:ascii="宋体" w:hAnsi="宋体" w:eastAsia="宋体"/>
                <w:spacing w:val="-4"/>
                <w:szCs w:val="21"/>
              </w:rPr>
            </w:pPr>
            <w:r>
              <w:rPr>
                <w:rFonts w:hint="eastAsia" w:ascii="宋体" w:hAnsi="宋体" w:eastAsia="宋体"/>
                <w:spacing w:val="-4"/>
                <w:szCs w:val="21"/>
              </w:rPr>
              <w:t>6、工作中发生贪污腐败行为的；</w:t>
            </w:r>
          </w:p>
          <w:p w14:paraId="47A37A9E">
            <w:pPr>
              <w:widowControl/>
              <w:spacing w:line="230" w:lineRule="exact"/>
              <w:jc w:val="left"/>
              <w:rPr>
                <w:rFonts w:ascii="宋体" w:hAnsi="宋体" w:eastAsia="宋体"/>
                <w:spacing w:val="-4"/>
                <w:szCs w:val="21"/>
              </w:rPr>
            </w:pPr>
            <w:r>
              <w:rPr>
                <w:rFonts w:hint="eastAsia" w:ascii="宋体" w:hAnsi="宋体" w:eastAsia="宋体"/>
                <w:spacing w:val="-4"/>
                <w:szCs w:val="21"/>
              </w:rPr>
              <w:t>7、其他违反法律法规规章文件规定的行为。</w:t>
            </w:r>
          </w:p>
        </w:tc>
        <w:tc>
          <w:tcPr>
            <w:tcW w:w="851" w:type="dxa"/>
            <w:tcBorders>
              <w:bottom w:val="single" w:color="000000" w:sz="4" w:space="0"/>
              <w:right w:val="single" w:color="000000" w:sz="4" w:space="0"/>
            </w:tcBorders>
            <w:vAlign w:val="center"/>
          </w:tcPr>
          <w:p w14:paraId="706A4FE6">
            <w:pPr>
              <w:autoSpaceDN w:val="0"/>
              <w:textAlignment w:val="center"/>
              <w:rPr>
                <w:rFonts w:ascii="宋体" w:hAnsi="宋体"/>
                <w:sz w:val="20"/>
                <w:szCs w:val="20"/>
              </w:rPr>
            </w:pPr>
          </w:p>
        </w:tc>
      </w:tr>
      <w:tr w14:paraId="023469D6">
        <w:tblPrEx>
          <w:tblCellMar>
            <w:top w:w="0" w:type="dxa"/>
            <w:left w:w="108" w:type="dxa"/>
            <w:bottom w:w="0" w:type="dxa"/>
            <w:right w:w="108" w:type="dxa"/>
          </w:tblCellMar>
        </w:tblPrEx>
        <w:trPr>
          <w:trHeight w:val="2850" w:hRule="atLeast"/>
        </w:trPr>
        <w:tc>
          <w:tcPr>
            <w:tcW w:w="847" w:type="dxa"/>
            <w:tcBorders>
              <w:left w:val="single" w:color="000000" w:sz="4" w:space="0"/>
              <w:bottom w:val="single" w:color="000000" w:sz="4" w:space="0"/>
              <w:right w:val="single" w:color="000000" w:sz="4" w:space="0"/>
            </w:tcBorders>
            <w:vAlign w:val="center"/>
          </w:tcPr>
          <w:p w14:paraId="10066C91">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20</w:t>
            </w:r>
          </w:p>
        </w:tc>
        <w:tc>
          <w:tcPr>
            <w:tcW w:w="1138" w:type="dxa"/>
            <w:tcBorders>
              <w:left w:val="single" w:color="000000" w:sz="4" w:space="0"/>
              <w:bottom w:val="single" w:color="000000" w:sz="4" w:space="0"/>
              <w:right w:val="single" w:color="000000" w:sz="4" w:space="0"/>
            </w:tcBorders>
            <w:vAlign w:val="center"/>
          </w:tcPr>
          <w:p w14:paraId="3FFB58EC">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szCs w:val="21"/>
              </w:rPr>
              <w:t>其他类</w:t>
            </w:r>
          </w:p>
        </w:tc>
        <w:tc>
          <w:tcPr>
            <w:tcW w:w="1130" w:type="dxa"/>
            <w:tcBorders>
              <w:bottom w:val="single" w:color="000000" w:sz="4" w:space="0"/>
              <w:right w:val="single" w:color="000000" w:sz="4" w:space="0"/>
            </w:tcBorders>
            <w:vAlign w:val="center"/>
          </w:tcPr>
          <w:p w14:paraId="52FE12E7">
            <w:pPr>
              <w:widowControl/>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慈善信托备案</w:t>
            </w:r>
          </w:p>
        </w:tc>
        <w:tc>
          <w:tcPr>
            <w:tcW w:w="1138" w:type="dxa"/>
            <w:tcBorders>
              <w:bottom w:val="single" w:color="000000" w:sz="4" w:space="0"/>
              <w:right w:val="single" w:color="000000" w:sz="4" w:space="0"/>
            </w:tcBorders>
            <w:vAlign w:val="center"/>
          </w:tcPr>
          <w:p w14:paraId="0A215762">
            <w:pPr>
              <w:widowControl/>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县民政局</w:t>
            </w:r>
          </w:p>
        </w:tc>
        <w:tc>
          <w:tcPr>
            <w:tcW w:w="2693" w:type="dxa"/>
            <w:tcBorders>
              <w:bottom w:val="single" w:color="000000" w:sz="4" w:space="0"/>
              <w:right w:val="single" w:color="000000" w:sz="4" w:space="0"/>
            </w:tcBorders>
            <w:vAlign w:val="center"/>
          </w:tcPr>
          <w:p w14:paraId="26159BF8">
            <w:pPr>
              <w:widowControl/>
              <w:jc w:val="center"/>
              <w:rPr>
                <w:rFonts w:cs="仿宋_GB2312" w:asciiTheme="minorEastAsia" w:hAnsiTheme="minorEastAsia"/>
                <w:color w:val="000000" w:themeColor="text1"/>
                <w:szCs w:val="21"/>
                <w14:textFill>
                  <w14:solidFill>
                    <w14:schemeClr w14:val="tx1"/>
                  </w14:solidFill>
                </w14:textFill>
              </w:rPr>
            </w:pPr>
            <w:r>
              <w:rPr>
                <w:rFonts w:cs="仿宋_GB2312" w:asciiTheme="minorEastAsia" w:hAnsiTheme="minorEastAsia"/>
                <w:color w:val="000000" w:themeColor="text1"/>
                <w:szCs w:val="21"/>
                <w14:textFill>
                  <w14:solidFill>
                    <w14:schemeClr w14:val="tx1"/>
                  </w14:solidFill>
                </w14:textFill>
              </w:rPr>
              <w:t>《中华人民共和国慈善法》（2016年本）</w:t>
            </w:r>
            <w:r>
              <w:rPr>
                <w:rFonts w:cs="仿宋_GB2312" w:asciiTheme="minorEastAsia" w:hAnsiTheme="minorEastAsia"/>
                <w:color w:val="000000" w:themeColor="text1"/>
                <w:szCs w:val="21"/>
                <w14:textFill>
                  <w14:solidFill>
                    <w14:schemeClr w14:val="tx1"/>
                  </w14:solidFill>
                </w14:textFill>
              </w:rPr>
              <w:br w:type="textWrapping"/>
            </w:r>
            <w:r>
              <w:rPr>
                <w:rFonts w:cs="仿宋_GB2312" w:asciiTheme="minorEastAsia" w:hAnsiTheme="minorEastAsia"/>
                <w:color w:val="000000" w:themeColor="text1"/>
                <w:szCs w:val="21"/>
                <w14:textFill>
                  <w14:solidFill>
                    <w14:schemeClr w14:val="tx1"/>
                  </w14:solidFill>
                </w14:textFill>
              </w:rPr>
              <w:t>第四十五条　设立慈善信托、确定受托人和监察人，应当采取书面形式。受托人应当在慈善信托文件签订之日起七日内，将相关文件向受托人所在地县级以上人民政府民政部门备案。 未按照前款规定将相关文件报民政部门备案的，不享受税收优惠。</w:t>
            </w:r>
          </w:p>
          <w:p w14:paraId="7CA1C965">
            <w:pPr>
              <w:widowControl/>
              <w:jc w:val="center"/>
              <w:rPr>
                <w:rFonts w:cs="仿宋_GB2312" w:asciiTheme="minorEastAsia" w:hAnsiTheme="minorEastAsia"/>
                <w:color w:val="000000" w:themeColor="text1"/>
                <w:szCs w:val="21"/>
                <w14:textFill>
                  <w14:solidFill>
                    <w14:schemeClr w14:val="tx1"/>
                  </w14:solidFill>
                </w14:textFill>
              </w:rPr>
            </w:pPr>
            <w:r>
              <w:rPr>
                <w:rFonts w:hint="eastAsia" w:ascii="宋体" w:hAnsi="宋体" w:eastAsia="宋体" w:cs="宋体"/>
                <w:kern w:val="0"/>
                <w:szCs w:val="21"/>
              </w:rPr>
              <w:t>1.《中华人民共和国慈善法》（主席令第43号）第四十五条；</w:t>
            </w:r>
            <w:r>
              <w:rPr>
                <w:rFonts w:hint="eastAsia" w:ascii="宋体" w:hAnsi="宋体" w:eastAsia="宋体" w:cs="宋体"/>
                <w:kern w:val="0"/>
                <w:szCs w:val="21"/>
              </w:rPr>
              <w:br w:type="textWrapping"/>
            </w:r>
            <w:r>
              <w:rPr>
                <w:rFonts w:hint="eastAsia" w:ascii="宋体" w:hAnsi="宋体" w:eastAsia="宋体" w:cs="宋体"/>
                <w:kern w:val="0"/>
                <w:szCs w:val="21"/>
              </w:rPr>
              <w:t>2.《慈善信托管理办法》（银监发〔2017〕37号）第十五条。</w:t>
            </w:r>
          </w:p>
        </w:tc>
        <w:tc>
          <w:tcPr>
            <w:tcW w:w="3827" w:type="dxa"/>
            <w:tcBorders>
              <w:bottom w:val="single" w:color="000000" w:sz="4" w:space="0"/>
              <w:right w:val="single" w:color="000000" w:sz="4" w:space="0"/>
            </w:tcBorders>
            <w:vAlign w:val="center"/>
          </w:tcPr>
          <w:p w14:paraId="3871D6FB">
            <w:pPr>
              <w:widowControl/>
              <w:jc w:val="center"/>
              <w:rPr>
                <w:rFonts w:cs="仿宋_GB2312" w:asciiTheme="minorEastAsia" w:hAnsiTheme="minorEastAsia"/>
                <w:color w:val="000000" w:themeColor="text1"/>
                <w:szCs w:val="21"/>
                <w14:textFill>
                  <w14:solidFill>
                    <w14:schemeClr w14:val="tx1"/>
                  </w14:solidFill>
                </w14:textFill>
              </w:rPr>
            </w:pPr>
            <w:r>
              <w:rPr>
                <w:rFonts w:cs="仿宋_GB2312" w:asciiTheme="minorEastAsia" w:hAnsiTheme="minorEastAsia"/>
                <w:color w:val="000000" w:themeColor="text1"/>
                <w:szCs w:val="21"/>
                <w14:textFill>
                  <w14:solidFill>
                    <w14:schemeClr w14:val="tx1"/>
                  </w14:solidFill>
                </w14:textFill>
              </w:rPr>
              <w:t xml:space="preserve">1.受理责任：公示依法应当提交的材料、一次性告知补正材料、依法受理或不予受理（不予受理的应当告知理由）。 2.审查责任：对慈善信托文件等相关材料进行书面审查，提出审查意见，并提交部门领导决定。 </w:t>
            </w:r>
          </w:p>
          <w:p w14:paraId="0DB25F61">
            <w:pPr>
              <w:widowControl/>
              <w:rPr>
                <w:rFonts w:cs="仿宋_GB2312" w:asciiTheme="minorEastAsia" w:hAnsiTheme="minorEastAsia"/>
                <w:color w:val="000000" w:themeColor="text1"/>
                <w:szCs w:val="21"/>
                <w14:textFill>
                  <w14:solidFill>
                    <w14:schemeClr w14:val="tx1"/>
                  </w14:solidFill>
                </w14:textFill>
              </w:rPr>
            </w:pPr>
            <w:r>
              <w:rPr>
                <w:rFonts w:cs="仿宋_GB2312" w:asciiTheme="minorEastAsia" w:hAnsiTheme="minorEastAsia"/>
                <w:color w:val="000000" w:themeColor="text1"/>
                <w:szCs w:val="21"/>
                <w14:textFill>
                  <w14:solidFill>
                    <w14:schemeClr w14:val="tx1"/>
                  </w14:solidFill>
                </w14:textFill>
              </w:rPr>
              <w:t xml:space="preserve">3.决定责任：作出准予备案或不予备案的决定。 </w:t>
            </w:r>
          </w:p>
          <w:p w14:paraId="2F72CCC9">
            <w:pPr>
              <w:widowControl/>
              <w:rPr>
                <w:rFonts w:cs="仿宋_GB2312" w:asciiTheme="minorEastAsia" w:hAnsiTheme="minorEastAsia"/>
                <w:color w:val="000000" w:themeColor="text1"/>
                <w:szCs w:val="21"/>
                <w14:textFill>
                  <w14:solidFill>
                    <w14:schemeClr w14:val="tx1"/>
                  </w14:solidFill>
                </w14:textFill>
              </w:rPr>
            </w:pPr>
            <w:r>
              <w:rPr>
                <w:rFonts w:cs="仿宋_GB2312" w:asciiTheme="minorEastAsia" w:hAnsiTheme="minorEastAsia"/>
                <w:color w:val="000000" w:themeColor="text1"/>
                <w:szCs w:val="21"/>
                <w14:textFill>
                  <w14:solidFill>
                    <w14:schemeClr w14:val="tx1"/>
                  </w14:solidFill>
                </w14:textFill>
              </w:rPr>
              <w:t>4.法律法规规章规定应履行的其他责任。</w:t>
            </w:r>
          </w:p>
        </w:tc>
        <w:tc>
          <w:tcPr>
            <w:tcW w:w="3402" w:type="dxa"/>
            <w:tcBorders>
              <w:bottom w:val="single" w:color="000000" w:sz="4" w:space="0"/>
              <w:right w:val="single" w:color="000000" w:sz="4" w:space="0"/>
            </w:tcBorders>
            <w:vAlign w:val="center"/>
          </w:tcPr>
          <w:p w14:paraId="0A0F38C5">
            <w:pPr>
              <w:tabs>
                <w:tab w:val="left" w:pos="7937"/>
              </w:tabs>
              <w:spacing w:line="260" w:lineRule="exact"/>
              <w:rPr>
                <w:rFonts w:cs="仿宋_GB2312" w:asciiTheme="minorEastAsia" w:hAnsiTheme="minorEastAsia"/>
                <w:color w:val="000000" w:themeColor="text1"/>
                <w:szCs w:val="21"/>
                <w14:textFill>
                  <w14:solidFill>
                    <w14:schemeClr w14:val="tx1"/>
                  </w14:solidFill>
                </w14:textFill>
              </w:rPr>
            </w:pPr>
            <w:r>
              <w:rPr>
                <w:rFonts w:ascii="宋体" w:hAnsi="宋体" w:eastAsia="宋体"/>
                <w:spacing w:val="-4"/>
                <w:szCs w:val="21"/>
              </w:rPr>
              <w:t>1.《中华人民共和国慈善法》第一百零八条　县级以上人民政府民政部门和其他有关部门及其工作人员有下列情形之一的，由上级机关或者监察机关责令改正；依法应当给予处分的，由任免机关或者监察机关对直接负责的主管人员和其他直接责任人员给予处分：（一）未依法履行信息公开义务的；（二）摊派或者变相摊派捐赠任务，强行指定志愿者、慈善组织提供服务的；（三）未依法履行监督管理职责的；（四）违法实施行政强制措施和行政处罚的；（五）私分、挪用、截留或者侵占慈善财产的；（六）其他滥用职权、玩忽职守、徇私舞弊的行为。 2.《中华人民共和国公务员法》（主席令第35号）第五十五条　公务员因违法违纪应当承担纪律责任的，依照本法给予处分；违纪行为情节轻微，经批评教育后改正的，可以免予处分。 3.《行政机关公务员处分条例》（国务院令第495号）第二十二条　弄虚作假，误导、欺骗领导和公众，给予警告、记过或者记大过处分；情节较重的，给予降级或者撤职处分；情节严重的，给予开除处分。 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 第二十四条　违反财经纪律，挥霍浪费国家资财的，给予警告处分；情节较重的，给予记过或者记大过处分；情节严重的，给予降级或者撤职处分。 第二十五条　有下列行为之一的，给予记过或者记大过处分。情节较重的，给予降级或者撤职处分；情节严重的，给予开除处分：……（三）违反规定向公民、法人或者其他组织摊派或者收取财物的；（四）妨碍执行公务或者违反规定干预执行公务的；（五）其他滥用职权，侵害公民、法人或者其他组织合法权益的行为。 第二十六条　泄露国家秘密、工作秘密，或者泄露因履行职责掌握的商业秘密、个人隐私，造成不良后果的，给予记过、警告或者记大过处分；情节较重的，给予降级或者撤职处分；情节严重的，给予开除处分。 第二十八条　严重违反公务员职业道德，工作作风懈怠、工作态度恶劣，造成不良影响的，给予警告、记过或者记大过处分。</w:t>
            </w:r>
          </w:p>
        </w:tc>
        <w:tc>
          <w:tcPr>
            <w:tcW w:w="851" w:type="dxa"/>
            <w:tcBorders>
              <w:bottom w:val="single" w:color="000000" w:sz="4" w:space="0"/>
              <w:right w:val="single" w:color="000000" w:sz="4" w:space="0"/>
            </w:tcBorders>
            <w:vAlign w:val="center"/>
          </w:tcPr>
          <w:p w14:paraId="410771DE">
            <w:pPr>
              <w:autoSpaceDN w:val="0"/>
              <w:textAlignment w:val="center"/>
              <w:rPr>
                <w:rFonts w:ascii="宋体" w:hAnsi="宋体"/>
                <w:sz w:val="20"/>
                <w:szCs w:val="20"/>
              </w:rPr>
            </w:pPr>
          </w:p>
        </w:tc>
      </w:tr>
      <w:tr w14:paraId="5DBB1C22">
        <w:tblPrEx>
          <w:tblCellMar>
            <w:top w:w="0" w:type="dxa"/>
            <w:left w:w="108" w:type="dxa"/>
            <w:bottom w:w="0" w:type="dxa"/>
            <w:right w:w="108" w:type="dxa"/>
          </w:tblCellMar>
        </w:tblPrEx>
        <w:trPr>
          <w:trHeight w:val="2850" w:hRule="atLeast"/>
        </w:trPr>
        <w:tc>
          <w:tcPr>
            <w:tcW w:w="847" w:type="dxa"/>
            <w:tcBorders>
              <w:left w:val="single" w:color="000000" w:sz="4" w:space="0"/>
              <w:bottom w:val="single" w:color="auto" w:sz="4" w:space="0"/>
              <w:right w:val="single" w:color="000000" w:sz="4" w:space="0"/>
            </w:tcBorders>
            <w:vAlign w:val="center"/>
          </w:tcPr>
          <w:p w14:paraId="7BB9DE80">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21</w:t>
            </w:r>
          </w:p>
        </w:tc>
        <w:tc>
          <w:tcPr>
            <w:tcW w:w="1138" w:type="dxa"/>
            <w:tcBorders>
              <w:left w:val="single" w:color="000000" w:sz="4" w:space="0"/>
              <w:bottom w:val="single" w:color="auto" w:sz="4" w:space="0"/>
              <w:right w:val="single" w:color="000000" w:sz="4" w:space="0"/>
            </w:tcBorders>
            <w:vAlign w:val="center"/>
          </w:tcPr>
          <w:p w14:paraId="233E96C5">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其他类</w:t>
            </w:r>
          </w:p>
        </w:tc>
        <w:tc>
          <w:tcPr>
            <w:tcW w:w="1130" w:type="dxa"/>
            <w:tcBorders>
              <w:bottom w:val="single" w:color="auto" w:sz="4" w:space="0"/>
              <w:right w:val="single" w:color="000000" w:sz="4" w:space="0"/>
            </w:tcBorders>
            <w:vAlign w:val="center"/>
          </w:tcPr>
          <w:p w14:paraId="4791409E">
            <w:pPr>
              <w:widowControl/>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养老机构备案</w:t>
            </w:r>
          </w:p>
        </w:tc>
        <w:tc>
          <w:tcPr>
            <w:tcW w:w="1138" w:type="dxa"/>
            <w:tcBorders>
              <w:bottom w:val="single" w:color="auto" w:sz="4" w:space="0"/>
              <w:right w:val="single" w:color="000000" w:sz="4" w:space="0"/>
            </w:tcBorders>
            <w:vAlign w:val="center"/>
          </w:tcPr>
          <w:p w14:paraId="41D4A1DE">
            <w:pPr>
              <w:widowControl/>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县民政局</w:t>
            </w:r>
          </w:p>
        </w:tc>
        <w:tc>
          <w:tcPr>
            <w:tcW w:w="2693" w:type="dxa"/>
            <w:tcBorders>
              <w:bottom w:val="single" w:color="auto" w:sz="4" w:space="0"/>
              <w:right w:val="single" w:color="000000" w:sz="4" w:space="0"/>
            </w:tcBorders>
            <w:vAlign w:val="center"/>
          </w:tcPr>
          <w:p w14:paraId="23D51E81">
            <w:pPr>
              <w:snapToGrid w:val="0"/>
              <w:spacing w:line="30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《养老机构管理办法》第十一条  养老机构办理备案，应当向民政部门提交备案申请书、养老机构登记证书、符合本办法第四条要求的承诺书等材料，并对真实性负责。备案申请书应当包括下列内容：</w:t>
            </w:r>
          </w:p>
          <w:p w14:paraId="1842DBBA">
            <w:pPr>
              <w:numPr>
                <w:ilvl w:val="0"/>
                <w:numId w:val="5"/>
              </w:numPr>
              <w:snapToGrid w:val="0"/>
              <w:spacing w:line="30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养老机构基本情况，包括名称、住所、法定代表人或者主要负责人信息等；（二）服务场所权属；（三）养老床位数量；（四）服务设施面积；（五）联系人和联系方式。</w:t>
            </w:r>
          </w:p>
          <w:p w14:paraId="1DFB6753">
            <w:pPr>
              <w:snapToGrid w:val="0"/>
              <w:spacing w:line="30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民政部门应当加强信息化建设，逐步实现网上备案。</w:t>
            </w:r>
          </w:p>
          <w:p w14:paraId="14F7DCD5">
            <w:pPr>
              <w:widowControl/>
              <w:rPr>
                <w:rFonts w:cs="仿宋_GB2312"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2、《养老机构管理办法》第十二条  民政部门收到养老机构备案材料后，对材料齐全的，应当出具备案回执；材料不齐全的，应当指导养老机构补正。</w:t>
            </w:r>
          </w:p>
          <w:p w14:paraId="335DF32F">
            <w:pPr>
              <w:jc w:val="center"/>
              <w:rPr>
                <w:rFonts w:cs="仿宋_GB2312" w:asciiTheme="minorEastAsia" w:hAnsiTheme="minorEastAsia"/>
                <w:color w:val="000000" w:themeColor="text1"/>
                <w:szCs w:val="21"/>
                <w14:textFill>
                  <w14:solidFill>
                    <w14:schemeClr w14:val="tx1"/>
                  </w14:solidFill>
                </w14:textFill>
              </w:rPr>
            </w:pPr>
          </w:p>
        </w:tc>
        <w:tc>
          <w:tcPr>
            <w:tcW w:w="3827" w:type="dxa"/>
            <w:tcBorders>
              <w:bottom w:val="single" w:color="auto" w:sz="4" w:space="0"/>
              <w:right w:val="single" w:color="000000" w:sz="4" w:space="0"/>
            </w:tcBorders>
            <w:vAlign w:val="center"/>
          </w:tcPr>
          <w:p w14:paraId="65AE5682">
            <w:pPr>
              <w:widowControl/>
              <w:numPr>
                <w:ilvl w:val="0"/>
                <w:numId w:val="6"/>
              </w:numP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受理责任：公示备案应当提交的材料，一次性告知补正材料。</w:t>
            </w:r>
          </w:p>
          <w:p w14:paraId="04B06F80">
            <w:pPr>
              <w:widowControl/>
              <w:numPr>
                <w:ilvl w:val="0"/>
                <w:numId w:val="6"/>
              </w:numP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审查责任：对备案机构提交的材料进行审查，资料齐全的给予备案回执，不齐全的要求补充材料。</w:t>
            </w:r>
          </w:p>
          <w:p w14:paraId="24059FD3">
            <w:pPr>
              <w:widowControl/>
              <w:numPr>
                <w:ilvl w:val="0"/>
                <w:numId w:val="6"/>
              </w:numP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监管责任：对已备案的养老机构进行事后监管，开展定期和不定期检查，依法依规采取相关处置措施。</w:t>
            </w:r>
          </w:p>
          <w:p w14:paraId="05C3A905">
            <w:pPr>
              <w:widowControl/>
              <w:numPr>
                <w:ilvl w:val="0"/>
                <w:numId w:val="6"/>
              </w:numP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其他法律法规规章文件规定应履行的责任。受理责任：公示备案应当提交的材料，一次性告知补正材料。</w:t>
            </w:r>
          </w:p>
          <w:p w14:paraId="0055502E">
            <w:pPr>
              <w:widowControl/>
              <w:numPr>
                <w:ilvl w:val="0"/>
                <w:numId w:val="6"/>
              </w:numP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审查责任：对备案机构提交的材料进行审查，资料齐全的给予备案回执，不齐全的要求补充材料。</w:t>
            </w:r>
          </w:p>
          <w:p w14:paraId="5F581352">
            <w:pPr>
              <w:widowControl/>
              <w:numPr>
                <w:ilvl w:val="0"/>
                <w:numId w:val="6"/>
              </w:numP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监管责任：对已备案的养老机构进行事后监管，开展定期和不定期检查，依法依规采取相关处置措施。受理责任：公示备案应当提交的材料，一次性告知补正材料。</w:t>
            </w:r>
          </w:p>
          <w:p w14:paraId="2903CAD8">
            <w:pPr>
              <w:widowControl/>
              <w:numPr>
                <w:ilvl w:val="0"/>
                <w:numId w:val="6"/>
              </w:numP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审查责任：对备案机构提交的材料进行审查，资料齐全的给予备案回执，不齐全的要求补充材料。</w:t>
            </w:r>
          </w:p>
          <w:p w14:paraId="6BFE8AD1">
            <w:pPr>
              <w:widowControl/>
              <w:numPr>
                <w:ilvl w:val="0"/>
                <w:numId w:val="6"/>
              </w:numP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监管责任：对已备案的养老机构进行事后监管，开展定期和不定期检查，依法依规采取相关处置措施。</w:t>
            </w:r>
          </w:p>
          <w:p w14:paraId="588FB855">
            <w:pPr>
              <w:widowControl/>
              <w:numPr>
                <w:ilvl w:val="0"/>
                <w:numId w:val="6"/>
              </w:numP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其他法律法规规章文件规定应履行的责任。</w:t>
            </w:r>
          </w:p>
          <w:p w14:paraId="0ED460AD">
            <w:pPr>
              <w:widowControl/>
              <w:numPr>
                <w:ilvl w:val="0"/>
                <w:numId w:val="6"/>
              </w:numP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其他法律法规规章文件规定应履行的责任。受理责任：公示备案应当提交的材料，一次性告知补正材料。</w:t>
            </w:r>
          </w:p>
          <w:p w14:paraId="504A995A">
            <w:pPr>
              <w:widowControl/>
              <w:numPr>
                <w:ilvl w:val="0"/>
                <w:numId w:val="6"/>
              </w:numP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审查责任：对备案机构提交的材料进行审查，资料齐全的给予备案回执，不齐全的要求补充材料。</w:t>
            </w:r>
          </w:p>
          <w:p w14:paraId="1270D976">
            <w:pPr>
              <w:widowControl/>
              <w:numPr>
                <w:ilvl w:val="0"/>
                <w:numId w:val="6"/>
              </w:numP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监管责任：对已备案的养老机构进行事后监管，开展定期和不定期检查，依法依规采取相关处置措施。</w:t>
            </w:r>
          </w:p>
          <w:p w14:paraId="190FA9EA">
            <w:pPr>
              <w:widowControl/>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其他法律法规规章文件规定应履行的责任。</w:t>
            </w:r>
          </w:p>
        </w:tc>
        <w:tc>
          <w:tcPr>
            <w:tcW w:w="3402" w:type="dxa"/>
            <w:tcBorders>
              <w:bottom w:val="single" w:color="auto" w:sz="4" w:space="0"/>
              <w:right w:val="single" w:color="000000" w:sz="4" w:space="0"/>
            </w:tcBorders>
            <w:vAlign w:val="center"/>
          </w:tcPr>
          <w:p w14:paraId="789CE038">
            <w:pPr>
              <w:pStyle w:val="6"/>
              <w:widowControl/>
              <w:shd w:val="clear" w:color="auto" w:fill="FFFFFF"/>
              <w:spacing w:before="132" w:beforeAutospacing="0" w:after="378" w:afterAutospacing="0"/>
              <w:rPr>
                <w:rFonts w:cs="仿宋_GB2312" w:asciiTheme="minorEastAsia" w:hAnsiTheme="minorEastAsia"/>
                <w:color w:val="000000" w:themeColor="text1"/>
                <w:kern w:val="2"/>
                <w:sz w:val="21"/>
                <w:szCs w:val="21"/>
                <w14:textFill>
                  <w14:solidFill>
                    <w14:schemeClr w14:val="tx1"/>
                  </w14:solidFill>
                </w14:textFill>
              </w:rPr>
            </w:pPr>
            <w:r>
              <w:rPr>
                <w:rFonts w:hint="eastAsia" w:cs="仿宋_GB2312" w:asciiTheme="minorEastAsia" w:hAnsiTheme="minorEastAsia"/>
                <w:color w:val="000000" w:themeColor="text1"/>
                <w:kern w:val="2"/>
                <w:sz w:val="21"/>
                <w:szCs w:val="21"/>
                <w14:textFill>
                  <w14:solidFill>
                    <w14:schemeClr w14:val="tx1"/>
                  </w14:solidFill>
                </w14:textFill>
              </w:rPr>
              <w:t>养老机构及其工作人员违反本办法有关规定，构成违反治安管理行为的，依法给予治安管理处罚；构成犯罪的，依法追究刑事责任。</w:t>
            </w:r>
          </w:p>
          <w:p w14:paraId="4883EE3B">
            <w:pPr>
              <w:pStyle w:val="6"/>
              <w:widowControl/>
              <w:shd w:val="clear" w:color="auto" w:fill="FFFFFF"/>
              <w:spacing w:before="132" w:beforeAutospacing="0" w:after="378" w:afterAutospacing="0"/>
              <w:rPr>
                <w:rFonts w:cs="仿宋_GB2312" w:asciiTheme="minorEastAsia" w:hAnsiTheme="minorEastAsia"/>
                <w:color w:val="000000" w:themeColor="text1"/>
                <w:kern w:val="2"/>
                <w:sz w:val="21"/>
                <w:szCs w:val="21"/>
                <w14:textFill>
                  <w14:solidFill>
                    <w14:schemeClr w14:val="tx1"/>
                  </w14:solidFill>
                </w14:textFill>
              </w:rPr>
            </w:pPr>
          </w:p>
          <w:p w14:paraId="23E30CF2">
            <w:pPr>
              <w:tabs>
                <w:tab w:val="left" w:pos="7937"/>
              </w:tabs>
              <w:spacing w:line="260" w:lineRule="exact"/>
              <w:rPr>
                <w:rFonts w:cs="仿宋_GB2312" w:asciiTheme="minorEastAsia" w:hAnsiTheme="minorEastAsia"/>
                <w:color w:val="000000" w:themeColor="text1"/>
                <w:szCs w:val="21"/>
                <w14:textFill>
                  <w14:solidFill>
                    <w14:schemeClr w14:val="tx1"/>
                  </w14:solidFill>
                </w14:textFill>
              </w:rPr>
            </w:pPr>
          </w:p>
        </w:tc>
        <w:tc>
          <w:tcPr>
            <w:tcW w:w="851" w:type="dxa"/>
            <w:tcBorders>
              <w:bottom w:val="single" w:color="auto" w:sz="4" w:space="0"/>
              <w:right w:val="single" w:color="000000" w:sz="4" w:space="0"/>
            </w:tcBorders>
            <w:vAlign w:val="center"/>
          </w:tcPr>
          <w:p w14:paraId="253AF5B8">
            <w:pPr>
              <w:autoSpaceDN w:val="0"/>
              <w:textAlignment w:val="center"/>
              <w:rPr>
                <w:rFonts w:cs="仿宋_GB2312" w:asciiTheme="minorEastAsia" w:hAnsiTheme="minorEastAsia"/>
                <w:color w:val="000000" w:themeColor="text1"/>
                <w:szCs w:val="21"/>
                <w14:textFill>
                  <w14:solidFill>
                    <w14:schemeClr w14:val="tx1"/>
                  </w14:solidFill>
                </w14:textFill>
              </w:rPr>
            </w:pPr>
          </w:p>
        </w:tc>
      </w:tr>
      <w:tr w14:paraId="59F8E03A">
        <w:tblPrEx>
          <w:tblCellMar>
            <w:top w:w="0" w:type="dxa"/>
            <w:left w:w="108" w:type="dxa"/>
            <w:bottom w:w="0" w:type="dxa"/>
            <w:right w:w="108" w:type="dxa"/>
          </w:tblCellMar>
        </w:tblPrEx>
        <w:trPr>
          <w:trHeight w:val="2850" w:hRule="atLeast"/>
        </w:trPr>
        <w:tc>
          <w:tcPr>
            <w:tcW w:w="847" w:type="dxa"/>
            <w:tcBorders>
              <w:top w:val="single" w:color="auto" w:sz="4" w:space="0"/>
              <w:left w:val="single" w:color="auto" w:sz="4" w:space="0"/>
              <w:bottom w:val="single" w:color="auto" w:sz="4" w:space="0"/>
              <w:right w:val="single" w:color="000000" w:sz="4" w:space="0"/>
            </w:tcBorders>
            <w:vAlign w:val="center"/>
          </w:tcPr>
          <w:p w14:paraId="0B947970">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22</w:t>
            </w:r>
          </w:p>
        </w:tc>
        <w:tc>
          <w:tcPr>
            <w:tcW w:w="1138" w:type="dxa"/>
            <w:tcBorders>
              <w:top w:val="single" w:color="auto" w:sz="4" w:space="0"/>
              <w:left w:val="single" w:color="000000" w:sz="4" w:space="0"/>
              <w:bottom w:val="single" w:color="auto" w:sz="4" w:space="0"/>
              <w:right w:val="single" w:color="000000" w:sz="4" w:space="0"/>
            </w:tcBorders>
            <w:vAlign w:val="center"/>
          </w:tcPr>
          <w:p w14:paraId="7CEA5457">
            <w:pPr>
              <w:autoSpaceDN w:val="0"/>
              <w:jc w:val="center"/>
              <w:textAlignment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szCs w:val="21"/>
              </w:rPr>
              <w:t>行政许可</w:t>
            </w:r>
          </w:p>
        </w:tc>
        <w:tc>
          <w:tcPr>
            <w:tcW w:w="1130" w:type="dxa"/>
            <w:tcBorders>
              <w:top w:val="single" w:color="auto" w:sz="4" w:space="0"/>
              <w:bottom w:val="single" w:color="auto" w:sz="4" w:space="0"/>
              <w:right w:val="single" w:color="000000" w:sz="4" w:space="0"/>
            </w:tcBorders>
            <w:vAlign w:val="center"/>
          </w:tcPr>
          <w:p w14:paraId="1365DF17">
            <w:pPr>
              <w:rPr>
                <w:rFonts w:cs="仿宋_GB2312" w:asciiTheme="minorEastAsia" w:hAnsiTheme="minorEastAsia"/>
                <w:color w:val="000000" w:themeColor="text1"/>
                <w:kern w:val="0"/>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地名命名、更名的审核</w:t>
            </w:r>
          </w:p>
        </w:tc>
        <w:tc>
          <w:tcPr>
            <w:tcW w:w="1138" w:type="dxa"/>
            <w:tcBorders>
              <w:top w:val="single" w:color="auto" w:sz="4" w:space="0"/>
              <w:bottom w:val="single" w:color="auto" w:sz="4" w:space="0"/>
              <w:right w:val="single" w:color="000000" w:sz="4" w:space="0"/>
            </w:tcBorders>
            <w:vAlign w:val="center"/>
          </w:tcPr>
          <w:p w14:paraId="225F0B02">
            <w:pPr>
              <w:widowControl/>
              <w:jc w:val="center"/>
              <w:rPr>
                <w:rFonts w:cs="仿宋_GB2312" w:asciiTheme="minorEastAsia" w:hAnsiTheme="minorEastAsia"/>
                <w:color w:val="000000" w:themeColor="text1"/>
                <w:kern w:val="0"/>
                <w:szCs w:val="21"/>
                <w14:textFill>
                  <w14:solidFill>
                    <w14:schemeClr w14:val="tx1"/>
                  </w14:solidFill>
                </w14:textFill>
              </w:rPr>
            </w:pPr>
            <w:r>
              <w:rPr>
                <w:rFonts w:hint="eastAsia" w:cs="仿宋_GB2312" w:asciiTheme="minorEastAsia" w:hAnsiTheme="minorEastAsia"/>
                <w:color w:val="000000" w:themeColor="text1"/>
                <w:kern w:val="0"/>
                <w:szCs w:val="21"/>
                <w14:textFill>
                  <w14:solidFill>
                    <w14:schemeClr w14:val="tx1"/>
                  </w14:solidFill>
                </w14:textFill>
              </w:rPr>
              <w:t>涞水县民政局</w:t>
            </w:r>
          </w:p>
        </w:tc>
        <w:tc>
          <w:tcPr>
            <w:tcW w:w="2693" w:type="dxa"/>
            <w:tcBorders>
              <w:top w:val="single" w:color="auto" w:sz="4" w:space="0"/>
              <w:bottom w:val="single" w:color="auto" w:sz="4" w:space="0"/>
              <w:right w:val="single" w:color="000000" w:sz="4" w:space="0"/>
            </w:tcBorders>
            <w:vAlign w:val="center"/>
          </w:tcPr>
          <w:p w14:paraId="3EB4851F">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河北省地名管理规定》第十三条“居民区的命名，由建设单位在项目立项前提出申请，经所在地设区的市、县（市）人民政府民政部门审核后，报本级人民政府审批。居民区的更名，由建设单位或者产权所有人提出申请，经所在地设区的市、县（市）人民政府民政部门审核后，报本级人民政府审批。</w:t>
            </w:r>
          </w:p>
          <w:p w14:paraId="6D774DB2">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szCs w:val="21"/>
              </w:rPr>
              <w:t>《地名管理条例》</w:t>
            </w:r>
          </w:p>
        </w:tc>
        <w:tc>
          <w:tcPr>
            <w:tcW w:w="3827" w:type="dxa"/>
            <w:tcBorders>
              <w:top w:val="single" w:color="auto" w:sz="4" w:space="0"/>
              <w:bottom w:val="single" w:color="auto" w:sz="4" w:space="0"/>
              <w:right w:val="single" w:color="000000" w:sz="4" w:space="0"/>
            </w:tcBorders>
            <w:vAlign w:val="center"/>
          </w:tcPr>
          <w:p w14:paraId="52D0E919">
            <w:pPr>
              <w:widowControl/>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1、审核责任。按照地名管理相关规定，对部门提交的地名命名、更名申请材料进行审核。</w:t>
            </w:r>
          </w:p>
          <w:p w14:paraId="53CC6F66">
            <w:pPr>
              <w:widowControl/>
              <w:jc w:val="left"/>
              <w:rPr>
                <w:rFonts w:asciiTheme="minorEastAsia" w:hAnsiTheme="minorEastAsia"/>
                <w:color w:val="000000" w:themeColor="text1"/>
                <w:kern w:val="0"/>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2、其他法律法规规章文件规定应履行的责任。</w:t>
            </w:r>
          </w:p>
        </w:tc>
        <w:tc>
          <w:tcPr>
            <w:tcW w:w="3402" w:type="dxa"/>
            <w:tcBorders>
              <w:top w:val="single" w:color="auto" w:sz="4" w:space="0"/>
              <w:bottom w:val="single" w:color="auto" w:sz="4" w:space="0"/>
              <w:right w:val="single" w:color="000000" w:sz="4" w:space="0"/>
            </w:tcBorders>
            <w:vAlign w:val="center"/>
          </w:tcPr>
          <w:p w14:paraId="35B2CDF7">
            <w:pPr>
              <w:widowControl/>
              <w:jc w:val="center"/>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河北省地名管理规定》第三十五条“民政部门和其他有关部门的工作人员在地名管理工作中有下列行为之一的，依法给予处分；构成犯罪的，依法追究刑事责任：（一）不依法审批地名命名、更名申请的；……”</w:t>
            </w:r>
          </w:p>
        </w:tc>
        <w:tc>
          <w:tcPr>
            <w:tcW w:w="851" w:type="dxa"/>
            <w:tcBorders>
              <w:top w:val="single" w:color="auto" w:sz="4" w:space="0"/>
              <w:bottom w:val="single" w:color="auto" w:sz="4" w:space="0"/>
              <w:right w:val="single" w:color="auto" w:sz="4" w:space="0"/>
            </w:tcBorders>
            <w:vAlign w:val="center"/>
          </w:tcPr>
          <w:p w14:paraId="452782D0">
            <w:pPr>
              <w:autoSpaceDN w:val="0"/>
              <w:textAlignment w:val="center"/>
              <w:rPr>
                <w:rFonts w:ascii="宋体" w:hAnsi="宋体"/>
                <w:sz w:val="20"/>
                <w:szCs w:val="20"/>
              </w:rPr>
            </w:pPr>
          </w:p>
        </w:tc>
      </w:tr>
    </w:tbl>
    <w:p w14:paraId="7A3763FA">
      <w:pPr>
        <w:spacing w:line="360" w:lineRule="exact"/>
        <w:rPr>
          <w:rFonts w:ascii="黑体" w:hAnsi="黑体" w:eastAsia="黑体"/>
          <w:sz w:val="24"/>
        </w:rPr>
      </w:pPr>
    </w:p>
    <w:p w14:paraId="64A928DF">
      <w:pPr>
        <w:spacing w:line="360" w:lineRule="exact"/>
        <w:rPr>
          <w:rFonts w:ascii="黑体" w:hAnsi="黑体" w:eastAsia="黑体"/>
        </w:rPr>
      </w:pP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22861"/>
    <w:multiLevelType w:val="multilevel"/>
    <w:tmpl w:val="8A422861"/>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BC47D5A7"/>
    <w:multiLevelType w:val="singleLevel"/>
    <w:tmpl w:val="BC47D5A7"/>
    <w:lvl w:ilvl="0" w:tentative="0">
      <w:start w:val="1"/>
      <w:numFmt w:val="decimal"/>
      <w:suff w:val="nothing"/>
      <w:lvlText w:val="%1、"/>
      <w:lvlJc w:val="left"/>
    </w:lvl>
  </w:abstractNum>
  <w:abstractNum w:abstractNumId="2">
    <w:nsid w:val="D96614D6"/>
    <w:multiLevelType w:val="singleLevel"/>
    <w:tmpl w:val="D96614D6"/>
    <w:lvl w:ilvl="0" w:tentative="0">
      <w:start w:val="1"/>
      <w:numFmt w:val="chineseCounting"/>
      <w:suff w:val="nothing"/>
      <w:lvlText w:val="（%1）"/>
      <w:lvlJc w:val="left"/>
      <w:rPr>
        <w:rFonts w:hint="eastAsia"/>
      </w:rPr>
    </w:lvl>
  </w:abstractNum>
  <w:abstractNum w:abstractNumId="3">
    <w:nsid w:val="0BBB5C6A"/>
    <w:multiLevelType w:val="singleLevel"/>
    <w:tmpl w:val="0BBB5C6A"/>
    <w:lvl w:ilvl="0" w:tentative="0">
      <w:start w:val="1"/>
      <w:numFmt w:val="decimal"/>
      <w:suff w:val="nothing"/>
      <w:lvlText w:val="%1、"/>
      <w:lvlJc w:val="left"/>
    </w:lvl>
  </w:abstractNum>
  <w:abstractNum w:abstractNumId="4">
    <w:nsid w:val="0F5AD5CE"/>
    <w:multiLevelType w:val="singleLevel"/>
    <w:tmpl w:val="0F5AD5CE"/>
    <w:lvl w:ilvl="0" w:tentative="0">
      <w:start w:val="1"/>
      <w:numFmt w:val="decimal"/>
      <w:suff w:val="nothing"/>
      <w:lvlText w:val="%1、"/>
      <w:lvlJc w:val="left"/>
    </w:lvl>
  </w:abstractNum>
  <w:abstractNum w:abstractNumId="5">
    <w:nsid w:val="6D93B06B"/>
    <w:multiLevelType w:val="singleLevel"/>
    <w:tmpl w:val="6D93B06B"/>
    <w:lvl w:ilvl="0" w:tentative="0">
      <w:start w:val="1"/>
      <w:numFmt w:val="decimal"/>
      <w:suff w:val="nothing"/>
      <w:lvlText w:val="%1、"/>
      <w:lvlJc w:val="left"/>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30299C"/>
    <w:rsid w:val="00003EC8"/>
    <w:rsid w:val="000054C1"/>
    <w:rsid w:val="00015B75"/>
    <w:rsid w:val="00025862"/>
    <w:rsid w:val="00044A2B"/>
    <w:rsid w:val="000577A5"/>
    <w:rsid w:val="000C36F6"/>
    <w:rsid w:val="000C5C19"/>
    <w:rsid w:val="000C711E"/>
    <w:rsid w:val="000D65BC"/>
    <w:rsid w:val="00107C20"/>
    <w:rsid w:val="001138FD"/>
    <w:rsid w:val="00113EE2"/>
    <w:rsid w:val="00152B5F"/>
    <w:rsid w:val="00166FAB"/>
    <w:rsid w:val="0017698A"/>
    <w:rsid w:val="00185ACD"/>
    <w:rsid w:val="001B7DFA"/>
    <w:rsid w:val="001C3DE6"/>
    <w:rsid w:val="001F0C3E"/>
    <w:rsid w:val="001F528F"/>
    <w:rsid w:val="00205647"/>
    <w:rsid w:val="00207E7D"/>
    <w:rsid w:val="00211F31"/>
    <w:rsid w:val="002142DF"/>
    <w:rsid w:val="002242AA"/>
    <w:rsid w:val="00240372"/>
    <w:rsid w:val="00240475"/>
    <w:rsid w:val="0027692A"/>
    <w:rsid w:val="00277E60"/>
    <w:rsid w:val="002851F5"/>
    <w:rsid w:val="00287E22"/>
    <w:rsid w:val="0029282F"/>
    <w:rsid w:val="00295EC7"/>
    <w:rsid w:val="002963F1"/>
    <w:rsid w:val="002A1175"/>
    <w:rsid w:val="002B0B89"/>
    <w:rsid w:val="002C483F"/>
    <w:rsid w:val="00301354"/>
    <w:rsid w:val="0030299C"/>
    <w:rsid w:val="0030582B"/>
    <w:rsid w:val="00330DF8"/>
    <w:rsid w:val="003402A7"/>
    <w:rsid w:val="00343F03"/>
    <w:rsid w:val="00350369"/>
    <w:rsid w:val="00355586"/>
    <w:rsid w:val="00360747"/>
    <w:rsid w:val="00373832"/>
    <w:rsid w:val="003816F4"/>
    <w:rsid w:val="0039463E"/>
    <w:rsid w:val="003A2233"/>
    <w:rsid w:val="003A335C"/>
    <w:rsid w:val="003B064E"/>
    <w:rsid w:val="003C32EE"/>
    <w:rsid w:val="003E22DD"/>
    <w:rsid w:val="003E633C"/>
    <w:rsid w:val="003F0872"/>
    <w:rsid w:val="00413758"/>
    <w:rsid w:val="00414DE7"/>
    <w:rsid w:val="00434F7B"/>
    <w:rsid w:val="00452917"/>
    <w:rsid w:val="00456778"/>
    <w:rsid w:val="00457FDE"/>
    <w:rsid w:val="00470AE6"/>
    <w:rsid w:val="00483972"/>
    <w:rsid w:val="00490BD4"/>
    <w:rsid w:val="004A5E63"/>
    <w:rsid w:val="004B26A2"/>
    <w:rsid w:val="004B387D"/>
    <w:rsid w:val="004B5996"/>
    <w:rsid w:val="004B6B4B"/>
    <w:rsid w:val="004C1417"/>
    <w:rsid w:val="005004D9"/>
    <w:rsid w:val="00505352"/>
    <w:rsid w:val="00517F88"/>
    <w:rsid w:val="0053052E"/>
    <w:rsid w:val="005332F9"/>
    <w:rsid w:val="005334A7"/>
    <w:rsid w:val="00533B5B"/>
    <w:rsid w:val="0054513F"/>
    <w:rsid w:val="0055271E"/>
    <w:rsid w:val="00553367"/>
    <w:rsid w:val="0056286C"/>
    <w:rsid w:val="005B484A"/>
    <w:rsid w:val="005B5A38"/>
    <w:rsid w:val="005C1470"/>
    <w:rsid w:val="005D22FC"/>
    <w:rsid w:val="005D683D"/>
    <w:rsid w:val="005F0C32"/>
    <w:rsid w:val="00606962"/>
    <w:rsid w:val="00613C33"/>
    <w:rsid w:val="006403E9"/>
    <w:rsid w:val="0064113D"/>
    <w:rsid w:val="00653048"/>
    <w:rsid w:val="006533FF"/>
    <w:rsid w:val="00675A10"/>
    <w:rsid w:val="00684F31"/>
    <w:rsid w:val="006901B1"/>
    <w:rsid w:val="006A6F88"/>
    <w:rsid w:val="006A7511"/>
    <w:rsid w:val="006B0978"/>
    <w:rsid w:val="006B5E39"/>
    <w:rsid w:val="006D39D1"/>
    <w:rsid w:val="006E0173"/>
    <w:rsid w:val="006E6412"/>
    <w:rsid w:val="006E75D5"/>
    <w:rsid w:val="006F639E"/>
    <w:rsid w:val="0070135E"/>
    <w:rsid w:val="00705697"/>
    <w:rsid w:val="00711182"/>
    <w:rsid w:val="0071168C"/>
    <w:rsid w:val="007219E5"/>
    <w:rsid w:val="007364D6"/>
    <w:rsid w:val="007661CE"/>
    <w:rsid w:val="00772450"/>
    <w:rsid w:val="007847F5"/>
    <w:rsid w:val="00796B3A"/>
    <w:rsid w:val="007F046F"/>
    <w:rsid w:val="00801577"/>
    <w:rsid w:val="0082334B"/>
    <w:rsid w:val="00836A73"/>
    <w:rsid w:val="00844B24"/>
    <w:rsid w:val="0086571A"/>
    <w:rsid w:val="00876355"/>
    <w:rsid w:val="00890CA6"/>
    <w:rsid w:val="008A21ED"/>
    <w:rsid w:val="008B290A"/>
    <w:rsid w:val="008D645E"/>
    <w:rsid w:val="008F060C"/>
    <w:rsid w:val="00900A2C"/>
    <w:rsid w:val="009232FC"/>
    <w:rsid w:val="009422F7"/>
    <w:rsid w:val="00943922"/>
    <w:rsid w:val="00943B57"/>
    <w:rsid w:val="00951193"/>
    <w:rsid w:val="00963775"/>
    <w:rsid w:val="00967B3B"/>
    <w:rsid w:val="00971DC6"/>
    <w:rsid w:val="00972379"/>
    <w:rsid w:val="00996EB7"/>
    <w:rsid w:val="009A0496"/>
    <w:rsid w:val="009B0E67"/>
    <w:rsid w:val="009B4341"/>
    <w:rsid w:val="009C10F2"/>
    <w:rsid w:val="009C34FC"/>
    <w:rsid w:val="009C50B2"/>
    <w:rsid w:val="009D61ED"/>
    <w:rsid w:val="009E5357"/>
    <w:rsid w:val="00A001DA"/>
    <w:rsid w:val="00A01488"/>
    <w:rsid w:val="00A04FF2"/>
    <w:rsid w:val="00A1132B"/>
    <w:rsid w:val="00A226DD"/>
    <w:rsid w:val="00A412F0"/>
    <w:rsid w:val="00A4466A"/>
    <w:rsid w:val="00A47C95"/>
    <w:rsid w:val="00A622B0"/>
    <w:rsid w:val="00A8541C"/>
    <w:rsid w:val="00A86569"/>
    <w:rsid w:val="00A9567B"/>
    <w:rsid w:val="00AA1F1E"/>
    <w:rsid w:val="00AC25C9"/>
    <w:rsid w:val="00AD096B"/>
    <w:rsid w:val="00AD2492"/>
    <w:rsid w:val="00B12A4B"/>
    <w:rsid w:val="00B16818"/>
    <w:rsid w:val="00B80D62"/>
    <w:rsid w:val="00B81FF3"/>
    <w:rsid w:val="00B86B7F"/>
    <w:rsid w:val="00B87889"/>
    <w:rsid w:val="00BD650B"/>
    <w:rsid w:val="00C219A6"/>
    <w:rsid w:val="00C45192"/>
    <w:rsid w:val="00C65665"/>
    <w:rsid w:val="00C708B5"/>
    <w:rsid w:val="00C75FBF"/>
    <w:rsid w:val="00C850E8"/>
    <w:rsid w:val="00CA6FE9"/>
    <w:rsid w:val="00CC178C"/>
    <w:rsid w:val="00CC7128"/>
    <w:rsid w:val="00CD2BF3"/>
    <w:rsid w:val="00CD552C"/>
    <w:rsid w:val="00CD723C"/>
    <w:rsid w:val="00CE7863"/>
    <w:rsid w:val="00CF48CD"/>
    <w:rsid w:val="00CF5E3C"/>
    <w:rsid w:val="00CF7500"/>
    <w:rsid w:val="00D31133"/>
    <w:rsid w:val="00D33517"/>
    <w:rsid w:val="00D36195"/>
    <w:rsid w:val="00D40988"/>
    <w:rsid w:val="00D63FD6"/>
    <w:rsid w:val="00D651E8"/>
    <w:rsid w:val="00D73309"/>
    <w:rsid w:val="00D94C44"/>
    <w:rsid w:val="00DA7E65"/>
    <w:rsid w:val="00DC466F"/>
    <w:rsid w:val="00DC6A88"/>
    <w:rsid w:val="00DD0E7C"/>
    <w:rsid w:val="00DD2063"/>
    <w:rsid w:val="00DD22CC"/>
    <w:rsid w:val="00E038B3"/>
    <w:rsid w:val="00E03B8A"/>
    <w:rsid w:val="00E14370"/>
    <w:rsid w:val="00E15BE1"/>
    <w:rsid w:val="00E66963"/>
    <w:rsid w:val="00E80582"/>
    <w:rsid w:val="00EA556E"/>
    <w:rsid w:val="00EA6AAF"/>
    <w:rsid w:val="00EC0F2E"/>
    <w:rsid w:val="00EC168D"/>
    <w:rsid w:val="00EF4604"/>
    <w:rsid w:val="00EF473E"/>
    <w:rsid w:val="00F01269"/>
    <w:rsid w:val="00F100C0"/>
    <w:rsid w:val="00F20974"/>
    <w:rsid w:val="00F41C05"/>
    <w:rsid w:val="00F41E22"/>
    <w:rsid w:val="00F50B3E"/>
    <w:rsid w:val="00F55AE7"/>
    <w:rsid w:val="00F71BE1"/>
    <w:rsid w:val="00F80E69"/>
    <w:rsid w:val="00F931C9"/>
    <w:rsid w:val="00F969E9"/>
    <w:rsid w:val="00FB02B2"/>
    <w:rsid w:val="00FD1DFB"/>
    <w:rsid w:val="00FE69B4"/>
    <w:rsid w:val="00FE7FDE"/>
    <w:rsid w:val="069910AF"/>
    <w:rsid w:val="0949316D"/>
    <w:rsid w:val="0F3A743D"/>
    <w:rsid w:val="10C547BE"/>
    <w:rsid w:val="1A037F31"/>
    <w:rsid w:val="1EB10621"/>
    <w:rsid w:val="21A840B3"/>
    <w:rsid w:val="2B9F705A"/>
    <w:rsid w:val="39197F21"/>
    <w:rsid w:val="3CE5713C"/>
    <w:rsid w:val="4587273F"/>
    <w:rsid w:val="47BE25CD"/>
    <w:rsid w:val="4F8A59BE"/>
    <w:rsid w:val="50AD4CBF"/>
    <w:rsid w:val="59741125"/>
    <w:rsid w:val="7C97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semiHidden/>
    <w:unhideWhenUsed/>
    <w:qFormat/>
    <w:uiPriority w:val="99"/>
    <w:pPr>
      <w:jc w:val="left"/>
    </w:pPr>
  </w:style>
  <w:style w:type="paragraph" w:styleId="3">
    <w:name w:val="Balloon Text"/>
    <w:basedOn w:val="1"/>
    <w:link w:val="16"/>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paragraph" w:styleId="7">
    <w:name w:val="annotation subject"/>
    <w:basedOn w:val="2"/>
    <w:next w:val="2"/>
    <w:link w:val="15"/>
    <w:autoRedefine/>
    <w:semiHidden/>
    <w:unhideWhenUsed/>
    <w:qFormat/>
    <w:uiPriority w:val="99"/>
    <w:rPr>
      <w:b/>
      <w:bCs/>
    </w:rPr>
  </w:style>
  <w:style w:type="character" w:styleId="10">
    <w:name w:val="Hyperlink"/>
    <w:basedOn w:val="9"/>
    <w:autoRedefine/>
    <w:semiHidden/>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autoRedefine/>
    <w:qFormat/>
    <w:uiPriority w:val="99"/>
    <w:rPr>
      <w:sz w:val="18"/>
      <w:szCs w:val="18"/>
    </w:rPr>
  </w:style>
  <w:style w:type="character" w:customStyle="1" w:styleId="13">
    <w:name w:val="页脚 Char"/>
    <w:basedOn w:val="9"/>
    <w:link w:val="4"/>
    <w:autoRedefine/>
    <w:qFormat/>
    <w:uiPriority w:val="99"/>
    <w:rPr>
      <w:sz w:val="18"/>
      <w:szCs w:val="18"/>
    </w:rPr>
  </w:style>
  <w:style w:type="character" w:customStyle="1" w:styleId="14">
    <w:name w:val="批注文字 Char"/>
    <w:basedOn w:val="9"/>
    <w:link w:val="2"/>
    <w:autoRedefine/>
    <w:semiHidden/>
    <w:qFormat/>
    <w:uiPriority w:val="99"/>
  </w:style>
  <w:style w:type="character" w:customStyle="1" w:styleId="15">
    <w:name w:val="批注主题 Char"/>
    <w:basedOn w:val="14"/>
    <w:link w:val="7"/>
    <w:autoRedefine/>
    <w:semiHidden/>
    <w:qFormat/>
    <w:uiPriority w:val="99"/>
    <w:rPr>
      <w:b/>
      <w:bCs/>
    </w:rPr>
  </w:style>
  <w:style w:type="character" w:customStyle="1" w:styleId="16">
    <w:name w:val="批注框文本 Char"/>
    <w:basedOn w:val="9"/>
    <w:link w:val="3"/>
    <w:autoRedefine/>
    <w:semiHidden/>
    <w:qFormat/>
    <w:uiPriority w:val="99"/>
    <w:rPr>
      <w:sz w:val="18"/>
      <w:szCs w:val="18"/>
    </w:rPr>
  </w:style>
  <w:style w:type="paragraph" w:customStyle="1" w:styleId="17">
    <w:name w:val="Char"/>
    <w:basedOn w:val="1"/>
    <w:autoRedefine/>
    <w:qFormat/>
    <w:uiPriority w:val="0"/>
    <w:pPr>
      <w:snapToGrid w:val="0"/>
      <w:spacing w:afterLines="50" w:line="360" w:lineRule="auto"/>
      <w:ind w:firstLine="480" w:firstLineChars="200"/>
    </w:pPr>
    <w:rPr>
      <w:rFonts w:ascii="Times New Roman" w:hAnsi="Times New Roman" w:eastAsia="仿宋_GB2312" w:cs="Times New Roman"/>
      <w:sz w:val="32"/>
      <w:szCs w:val="32"/>
    </w:rPr>
  </w:style>
  <w:style w:type="paragraph" w:styleId="18">
    <w:name w:val="List Paragraph"/>
    <w:basedOn w:val="1"/>
    <w:autoRedefine/>
    <w:qFormat/>
    <w:uiPriority w:val="34"/>
    <w:pPr>
      <w:ind w:firstLine="420" w:firstLineChars="200"/>
    </w:pPr>
  </w:style>
  <w:style w:type="character" w:customStyle="1" w:styleId="19">
    <w:name w:val="mini-outputtext"/>
    <w:basedOn w:val="9"/>
    <w:qFormat/>
    <w:uiPriority w:val="0"/>
  </w:style>
  <w:style w:type="paragraph" w:customStyle="1" w:styleId="20">
    <w:name w:val="western"/>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23</Pages>
  <Words>15281</Words>
  <Characters>15566</Characters>
  <Lines>114</Lines>
  <Paragraphs>32</Paragraphs>
  <TotalTime>9</TotalTime>
  <ScaleCrop>false</ScaleCrop>
  <LinksUpToDate>false</LinksUpToDate>
  <CharactersWithSpaces>15696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2020-11-18T09:19:00Z</dcterms:created>
  <dc:creator>lenovo</dc:creator>
  <cp:lastModifiedBy>八爪小鱼</cp:lastModifiedBy>
  <cp:lastPrinted>2020-11-20T00:47:00Z</cp:lastPrinted>
  <dcterms:modified xsi:type="dcterms:W3CDTF">2025-02-25T08:18:59Z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11720D2AB9E046FABAB719B4DAF2D2A0_13</vt:lpwstr>
  </property>
  <property fmtid="{D5CDD505-2E9C-101B-9397-08002B2CF9AE}" pid="4" name="KSOTemplateDocerSaveRecord">
    <vt:lpwstr>eyJoZGlkIjoiNTY3NzU0NDM5MWFkMmY4ZmZmZjJjODBjMzI2N2ZmYWUiLCJ1c2VySWQiOiI0MDE5OTQ3MTgifQ==</vt:lpwstr>
  </property>
</Properties>
</file>