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bCs/>
          <w:sz w:val="44"/>
          <w:szCs w:val="44"/>
        </w:rPr>
      </w:pPr>
      <w:r>
        <w:rPr>
          <w:rFonts w:hint="eastAsia" w:ascii="黑体" w:hAnsi="黑体" w:eastAsia="黑体" w:cs="黑体"/>
          <w:b/>
          <w:bCs/>
          <w:sz w:val="44"/>
          <w:szCs w:val="44"/>
        </w:rPr>
        <w:t>涞水县城市管理行政执法局</w:t>
      </w:r>
    </w:p>
    <w:p>
      <w:pPr>
        <w:jc w:val="center"/>
        <w:rPr>
          <w:rFonts w:ascii="黑体" w:hAnsi="黑体" w:eastAsia="黑体" w:cs="黑体"/>
          <w:b/>
          <w:bCs/>
          <w:sz w:val="44"/>
          <w:szCs w:val="44"/>
        </w:rPr>
      </w:pPr>
      <w:r>
        <w:rPr>
          <w:rFonts w:hint="eastAsia" w:ascii="黑体" w:hAnsi="黑体" w:eastAsia="黑体" w:cs="黑体"/>
          <w:b/>
          <w:bCs/>
          <w:sz w:val="44"/>
          <w:szCs w:val="44"/>
        </w:rPr>
        <w:t>部门预算公开有关事项的说明</w:t>
      </w:r>
    </w:p>
    <w:p>
      <w:pPr>
        <w:ind w:firstLine="640" w:firstLineChars="200"/>
        <w:rPr>
          <w:rFonts w:asciiTheme="majorEastAsia" w:hAnsiTheme="majorEastAsia" w:eastAsiaTheme="majorEastAsia"/>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一、部门职责、机构设置等基本情况</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(一)主要职责</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1、行使市容环境卫生管理方面法律、法规、规章制度的行政处罚权，强制拆除不符合城市容貌标准、环境卫生标准的建筑物或设施。</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2、行使城市规划管理方面法律、法规、规章规定的行政处罚权，对未取得《建设工程规划许可证》或者违反《建设工程许可证》规定进行建设，严重影响城市规划行为的行政处罚权。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3、行使城市绿化管理方面法律、法规、规章规定的行政处罚权。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4、行使市政公用设施管理方面法律、法规、规章规定的行政处罚权。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5、行驶环境保护管理方面法律、法规、规章规定的对产生社会生活噪</w:t>
      </w:r>
      <w:r>
        <w:rPr>
          <w:rFonts w:hint="eastAsia" w:ascii="仿宋_GB2312" w:hAnsi="仿宋_GB2312" w:eastAsia="仿宋_GB2312" w:cs="仿宋_GB2312"/>
          <w:sz w:val="32"/>
          <w:szCs w:val="32"/>
          <w:lang w:eastAsia="zh-CN"/>
        </w:rPr>
        <w:t>声</w:t>
      </w:r>
      <w:r>
        <w:rPr>
          <w:rFonts w:hint="eastAsia" w:ascii="仿宋_GB2312" w:hAnsi="仿宋_GB2312" w:eastAsia="仿宋_GB2312" w:cs="仿宋_GB2312"/>
          <w:sz w:val="32"/>
          <w:szCs w:val="32"/>
        </w:rPr>
        <w:t>污染，建筑施工噪</w:t>
      </w:r>
      <w:r>
        <w:rPr>
          <w:rFonts w:hint="eastAsia" w:ascii="仿宋_GB2312" w:hAnsi="仿宋_GB2312" w:eastAsia="仿宋_GB2312" w:cs="仿宋_GB2312"/>
          <w:sz w:val="32"/>
          <w:szCs w:val="32"/>
          <w:lang w:eastAsia="zh-CN"/>
        </w:rPr>
        <w:t>声</w:t>
      </w:r>
      <w:r>
        <w:rPr>
          <w:rFonts w:hint="eastAsia" w:ascii="仿宋_GB2312" w:hAnsi="仿宋_GB2312" w:eastAsia="仿宋_GB2312" w:cs="仿宋_GB2312"/>
          <w:sz w:val="32"/>
          <w:szCs w:val="32"/>
        </w:rPr>
        <w:t>污染行为的行政处罚权；对城市饮食服务业超标排污行为的行政处罚权；对象城市建成区范围内排水网管河道水面排污倾倒工业废渣、城市垃圾和其他废物行为的行政处罚权。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6、行使工商行政管理方面法律、法规、规章规定的对城区范围内店外或专业市场外经营无照商贩的行政处罚权。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7、行使公安交通管理方面法律、法规、规章规定的对侵占城市道路两侧人行行道行为的行政处罚权。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8、行使省政府决定调整的城市管理领域的其他行政处罚权。</w:t>
      </w:r>
      <w:r>
        <w:rPr>
          <w:rFonts w:hint="eastAsia" w:ascii="仿宋_GB2312" w:hAnsi="仿宋_GB2312" w:eastAsia="仿宋_GB2312" w:cs="仿宋_GB2312"/>
          <w:sz w:val="32"/>
          <w:szCs w:val="32"/>
        </w:rPr>
        <w:br w:type="textWrapping"/>
      </w:r>
    </w:p>
    <w:p>
      <w:pPr>
        <w:spacing w:line="560" w:lineRule="exact"/>
        <w:ind w:firstLine="645"/>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（二）机构设置情况</w:t>
      </w:r>
    </w:p>
    <w:tbl>
      <w:tblPr>
        <w:tblStyle w:val="5"/>
        <w:tblW w:w="9796" w:type="dxa"/>
        <w:tblInd w:w="93" w:type="dxa"/>
        <w:tblLayout w:type="fixed"/>
        <w:tblCellMar>
          <w:top w:w="0" w:type="dxa"/>
          <w:left w:w="108" w:type="dxa"/>
          <w:bottom w:w="0" w:type="dxa"/>
          <w:right w:w="108" w:type="dxa"/>
        </w:tblCellMar>
      </w:tblPr>
      <w:tblGrid>
        <w:gridCol w:w="1080"/>
        <w:gridCol w:w="2320"/>
        <w:gridCol w:w="2120"/>
        <w:gridCol w:w="1900"/>
        <w:gridCol w:w="2376"/>
      </w:tblGrid>
      <w:tr>
        <w:tblPrEx>
          <w:tblLayout w:type="fixed"/>
          <w:tblCellMar>
            <w:top w:w="0" w:type="dxa"/>
            <w:left w:w="108" w:type="dxa"/>
            <w:bottom w:w="0" w:type="dxa"/>
            <w:right w:w="108" w:type="dxa"/>
          </w:tblCellMar>
        </w:tblPrEx>
        <w:trPr>
          <w:trHeight w:val="810" w:hRule="atLeast"/>
        </w:trPr>
        <w:tc>
          <w:tcPr>
            <w:tcW w:w="9796" w:type="dxa"/>
            <w:gridSpan w:val="5"/>
            <w:tcBorders>
              <w:top w:val="nil"/>
              <w:left w:val="nil"/>
              <w:bottom w:val="single" w:color="auto" w:sz="4" w:space="0"/>
              <w:right w:val="nil"/>
            </w:tcBorders>
            <w:shd w:val="clear" w:color="auto" w:fill="auto"/>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部门机构设置情况</w:t>
            </w:r>
          </w:p>
        </w:tc>
      </w:tr>
      <w:tr>
        <w:tblPrEx>
          <w:tblLayout w:type="fixed"/>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序号</w:t>
            </w:r>
          </w:p>
        </w:tc>
        <w:tc>
          <w:tcPr>
            <w:tcW w:w="23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单位名称</w:t>
            </w:r>
          </w:p>
        </w:tc>
        <w:tc>
          <w:tcPr>
            <w:tcW w:w="21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单位性质</w:t>
            </w:r>
          </w:p>
        </w:tc>
        <w:tc>
          <w:tcPr>
            <w:tcW w:w="19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单位规格</w:t>
            </w:r>
          </w:p>
        </w:tc>
        <w:tc>
          <w:tcPr>
            <w:tcW w:w="237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经费保障形式</w:t>
            </w:r>
          </w:p>
        </w:tc>
      </w:tr>
      <w:tr>
        <w:tblPrEx>
          <w:tblLayout w:type="fixed"/>
          <w:tblCellMar>
            <w:top w:w="0" w:type="dxa"/>
            <w:left w:w="108" w:type="dxa"/>
            <w:bottom w:w="0" w:type="dxa"/>
            <w:right w:w="108" w:type="dxa"/>
          </w:tblCellMar>
        </w:tblPrEx>
        <w:trPr>
          <w:trHeight w:val="638" w:hRule="atLeast"/>
        </w:trPr>
        <w:tc>
          <w:tcPr>
            <w:tcW w:w="1080" w:type="dxa"/>
            <w:vMerge w:val="continue"/>
            <w:tcBorders>
              <w:top w:val="nil"/>
              <w:left w:val="single" w:color="auto" w:sz="4" w:space="0"/>
              <w:bottom w:val="single" w:color="000000" w:sz="4" w:space="0"/>
              <w:right w:val="single" w:color="auto" w:sz="4" w:space="0"/>
            </w:tcBorders>
            <w:vAlign w:val="center"/>
          </w:tcPr>
          <w:p>
            <w:pPr>
              <w:widowControl/>
              <w:jc w:val="left"/>
              <w:rPr>
                <w:rFonts w:cs="宋体" w:asciiTheme="minorEastAsia" w:hAnsiTheme="minorEastAsia"/>
                <w:color w:val="000000"/>
                <w:kern w:val="0"/>
                <w:sz w:val="28"/>
                <w:szCs w:val="28"/>
              </w:rPr>
            </w:pPr>
          </w:p>
        </w:tc>
        <w:tc>
          <w:tcPr>
            <w:tcW w:w="2320" w:type="dxa"/>
            <w:vMerge w:val="continue"/>
            <w:tcBorders>
              <w:top w:val="nil"/>
              <w:left w:val="single" w:color="auto" w:sz="4" w:space="0"/>
              <w:bottom w:val="single" w:color="000000" w:sz="4" w:space="0"/>
              <w:right w:val="single" w:color="auto" w:sz="4" w:space="0"/>
            </w:tcBorders>
            <w:vAlign w:val="center"/>
          </w:tcPr>
          <w:p>
            <w:pPr>
              <w:widowControl/>
              <w:jc w:val="left"/>
              <w:rPr>
                <w:rFonts w:cs="宋体" w:asciiTheme="minorEastAsia" w:hAnsiTheme="minorEastAsia"/>
                <w:color w:val="000000"/>
                <w:kern w:val="0"/>
                <w:sz w:val="28"/>
                <w:szCs w:val="28"/>
              </w:rPr>
            </w:pPr>
          </w:p>
        </w:tc>
        <w:tc>
          <w:tcPr>
            <w:tcW w:w="2120" w:type="dxa"/>
            <w:vMerge w:val="continue"/>
            <w:tcBorders>
              <w:top w:val="nil"/>
              <w:left w:val="single" w:color="auto" w:sz="4" w:space="0"/>
              <w:bottom w:val="single" w:color="000000" w:sz="4" w:space="0"/>
              <w:right w:val="single" w:color="auto" w:sz="4" w:space="0"/>
            </w:tcBorders>
            <w:vAlign w:val="center"/>
          </w:tcPr>
          <w:p>
            <w:pPr>
              <w:widowControl/>
              <w:jc w:val="left"/>
              <w:rPr>
                <w:rFonts w:cs="宋体" w:asciiTheme="minorEastAsia" w:hAnsiTheme="minorEastAsia"/>
                <w:color w:val="000000"/>
                <w:kern w:val="0"/>
                <w:sz w:val="28"/>
                <w:szCs w:val="28"/>
              </w:rPr>
            </w:pPr>
          </w:p>
        </w:tc>
        <w:tc>
          <w:tcPr>
            <w:tcW w:w="1900" w:type="dxa"/>
            <w:vMerge w:val="continue"/>
            <w:tcBorders>
              <w:top w:val="nil"/>
              <w:left w:val="single" w:color="auto" w:sz="4" w:space="0"/>
              <w:bottom w:val="single" w:color="000000" w:sz="4" w:space="0"/>
              <w:right w:val="single" w:color="auto" w:sz="4" w:space="0"/>
            </w:tcBorders>
            <w:vAlign w:val="center"/>
          </w:tcPr>
          <w:p>
            <w:pPr>
              <w:widowControl/>
              <w:jc w:val="left"/>
              <w:rPr>
                <w:rFonts w:cs="宋体" w:asciiTheme="minorEastAsia" w:hAnsiTheme="minorEastAsia"/>
                <w:color w:val="000000"/>
                <w:kern w:val="0"/>
                <w:sz w:val="28"/>
                <w:szCs w:val="28"/>
              </w:rPr>
            </w:pPr>
          </w:p>
        </w:tc>
        <w:tc>
          <w:tcPr>
            <w:tcW w:w="2376" w:type="dxa"/>
            <w:vMerge w:val="continue"/>
            <w:tcBorders>
              <w:top w:val="nil"/>
              <w:left w:val="single" w:color="auto" w:sz="4" w:space="0"/>
              <w:bottom w:val="single" w:color="000000" w:sz="4" w:space="0"/>
              <w:right w:val="single" w:color="auto" w:sz="4" w:space="0"/>
            </w:tcBorders>
            <w:vAlign w:val="center"/>
          </w:tcPr>
          <w:p>
            <w:pPr>
              <w:widowControl/>
              <w:jc w:val="left"/>
              <w:rPr>
                <w:rFonts w:cs="宋体" w:asciiTheme="minorEastAsia" w:hAnsiTheme="minorEastAsia"/>
                <w:color w:val="000000"/>
                <w:kern w:val="0"/>
                <w:sz w:val="28"/>
                <w:szCs w:val="28"/>
              </w:rPr>
            </w:pPr>
          </w:p>
        </w:tc>
      </w:tr>
      <w:tr>
        <w:tblPrEx>
          <w:tblLayout w:type="fixed"/>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1</w:t>
            </w:r>
          </w:p>
        </w:tc>
        <w:tc>
          <w:tcPr>
            <w:tcW w:w="23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涞水县行政执法局</w:t>
            </w:r>
          </w:p>
        </w:tc>
        <w:tc>
          <w:tcPr>
            <w:tcW w:w="21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事业</w:t>
            </w:r>
          </w:p>
        </w:tc>
        <w:tc>
          <w:tcPr>
            <w:tcW w:w="190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正科级</w:t>
            </w:r>
          </w:p>
        </w:tc>
        <w:tc>
          <w:tcPr>
            <w:tcW w:w="2376"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8"/>
                <w:szCs w:val="28"/>
              </w:rPr>
            </w:pPr>
            <w:r>
              <w:rPr>
                <w:rFonts w:hint="eastAsia" w:ascii="??_GB2312" w:hAnsi="宋体" w:cs="宋体"/>
                <w:color w:val="000000"/>
                <w:kern w:val="0"/>
                <w:sz w:val="24"/>
                <w:szCs w:val="24"/>
                <w:lang w:eastAsia="zh-CN"/>
              </w:rPr>
              <w:t>财政性资金基本保障</w:t>
            </w:r>
          </w:p>
        </w:tc>
      </w:tr>
    </w:tbl>
    <w:p>
      <w:pPr>
        <w:spacing w:line="560" w:lineRule="exact"/>
        <w:rPr>
          <w:rFonts w:ascii="仿宋_GB2312" w:hAnsi="仿宋_GB2312" w:eastAsia="仿宋_GB2312" w:cs="仿宋_GB2312"/>
          <w:bCs/>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二、部门预算安排总体情况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1、收入情况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2017年预算收入总额1406.78万元，均为财政拨款收入其中：一般公共预算拨款1406.78万元，政府性基金预算拨款0万元，国有资本经营预算拨款0万元，上级补助收入0万元，事业收入0万元，经营收入0万元，附属单位上缴收入0万元，其他收入0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2、支出情况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2017年预算支出总额1406.78万元，其中：基本支出377.68万元，项目支出1029.10万元，上缴上级支出0万元，经营支出0万元，对附属单位补助支出0万元。</w:t>
      </w:r>
    </w:p>
    <w:p>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比上年增减情况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本年度预算安排1406.78万元，较上年减少173.52万元，其中，基本支出增加106.96万元。主要原因职工上调工资。项目支出减少280.48万元，主要减少数字化城管系统开支。</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机关运行经费安排情况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机关运行经费安排31.40万元，其中：办公费7.35万元，邮电费0.36万元，取暖费2.86万元，工会经费2.73万元，职工福利费4.10万元，公务用车运行维护费14.00万。</w:t>
      </w:r>
    </w:p>
    <w:p>
      <w:pPr>
        <w:numPr>
          <w:ilvl w:val="0"/>
          <w:numId w:val="2"/>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财政拨款“三公”经费预算情况及增减</w:t>
      </w:r>
      <w:r>
        <w:rPr>
          <w:rFonts w:hint="eastAsia" w:ascii="仿宋_GB2312" w:hAnsi="仿宋_GB2312" w:eastAsia="仿宋_GB2312" w:cs="仿宋_GB2312"/>
          <w:sz w:val="32"/>
          <w:szCs w:val="32"/>
          <w:lang w:eastAsia="zh-CN"/>
        </w:rPr>
        <w:t>变化情况</w:t>
      </w:r>
    </w:p>
    <w:tbl>
      <w:tblPr>
        <w:tblStyle w:val="5"/>
        <w:tblW w:w="9855" w:type="dxa"/>
        <w:tblInd w:w="0" w:type="dxa"/>
        <w:tblLayout w:type="fixed"/>
        <w:tblCellMar>
          <w:top w:w="0" w:type="dxa"/>
          <w:left w:w="108" w:type="dxa"/>
          <w:bottom w:w="0" w:type="dxa"/>
          <w:right w:w="108" w:type="dxa"/>
        </w:tblCellMar>
      </w:tblPr>
      <w:tblGrid>
        <w:gridCol w:w="2136"/>
        <w:gridCol w:w="1717"/>
        <w:gridCol w:w="1717"/>
        <w:gridCol w:w="1177"/>
        <w:gridCol w:w="3108"/>
      </w:tblGrid>
      <w:tr>
        <w:tblPrEx>
          <w:tblLayout w:type="fixed"/>
          <w:tblCellMar>
            <w:top w:w="0" w:type="dxa"/>
            <w:left w:w="108" w:type="dxa"/>
            <w:bottom w:w="0" w:type="dxa"/>
            <w:right w:w="108" w:type="dxa"/>
          </w:tblCellMar>
        </w:tblPrEx>
        <w:trPr>
          <w:trHeight w:val="405" w:hRule="atLeast"/>
        </w:trPr>
        <w:tc>
          <w:tcPr>
            <w:tcW w:w="9855" w:type="dxa"/>
            <w:gridSpan w:val="5"/>
            <w:tcBorders>
              <w:top w:val="nil"/>
              <w:left w:val="nil"/>
              <w:bottom w:val="nil"/>
              <w:right w:val="nil"/>
            </w:tcBorders>
            <w:vAlign w:val="center"/>
          </w:tcPr>
          <w:p>
            <w:pPr>
              <w:widowControl/>
              <w:spacing w:line="520" w:lineRule="exact"/>
              <w:jc w:val="center"/>
              <w:rPr>
                <w:rFonts w:hint="eastAsia" w:ascii="黑体" w:hAnsi="黑体" w:eastAsia="黑体" w:cs="宋体"/>
                <w:kern w:val="0"/>
                <w:sz w:val="32"/>
                <w:szCs w:val="32"/>
                <w:lang w:eastAsia="zh-CN"/>
              </w:rPr>
            </w:pPr>
            <w:r>
              <w:rPr>
                <w:rFonts w:hint="eastAsia" w:ascii="黑体" w:hAnsi="黑体" w:eastAsia="黑体"/>
                <w:sz w:val="32"/>
                <w:szCs w:val="32"/>
              </w:rPr>
              <w:t>“三公”经费预算情况及增减</w:t>
            </w:r>
            <w:r>
              <w:rPr>
                <w:rFonts w:hint="eastAsia" w:ascii="黑体" w:hAnsi="黑体" w:eastAsia="黑体"/>
                <w:sz w:val="32"/>
                <w:szCs w:val="32"/>
                <w:lang w:eastAsia="zh-CN"/>
              </w:rPr>
              <w:t>变化情况</w:t>
            </w:r>
          </w:p>
        </w:tc>
      </w:tr>
      <w:tr>
        <w:tblPrEx>
          <w:tblLayout w:type="fixed"/>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pPr>
              <w:widowControl/>
              <w:jc w:val="left"/>
              <w:rPr>
                <w:rFonts w:ascii="宋体" w:hAnsi="宋体" w:cs="宋体"/>
                <w:kern w:val="0"/>
                <w:sz w:val="24"/>
                <w:szCs w:val="24"/>
              </w:rPr>
            </w:pPr>
          </w:p>
        </w:tc>
        <w:tc>
          <w:tcPr>
            <w:tcW w:w="1717" w:type="dxa"/>
            <w:tcBorders>
              <w:top w:val="nil"/>
              <w:left w:val="nil"/>
              <w:bottom w:val="nil"/>
              <w:right w:val="nil"/>
            </w:tcBorders>
            <w:vAlign w:val="center"/>
          </w:tcPr>
          <w:p>
            <w:pPr>
              <w:widowControl/>
              <w:jc w:val="left"/>
              <w:rPr>
                <w:rFonts w:ascii="宋体" w:hAnsi="宋体" w:cs="宋体"/>
                <w:kern w:val="0"/>
                <w:sz w:val="24"/>
                <w:szCs w:val="24"/>
              </w:rPr>
            </w:pPr>
          </w:p>
        </w:tc>
        <w:tc>
          <w:tcPr>
            <w:tcW w:w="1717" w:type="dxa"/>
            <w:tcBorders>
              <w:top w:val="nil"/>
              <w:left w:val="nil"/>
              <w:bottom w:val="nil"/>
              <w:right w:val="nil"/>
            </w:tcBorders>
            <w:vAlign w:val="center"/>
          </w:tcPr>
          <w:p>
            <w:pPr>
              <w:widowControl/>
              <w:jc w:val="left"/>
              <w:rPr>
                <w:rFonts w:ascii="宋体" w:hAnsi="宋体" w:cs="宋体"/>
                <w:kern w:val="0"/>
                <w:sz w:val="24"/>
                <w:szCs w:val="24"/>
              </w:rPr>
            </w:pPr>
          </w:p>
        </w:tc>
        <w:tc>
          <w:tcPr>
            <w:tcW w:w="1177" w:type="dxa"/>
            <w:tcBorders>
              <w:top w:val="nil"/>
              <w:left w:val="nil"/>
              <w:bottom w:val="nil"/>
              <w:right w:val="nil"/>
            </w:tcBorders>
            <w:vAlign w:val="center"/>
          </w:tcPr>
          <w:p>
            <w:pPr>
              <w:widowControl/>
              <w:jc w:val="left"/>
              <w:rPr>
                <w:rFonts w:ascii="宋体" w:hAnsi="宋体" w:cs="宋体"/>
                <w:kern w:val="0"/>
                <w:sz w:val="24"/>
                <w:szCs w:val="24"/>
              </w:rPr>
            </w:pPr>
          </w:p>
        </w:tc>
        <w:tc>
          <w:tcPr>
            <w:tcW w:w="3108" w:type="dxa"/>
            <w:tcBorders>
              <w:top w:val="nil"/>
              <w:left w:val="nil"/>
              <w:bottom w:val="nil"/>
              <w:right w:val="nil"/>
            </w:tcBorders>
            <w:vAlign w:val="center"/>
          </w:tcPr>
          <w:p>
            <w:pPr>
              <w:widowControl/>
              <w:jc w:val="right"/>
              <w:rPr>
                <w:rFonts w:ascii="宋体" w:hAnsi="宋体" w:cs="宋体"/>
                <w:kern w:val="0"/>
                <w:sz w:val="24"/>
                <w:szCs w:val="24"/>
              </w:rPr>
            </w:pPr>
            <w:r>
              <w:rPr>
                <w:rFonts w:hint="eastAsia" w:ascii="宋体" w:hAnsi="宋体" w:cs="宋体"/>
                <w:kern w:val="0"/>
                <w:sz w:val="24"/>
                <w:szCs w:val="24"/>
              </w:rPr>
              <w:t>单位：万元</w:t>
            </w:r>
          </w:p>
        </w:tc>
      </w:tr>
      <w:tr>
        <w:tblPrEx>
          <w:tblLayout w:type="fixed"/>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项目名称</w:t>
            </w:r>
          </w:p>
        </w:tc>
        <w:tc>
          <w:tcPr>
            <w:tcW w:w="1717"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2016年度预算</w:t>
            </w:r>
          </w:p>
        </w:tc>
        <w:tc>
          <w:tcPr>
            <w:tcW w:w="1717"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2017年度预算</w:t>
            </w:r>
          </w:p>
        </w:tc>
        <w:tc>
          <w:tcPr>
            <w:tcW w:w="1177"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增减金额</w:t>
            </w:r>
          </w:p>
        </w:tc>
        <w:tc>
          <w:tcPr>
            <w:tcW w:w="3108"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 w:val="24"/>
                <w:szCs w:val="24"/>
                <w:lang w:eastAsia="zh-CN"/>
              </w:rPr>
            </w:pPr>
            <w:r>
              <w:rPr>
                <w:rFonts w:hint="eastAsia" w:ascii="仿宋_GB2312" w:hAnsi="宋体" w:eastAsia="仿宋_GB2312" w:cs="宋体"/>
                <w:kern w:val="0"/>
                <w:sz w:val="24"/>
                <w:szCs w:val="24"/>
                <w:lang w:eastAsia="zh-CN"/>
              </w:rPr>
              <w:t>变化情况</w:t>
            </w:r>
          </w:p>
        </w:tc>
      </w:tr>
      <w:tr>
        <w:tblPrEx>
          <w:tblLayout w:type="fixed"/>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因公出国经费</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11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310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无增减变化</w:t>
            </w:r>
          </w:p>
        </w:tc>
      </w:tr>
      <w:tr>
        <w:tblPrEx>
          <w:tblLayout w:type="fixed"/>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公务用车购置经费</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11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310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无增减变化</w:t>
            </w:r>
          </w:p>
        </w:tc>
      </w:tr>
      <w:tr>
        <w:tblPrEx>
          <w:tblLayout w:type="fixed"/>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公务用车运行经费</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31.2</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31.2</w:t>
            </w:r>
          </w:p>
        </w:tc>
        <w:tc>
          <w:tcPr>
            <w:tcW w:w="11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w:t>
            </w:r>
          </w:p>
        </w:tc>
        <w:tc>
          <w:tcPr>
            <w:tcW w:w="310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无增减变化</w:t>
            </w:r>
          </w:p>
        </w:tc>
      </w:tr>
      <w:tr>
        <w:tblPrEx>
          <w:tblLayout w:type="fixed"/>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公务接待费支出</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0.5</w:t>
            </w:r>
          </w:p>
        </w:tc>
        <w:tc>
          <w:tcPr>
            <w:tcW w:w="11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-1.5</w:t>
            </w:r>
          </w:p>
        </w:tc>
        <w:tc>
          <w:tcPr>
            <w:tcW w:w="310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2017年公务接待费预算减少主要是：有接待任务科室减少公务接待费，认真执行中央八项规定，厉行节约，杜绝浪费。</w:t>
            </w:r>
          </w:p>
        </w:tc>
      </w:tr>
      <w:tr>
        <w:tblPrEx>
          <w:tblLayout w:type="fixed"/>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合计</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33.2</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31.7</w:t>
            </w:r>
          </w:p>
        </w:tc>
        <w:tc>
          <w:tcPr>
            <w:tcW w:w="11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-1.5</w:t>
            </w:r>
          </w:p>
        </w:tc>
        <w:tc>
          <w:tcPr>
            <w:tcW w:w="310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2017年，我局针对三公经费支出制定了严格的管理制度，认真执行中央八项规定，厉行节约，杜绝浪费。从总量来讲，我局的三公经费与2016年相比减少了1.5万元。</w:t>
            </w:r>
          </w:p>
        </w:tc>
      </w:tr>
      <w:tr>
        <w:tblPrEx>
          <w:tblLayout w:type="fixed"/>
          <w:tblCellMar>
            <w:top w:w="0" w:type="dxa"/>
            <w:left w:w="108" w:type="dxa"/>
            <w:bottom w:w="0" w:type="dxa"/>
            <w:right w:w="108" w:type="dxa"/>
          </w:tblCellMar>
        </w:tblPrEx>
        <w:trPr>
          <w:trHeight w:val="285" w:hRule="atLeast"/>
        </w:trPr>
        <w:tc>
          <w:tcPr>
            <w:tcW w:w="2136" w:type="dxa"/>
            <w:tcBorders>
              <w:top w:val="nil"/>
              <w:left w:val="nil"/>
              <w:bottom w:val="nil"/>
              <w:right w:val="nil"/>
            </w:tcBorders>
            <w:vAlign w:val="center"/>
          </w:tcPr>
          <w:p>
            <w:pPr>
              <w:widowControl/>
              <w:jc w:val="left"/>
              <w:rPr>
                <w:rFonts w:ascii="宋体" w:hAnsi="宋体" w:cs="宋体"/>
                <w:kern w:val="0"/>
                <w:sz w:val="24"/>
                <w:szCs w:val="24"/>
              </w:rPr>
            </w:pPr>
          </w:p>
        </w:tc>
        <w:tc>
          <w:tcPr>
            <w:tcW w:w="1717" w:type="dxa"/>
            <w:tcBorders>
              <w:top w:val="nil"/>
              <w:left w:val="nil"/>
              <w:bottom w:val="nil"/>
              <w:right w:val="nil"/>
            </w:tcBorders>
            <w:vAlign w:val="center"/>
          </w:tcPr>
          <w:p>
            <w:pPr>
              <w:widowControl/>
              <w:jc w:val="left"/>
              <w:rPr>
                <w:rFonts w:ascii="宋体" w:hAnsi="宋体" w:cs="宋体"/>
                <w:kern w:val="0"/>
                <w:sz w:val="24"/>
                <w:szCs w:val="24"/>
              </w:rPr>
            </w:pPr>
          </w:p>
        </w:tc>
        <w:tc>
          <w:tcPr>
            <w:tcW w:w="1717" w:type="dxa"/>
            <w:tcBorders>
              <w:top w:val="nil"/>
              <w:left w:val="nil"/>
              <w:bottom w:val="nil"/>
              <w:right w:val="nil"/>
            </w:tcBorders>
            <w:vAlign w:val="center"/>
          </w:tcPr>
          <w:p>
            <w:pPr>
              <w:widowControl/>
              <w:jc w:val="left"/>
              <w:rPr>
                <w:rFonts w:ascii="宋体" w:hAnsi="宋体" w:cs="宋体"/>
                <w:kern w:val="0"/>
                <w:sz w:val="24"/>
                <w:szCs w:val="24"/>
              </w:rPr>
            </w:pPr>
          </w:p>
        </w:tc>
        <w:tc>
          <w:tcPr>
            <w:tcW w:w="1177" w:type="dxa"/>
            <w:tcBorders>
              <w:top w:val="nil"/>
              <w:left w:val="nil"/>
              <w:bottom w:val="nil"/>
              <w:right w:val="nil"/>
            </w:tcBorders>
            <w:vAlign w:val="center"/>
          </w:tcPr>
          <w:p>
            <w:pPr>
              <w:widowControl/>
              <w:jc w:val="left"/>
              <w:rPr>
                <w:rFonts w:ascii="宋体" w:hAnsi="宋体" w:cs="宋体"/>
                <w:kern w:val="0"/>
                <w:sz w:val="24"/>
                <w:szCs w:val="24"/>
              </w:rPr>
            </w:pPr>
          </w:p>
        </w:tc>
        <w:tc>
          <w:tcPr>
            <w:tcW w:w="3108" w:type="dxa"/>
            <w:tcBorders>
              <w:top w:val="nil"/>
              <w:left w:val="nil"/>
              <w:bottom w:val="nil"/>
              <w:right w:val="nil"/>
            </w:tcBorders>
            <w:vAlign w:val="center"/>
          </w:tcPr>
          <w:p>
            <w:pPr>
              <w:widowControl/>
              <w:jc w:val="left"/>
              <w:rPr>
                <w:rFonts w:ascii="宋体" w:hAnsi="宋体" w:cs="宋体"/>
                <w:kern w:val="0"/>
                <w:sz w:val="24"/>
                <w:szCs w:val="24"/>
              </w:rPr>
            </w:pPr>
          </w:p>
        </w:tc>
      </w:tr>
    </w:tbl>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2017年我单位“三公”经费支出31.7万元，其中：公车运行维护费31.2万元，公务接待费0.5万元，</w:t>
      </w:r>
      <w:r>
        <w:rPr>
          <w:rFonts w:hint="eastAsia" w:ascii="仿宋" w:hAnsi="仿宋" w:eastAsia="仿宋"/>
          <w:sz w:val="32"/>
          <w:szCs w:val="32"/>
        </w:rPr>
        <w:t>预计接待</w:t>
      </w:r>
      <w:r>
        <w:rPr>
          <w:rFonts w:hint="eastAsia" w:ascii="仿宋" w:hAnsi="仿宋" w:eastAsia="仿宋"/>
          <w:sz w:val="32"/>
          <w:szCs w:val="32"/>
          <w:lang w:val="en-US" w:eastAsia="zh-CN"/>
        </w:rPr>
        <w:t>3</w:t>
      </w:r>
      <w:r>
        <w:rPr>
          <w:rFonts w:hint="eastAsia" w:ascii="仿宋" w:hAnsi="仿宋" w:eastAsia="仿宋"/>
          <w:sz w:val="32"/>
          <w:szCs w:val="32"/>
        </w:rPr>
        <w:t>批次，共计</w:t>
      </w:r>
      <w:r>
        <w:rPr>
          <w:rFonts w:hint="eastAsia" w:ascii="仿宋" w:hAnsi="仿宋" w:eastAsia="仿宋"/>
          <w:sz w:val="32"/>
          <w:szCs w:val="32"/>
          <w:lang w:val="en-US" w:eastAsia="zh-CN"/>
        </w:rPr>
        <w:t>30</w:t>
      </w:r>
      <w:r>
        <w:rPr>
          <w:rFonts w:hint="eastAsia" w:ascii="仿宋" w:hAnsi="仿宋" w:eastAsia="仿宋"/>
          <w:sz w:val="32"/>
          <w:szCs w:val="32"/>
        </w:rPr>
        <w:t>人</w:t>
      </w:r>
      <w:r>
        <w:rPr>
          <w:rFonts w:hint="eastAsia" w:ascii="仿宋" w:hAnsi="仿宋" w:eastAsia="仿宋"/>
          <w:sz w:val="32"/>
          <w:szCs w:val="32"/>
          <w:lang w:eastAsia="zh-CN"/>
        </w:rPr>
        <w:t>次，</w:t>
      </w:r>
      <w:r>
        <w:rPr>
          <w:rFonts w:hint="eastAsia" w:ascii="仿宋_GB2312" w:hAnsi="仿宋_GB2312" w:eastAsia="仿宋_GB2312" w:cs="仿宋_GB2312"/>
          <w:sz w:val="32"/>
          <w:szCs w:val="32"/>
        </w:rPr>
        <w:t>因公出国出境0万元。2016年我单位预算安排“三公”经费支出33.20万元，其中：公车运行维护费31.2万元，公务接待费2万元，因公出国出境0万元。</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2017年我局严格控制“三公”经费支出，严格执行</w:t>
      </w:r>
      <w:r>
        <w:rPr>
          <w:rFonts w:hint="eastAsia" w:ascii="仿宋_GB2312" w:hAnsi="仿宋_GB2312" w:eastAsia="仿宋_GB2312" w:cs="仿宋_GB2312"/>
          <w:sz w:val="32"/>
          <w:szCs w:val="32"/>
          <w:lang w:eastAsia="zh-CN"/>
        </w:rPr>
        <w:t>中央</w:t>
      </w:r>
      <w:r>
        <w:rPr>
          <w:rFonts w:hint="eastAsia" w:ascii="仿宋_GB2312" w:hAnsi="仿宋_GB2312" w:eastAsia="仿宋_GB2312" w:cs="仿宋_GB2312"/>
          <w:sz w:val="32"/>
          <w:szCs w:val="32"/>
        </w:rPr>
        <w:t>八项规定，公务用车维护费、因公出国出境均与2016部门预算一致，年增长0万元，公务接待费厉行节约减少了1.5万元。</w:t>
      </w:r>
    </w:p>
    <w:p>
      <w:pPr>
        <w:numPr>
          <w:ilvl w:val="0"/>
          <w:numId w:val="2"/>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绩效预算信息情况</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涞水县执法局2017年总体绩效目标：</w:t>
      </w:r>
    </w:p>
    <w:p>
      <w:pPr>
        <w:ind w:firstLine="560"/>
        <w:rPr>
          <w:rFonts w:ascii="仿宋_GB2312" w:hAnsi="仿宋_GB2312" w:eastAsia="仿宋_GB2312" w:cs="仿宋_GB2312"/>
          <w:sz w:val="32"/>
          <w:szCs w:val="32"/>
        </w:rPr>
      </w:pPr>
      <w:r>
        <w:rPr>
          <w:rFonts w:hint="eastAsia" w:ascii="仿宋_GB2312" w:hAnsi="仿宋_GB2312" w:eastAsia="仿宋_GB2312" w:cs="仿宋_GB2312"/>
          <w:sz w:val="32"/>
          <w:szCs w:val="32"/>
        </w:rPr>
        <w:t>2017年在县委、县政府的领导下，加强管理，提高城市承载能力和宜居度。加强城区建设，改善城区人居环境，实现城乡统筹发展。改善人居环境，努力实现年度发展规划目标。</w:t>
      </w:r>
    </w:p>
    <w:p>
      <w:pPr>
        <w:outlineLvl w:val="0"/>
        <w:rPr>
          <w:rFonts w:ascii="方正小标宋_GBK" w:eastAsia="方正小标宋_GBK"/>
          <w:sz w:val="32"/>
        </w:rPr>
      </w:pPr>
      <w:bookmarkStart w:id="0" w:name="_Toc477163533"/>
    </w:p>
    <w:p>
      <w:pPr>
        <w:jc w:val="center"/>
        <w:outlineLvl w:val="0"/>
        <w:rPr>
          <w:rFonts w:ascii="方正小标宋_GBK" w:eastAsia="方正小标宋_GBK"/>
          <w:sz w:val="32"/>
        </w:rPr>
      </w:pPr>
    </w:p>
    <w:p>
      <w:pPr>
        <w:outlineLvl w:val="0"/>
        <w:rPr>
          <w:rFonts w:ascii="方正小标宋_GBK" w:eastAsia="方正小标宋_GBK"/>
          <w:sz w:val="32"/>
        </w:rPr>
        <w:sectPr>
          <w:pgSz w:w="11906" w:h="16838"/>
          <w:pgMar w:top="1440" w:right="1483" w:bottom="1440" w:left="1803" w:header="851" w:footer="992" w:gutter="0"/>
          <w:cols w:space="0" w:num="1"/>
          <w:docGrid w:type="lines" w:linePitch="319" w:charSpace="0"/>
        </w:sectPr>
      </w:pPr>
    </w:p>
    <w:p>
      <w:pPr>
        <w:jc w:val="center"/>
        <w:outlineLvl w:val="0"/>
        <w:rPr>
          <w:rFonts w:ascii="方正小标宋_GBK" w:eastAsia="方正小标宋_GBK"/>
          <w:sz w:val="32"/>
        </w:rPr>
      </w:pPr>
      <w:r>
        <w:rPr>
          <w:rFonts w:hint="eastAsia" w:ascii="方正小标宋_GBK" w:eastAsia="方正小标宋_GBK"/>
          <w:sz w:val="32"/>
        </w:rPr>
        <w:tab/>
      </w:r>
      <w:r>
        <w:rPr>
          <w:rFonts w:hint="eastAsia" w:ascii="方正小标宋_GBK" w:eastAsia="方正小标宋_GBK"/>
          <w:sz w:val="32"/>
        </w:rPr>
        <w:t>部门职责-工作活动绩效目标</w:t>
      </w:r>
    </w:p>
    <w:tbl>
      <w:tblPr>
        <w:tblStyle w:val="5"/>
        <w:tblW w:w="1393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1"/>
        <w:gridCol w:w="1276"/>
        <w:gridCol w:w="2976"/>
        <w:gridCol w:w="2976"/>
        <w:gridCol w:w="1417"/>
        <w:gridCol w:w="737"/>
        <w:gridCol w:w="737"/>
        <w:gridCol w:w="737"/>
        <w:gridCol w:w="73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tblHeader/>
          <w:jc w:val="center"/>
        </w:trPr>
        <w:tc>
          <w:tcPr>
            <w:tcW w:w="10986" w:type="dxa"/>
            <w:gridSpan w:val="5"/>
            <w:tcBorders>
              <w:top w:val="single" w:color="FFFFFF" w:sz="6" w:space="0"/>
              <w:left w:val="single" w:color="FFFFFF" w:sz="6" w:space="0"/>
              <w:right w:val="single" w:color="FFFFFF" w:sz="6" w:space="0"/>
            </w:tcBorders>
            <w:shd w:val="clear" w:color="auto" w:fill="auto"/>
            <w:vAlign w:val="center"/>
          </w:tcPr>
          <w:p>
            <w:pPr>
              <w:spacing w:line="300" w:lineRule="exact"/>
              <w:jc w:val="left"/>
              <w:rPr>
                <w:rFonts w:ascii="方正小标宋_GBK" w:eastAsia="方正小标宋_GBK"/>
                <w:sz w:val="24"/>
              </w:rPr>
            </w:pPr>
            <w:r>
              <w:rPr>
                <w:rFonts w:ascii="方正小标宋_GBK" w:eastAsia="方正小标宋_GBK"/>
                <w:sz w:val="24"/>
              </w:rPr>
              <w:t>565</w:t>
            </w:r>
            <w:r>
              <w:rPr>
                <w:rFonts w:hint="eastAsia" w:ascii="方正小标宋_GBK" w:eastAsia="方正小标宋_GBK"/>
                <w:sz w:val="24"/>
              </w:rPr>
              <w:t>涞水县城市管理行政执法局</w:t>
            </w:r>
          </w:p>
        </w:tc>
        <w:tc>
          <w:tcPr>
            <w:tcW w:w="2948" w:type="dxa"/>
            <w:gridSpan w:val="4"/>
            <w:tcBorders>
              <w:top w:val="single" w:color="FFFFFF" w:sz="6" w:space="0"/>
              <w:left w:val="single" w:color="FFFFFF" w:sz="6" w:space="0"/>
              <w:right w:val="single" w:color="FFFFFF" w:sz="6" w:space="0"/>
            </w:tcBorders>
            <w:shd w:val="clear" w:color="auto" w:fill="auto"/>
            <w:vAlign w:val="center"/>
          </w:tcPr>
          <w:p>
            <w:pPr>
              <w:spacing w:line="300" w:lineRule="exact"/>
              <w:jc w:val="right"/>
              <w:rPr>
                <w:rFonts w:ascii="方正书宋_GBK" w:eastAsia="方正书宋_GBK"/>
                <w:sz w:val="24"/>
              </w:rPr>
            </w:pPr>
            <w:r>
              <w:rPr>
                <w:rFonts w:hint="eastAsia" w:ascii="方正书宋_GBK" w:eastAsia="方正书宋_GBK"/>
                <w:sz w:val="24"/>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tblHeader/>
          <w:jc w:val="center"/>
        </w:trPr>
        <w:tc>
          <w:tcPr>
            <w:tcW w:w="2341" w:type="dxa"/>
            <w:vMerge w:val="restart"/>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职责活动</w:t>
            </w:r>
          </w:p>
        </w:tc>
        <w:tc>
          <w:tcPr>
            <w:tcW w:w="1276" w:type="dxa"/>
            <w:vMerge w:val="restart"/>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年度预算数</w:t>
            </w:r>
          </w:p>
        </w:tc>
        <w:tc>
          <w:tcPr>
            <w:tcW w:w="2976" w:type="dxa"/>
            <w:vMerge w:val="restart"/>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内容描述</w:t>
            </w:r>
          </w:p>
        </w:tc>
        <w:tc>
          <w:tcPr>
            <w:tcW w:w="2976" w:type="dxa"/>
            <w:vMerge w:val="restart"/>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1417" w:type="dxa"/>
            <w:vMerge w:val="restart"/>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绩效指标</w:t>
            </w:r>
          </w:p>
        </w:tc>
        <w:tc>
          <w:tcPr>
            <w:tcW w:w="2948" w:type="dxa"/>
            <w:gridSpan w:val="4"/>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评价标准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tblHeader/>
          <w:jc w:val="center"/>
        </w:trPr>
        <w:tc>
          <w:tcPr>
            <w:tcW w:w="2341" w:type="dxa"/>
            <w:vMerge w:val="continue"/>
            <w:shd w:val="clear" w:color="auto" w:fill="auto"/>
            <w:vAlign w:val="center"/>
          </w:tcPr>
          <w:p>
            <w:pPr>
              <w:spacing w:line="300" w:lineRule="exact"/>
              <w:jc w:val="left"/>
              <w:outlineLvl w:val="0"/>
            </w:pPr>
          </w:p>
        </w:tc>
        <w:tc>
          <w:tcPr>
            <w:tcW w:w="1276" w:type="dxa"/>
            <w:vMerge w:val="continue"/>
            <w:shd w:val="clear" w:color="auto" w:fill="auto"/>
            <w:vAlign w:val="center"/>
          </w:tcPr>
          <w:p>
            <w:pPr>
              <w:spacing w:line="300" w:lineRule="exact"/>
              <w:jc w:val="left"/>
              <w:outlineLvl w:val="0"/>
            </w:pPr>
          </w:p>
        </w:tc>
        <w:tc>
          <w:tcPr>
            <w:tcW w:w="2976" w:type="dxa"/>
            <w:vMerge w:val="continue"/>
            <w:shd w:val="clear" w:color="auto" w:fill="auto"/>
            <w:vAlign w:val="center"/>
          </w:tcPr>
          <w:p>
            <w:pPr>
              <w:spacing w:line="300" w:lineRule="exact"/>
              <w:jc w:val="left"/>
              <w:outlineLvl w:val="0"/>
            </w:pPr>
          </w:p>
        </w:tc>
        <w:tc>
          <w:tcPr>
            <w:tcW w:w="2976" w:type="dxa"/>
            <w:vMerge w:val="continue"/>
            <w:shd w:val="clear" w:color="auto" w:fill="auto"/>
            <w:vAlign w:val="center"/>
          </w:tcPr>
          <w:p>
            <w:pPr>
              <w:spacing w:line="300" w:lineRule="exact"/>
              <w:jc w:val="left"/>
              <w:outlineLvl w:val="0"/>
            </w:pPr>
          </w:p>
        </w:tc>
        <w:tc>
          <w:tcPr>
            <w:tcW w:w="1417" w:type="dxa"/>
            <w:vMerge w:val="continue"/>
            <w:shd w:val="clear" w:color="auto" w:fill="auto"/>
            <w:vAlign w:val="center"/>
          </w:tcPr>
          <w:p>
            <w:pPr>
              <w:spacing w:line="300" w:lineRule="exact"/>
              <w:jc w:val="left"/>
              <w:outlineLvl w:val="0"/>
            </w:pPr>
          </w:p>
        </w:tc>
        <w:tc>
          <w:tcPr>
            <w:tcW w:w="737"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优</w:t>
            </w:r>
          </w:p>
        </w:tc>
        <w:tc>
          <w:tcPr>
            <w:tcW w:w="737"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良</w:t>
            </w:r>
          </w:p>
        </w:tc>
        <w:tc>
          <w:tcPr>
            <w:tcW w:w="737"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中</w:t>
            </w:r>
          </w:p>
        </w:tc>
        <w:tc>
          <w:tcPr>
            <w:tcW w:w="737"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shd w:val="clear" w:color="auto" w:fill="auto"/>
            <w:vAlign w:val="center"/>
          </w:tcPr>
          <w:p>
            <w:pPr>
              <w:spacing w:line="300" w:lineRule="exact"/>
              <w:ind w:firstLine="422" w:firstLineChars="200"/>
              <w:jc w:val="left"/>
              <w:rPr>
                <w:rFonts w:ascii="方正书宋_GBK" w:eastAsia="方正书宋_GBK"/>
                <w:b/>
              </w:rPr>
            </w:pPr>
            <w:r>
              <w:rPr>
                <w:rFonts w:hint="eastAsia" w:ascii="方正书宋_GBK" w:eastAsia="方正书宋_GBK"/>
                <w:b/>
              </w:rPr>
              <w:t>城市管理</w:t>
            </w:r>
          </w:p>
        </w:tc>
        <w:tc>
          <w:tcPr>
            <w:tcW w:w="1276" w:type="dxa"/>
            <w:shd w:val="clear" w:color="auto" w:fill="auto"/>
            <w:vAlign w:val="center"/>
          </w:tcPr>
          <w:p>
            <w:pPr>
              <w:spacing w:line="300" w:lineRule="exact"/>
              <w:jc w:val="left"/>
              <w:rPr>
                <w:rFonts w:ascii="方正书宋_GBK" w:eastAsia="方正书宋_GBK"/>
              </w:rPr>
            </w:pPr>
            <w:r>
              <w:rPr>
                <w:rFonts w:ascii="方正书宋_GBK" w:eastAsia="方正书宋_GBK"/>
              </w:rPr>
              <w:t>1029.10</w:t>
            </w: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负责城区市容环境卫生、城市规划、城市绿化、市政公用设施、环境保护、工商行政管理、公安交通；安全和应急管理；改善城区人居环境。</w:t>
            </w: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加强管理，提高城市承载能力和宜居度。加强城区建设，改善城区人居环境，实现城乡统筹发展。</w:t>
            </w:r>
          </w:p>
        </w:tc>
        <w:tc>
          <w:tcPr>
            <w:tcW w:w="1417" w:type="dxa"/>
            <w:shd w:val="clear" w:color="auto" w:fill="auto"/>
            <w:vAlign w:val="center"/>
          </w:tcPr>
          <w:p>
            <w:pPr>
              <w:spacing w:line="300" w:lineRule="exact"/>
              <w:jc w:val="left"/>
              <w:rPr>
                <w:rFonts w:ascii="方正书宋_GBK" w:eastAsia="方正书宋_GBK"/>
              </w:rPr>
            </w:pPr>
          </w:p>
        </w:tc>
        <w:tc>
          <w:tcPr>
            <w:tcW w:w="737" w:type="dxa"/>
            <w:shd w:val="clear" w:color="auto" w:fill="auto"/>
            <w:vAlign w:val="center"/>
          </w:tcPr>
          <w:p>
            <w:pPr>
              <w:spacing w:line="300" w:lineRule="exact"/>
              <w:jc w:val="center"/>
              <w:rPr>
                <w:rFonts w:ascii="方正书宋_GBK" w:eastAsia="方正书宋_GBK"/>
              </w:rPr>
            </w:pPr>
          </w:p>
        </w:tc>
        <w:tc>
          <w:tcPr>
            <w:tcW w:w="737" w:type="dxa"/>
            <w:shd w:val="clear" w:color="auto" w:fill="auto"/>
            <w:vAlign w:val="center"/>
          </w:tcPr>
          <w:p>
            <w:pPr>
              <w:spacing w:line="300" w:lineRule="exact"/>
              <w:jc w:val="center"/>
              <w:rPr>
                <w:rFonts w:ascii="方正书宋_GBK" w:eastAsia="方正书宋_GBK"/>
              </w:rPr>
            </w:pPr>
          </w:p>
        </w:tc>
        <w:tc>
          <w:tcPr>
            <w:tcW w:w="737" w:type="dxa"/>
            <w:shd w:val="clear" w:color="auto" w:fill="auto"/>
            <w:vAlign w:val="center"/>
          </w:tcPr>
          <w:p>
            <w:pPr>
              <w:spacing w:line="300" w:lineRule="exact"/>
              <w:jc w:val="center"/>
              <w:rPr>
                <w:rFonts w:ascii="方正书宋_GBK" w:eastAsia="方正书宋_GBK"/>
              </w:rPr>
            </w:pPr>
          </w:p>
        </w:tc>
        <w:tc>
          <w:tcPr>
            <w:tcW w:w="737" w:type="dxa"/>
            <w:shd w:val="clear" w:color="auto" w:fill="auto"/>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pPr>
              <w:spacing w:line="300" w:lineRule="exact"/>
              <w:jc w:val="left"/>
              <w:rPr>
                <w:rFonts w:ascii="方正书宋_GBK" w:eastAsia="方正书宋_GBK"/>
                <w:b/>
              </w:rPr>
            </w:pPr>
            <w:r>
              <w:rPr>
                <w:rFonts w:hint="eastAsia" w:ascii="方正书宋_GBK" w:eastAsia="方正书宋_GBK"/>
                <w:b/>
              </w:rPr>
              <w:t>　　城市容貌环境综合整治</w:t>
            </w:r>
          </w:p>
        </w:tc>
        <w:tc>
          <w:tcPr>
            <w:tcW w:w="1276" w:type="dxa"/>
            <w:vMerge w:val="restart"/>
            <w:shd w:val="clear" w:color="auto" w:fill="auto"/>
            <w:vAlign w:val="center"/>
          </w:tcPr>
          <w:p>
            <w:pPr>
              <w:spacing w:line="300" w:lineRule="exact"/>
              <w:jc w:val="left"/>
              <w:rPr>
                <w:rFonts w:ascii="方正书宋_GBK" w:eastAsia="方正书宋_GBK"/>
              </w:rPr>
            </w:pPr>
            <w:r>
              <w:rPr>
                <w:rFonts w:ascii="方正书宋_GBK" w:eastAsia="方正书宋_GBK"/>
              </w:rPr>
              <w:t>1029.10</w:t>
            </w:r>
          </w:p>
        </w:tc>
        <w:tc>
          <w:tcPr>
            <w:tcW w:w="2976" w:type="dxa"/>
            <w:vMerge w:val="restart"/>
            <w:shd w:val="clear" w:color="auto" w:fill="auto"/>
            <w:vAlign w:val="center"/>
          </w:tcPr>
          <w:p>
            <w:pPr>
              <w:spacing w:line="300" w:lineRule="exact"/>
              <w:jc w:val="left"/>
              <w:rPr>
                <w:rFonts w:ascii="方正书宋_GBK" w:eastAsia="方正书宋_GBK"/>
              </w:rPr>
            </w:pPr>
            <w:r>
              <w:rPr>
                <w:rFonts w:hint="eastAsia" w:ascii="方正书宋_GBK" w:eastAsia="方正书宋_GBK"/>
              </w:rPr>
              <w:t>负责城区市容环境治理、城建监察等各项工作，改善人居环境，大气污染治理。</w:t>
            </w:r>
          </w:p>
        </w:tc>
        <w:tc>
          <w:tcPr>
            <w:tcW w:w="2976" w:type="dxa"/>
            <w:vMerge w:val="restart"/>
            <w:shd w:val="clear" w:color="auto" w:fill="auto"/>
            <w:vAlign w:val="center"/>
          </w:tcPr>
          <w:p>
            <w:pPr>
              <w:spacing w:line="300" w:lineRule="exact"/>
              <w:jc w:val="left"/>
              <w:rPr>
                <w:rFonts w:ascii="方正书宋_GBK" w:eastAsia="方正书宋_GBK"/>
              </w:rPr>
            </w:pPr>
            <w:r>
              <w:rPr>
                <w:rFonts w:hint="eastAsia" w:ascii="方正书宋_GBK" w:eastAsia="方正书宋_GBK"/>
              </w:rPr>
              <w:t>推进国家级园林城市创建进程，加强大气污染治理力度。</w:t>
            </w:r>
          </w:p>
        </w:tc>
        <w:tc>
          <w:tcPr>
            <w:tcW w:w="141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垃圾处理率</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96%</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pPr>
              <w:spacing w:line="300" w:lineRule="exact"/>
              <w:jc w:val="left"/>
              <w:rPr>
                <w:rFonts w:ascii="方正书宋_GBK" w:eastAsia="方正书宋_GBK"/>
                <w:b/>
              </w:rPr>
            </w:pPr>
          </w:p>
        </w:tc>
        <w:tc>
          <w:tcPr>
            <w:tcW w:w="1276" w:type="dxa"/>
            <w:vMerge w:val="continue"/>
            <w:shd w:val="clear" w:color="auto" w:fill="auto"/>
            <w:vAlign w:val="center"/>
          </w:tcPr>
          <w:p>
            <w:pPr>
              <w:spacing w:line="300" w:lineRule="exact"/>
              <w:jc w:val="left"/>
              <w:rPr>
                <w:rFonts w:ascii="方正书宋_GBK" w:eastAsia="方正书宋_GBK"/>
              </w:rPr>
            </w:pPr>
          </w:p>
        </w:tc>
        <w:tc>
          <w:tcPr>
            <w:tcW w:w="2976" w:type="dxa"/>
            <w:vMerge w:val="continue"/>
            <w:shd w:val="clear" w:color="auto" w:fill="auto"/>
            <w:vAlign w:val="center"/>
          </w:tcPr>
          <w:p>
            <w:pPr>
              <w:spacing w:line="300" w:lineRule="exact"/>
              <w:jc w:val="left"/>
              <w:rPr>
                <w:rFonts w:ascii="方正书宋_GBK" w:eastAsia="方正书宋_GBK"/>
              </w:rPr>
            </w:pPr>
          </w:p>
        </w:tc>
        <w:tc>
          <w:tcPr>
            <w:tcW w:w="2976" w:type="dxa"/>
            <w:vMerge w:val="continue"/>
            <w:shd w:val="clear" w:color="auto" w:fill="auto"/>
            <w:vAlign w:val="center"/>
          </w:tcPr>
          <w:p>
            <w:pPr>
              <w:spacing w:line="300" w:lineRule="exact"/>
              <w:jc w:val="left"/>
              <w:rPr>
                <w:rFonts w:ascii="方正书宋_GBK" w:eastAsia="方正书宋_GBK"/>
              </w:rPr>
            </w:pPr>
          </w:p>
        </w:tc>
        <w:tc>
          <w:tcPr>
            <w:tcW w:w="141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机械化清扫率</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71%</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69%</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67%</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pPr>
              <w:spacing w:line="300" w:lineRule="exact"/>
              <w:jc w:val="left"/>
              <w:rPr>
                <w:rFonts w:ascii="方正书宋_GBK" w:eastAsia="方正书宋_GBK"/>
                <w:b/>
              </w:rPr>
            </w:pPr>
          </w:p>
        </w:tc>
        <w:tc>
          <w:tcPr>
            <w:tcW w:w="1276" w:type="dxa"/>
            <w:vMerge w:val="continue"/>
            <w:shd w:val="clear" w:color="auto" w:fill="auto"/>
            <w:vAlign w:val="center"/>
          </w:tcPr>
          <w:p>
            <w:pPr>
              <w:spacing w:line="300" w:lineRule="exact"/>
              <w:jc w:val="left"/>
              <w:rPr>
                <w:rFonts w:ascii="方正书宋_GBK" w:eastAsia="方正书宋_GBK"/>
              </w:rPr>
            </w:pPr>
          </w:p>
        </w:tc>
        <w:tc>
          <w:tcPr>
            <w:tcW w:w="2976" w:type="dxa"/>
            <w:vMerge w:val="continue"/>
            <w:shd w:val="clear" w:color="auto" w:fill="auto"/>
            <w:vAlign w:val="center"/>
          </w:tcPr>
          <w:p>
            <w:pPr>
              <w:spacing w:line="300" w:lineRule="exact"/>
              <w:jc w:val="left"/>
              <w:rPr>
                <w:rFonts w:ascii="方正书宋_GBK" w:eastAsia="方正书宋_GBK"/>
              </w:rPr>
            </w:pPr>
          </w:p>
        </w:tc>
        <w:tc>
          <w:tcPr>
            <w:tcW w:w="2976" w:type="dxa"/>
            <w:vMerge w:val="continue"/>
            <w:shd w:val="clear" w:color="auto" w:fill="auto"/>
            <w:vAlign w:val="center"/>
          </w:tcPr>
          <w:p>
            <w:pPr>
              <w:spacing w:line="300" w:lineRule="exact"/>
              <w:jc w:val="left"/>
              <w:rPr>
                <w:rFonts w:ascii="方正书宋_GBK" w:eastAsia="方正书宋_GBK"/>
              </w:rPr>
            </w:pPr>
          </w:p>
        </w:tc>
        <w:tc>
          <w:tcPr>
            <w:tcW w:w="141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市容环境治理完成率</w:t>
            </w:r>
          </w:p>
        </w:tc>
        <w:tc>
          <w:tcPr>
            <w:tcW w:w="737" w:type="dxa"/>
            <w:shd w:val="clear" w:color="auto" w:fill="auto"/>
            <w:vAlign w:val="center"/>
          </w:tcPr>
          <w:p>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shd w:val="clear" w:color="auto" w:fill="auto"/>
            <w:vAlign w:val="center"/>
          </w:tcPr>
          <w:p>
            <w:pPr>
              <w:spacing w:line="300" w:lineRule="exact"/>
              <w:jc w:val="left"/>
              <w:rPr>
                <w:rFonts w:ascii="方正书宋_GBK" w:eastAsia="方正书宋_GBK"/>
                <w:b/>
              </w:rPr>
            </w:pPr>
            <w:r>
              <w:rPr>
                <w:rFonts w:hint="eastAsia" w:ascii="方正书宋_GBK" w:eastAsia="方正书宋_GBK"/>
                <w:b/>
              </w:rPr>
              <w:t>　　城市绿化巡查与查处</w:t>
            </w:r>
          </w:p>
        </w:tc>
        <w:tc>
          <w:tcPr>
            <w:tcW w:w="1276" w:type="dxa"/>
            <w:shd w:val="clear" w:color="auto" w:fill="auto"/>
            <w:vAlign w:val="center"/>
          </w:tcPr>
          <w:p>
            <w:pPr>
              <w:spacing w:line="300" w:lineRule="exact"/>
              <w:jc w:val="left"/>
              <w:rPr>
                <w:rFonts w:ascii="方正书宋_GBK" w:eastAsia="方正书宋_GBK"/>
              </w:rPr>
            </w:pP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对城市进行绿化建设并对破坏绿化、不符合标准的进行处罚</w:t>
            </w: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城市绿化巡查</w:t>
            </w:r>
          </w:p>
        </w:tc>
        <w:tc>
          <w:tcPr>
            <w:tcW w:w="141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巡查破坏城市绿化</w:t>
            </w:r>
          </w:p>
        </w:tc>
        <w:tc>
          <w:tcPr>
            <w:tcW w:w="737" w:type="dxa"/>
            <w:shd w:val="clear" w:color="auto" w:fill="auto"/>
            <w:vAlign w:val="center"/>
          </w:tcPr>
          <w:p>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shd w:val="clear" w:color="auto" w:fill="auto"/>
            <w:vAlign w:val="center"/>
          </w:tcPr>
          <w:p>
            <w:pPr>
              <w:spacing w:line="300" w:lineRule="exact"/>
              <w:jc w:val="left"/>
              <w:rPr>
                <w:rFonts w:ascii="方正书宋_GBK" w:eastAsia="方正书宋_GBK"/>
                <w:b/>
              </w:rPr>
            </w:pPr>
            <w:r>
              <w:rPr>
                <w:rFonts w:hint="eastAsia" w:ascii="方正书宋_GBK" w:eastAsia="方正书宋_GBK"/>
                <w:b/>
              </w:rPr>
              <w:t>　　城市规划巡查与查处</w:t>
            </w:r>
          </w:p>
        </w:tc>
        <w:tc>
          <w:tcPr>
            <w:tcW w:w="1276" w:type="dxa"/>
            <w:shd w:val="clear" w:color="auto" w:fill="auto"/>
            <w:vAlign w:val="center"/>
          </w:tcPr>
          <w:p>
            <w:pPr>
              <w:spacing w:line="300" w:lineRule="exact"/>
              <w:jc w:val="left"/>
              <w:rPr>
                <w:rFonts w:ascii="方正书宋_GBK" w:eastAsia="方正书宋_GBK"/>
              </w:rPr>
            </w:pP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城区违法违规建筑的监督及查处</w:t>
            </w: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城市规划巡查</w:t>
            </w:r>
          </w:p>
        </w:tc>
        <w:tc>
          <w:tcPr>
            <w:tcW w:w="141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巡查未取得《建设工程规划许可证》或者违反《建设工程规划许可证》规定进行建设</w:t>
            </w:r>
          </w:p>
        </w:tc>
        <w:tc>
          <w:tcPr>
            <w:tcW w:w="737" w:type="dxa"/>
            <w:shd w:val="clear" w:color="auto" w:fill="auto"/>
            <w:vAlign w:val="center"/>
          </w:tcPr>
          <w:p>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shd w:val="clear" w:color="auto" w:fill="auto"/>
            <w:vAlign w:val="center"/>
          </w:tcPr>
          <w:p>
            <w:pPr>
              <w:spacing w:line="300" w:lineRule="exact"/>
              <w:jc w:val="left"/>
              <w:rPr>
                <w:rFonts w:ascii="方正书宋_GBK" w:eastAsia="方正书宋_GBK"/>
                <w:b/>
              </w:rPr>
            </w:pPr>
            <w:r>
              <w:rPr>
                <w:rFonts w:hint="eastAsia" w:ascii="方正书宋_GBK" w:eastAsia="方正书宋_GBK"/>
                <w:b/>
              </w:rPr>
              <w:t>　　市政公用设施巡查与查处</w:t>
            </w:r>
          </w:p>
        </w:tc>
        <w:tc>
          <w:tcPr>
            <w:tcW w:w="1276" w:type="dxa"/>
            <w:shd w:val="clear" w:color="auto" w:fill="auto"/>
            <w:vAlign w:val="center"/>
          </w:tcPr>
          <w:p>
            <w:pPr>
              <w:spacing w:line="300" w:lineRule="exact"/>
              <w:jc w:val="left"/>
              <w:rPr>
                <w:rFonts w:ascii="方正书宋_GBK" w:eastAsia="方正书宋_GBK"/>
              </w:rPr>
            </w:pP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负责查处破坏市政公用设施行为并处罚。</w:t>
            </w: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市政公用设施巡查</w:t>
            </w:r>
          </w:p>
        </w:tc>
        <w:tc>
          <w:tcPr>
            <w:tcW w:w="141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巡查破坏市政公用基础设施</w:t>
            </w:r>
          </w:p>
        </w:tc>
        <w:tc>
          <w:tcPr>
            <w:tcW w:w="737" w:type="dxa"/>
            <w:shd w:val="clear" w:color="auto" w:fill="auto"/>
            <w:vAlign w:val="center"/>
          </w:tcPr>
          <w:p>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shd w:val="clear" w:color="auto" w:fill="auto"/>
            <w:vAlign w:val="center"/>
          </w:tcPr>
          <w:p>
            <w:pPr>
              <w:spacing w:line="300" w:lineRule="exact"/>
              <w:jc w:val="left"/>
              <w:rPr>
                <w:rFonts w:ascii="方正书宋_GBK" w:eastAsia="方正书宋_GBK"/>
                <w:b/>
              </w:rPr>
            </w:pPr>
            <w:r>
              <w:rPr>
                <w:rFonts w:hint="eastAsia" w:ascii="方正书宋_GBK" w:eastAsia="方正书宋_GBK"/>
                <w:b/>
              </w:rPr>
              <w:t>　　环境保护巡查与查处</w:t>
            </w:r>
          </w:p>
        </w:tc>
        <w:tc>
          <w:tcPr>
            <w:tcW w:w="1276" w:type="dxa"/>
            <w:shd w:val="clear" w:color="auto" w:fill="auto"/>
            <w:vAlign w:val="center"/>
          </w:tcPr>
          <w:p>
            <w:pPr>
              <w:spacing w:line="300" w:lineRule="exact"/>
              <w:jc w:val="left"/>
              <w:rPr>
                <w:rFonts w:ascii="方正书宋_GBK" w:eastAsia="方正书宋_GBK"/>
              </w:rPr>
            </w:pP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负责对噪</w:t>
            </w:r>
            <w:r>
              <w:rPr>
                <w:rFonts w:hint="eastAsia" w:ascii="方正书宋_GBK" w:eastAsia="方正书宋_GBK"/>
                <w:lang w:eastAsia="zh-CN"/>
              </w:rPr>
              <w:t>声</w:t>
            </w:r>
            <w:r>
              <w:rPr>
                <w:rFonts w:hint="eastAsia" w:ascii="方正书宋_GBK" w:eastAsia="方正书宋_GBK"/>
              </w:rPr>
              <w:t>污染、城市饮食服务业超标排放、向城市建成区范围内排水管网、河道、水面排污、倾倒工业废渣、城市垃圾和其他废弃物巡查并查处。</w:t>
            </w: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环境保护巡查</w:t>
            </w:r>
          </w:p>
        </w:tc>
        <w:tc>
          <w:tcPr>
            <w:tcW w:w="141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巡查噪</w:t>
            </w:r>
            <w:r>
              <w:rPr>
                <w:rFonts w:hint="eastAsia" w:ascii="方正书宋_GBK" w:eastAsia="方正书宋_GBK"/>
                <w:lang w:eastAsia="zh-CN"/>
              </w:rPr>
              <w:t>声</w:t>
            </w:r>
            <w:r>
              <w:rPr>
                <w:rFonts w:hint="eastAsia" w:ascii="方正书宋_GBK" w:eastAsia="方正书宋_GBK"/>
              </w:rPr>
              <w:t>污染、城市饮食服务业超标排放、向城市建成区范围内排水管网、河道、水面排污、倾倒工业废渣、城市垃圾和其他废弃物</w:t>
            </w:r>
          </w:p>
        </w:tc>
        <w:tc>
          <w:tcPr>
            <w:tcW w:w="737" w:type="dxa"/>
            <w:shd w:val="clear" w:color="auto" w:fill="auto"/>
            <w:vAlign w:val="center"/>
          </w:tcPr>
          <w:p>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shd w:val="clear" w:color="auto" w:fill="auto"/>
            <w:vAlign w:val="center"/>
          </w:tcPr>
          <w:p>
            <w:pPr>
              <w:spacing w:line="300" w:lineRule="exact"/>
              <w:jc w:val="left"/>
              <w:rPr>
                <w:rFonts w:ascii="方正书宋_GBK" w:eastAsia="方正书宋_GBK"/>
                <w:b/>
              </w:rPr>
            </w:pPr>
            <w:r>
              <w:rPr>
                <w:rFonts w:hint="eastAsia" w:ascii="方正书宋_GBK" w:eastAsia="方正书宋_GBK"/>
                <w:b/>
              </w:rPr>
              <w:t>　　工商行政管理巡查与查处</w:t>
            </w:r>
          </w:p>
        </w:tc>
        <w:tc>
          <w:tcPr>
            <w:tcW w:w="1276" w:type="dxa"/>
            <w:shd w:val="clear" w:color="auto" w:fill="auto"/>
            <w:vAlign w:val="center"/>
          </w:tcPr>
          <w:p>
            <w:pPr>
              <w:spacing w:line="300" w:lineRule="exact"/>
              <w:jc w:val="left"/>
              <w:rPr>
                <w:rFonts w:ascii="方正书宋_GBK" w:eastAsia="方正书宋_GBK"/>
              </w:rPr>
            </w:pP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负责城区范围内店外或专业市场外经营、无照商贩巡查并查处。</w:t>
            </w: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工商行政管理巡查</w:t>
            </w:r>
          </w:p>
        </w:tc>
        <w:tc>
          <w:tcPr>
            <w:tcW w:w="141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巡查城区范围内店外或专业市场外经营、无照商贩。</w:t>
            </w:r>
          </w:p>
        </w:tc>
        <w:tc>
          <w:tcPr>
            <w:tcW w:w="737" w:type="dxa"/>
            <w:shd w:val="clear" w:color="auto" w:fill="auto"/>
            <w:vAlign w:val="center"/>
          </w:tcPr>
          <w:p>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shd w:val="clear" w:color="auto" w:fill="auto"/>
            <w:vAlign w:val="center"/>
          </w:tcPr>
          <w:p>
            <w:pPr>
              <w:spacing w:line="300" w:lineRule="exact"/>
              <w:jc w:val="left"/>
              <w:rPr>
                <w:rFonts w:ascii="方正书宋_GBK" w:eastAsia="方正书宋_GBK"/>
                <w:b/>
              </w:rPr>
            </w:pPr>
            <w:r>
              <w:rPr>
                <w:rFonts w:hint="eastAsia" w:ascii="方正书宋_GBK" w:eastAsia="方正书宋_GBK"/>
                <w:b/>
              </w:rPr>
              <w:t>　　公安交通巡查与查处</w:t>
            </w:r>
          </w:p>
        </w:tc>
        <w:tc>
          <w:tcPr>
            <w:tcW w:w="1276" w:type="dxa"/>
            <w:shd w:val="clear" w:color="auto" w:fill="auto"/>
            <w:vAlign w:val="center"/>
          </w:tcPr>
          <w:p>
            <w:pPr>
              <w:spacing w:line="300" w:lineRule="exact"/>
              <w:jc w:val="left"/>
              <w:rPr>
                <w:rFonts w:ascii="方正书宋_GBK" w:eastAsia="方正书宋_GBK"/>
              </w:rPr>
            </w:pP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负责侵占城市道路两侧人行道。</w:t>
            </w: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公安交通巡查</w:t>
            </w:r>
          </w:p>
        </w:tc>
        <w:tc>
          <w:tcPr>
            <w:tcW w:w="141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巡查侵占城市道路两侧人行道。</w:t>
            </w:r>
          </w:p>
        </w:tc>
        <w:tc>
          <w:tcPr>
            <w:tcW w:w="737" w:type="dxa"/>
            <w:shd w:val="clear" w:color="auto" w:fill="auto"/>
            <w:vAlign w:val="center"/>
          </w:tcPr>
          <w:p>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shd w:val="clear" w:color="auto" w:fill="auto"/>
            <w:vAlign w:val="center"/>
          </w:tcPr>
          <w:p>
            <w:pPr>
              <w:spacing w:line="300" w:lineRule="exact"/>
              <w:jc w:val="left"/>
              <w:rPr>
                <w:rFonts w:ascii="方正书宋_GBK" w:eastAsia="方正书宋_GBK"/>
                <w:b/>
              </w:rPr>
            </w:pPr>
            <w:r>
              <w:rPr>
                <w:rFonts w:hint="eastAsia" w:ascii="方正书宋_GBK" w:eastAsia="方正书宋_GBK"/>
                <w:b/>
              </w:rPr>
              <w:t>城市管理政务管理</w:t>
            </w:r>
          </w:p>
        </w:tc>
        <w:tc>
          <w:tcPr>
            <w:tcW w:w="1276" w:type="dxa"/>
            <w:shd w:val="clear" w:color="auto" w:fill="auto"/>
            <w:vAlign w:val="center"/>
          </w:tcPr>
          <w:p>
            <w:pPr>
              <w:spacing w:line="300" w:lineRule="exact"/>
              <w:jc w:val="left"/>
              <w:rPr>
                <w:rFonts w:ascii="方正书宋_GBK" w:eastAsia="方正书宋_GBK"/>
              </w:rPr>
            </w:pP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负责城市管理系统综合业务管理和综合事务管理。</w:t>
            </w: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加强全县城管执法人才队伍建设，提高人才业务素质，提高行业水平。提升机关及行业信息化水平，保障各类业务系统安全稳定运行。规范审批行为，推进政务公开，增加服务意识，提高工作效率。</w:t>
            </w:r>
          </w:p>
        </w:tc>
        <w:tc>
          <w:tcPr>
            <w:tcW w:w="1417" w:type="dxa"/>
            <w:shd w:val="clear" w:color="auto" w:fill="auto"/>
            <w:vAlign w:val="center"/>
          </w:tcPr>
          <w:p>
            <w:pPr>
              <w:spacing w:line="300" w:lineRule="exact"/>
              <w:jc w:val="left"/>
              <w:rPr>
                <w:rFonts w:ascii="方正书宋_GBK" w:eastAsia="方正书宋_GBK"/>
              </w:rPr>
            </w:pPr>
          </w:p>
        </w:tc>
        <w:tc>
          <w:tcPr>
            <w:tcW w:w="737" w:type="dxa"/>
            <w:shd w:val="clear" w:color="auto" w:fill="auto"/>
            <w:vAlign w:val="center"/>
          </w:tcPr>
          <w:p>
            <w:pPr>
              <w:spacing w:line="300" w:lineRule="exact"/>
              <w:jc w:val="center"/>
              <w:rPr>
                <w:rFonts w:ascii="方正书宋_GBK" w:eastAsia="方正书宋_GBK"/>
              </w:rPr>
            </w:pPr>
          </w:p>
        </w:tc>
        <w:tc>
          <w:tcPr>
            <w:tcW w:w="737" w:type="dxa"/>
            <w:shd w:val="clear" w:color="auto" w:fill="auto"/>
            <w:vAlign w:val="center"/>
          </w:tcPr>
          <w:p>
            <w:pPr>
              <w:spacing w:line="300" w:lineRule="exact"/>
              <w:jc w:val="center"/>
              <w:rPr>
                <w:rFonts w:ascii="方正书宋_GBK" w:eastAsia="方正书宋_GBK"/>
              </w:rPr>
            </w:pPr>
          </w:p>
        </w:tc>
        <w:tc>
          <w:tcPr>
            <w:tcW w:w="737" w:type="dxa"/>
            <w:shd w:val="clear" w:color="auto" w:fill="auto"/>
            <w:vAlign w:val="center"/>
          </w:tcPr>
          <w:p>
            <w:pPr>
              <w:spacing w:line="300" w:lineRule="exact"/>
              <w:jc w:val="center"/>
              <w:rPr>
                <w:rFonts w:ascii="方正书宋_GBK" w:eastAsia="方正书宋_GBK"/>
              </w:rPr>
            </w:pPr>
          </w:p>
        </w:tc>
        <w:tc>
          <w:tcPr>
            <w:tcW w:w="737" w:type="dxa"/>
            <w:shd w:val="clear" w:color="auto" w:fill="auto"/>
            <w:vAlign w:val="center"/>
          </w:tcPr>
          <w:p>
            <w:pPr>
              <w:spacing w:line="300" w:lineRule="exact"/>
              <w:jc w:val="center"/>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shd w:val="clear" w:color="auto" w:fill="auto"/>
            <w:vAlign w:val="center"/>
          </w:tcPr>
          <w:p>
            <w:pPr>
              <w:spacing w:line="300" w:lineRule="exact"/>
              <w:jc w:val="left"/>
              <w:rPr>
                <w:rFonts w:ascii="方正书宋_GBK" w:eastAsia="方正书宋_GBK"/>
                <w:b/>
              </w:rPr>
            </w:pPr>
            <w:r>
              <w:rPr>
                <w:rFonts w:hint="eastAsia" w:ascii="方正书宋_GBK" w:eastAsia="方正书宋_GBK"/>
                <w:b/>
              </w:rPr>
              <w:t>　　综合业务管理</w:t>
            </w:r>
          </w:p>
        </w:tc>
        <w:tc>
          <w:tcPr>
            <w:tcW w:w="1276" w:type="dxa"/>
            <w:shd w:val="clear" w:color="auto" w:fill="auto"/>
            <w:vAlign w:val="center"/>
          </w:tcPr>
          <w:p>
            <w:pPr>
              <w:spacing w:line="300" w:lineRule="exact"/>
              <w:jc w:val="left"/>
              <w:rPr>
                <w:rFonts w:ascii="方正书宋_GBK" w:eastAsia="方正书宋_GBK"/>
              </w:rPr>
            </w:pP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调研提出城市管理执法工作规划和建议，工作部署、协调推动、督促指导、行政审批、业务监管及县委、</w:t>
            </w:r>
            <w:r>
              <w:rPr>
                <w:rFonts w:hint="eastAsia" w:ascii="方正书宋_GBK" w:eastAsia="方正书宋_GBK"/>
                <w:lang w:eastAsia="zh-CN"/>
              </w:rPr>
              <w:t>县</w:t>
            </w:r>
            <w:r>
              <w:rPr>
                <w:rFonts w:hint="eastAsia" w:ascii="方正书宋_GBK" w:eastAsia="方正书宋_GBK"/>
              </w:rPr>
              <w:t>政府交办的其他事项等行政管理事项。</w:t>
            </w: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加强管理，圆满完成县委、县政府交办任务</w:t>
            </w:r>
          </w:p>
        </w:tc>
        <w:tc>
          <w:tcPr>
            <w:tcW w:w="141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综合业务管理工作完成率</w:t>
            </w:r>
          </w:p>
        </w:tc>
        <w:tc>
          <w:tcPr>
            <w:tcW w:w="737" w:type="dxa"/>
            <w:shd w:val="clear" w:color="auto" w:fill="auto"/>
            <w:vAlign w:val="center"/>
          </w:tcPr>
          <w:p>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227" w:hRule="atLeast"/>
          <w:jc w:val="center"/>
        </w:trPr>
        <w:tc>
          <w:tcPr>
            <w:tcW w:w="2341" w:type="dxa"/>
            <w:shd w:val="clear" w:color="auto" w:fill="auto"/>
            <w:vAlign w:val="center"/>
          </w:tcPr>
          <w:p>
            <w:pPr>
              <w:spacing w:line="300" w:lineRule="exact"/>
              <w:jc w:val="left"/>
              <w:rPr>
                <w:rFonts w:ascii="方正书宋_GBK" w:eastAsia="方正书宋_GBK"/>
                <w:b/>
              </w:rPr>
            </w:pPr>
            <w:r>
              <w:rPr>
                <w:rFonts w:hint="eastAsia" w:ascii="方正书宋_GBK" w:eastAsia="方正书宋_GBK"/>
                <w:b/>
              </w:rPr>
              <w:t>　　综合事务管理</w:t>
            </w:r>
          </w:p>
        </w:tc>
        <w:tc>
          <w:tcPr>
            <w:tcW w:w="1276" w:type="dxa"/>
            <w:shd w:val="clear" w:color="auto" w:fill="auto"/>
            <w:vAlign w:val="center"/>
          </w:tcPr>
          <w:p>
            <w:pPr>
              <w:spacing w:line="300" w:lineRule="exact"/>
              <w:jc w:val="left"/>
              <w:rPr>
                <w:rFonts w:ascii="方正书宋_GBK" w:eastAsia="方正书宋_GBK"/>
              </w:rPr>
            </w:pP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加强事务管理，开展自身能力建设。</w:t>
            </w:r>
          </w:p>
        </w:tc>
        <w:tc>
          <w:tcPr>
            <w:tcW w:w="2976"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加强事务管理，提高自身工作能力。</w:t>
            </w:r>
          </w:p>
        </w:tc>
        <w:tc>
          <w:tcPr>
            <w:tcW w:w="141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综合事务管理工作完成率</w:t>
            </w:r>
          </w:p>
        </w:tc>
        <w:tc>
          <w:tcPr>
            <w:tcW w:w="737" w:type="dxa"/>
            <w:shd w:val="clear" w:color="auto" w:fill="auto"/>
            <w:vAlign w:val="center"/>
          </w:tcPr>
          <w:p>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95%</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r>
    </w:tbl>
    <w:p>
      <w:pPr>
        <w:tabs>
          <w:tab w:val="center" w:pos="140"/>
        </w:tabs>
        <w:jc w:val="left"/>
        <w:outlineLvl w:val="0"/>
        <w:rPr>
          <w:rFonts w:ascii="方正小标宋_GBK" w:eastAsia="方正小标宋_GBK"/>
          <w:sz w:val="32"/>
        </w:rPr>
        <w:sectPr>
          <w:pgSz w:w="16838" w:h="11906" w:orient="landscape"/>
          <w:pgMar w:top="1803" w:right="1440" w:bottom="1485" w:left="1440" w:header="851" w:footer="992" w:gutter="0"/>
          <w:cols w:space="0" w:num="1"/>
          <w:docGrid w:type="lines" w:linePitch="319" w:charSpace="0"/>
        </w:sectPr>
      </w:pPr>
    </w:p>
    <w:bookmarkEnd w:id="0"/>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六、政府采购预算情况</w:t>
      </w:r>
    </w:p>
    <w:p>
      <w:pPr>
        <w:ind w:firstLine="560"/>
        <w:rPr>
          <w:rFonts w:ascii="仿宋_GB2312" w:hAnsi="仿宋_GB2312" w:eastAsia="仿宋_GB2312" w:cs="仿宋_GB2312"/>
          <w:sz w:val="32"/>
          <w:szCs w:val="32"/>
        </w:rPr>
      </w:pPr>
      <w:r>
        <w:rPr>
          <w:rFonts w:hint="eastAsia" w:ascii="仿宋_GB2312" w:hAnsi="仿宋_GB2312" w:eastAsia="仿宋_GB2312" w:cs="仿宋_GB2312"/>
          <w:sz w:val="32"/>
          <w:szCs w:val="32"/>
        </w:rPr>
        <w:t>本年度部门预算共计安排政府采购项目为2类4个总计1005.64万元。其中服务类3个,涉及975.04万元，主要包括：1、环卫外包691.88万元;2、垃圾场外包275.96万元；3、数字化城市管理系统网络运营费7.2万元；工程类1个涉及30.6万元，主要是数字化城市管理系统剩余质保金30.6万元。</w:t>
      </w: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七 国有资产信息情况</w:t>
      </w:r>
    </w:p>
    <w:p>
      <w:pPr>
        <w:widowControl/>
        <w:spacing w:line="460" w:lineRule="exact"/>
        <w:ind w:firstLine="627" w:firstLineChars="196"/>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涞水县行政执法局2016年末固定资产总金额637.48万元（详见下表）。 2017年拟购置固定资产为零。</w:t>
      </w:r>
    </w:p>
    <w:p>
      <w:pPr>
        <w:rPr>
          <w:rFonts w:hint="eastAsia" w:ascii="仿宋_GB2312" w:hAnsi="仿宋_GB2312" w:eastAsia="仿宋_GB2312" w:cs="仿宋_GB2312"/>
          <w:b/>
          <w:sz w:val="32"/>
          <w:szCs w:val="32"/>
        </w:rPr>
      </w:pPr>
    </w:p>
    <w:tbl>
      <w:tblPr>
        <w:tblStyle w:val="5"/>
        <w:tblW w:w="8804" w:type="dxa"/>
        <w:tblInd w:w="93" w:type="dxa"/>
        <w:tblLayout w:type="fixed"/>
        <w:tblCellMar>
          <w:top w:w="0" w:type="dxa"/>
          <w:left w:w="108" w:type="dxa"/>
          <w:bottom w:w="0" w:type="dxa"/>
          <w:right w:w="108" w:type="dxa"/>
        </w:tblCellMar>
      </w:tblPr>
      <w:tblGrid>
        <w:gridCol w:w="3811"/>
        <w:gridCol w:w="1591"/>
        <w:gridCol w:w="3402"/>
      </w:tblGrid>
      <w:tr>
        <w:tblPrEx>
          <w:tblLayout w:type="fixed"/>
          <w:tblCellMar>
            <w:top w:w="0" w:type="dxa"/>
            <w:left w:w="108" w:type="dxa"/>
            <w:bottom w:w="0" w:type="dxa"/>
            <w:right w:w="108" w:type="dxa"/>
          </w:tblCellMar>
        </w:tblPrEx>
        <w:trPr>
          <w:trHeight w:val="675" w:hRule="atLeast"/>
        </w:trPr>
        <w:tc>
          <w:tcPr>
            <w:tcW w:w="8804" w:type="dxa"/>
            <w:gridSpan w:val="3"/>
            <w:tcBorders>
              <w:top w:val="nil"/>
              <w:left w:val="nil"/>
              <w:bottom w:val="nil"/>
              <w:right w:val="nil"/>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sz w:val="28"/>
                <w:szCs w:val="28"/>
              </w:rPr>
              <w:t>涞水县行政执法局</w:t>
            </w:r>
          </w:p>
        </w:tc>
      </w:tr>
      <w:tr>
        <w:tblPrEx>
          <w:tblLayout w:type="fixed"/>
          <w:tblCellMar>
            <w:top w:w="0" w:type="dxa"/>
            <w:left w:w="108" w:type="dxa"/>
            <w:bottom w:w="0" w:type="dxa"/>
            <w:right w:w="108" w:type="dxa"/>
          </w:tblCellMar>
        </w:tblPrEx>
        <w:trPr>
          <w:trHeight w:val="465" w:hRule="atLeast"/>
        </w:trPr>
        <w:tc>
          <w:tcPr>
            <w:tcW w:w="8804" w:type="dxa"/>
            <w:gridSpan w:val="3"/>
            <w:tcBorders>
              <w:top w:val="nil"/>
              <w:left w:val="nil"/>
              <w:bottom w:val="single" w:color="auto" w:sz="4" w:space="0"/>
              <w:right w:val="nil"/>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bCs/>
                <w:color w:val="000000"/>
                <w:kern w:val="0"/>
                <w:sz w:val="28"/>
                <w:szCs w:val="28"/>
              </w:rPr>
              <w:t xml:space="preserve">                           截止时间：2016年12月31日</w:t>
            </w:r>
          </w:p>
        </w:tc>
      </w:tr>
      <w:tr>
        <w:tblPrEx>
          <w:tblLayout w:type="fixed"/>
          <w:tblCellMar>
            <w:top w:w="0" w:type="dxa"/>
            <w:left w:w="108" w:type="dxa"/>
            <w:bottom w:w="0" w:type="dxa"/>
            <w:right w:w="108" w:type="dxa"/>
          </w:tblCellMar>
        </w:tblPrEx>
        <w:trPr>
          <w:trHeight w:val="750" w:hRule="atLeast"/>
        </w:trPr>
        <w:tc>
          <w:tcPr>
            <w:tcW w:w="3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项　　目</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数量</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价值（单位：万元）</w:t>
            </w:r>
          </w:p>
        </w:tc>
      </w:tr>
      <w:tr>
        <w:tblPrEx>
          <w:tblLayout w:type="fixed"/>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固定资产总额</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color w:val="000000"/>
                <w:kern w:val="0"/>
                <w:sz w:val="28"/>
                <w:szCs w:val="28"/>
              </w:rPr>
            </w:pPr>
            <w:r>
              <w:rPr>
                <w:rFonts w:hint="eastAsia" w:ascii="宋体" w:hAnsi="宋体" w:cs="宋体"/>
                <w:b/>
                <w:color w:val="000000"/>
                <w:kern w:val="0"/>
                <w:sz w:val="28"/>
                <w:szCs w:val="28"/>
              </w:rPr>
              <w:t>637.48</w:t>
            </w:r>
          </w:p>
        </w:tc>
      </w:tr>
      <w:tr>
        <w:tblPrEx>
          <w:tblLayout w:type="fixed"/>
          <w:tblCellMar>
            <w:top w:w="0" w:type="dxa"/>
            <w:left w:w="108" w:type="dxa"/>
            <w:bottom w:w="0" w:type="dxa"/>
            <w:right w:w="108" w:type="dxa"/>
          </w:tblCellMar>
        </w:tblPrEx>
        <w:trPr>
          <w:trHeight w:val="483" w:hRule="atLeast"/>
        </w:trPr>
        <w:tc>
          <w:tcPr>
            <w:tcW w:w="38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1、房屋（平方米）</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p>
        </w:tc>
      </w:tr>
      <w:tr>
        <w:tblPrEx>
          <w:tblLayout w:type="fixed"/>
          <w:tblCellMar>
            <w:top w:w="0" w:type="dxa"/>
            <w:left w:w="108" w:type="dxa"/>
            <w:bottom w:w="0" w:type="dxa"/>
            <w:right w:w="108" w:type="dxa"/>
          </w:tblCellMar>
        </w:tblPrEx>
        <w:trPr>
          <w:trHeight w:val="419" w:hRule="atLeast"/>
        </w:trPr>
        <w:tc>
          <w:tcPr>
            <w:tcW w:w="381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8"/>
                <w:szCs w:val="28"/>
              </w:rPr>
            </w:pPr>
            <w:r>
              <w:rPr>
                <w:rFonts w:hint="eastAsia" w:ascii="宋体" w:hAnsi="宋体" w:cs="宋体"/>
                <w:color w:val="000000"/>
                <w:kern w:val="0"/>
                <w:sz w:val="28"/>
                <w:szCs w:val="28"/>
              </w:rPr>
              <w:t xml:space="preserve">   其中：办公用房（平方米）</w:t>
            </w:r>
          </w:p>
        </w:tc>
        <w:tc>
          <w:tcPr>
            <w:tcW w:w="159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p>
        </w:tc>
        <w:tc>
          <w:tcPr>
            <w:tcW w:w="340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p>
        </w:tc>
      </w:tr>
      <w:tr>
        <w:tblPrEx>
          <w:tblLayout w:type="fixed"/>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2、车辆（台、辆）</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8</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79</w:t>
            </w:r>
          </w:p>
        </w:tc>
      </w:tr>
      <w:tr>
        <w:tblPrEx>
          <w:tblLayout w:type="fixed"/>
          <w:tblCellMar>
            <w:top w:w="0" w:type="dxa"/>
            <w:left w:w="108" w:type="dxa"/>
            <w:bottom w:w="0" w:type="dxa"/>
            <w:right w:w="108" w:type="dxa"/>
          </w:tblCellMar>
        </w:tblPrEx>
        <w:trPr>
          <w:trHeight w:val="611" w:hRule="atLeast"/>
        </w:trPr>
        <w:tc>
          <w:tcPr>
            <w:tcW w:w="381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3、单价在20万元以上的设备</w:t>
            </w:r>
          </w:p>
        </w:tc>
        <w:tc>
          <w:tcPr>
            <w:tcW w:w="15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340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p>
        </w:tc>
      </w:tr>
      <w:tr>
        <w:tblPrEx>
          <w:tblLayout w:type="fixed"/>
          <w:tblCellMar>
            <w:top w:w="0" w:type="dxa"/>
            <w:left w:w="108" w:type="dxa"/>
            <w:bottom w:w="0" w:type="dxa"/>
            <w:right w:w="108" w:type="dxa"/>
          </w:tblCellMar>
        </w:tblPrEx>
        <w:trPr>
          <w:trHeight w:val="432" w:hRule="atLeast"/>
        </w:trPr>
        <w:tc>
          <w:tcPr>
            <w:tcW w:w="381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8"/>
                <w:szCs w:val="28"/>
              </w:rPr>
            </w:pPr>
            <w:r>
              <w:rPr>
                <w:rFonts w:hint="eastAsia" w:ascii="宋体" w:hAnsi="宋体" w:cs="宋体"/>
                <w:color w:val="000000"/>
                <w:kern w:val="0"/>
                <w:sz w:val="28"/>
                <w:szCs w:val="28"/>
              </w:rPr>
              <w:t xml:space="preserve">  4、其他固定资产</w:t>
            </w:r>
          </w:p>
        </w:tc>
        <w:tc>
          <w:tcPr>
            <w:tcW w:w="1591"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3402"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8"/>
                <w:szCs w:val="28"/>
              </w:rPr>
            </w:pPr>
            <w:r>
              <w:rPr>
                <w:rFonts w:hint="eastAsia" w:ascii="宋体" w:hAnsi="宋体" w:cs="宋体"/>
                <w:color w:val="000000"/>
                <w:kern w:val="0"/>
                <w:sz w:val="28"/>
                <w:szCs w:val="28"/>
              </w:rPr>
              <w:t>558.48</w:t>
            </w:r>
          </w:p>
        </w:tc>
      </w:tr>
    </w:tbl>
    <w:p>
      <w:pPr>
        <w:ind w:firstLine="645"/>
        <w:rPr>
          <w:rFonts w:ascii="仿宋_GB2312" w:hAnsi="仿宋_GB2312" w:eastAsia="仿宋_GB2312" w:cs="仿宋_GB2312"/>
          <w:sz w:val="32"/>
          <w:szCs w:val="32"/>
        </w:rPr>
      </w:pPr>
    </w:p>
    <w:p>
      <w:pPr>
        <w:jc w:val="left"/>
        <w:rPr>
          <w:rFonts w:ascii="宋体" w:cs="宋体"/>
          <w:sz w:val="28"/>
          <w:szCs w:val="28"/>
        </w:rPr>
      </w:pPr>
      <w:r>
        <w:rPr>
          <w:rFonts w:hint="eastAsia" w:ascii="仿宋_GB2312" w:hAnsi="仿宋_GB2312" w:eastAsia="仿宋_GB2312" w:cs="仿宋_GB2312"/>
          <w:sz w:val="32"/>
          <w:szCs w:val="32"/>
        </w:rPr>
        <w:t>2016年末执法局固定资产总额637.4799 万元，其中公务用车 8辆，价值79万元。其他固定资产558.48万元。包括：其他办公设备、办公家具、城管装备、垃圾桶、空调、笔记本电脑。</w:t>
      </w:r>
      <w:bookmarkStart w:id="1" w:name="_GoBack"/>
      <w:bookmarkEnd w:id="1"/>
    </w:p>
    <w:p>
      <w:pPr>
        <w:ind w:firstLine="640"/>
        <w:rPr>
          <w:rFonts w:ascii="仿宋_GB2312" w:hAnsi="仿宋_GB2312" w:eastAsia="仿宋_GB2312" w:cs="仿宋_GB2312"/>
          <w:sz w:val="32"/>
          <w:szCs w:val="32"/>
        </w:rPr>
      </w:pPr>
    </w:p>
    <w:p>
      <w:pPr>
        <w:ind w:firstLine="630" w:firstLineChars="196"/>
        <w:rPr>
          <w:rFonts w:ascii="黑体" w:hAnsi="仿宋_GB2312" w:eastAsia="黑体" w:cs="仿宋_GB2312"/>
          <w:b/>
          <w:sz w:val="32"/>
          <w:szCs w:val="32"/>
        </w:rPr>
      </w:pPr>
      <w:r>
        <w:rPr>
          <w:rFonts w:hint="eastAsia" w:ascii="黑体" w:hAnsi="仿宋_GB2312" w:eastAsia="黑体" w:cs="仿宋_GB2312"/>
          <w:b/>
          <w:sz w:val="32"/>
          <w:szCs w:val="32"/>
        </w:rPr>
        <w:t>八、专业名词解释</w:t>
      </w:r>
    </w:p>
    <w:p>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pPr>
        <w:pStyle w:val="4"/>
        <w:widowControl/>
        <w:ind w:firstLine="578" w:firstLineChars="180"/>
        <w:rPr>
          <w:rFonts w:ascii="仿宋_GB2312" w:hAnsi="仿宋_GB2312" w:eastAsia="仿宋_GB2312" w:cs="仿宋_GB2312"/>
          <w:sz w:val="32"/>
          <w:szCs w:val="32"/>
        </w:rPr>
      </w:pPr>
      <w:r>
        <w:rPr>
          <w:rStyle w:val="7"/>
          <w:rFonts w:ascii="仿宋_GB2312" w:hAnsi="仿宋_GB2312" w:eastAsia="仿宋_GB2312" w:cs="仿宋_GB2312"/>
          <w:sz w:val="32"/>
          <w:szCs w:val="32"/>
          <w:shd w:val="clear" w:color="auto" w:fill="FFFFFF"/>
        </w:rPr>
        <w:t>2</w:t>
      </w:r>
      <w:r>
        <w:rPr>
          <w:rStyle w:val="7"/>
          <w:rFonts w:hint="eastAsia" w:ascii="仿宋_GB2312" w:hAnsi="仿宋_GB2312" w:eastAsia="仿宋_GB2312" w:cs="仿宋_GB2312"/>
          <w:sz w:val="32"/>
          <w:szCs w:val="32"/>
          <w:shd w:val="clear" w:color="auto" w:fill="FFFFFF"/>
        </w:rPr>
        <w:t>、其他收入：</w:t>
      </w:r>
      <w:r>
        <w:rPr>
          <w:rFonts w:hint="eastAsia" w:ascii="仿宋_GB2312" w:hAnsi="仿宋_GB2312" w:eastAsia="仿宋_GB2312" w:cs="仿宋_GB2312"/>
          <w:sz w:val="32"/>
          <w:szCs w:val="32"/>
          <w:shd w:val="clear" w:color="auto" w:fill="FFFFFF"/>
        </w:rPr>
        <w:t>指除上述财政拨款收入以外的收入。主要是存款利息收入。</w:t>
      </w:r>
    </w:p>
    <w:p>
      <w:pPr>
        <w:pStyle w:val="4"/>
        <w:widowControl/>
        <w:ind w:firstLine="578" w:firstLineChars="180"/>
        <w:rPr>
          <w:rFonts w:ascii="仿宋_GB2312" w:hAnsi="宋体" w:eastAsia="仿宋_GB2312"/>
          <w:sz w:val="32"/>
          <w:szCs w:val="32"/>
        </w:rPr>
      </w:pPr>
      <w:r>
        <w:rPr>
          <w:rStyle w:val="7"/>
          <w:rFonts w:ascii="仿宋_GB2312" w:hAnsi="仿宋_GB2312" w:eastAsia="仿宋_GB2312" w:cs="仿宋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pPr>
        <w:pStyle w:val="4"/>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黑体" w:hAnsi="黑体" w:eastAsia="黑体" w:cs="黑体"/>
          <w:sz w:val="32"/>
          <w:szCs w:val="32"/>
        </w:rPr>
      </w:pPr>
      <w:r>
        <w:rPr>
          <w:rFonts w:hint="eastAsia" w:ascii="黑体" w:hAnsi="黑体" w:eastAsia="黑体" w:cs="黑体"/>
          <w:sz w:val="32"/>
          <w:szCs w:val="32"/>
        </w:rPr>
        <w:t xml:space="preserve"> 九、其他需要说明的事项</w:t>
      </w:r>
    </w:p>
    <w:p>
      <w:pPr>
        <w:rPr>
          <w:rFonts w:ascii="仿宋" w:hAnsi="仿宋" w:eastAsia="仿宋" w:cs="仿宋"/>
          <w:sz w:val="32"/>
          <w:szCs w:val="32"/>
        </w:rPr>
      </w:pPr>
      <w:r>
        <w:rPr>
          <w:rFonts w:hint="eastAsia" w:ascii="仿宋" w:hAnsi="仿宋" w:eastAsia="仿宋" w:cs="仿宋"/>
          <w:sz w:val="32"/>
          <w:szCs w:val="32"/>
        </w:rPr>
        <w:t>我部门无政府性基金预算及国有资本经营预算，空表列示。</w:t>
      </w:r>
    </w:p>
    <w:p/>
    <w:p/>
    <w:p>
      <w:pPr>
        <w:ind w:firstLine="640"/>
        <w:rPr>
          <w:rFonts w:ascii="仿宋" w:hAnsi="仿宋"/>
          <w:sz w:val="32"/>
          <w:szCs w:val="32"/>
        </w:rPr>
      </w:pPr>
    </w:p>
    <w:p>
      <w:pPr>
        <w:spacing w:line="560" w:lineRule="exact"/>
        <w:jc w:val="right"/>
        <w:rPr>
          <w:rFonts w:ascii="仿宋" w:hAnsi="仿宋"/>
          <w:sz w:val="32"/>
          <w:szCs w:val="32"/>
        </w:rPr>
      </w:pPr>
    </w:p>
    <w:p>
      <w:pPr>
        <w:tabs>
          <w:tab w:val="left" w:pos="5218"/>
          <w:tab w:val="right" w:pos="9386"/>
        </w:tabs>
        <w:spacing w:line="560" w:lineRule="exact"/>
        <w:jc w:val="left"/>
        <w:rPr>
          <w:rFonts w:ascii="仿宋" w:hAnsi="仿宋"/>
          <w:sz w:val="32"/>
          <w:szCs w:val="32"/>
        </w:rPr>
      </w:pPr>
      <w:r>
        <w:rPr>
          <w:rFonts w:hint="eastAsia" w:ascii="仿宋" w:hAnsi="仿宋"/>
          <w:sz w:val="32"/>
          <w:szCs w:val="32"/>
        </w:rPr>
        <w:tab/>
      </w:r>
      <w:r>
        <w:rPr>
          <w:rFonts w:hint="eastAsia" w:ascii="仿宋" w:hAnsi="仿宋"/>
          <w:sz w:val="32"/>
          <w:szCs w:val="32"/>
        </w:rPr>
        <w:t>2017年3月27日</w:t>
      </w:r>
      <w:r>
        <w:rPr>
          <w:rFonts w:hint="eastAsia" w:ascii="仿宋" w:hAnsi="仿宋"/>
          <w:sz w:val="32"/>
          <w:szCs w:val="32"/>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D1C958"/>
    <w:multiLevelType w:val="singleLevel"/>
    <w:tmpl w:val="58D1C958"/>
    <w:lvl w:ilvl="0" w:tentative="0">
      <w:start w:val="4"/>
      <w:numFmt w:val="chineseCounting"/>
      <w:suff w:val="nothing"/>
      <w:lvlText w:val="%1、"/>
      <w:lvlJc w:val="left"/>
    </w:lvl>
  </w:abstractNum>
  <w:abstractNum w:abstractNumId="1">
    <w:nsid w:val="594C743F"/>
    <w:multiLevelType w:val="singleLevel"/>
    <w:tmpl w:val="594C743F"/>
    <w:lvl w:ilvl="0" w:tentative="0">
      <w:start w:val="3"/>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D5E"/>
    <w:rsid w:val="00076AAF"/>
    <w:rsid w:val="00093643"/>
    <w:rsid w:val="000A45FE"/>
    <w:rsid w:val="001E3E1E"/>
    <w:rsid w:val="001E455D"/>
    <w:rsid w:val="00221D80"/>
    <w:rsid w:val="0029094C"/>
    <w:rsid w:val="00366D5E"/>
    <w:rsid w:val="004B60A6"/>
    <w:rsid w:val="00556E10"/>
    <w:rsid w:val="00594DF0"/>
    <w:rsid w:val="00754CA6"/>
    <w:rsid w:val="008C16CC"/>
    <w:rsid w:val="008F0FF1"/>
    <w:rsid w:val="0092549B"/>
    <w:rsid w:val="009A0115"/>
    <w:rsid w:val="009F402C"/>
    <w:rsid w:val="00A81F9D"/>
    <w:rsid w:val="00AE7021"/>
    <w:rsid w:val="00D36E62"/>
    <w:rsid w:val="00ED3FF1"/>
    <w:rsid w:val="00EE0F93"/>
    <w:rsid w:val="00F223BA"/>
    <w:rsid w:val="00F51F34"/>
    <w:rsid w:val="0119349C"/>
    <w:rsid w:val="01D74BA7"/>
    <w:rsid w:val="0259220A"/>
    <w:rsid w:val="029C0D5B"/>
    <w:rsid w:val="06584A58"/>
    <w:rsid w:val="07247A18"/>
    <w:rsid w:val="086957C5"/>
    <w:rsid w:val="09370A82"/>
    <w:rsid w:val="0943339B"/>
    <w:rsid w:val="09D25D40"/>
    <w:rsid w:val="0AE424E2"/>
    <w:rsid w:val="0CC82E21"/>
    <w:rsid w:val="0F7F07DC"/>
    <w:rsid w:val="10070535"/>
    <w:rsid w:val="16177A92"/>
    <w:rsid w:val="17B61CF8"/>
    <w:rsid w:val="1A5C001D"/>
    <w:rsid w:val="1B4B53D7"/>
    <w:rsid w:val="29B001E8"/>
    <w:rsid w:val="29EC74A3"/>
    <w:rsid w:val="2B9E7B75"/>
    <w:rsid w:val="2CE81734"/>
    <w:rsid w:val="2EB519C9"/>
    <w:rsid w:val="30433476"/>
    <w:rsid w:val="34521CE7"/>
    <w:rsid w:val="352E0ADD"/>
    <w:rsid w:val="35CA7AC4"/>
    <w:rsid w:val="3D5A38F6"/>
    <w:rsid w:val="43A955C6"/>
    <w:rsid w:val="475F6978"/>
    <w:rsid w:val="4B471E0E"/>
    <w:rsid w:val="4BCB746E"/>
    <w:rsid w:val="4C114651"/>
    <w:rsid w:val="4C736A6F"/>
    <w:rsid w:val="4E5A1A64"/>
    <w:rsid w:val="4EEE098B"/>
    <w:rsid w:val="4F6E6EDC"/>
    <w:rsid w:val="4F904950"/>
    <w:rsid w:val="4FA40A3B"/>
    <w:rsid w:val="50517078"/>
    <w:rsid w:val="50D86F3E"/>
    <w:rsid w:val="517153C6"/>
    <w:rsid w:val="52B22AD0"/>
    <w:rsid w:val="560027C3"/>
    <w:rsid w:val="56B5323B"/>
    <w:rsid w:val="57277744"/>
    <w:rsid w:val="59301AF9"/>
    <w:rsid w:val="599D1451"/>
    <w:rsid w:val="5EBF66CB"/>
    <w:rsid w:val="6A341E7C"/>
    <w:rsid w:val="6DEC46F3"/>
    <w:rsid w:val="6F881BC6"/>
    <w:rsid w:val="708D1BB3"/>
    <w:rsid w:val="727462F3"/>
    <w:rsid w:val="75D5506B"/>
    <w:rsid w:val="7CD74E5A"/>
    <w:rsid w:val="7D4C758F"/>
    <w:rsid w:val="7FFE3F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jc w:val="left"/>
    </w:pPr>
    <w:rPr>
      <w:kern w:val="0"/>
      <w:sz w:val="24"/>
    </w:rPr>
  </w:style>
  <w:style w:type="character" w:styleId="7">
    <w:name w:val="Strong"/>
    <w:basedOn w:val="6"/>
    <w:qFormat/>
    <w:uiPriority w:val="22"/>
    <w:rPr>
      <w:b/>
    </w:rPr>
  </w:style>
  <w:style w:type="paragraph" w:customStyle="1" w:styleId="8">
    <w:name w:val="列出段落1"/>
    <w:basedOn w:val="1"/>
    <w:qFormat/>
    <w:uiPriority w:val="34"/>
    <w:pPr>
      <w:ind w:firstLine="420" w:firstLineChars="200"/>
    </w:pPr>
  </w:style>
  <w:style w:type="character" w:customStyle="1" w:styleId="9">
    <w:name w:val="页眉 Char"/>
    <w:basedOn w:val="6"/>
    <w:link w:val="3"/>
    <w:qFormat/>
    <w:uiPriority w:val="99"/>
    <w:rPr>
      <w:kern w:val="2"/>
      <w:sz w:val="18"/>
      <w:szCs w:val="18"/>
    </w:rPr>
  </w:style>
  <w:style w:type="character" w:customStyle="1" w:styleId="10">
    <w:name w:val="页脚 Char"/>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10</Pages>
  <Words>3327</Words>
  <Characters>3668</Characters>
  <Lines>29</Lines>
  <Paragraphs>8</Paragraphs>
  <TotalTime>29</TotalTime>
  <ScaleCrop>false</ScaleCrop>
  <LinksUpToDate>false</LinksUpToDate>
  <CharactersWithSpaces>3779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2017-03-21T06:26:00Z</dcterms:created>
  <dc:creator>Lenovo User</dc:creator>
  <cp:lastModifiedBy>Administrator</cp:lastModifiedBy>
  <cp:lastPrinted>2017-03-27T06:55:00Z</cp:lastPrinted>
  <dcterms:modified xsi:type="dcterms:W3CDTF">2025-02-18T01:18:49Z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23AAB0C8D3D54633A4A407DDBE8580A1_12</vt:lpwstr>
  </property>
</Properties>
</file>