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6A054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jc w:val="center"/>
        <w:textAlignment w:val="auto"/>
        <w:rPr>
          <w:rFonts w:hint="eastAsia" w:ascii="宋体" w:hAnsi="宋体" w:eastAsia="宋体" w:cs="宋体"/>
          <w:b/>
          <w:bCs/>
          <w:i w:val="0"/>
          <w:iCs w:val="0"/>
          <w:caps w:val="0"/>
          <w:color w:val="333333"/>
          <w:spacing w:val="0"/>
          <w:sz w:val="36"/>
          <w:szCs w:val="36"/>
          <w:shd w:val="clear" w:fill="FFFFFF"/>
        </w:rPr>
      </w:pPr>
      <w:r>
        <w:rPr>
          <w:rFonts w:hint="eastAsia" w:ascii="宋体" w:hAnsi="宋体" w:eastAsia="宋体" w:cs="宋体"/>
          <w:b/>
          <w:bCs/>
          <w:i w:val="0"/>
          <w:iCs w:val="0"/>
          <w:caps w:val="0"/>
          <w:color w:val="333333"/>
          <w:spacing w:val="0"/>
          <w:sz w:val="36"/>
          <w:szCs w:val="36"/>
          <w:shd w:val="clear" w:fill="FFFFFF"/>
          <w:lang w:eastAsia="zh-CN"/>
        </w:rPr>
        <w:t>涞水县</w:t>
      </w:r>
      <w:r>
        <w:rPr>
          <w:rFonts w:hint="eastAsia" w:ascii="宋体" w:hAnsi="宋体" w:eastAsia="宋体" w:cs="宋体"/>
          <w:b/>
          <w:bCs/>
          <w:i w:val="0"/>
          <w:iCs w:val="0"/>
          <w:caps w:val="0"/>
          <w:color w:val="333333"/>
          <w:spacing w:val="0"/>
          <w:sz w:val="36"/>
          <w:szCs w:val="36"/>
          <w:shd w:val="clear" w:fill="FFFFFF"/>
          <w:lang w:val="en-US" w:eastAsia="zh-CN"/>
        </w:rPr>
        <w:t>2024年</w:t>
      </w:r>
      <w:r>
        <w:rPr>
          <w:rFonts w:hint="eastAsia" w:ascii="宋体" w:hAnsi="宋体" w:eastAsia="宋体" w:cs="宋体"/>
          <w:b/>
          <w:bCs/>
          <w:i w:val="0"/>
          <w:iCs w:val="0"/>
          <w:caps w:val="0"/>
          <w:color w:val="333333"/>
          <w:spacing w:val="0"/>
          <w:sz w:val="36"/>
          <w:szCs w:val="36"/>
          <w:shd w:val="clear" w:fill="FFFFFF"/>
        </w:rPr>
        <w:t>政府信息公开工作年度报告</w:t>
      </w:r>
    </w:p>
    <w:p w14:paraId="27645CB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jc w:val="center"/>
        <w:textAlignment w:val="auto"/>
        <w:rPr>
          <w:rFonts w:hint="eastAsia" w:ascii="宋体" w:hAnsi="宋体" w:eastAsia="宋体" w:cs="宋体"/>
          <w:b/>
          <w:bCs/>
          <w:i w:val="0"/>
          <w:iCs w:val="0"/>
          <w:caps w:val="0"/>
          <w:color w:val="333333"/>
          <w:spacing w:val="0"/>
          <w:sz w:val="36"/>
          <w:szCs w:val="36"/>
          <w:shd w:val="clear" w:fill="FFFFFF"/>
        </w:rPr>
      </w:pPr>
    </w:p>
    <w:p w14:paraId="3BAFCDE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420"/>
        <w:jc w:val="both"/>
        <w:textAlignment w:val="auto"/>
        <w:rPr>
          <w:rFonts w:hint="eastAsia"/>
          <w:color w:val="333333"/>
          <w:shd w:val="clear" w:color="auto" w:fill="FFFFFF"/>
        </w:rPr>
      </w:pPr>
      <w:r>
        <w:rPr>
          <w:rFonts w:hint="eastAsia"/>
          <w:color w:val="333333"/>
          <w:shd w:val="clear" w:color="auto" w:fill="FFFFFF"/>
        </w:rPr>
        <w:t>本报告依据《中华人民共和国政府信息公开条例》</w:t>
      </w:r>
      <w:r>
        <w:rPr>
          <w:rFonts w:hint="eastAsia"/>
          <w:color w:val="333333"/>
          <w:shd w:val="clear" w:color="auto" w:fill="FFFFFF"/>
          <w:lang w:eastAsia="zh-CN"/>
        </w:rPr>
        <w:t>、</w:t>
      </w:r>
      <w:r>
        <w:rPr>
          <w:rFonts w:hint="eastAsia" w:asciiTheme="minorEastAsia" w:hAnsiTheme="minorEastAsia" w:eastAsiaTheme="minorEastAsia" w:cstheme="minorEastAsia"/>
          <w:spacing w:val="-16"/>
          <w:sz w:val="24"/>
          <w:szCs w:val="24"/>
        </w:rPr>
        <w:t>国务院办公厅政府信息与政务公开办公室《关于印发〈中华人民共和国政府信息公开工作年度报告格式〉的通知》（国办公开办函〔2021〕30号）</w:t>
      </w:r>
      <w:r>
        <w:rPr>
          <w:rFonts w:hint="eastAsia"/>
          <w:color w:val="333333"/>
          <w:shd w:val="clear" w:color="auto" w:fill="FFFFFF"/>
        </w:rPr>
        <w:t>和</w:t>
      </w:r>
      <w:r>
        <w:rPr>
          <w:rFonts w:hint="eastAsia" w:asciiTheme="minorEastAsia" w:hAnsiTheme="minorEastAsia" w:cstheme="minorEastAsia"/>
          <w:spacing w:val="-16"/>
          <w:sz w:val="24"/>
          <w:szCs w:val="24"/>
          <w:lang w:eastAsia="zh-CN"/>
        </w:rPr>
        <w:t>《河北省实施〈中华人民共和国政府信息公开条例〉办法》</w:t>
      </w:r>
      <w:r>
        <w:rPr>
          <w:rFonts w:hint="eastAsia"/>
          <w:color w:val="333333"/>
          <w:shd w:val="clear" w:color="auto" w:fill="FFFFFF"/>
        </w:rPr>
        <w:t>要求编制而成。</w:t>
      </w:r>
      <w:r>
        <w:rPr>
          <w:rFonts w:hint="eastAsia"/>
          <w:color w:val="auto"/>
          <w:shd w:val="clear" w:color="auto" w:fill="FFFFFF"/>
        </w:rPr>
        <w:t>本年度报告</w:t>
      </w:r>
      <w:r>
        <w:rPr>
          <w:rFonts w:hint="eastAsia"/>
          <w:color w:val="auto"/>
          <w:shd w:val="clear" w:color="auto" w:fill="FFFFFF"/>
          <w:lang w:eastAsia="zh-CN"/>
        </w:rPr>
        <w:t>内容涵盖全县本级政府部门和下一级乡镇政府信息公开工作情况，</w:t>
      </w:r>
      <w:r>
        <w:rPr>
          <w:rFonts w:hint="eastAsia"/>
          <w:color w:val="333333"/>
          <w:shd w:val="clear" w:color="auto" w:fill="FFFFFF"/>
        </w:rPr>
        <w:t>所列数据的统计期限自20</w:t>
      </w:r>
      <w:r>
        <w:rPr>
          <w:rFonts w:hint="eastAsia"/>
          <w:color w:val="333333"/>
          <w:shd w:val="clear" w:color="auto" w:fill="FFFFFF"/>
          <w:lang w:val="en-US" w:eastAsia="zh-CN"/>
        </w:rPr>
        <w:t>24</w:t>
      </w:r>
      <w:r>
        <w:rPr>
          <w:rFonts w:hint="eastAsia"/>
          <w:color w:val="333333"/>
          <w:shd w:val="clear" w:color="auto" w:fill="FFFFFF"/>
        </w:rPr>
        <w:t>年1月1日起至20</w:t>
      </w:r>
      <w:r>
        <w:rPr>
          <w:rFonts w:hint="eastAsia"/>
          <w:color w:val="333333"/>
          <w:shd w:val="clear" w:color="auto" w:fill="FFFFFF"/>
          <w:lang w:val="en-US" w:eastAsia="zh-CN"/>
        </w:rPr>
        <w:t>24</w:t>
      </w:r>
      <w:r>
        <w:rPr>
          <w:rFonts w:hint="eastAsia"/>
          <w:color w:val="333333"/>
          <w:shd w:val="clear" w:color="auto" w:fill="FFFFFF"/>
        </w:rPr>
        <w:t>年12月31日止。</w:t>
      </w:r>
    </w:p>
    <w:p w14:paraId="1E19690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firstLine="482"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一、总体情况</w:t>
      </w:r>
    </w:p>
    <w:p w14:paraId="526CC7C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firstLine="480" w:firstLineChars="20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202</w:t>
      </w:r>
      <w:r>
        <w:rPr>
          <w:rFonts w:hint="eastAsia" w:ascii="宋体" w:hAnsi="宋体" w:eastAsia="宋体" w:cs="宋体"/>
          <w:i w:val="0"/>
          <w:iCs w:val="0"/>
          <w:caps w:val="0"/>
          <w:color w:val="333333"/>
          <w:spacing w:val="0"/>
          <w:sz w:val="24"/>
          <w:szCs w:val="24"/>
          <w:shd w:val="clear" w:fill="FFFFFF"/>
          <w:lang w:val="en-US" w:eastAsia="zh-CN"/>
        </w:rPr>
        <w:t>4</w:t>
      </w:r>
      <w:r>
        <w:rPr>
          <w:rFonts w:hint="eastAsia" w:ascii="宋体" w:hAnsi="宋体" w:eastAsia="宋体" w:cs="宋体"/>
          <w:i w:val="0"/>
          <w:iCs w:val="0"/>
          <w:caps w:val="0"/>
          <w:color w:val="333333"/>
          <w:spacing w:val="0"/>
          <w:sz w:val="24"/>
          <w:szCs w:val="24"/>
          <w:shd w:val="clear" w:fill="FFFFFF"/>
        </w:rPr>
        <w:t>年，</w:t>
      </w:r>
      <w:r>
        <w:rPr>
          <w:rFonts w:hint="eastAsia" w:ascii="宋体" w:hAnsi="宋体" w:eastAsia="宋体" w:cs="宋体"/>
          <w:i w:val="0"/>
          <w:iCs w:val="0"/>
          <w:caps w:val="0"/>
          <w:color w:val="333333"/>
          <w:spacing w:val="0"/>
          <w:sz w:val="24"/>
          <w:szCs w:val="24"/>
          <w:shd w:val="clear" w:fill="FFFFFF"/>
          <w:lang w:eastAsia="zh-CN"/>
        </w:rPr>
        <w:t>涞水县</w:t>
      </w:r>
      <w:r>
        <w:rPr>
          <w:rFonts w:hint="eastAsia" w:ascii="宋体" w:hAnsi="宋体" w:eastAsia="宋体" w:cs="宋体"/>
          <w:i w:val="0"/>
          <w:iCs w:val="0"/>
          <w:caps w:val="0"/>
          <w:color w:val="333333"/>
          <w:spacing w:val="0"/>
          <w:sz w:val="24"/>
          <w:szCs w:val="24"/>
          <w:shd w:val="clear" w:fill="FFFFFF"/>
        </w:rPr>
        <w:t>坚持以习近平新时代中国特色社会主义思想为指导，深入</w:t>
      </w:r>
      <w:r>
        <w:rPr>
          <w:rFonts w:hint="eastAsia" w:ascii="宋体" w:hAnsi="宋体" w:eastAsia="宋体" w:cs="宋体"/>
          <w:i w:val="0"/>
          <w:iCs w:val="0"/>
          <w:caps w:val="0"/>
          <w:color w:val="333333"/>
          <w:spacing w:val="0"/>
          <w:sz w:val="24"/>
          <w:szCs w:val="24"/>
          <w:shd w:val="clear" w:fill="FFFFFF"/>
          <w:lang w:eastAsia="zh-CN"/>
        </w:rPr>
        <w:t>学习宣传</w:t>
      </w:r>
      <w:r>
        <w:rPr>
          <w:rFonts w:hint="eastAsia" w:ascii="宋体" w:hAnsi="宋体" w:eastAsia="宋体" w:cs="宋体"/>
          <w:i w:val="0"/>
          <w:iCs w:val="0"/>
          <w:caps w:val="0"/>
          <w:color w:val="333333"/>
          <w:spacing w:val="0"/>
          <w:sz w:val="24"/>
          <w:szCs w:val="24"/>
          <w:shd w:val="clear" w:fill="FFFFFF"/>
        </w:rPr>
        <w:t>贯彻党的</w:t>
      </w:r>
      <w:r>
        <w:rPr>
          <w:rFonts w:hint="eastAsia" w:ascii="宋体" w:hAnsi="宋体" w:eastAsia="宋体" w:cs="宋体"/>
          <w:i w:val="0"/>
          <w:iCs w:val="0"/>
          <w:caps w:val="0"/>
          <w:color w:val="333333"/>
          <w:spacing w:val="0"/>
          <w:sz w:val="24"/>
          <w:szCs w:val="24"/>
          <w:shd w:val="clear" w:fill="FFFFFF"/>
          <w:lang w:eastAsia="zh-CN"/>
        </w:rPr>
        <w:t>二十大</w:t>
      </w:r>
      <w:r>
        <w:rPr>
          <w:rFonts w:hint="eastAsia" w:ascii="宋体" w:hAnsi="宋体" w:eastAsia="宋体" w:cs="宋体"/>
          <w:i w:val="0"/>
          <w:iCs w:val="0"/>
          <w:caps w:val="0"/>
          <w:color w:val="333333"/>
          <w:spacing w:val="0"/>
          <w:sz w:val="24"/>
          <w:szCs w:val="24"/>
          <w:shd w:val="clear" w:fill="FFFFFF"/>
        </w:rPr>
        <w:t>精神，认真落实</w:t>
      </w:r>
      <w:r>
        <w:rPr>
          <w:rFonts w:hint="eastAsia" w:ascii="宋体" w:hAnsi="宋体" w:eastAsia="宋体" w:cs="宋体"/>
          <w:i w:val="0"/>
          <w:iCs w:val="0"/>
          <w:caps w:val="0"/>
          <w:color w:val="333333"/>
          <w:spacing w:val="0"/>
          <w:sz w:val="24"/>
          <w:szCs w:val="24"/>
          <w:shd w:val="clear" w:fill="FFFFFF"/>
          <w:lang w:eastAsia="zh-CN"/>
        </w:rPr>
        <w:t>国家、省、市</w:t>
      </w:r>
      <w:r>
        <w:rPr>
          <w:rFonts w:hint="eastAsia" w:ascii="宋体" w:hAnsi="宋体" w:eastAsia="宋体" w:cs="宋体"/>
          <w:i w:val="0"/>
          <w:iCs w:val="0"/>
          <w:caps w:val="0"/>
          <w:color w:val="333333"/>
          <w:spacing w:val="0"/>
          <w:sz w:val="24"/>
          <w:szCs w:val="24"/>
          <w:shd w:val="clear" w:fill="FFFFFF"/>
        </w:rPr>
        <w:t>关于政务公开工作决策部署，</w:t>
      </w:r>
      <w:r>
        <w:rPr>
          <w:rFonts w:hint="eastAsia" w:ascii="宋体" w:hAnsi="宋体" w:eastAsia="宋体" w:cs="宋体"/>
          <w:i w:val="0"/>
          <w:iCs w:val="0"/>
          <w:caps w:val="0"/>
          <w:color w:val="333333"/>
          <w:spacing w:val="0"/>
          <w:sz w:val="24"/>
          <w:szCs w:val="24"/>
          <w:shd w:val="clear" w:fill="FFFFFF"/>
          <w:lang w:eastAsia="zh-CN"/>
        </w:rPr>
        <w:t>围绕县委、县政府中心工作，持续深化政务公开内容，畅通政务公开渠道，提升政务公开质量，提高政府工作透明度</w:t>
      </w:r>
      <w:r>
        <w:rPr>
          <w:rFonts w:hint="eastAsia" w:ascii="宋体" w:hAnsi="宋体" w:eastAsia="宋体" w:cs="宋体"/>
          <w:i w:val="0"/>
          <w:iCs w:val="0"/>
          <w:caps w:val="0"/>
          <w:color w:val="333333"/>
          <w:spacing w:val="0"/>
          <w:sz w:val="24"/>
          <w:szCs w:val="24"/>
          <w:shd w:val="clear" w:fill="FFFFFF"/>
        </w:rPr>
        <w:t>。</w:t>
      </w:r>
    </w:p>
    <w:p w14:paraId="724BA00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420"/>
        <w:jc w:val="both"/>
        <w:textAlignment w:val="auto"/>
        <w:rPr>
          <w:rFonts w:hint="eastAsia" w:ascii="宋体" w:hAnsi="宋体" w:eastAsia="宋体" w:cs="宋体"/>
          <w:i w:val="0"/>
          <w:iCs w:val="0"/>
          <w:caps w:val="0"/>
          <w:color w:val="333333"/>
          <w:spacing w:val="0"/>
          <w:sz w:val="24"/>
          <w:szCs w:val="24"/>
          <w:shd w:val="clear" w:fill="FFFFFF"/>
          <w:lang w:eastAsia="zh-CN"/>
        </w:rPr>
      </w:pPr>
      <w:r>
        <w:rPr>
          <w:rFonts w:hint="eastAsia" w:ascii="宋体" w:hAnsi="宋体" w:eastAsia="宋体" w:cs="宋体"/>
          <w:i w:val="0"/>
          <w:iCs w:val="0"/>
          <w:caps w:val="0"/>
          <w:color w:val="333333"/>
          <w:spacing w:val="0"/>
          <w:sz w:val="24"/>
          <w:szCs w:val="24"/>
          <w:shd w:val="clear" w:fill="FFFFFF"/>
          <w:lang w:eastAsia="zh-CN"/>
        </w:rPr>
        <w:t>（一）主动公开方面。持续聚焦涉市场主体领域、消费和外经贸领域、财政资金领域、重点民生领域、乡村振兴领域、办事服务领域等重点领域，依托县政府网站及全县各备案政务新媒体账号，做好信息主动公开、政策文件及政策解读工作，同时，继续加大重大会议、提案议案办理、行政执法公示、部门预决算等信息公开力度；依据职能变化，及时调整政府信息公开指南、政务公开事项目录、权责清单等并公开发布。依托政务公开专区，将各职能部门的政府信息公开指南、政务公开事项清单、惠民惠企政策、政务服务办事指南等汇编成册、集中展示。</w:t>
      </w:r>
    </w:p>
    <w:p w14:paraId="0754CF9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420"/>
        <w:jc w:val="both"/>
        <w:textAlignment w:val="auto"/>
        <w:rPr>
          <w:rFonts w:hint="default" w:eastAsiaTheme="minorEastAsia"/>
          <w:color w:val="333333"/>
          <w:shd w:val="clear" w:color="auto" w:fill="FFFFFF"/>
          <w:lang w:val="en-US" w:eastAsia="zh-CN"/>
        </w:rPr>
      </w:pPr>
      <w:r>
        <w:rPr>
          <w:rFonts w:hint="eastAsia" w:ascii="宋体" w:hAnsi="宋体" w:eastAsia="宋体" w:cs="宋体"/>
          <w:i w:val="0"/>
          <w:iCs w:val="0"/>
          <w:caps w:val="0"/>
          <w:color w:val="333333"/>
          <w:spacing w:val="0"/>
          <w:sz w:val="24"/>
          <w:szCs w:val="24"/>
          <w:shd w:val="clear" w:fill="FFFFFF"/>
          <w:lang w:eastAsia="zh-CN"/>
        </w:rPr>
        <w:t>（二）依申请公开方面。贯彻执行</w:t>
      </w:r>
      <w:r>
        <w:rPr>
          <w:rFonts w:hint="eastAsia"/>
          <w:color w:val="333333"/>
          <w:shd w:val="clear" w:color="auto" w:fill="FFFFFF"/>
        </w:rPr>
        <w:t>《中华人民共和国政府信息公开条例》《河北省政府信息公开申请办理规范》</w:t>
      </w:r>
      <w:r>
        <w:rPr>
          <w:rFonts w:hint="eastAsia"/>
          <w:color w:val="333333"/>
          <w:shd w:val="clear" w:color="auto" w:fill="FFFFFF"/>
          <w:lang w:eastAsia="zh-CN"/>
        </w:rPr>
        <w:t>，畅</w:t>
      </w:r>
      <w:r>
        <w:rPr>
          <w:rFonts w:hint="eastAsia"/>
          <w:color w:val="333333"/>
          <w:shd w:val="clear" w:color="auto" w:fill="FFFFFF"/>
        </w:rPr>
        <w:t>通</w:t>
      </w:r>
      <w:r>
        <w:rPr>
          <w:rFonts w:hint="eastAsia"/>
          <w:color w:val="333333"/>
          <w:shd w:val="clear" w:color="auto" w:fill="FFFFFF"/>
          <w:lang w:eastAsia="zh-CN"/>
        </w:rPr>
        <w:t>当面、信函、电子邮箱申请渠道，持续完善</w:t>
      </w:r>
      <w:r>
        <w:rPr>
          <w:rFonts w:hint="eastAsia"/>
          <w:color w:val="333333"/>
          <w:shd w:val="clear" w:color="auto" w:fill="FFFFFF"/>
        </w:rPr>
        <w:t>接收、登记、审核、办理、答复、归档等工作流程，</w:t>
      </w:r>
      <w:r>
        <w:rPr>
          <w:rFonts w:hint="eastAsia"/>
          <w:color w:val="333333"/>
          <w:shd w:val="clear" w:color="auto" w:fill="FFFFFF"/>
          <w:lang w:eastAsia="zh-CN"/>
        </w:rPr>
        <w:t>继续</w:t>
      </w:r>
      <w:r>
        <w:rPr>
          <w:rFonts w:hint="eastAsia"/>
          <w:color w:val="333333"/>
          <w:shd w:val="clear" w:color="auto" w:fill="FFFFFF"/>
        </w:rPr>
        <w:t>推行标准文本</w:t>
      </w:r>
      <w:r>
        <w:rPr>
          <w:rFonts w:hint="eastAsia"/>
          <w:color w:val="333333"/>
          <w:shd w:val="clear" w:color="auto" w:fill="FFFFFF"/>
          <w:lang w:eastAsia="zh-CN"/>
        </w:rPr>
        <w:t>及法律顾问参与答复审查机制。加强与申请人沟通，同时，通过电话、当面等方式，实时对各乡镇、各部门政府信息公开申请答复情况进行指导，有效降低行政复议和行政诉讼发生率，全县政府信息公开申请办理规范化水平进一步提升</w:t>
      </w:r>
      <w:r>
        <w:rPr>
          <w:rFonts w:hint="eastAsia"/>
          <w:color w:val="333333"/>
          <w:shd w:val="clear" w:color="auto" w:fill="FFFFFF"/>
        </w:rPr>
        <w:t>。</w:t>
      </w:r>
    </w:p>
    <w:p w14:paraId="0DE7F5A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420"/>
        <w:jc w:val="both"/>
        <w:textAlignment w:val="auto"/>
        <w:rPr>
          <w:rFonts w:hint="eastAsia" w:eastAsiaTheme="minorEastAsia"/>
          <w:color w:val="333333"/>
          <w:shd w:val="clear" w:color="auto" w:fill="FFFFFF"/>
          <w:lang w:eastAsia="zh-CN"/>
        </w:rPr>
      </w:pPr>
      <w:r>
        <w:rPr>
          <w:rFonts w:hint="eastAsia"/>
          <w:color w:val="333333"/>
          <w:shd w:val="clear" w:color="auto" w:fill="FFFFFF"/>
          <w:lang w:eastAsia="zh-CN"/>
        </w:rPr>
        <w:t>（三）政府信息管理方面。严格落实文件公开属性审核机制，按照《涞水县人民政府办公室关于进一步规范县政府文件信息公开审查工作的通知》要求，在拟定公文时，明确政府文件信息公开属性，规范县政府文件信息公开审查工作。认真执行政策文件与解读方案、解读材料同步组织、同步审签、同步部署“三同步”制度，进一步增强政策宣传的实效性。按照《涞水县人民政府办公室关于进一步做好行政规范性文件统一登记、统一编号和统一印发有关工作的通知》，加强行政规范性文件制定和监督管理工作；印发《涞水县人民政府关于公布县政府宣布失效、予以修改的行政规范性文件的通知》，对现行有效的政府规范性文件进行全面清理。</w:t>
      </w:r>
    </w:p>
    <w:p w14:paraId="648C4D5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420"/>
        <w:jc w:val="both"/>
        <w:textAlignment w:val="auto"/>
        <w:rPr>
          <w:rFonts w:hint="eastAsia" w:ascii="宋体" w:hAnsi="宋体" w:eastAsia="宋体" w:cs="宋体"/>
          <w:i w:val="0"/>
          <w:iCs w:val="0"/>
          <w:caps w:val="0"/>
          <w:color w:val="333333"/>
          <w:spacing w:val="0"/>
          <w:sz w:val="24"/>
          <w:szCs w:val="24"/>
          <w:shd w:val="clear" w:fill="FFFFFF"/>
          <w:lang w:eastAsia="zh-CN"/>
        </w:rPr>
      </w:pPr>
      <w:r>
        <w:rPr>
          <w:rFonts w:hint="eastAsia" w:ascii="宋体" w:hAnsi="宋体" w:eastAsia="宋体" w:cs="宋体"/>
          <w:i w:val="0"/>
          <w:iCs w:val="0"/>
          <w:caps w:val="0"/>
          <w:color w:val="333333"/>
          <w:spacing w:val="0"/>
          <w:sz w:val="24"/>
          <w:szCs w:val="24"/>
          <w:shd w:val="clear" w:fill="FFFFFF"/>
          <w:lang w:eastAsia="zh-CN"/>
        </w:rPr>
        <w:t>（四）公开平台建设方面。加强政府网站作为信息公开第一平台的建设和管理，持续推进涞水县人民政府网站“政府信息公开”栏目标准化、规范化建设，优化网站页面设计，严格信息发布流程，提高网站稳定性和安全性，做到公开信息权威准确，获取便捷。</w:t>
      </w:r>
      <w:r>
        <w:rPr>
          <w:rFonts w:hint="eastAsia" w:ascii="宋体" w:hAnsi="宋体" w:eastAsia="宋体" w:cs="宋体"/>
          <w:i w:val="0"/>
          <w:iCs w:val="0"/>
          <w:caps w:val="0"/>
          <w:color w:val="333333"/>
          <w:spacing w:val="0"/>
          <w:sz w:val="24"/>
          <w:szCs w:val="24"/>
          <w:shd w:val="clear" w:fill="FFFFFF"/>
          <w:lang w:val="en-US" w:eastAsia="zh-CN"/>
        </w:rPr>
        <w:t>强化</w:t>
      </w:r>
      <w:r>
        <w:rPr>
          <w:rFonts w:hint="eastAsia" w:ascii="宋体" w:hAnsi="宋体" w:eastAsia="宋体" w:cs="宋体"/>
          <w:i w:val="0"/>
          <w:iCs w:val="0"/>
          <w:caps w:val="0"/>
          <w:color w:val="333333"/>
          <w:spacing w:val="0"/>
          <w:sz w:val="24"/>
          <w:szCs w:val="24"/>
          <w:shd w:val="clear" w:fill="FFFFFF"/>
          <w:lang w:eastAsia="zh-CN"/>
        </w:rPr>
        <w:t>全县政务新媒体账号规范化和常态化监管，对全县政府系统各单位开设的政务新媒体账号进行全面梳理排查，严格落实政务新媒体账号备案登记制度，及时清理僵尸账号，对功能重复账号进行整合精简，备案保留了15个政务新媒体账号，关停了20个长期不更新、功能重复、未涉及民生保障的账号。</w:t>
      </w:r>
    </w:p>
    <w:p w14:paraId="52FFD5A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420"/>
        <w:jc w:val="both"/>
        <w:textAlignment w:val="auto"/>
        <w:rPr>
          <w:rFonts w:hint="eastAsia" w:ascii="宋体" w:hAnsi="宋体" w:eastAsia="宋体" w:cs="宋体"/>
          <w:i w:val="0"/>
          <w:iCs w:val="0"/>
          <w:caps w:val="0"/>
          <w:color w:val="333333"/>
          <w:spacing w:val="0"/>
          <w:sz w:val="24"/>
          <w:szCs w:val="24"/>
          <w:shd w:val="clear" w:fill="FFFFFF"/>
          <w:lang w:eastAsia="zh-CN"/>
        </w:rPr>
      </w:pPr>
      <w:r>
        <w:rPr>
          <w:rFonts w:hint="eastAsia" w:ascii="宋体" w:hAnsi="宋体" w:eastAsia="宋体" w:cs="宋体"/>
          <w:i w:val="0"/>
          <w:iCs w:val="0"/>
          <w:caps w:val="0"/>
          <w:color w:val="333333"/>
          <w:spacing w:val="0"/>
          <w:sz w:val="24"/>
          <w:szCs w:val="24"/>
          <w:shd w:val="clear" w:fill="FFFFFF"/>
          <w:lang w:eastAsia="zh-CN"/>
        </w:rPr>
        <w:t>（五）监督保障机制方面。加强政务公开工作组织领导，充分发挥政务公开工作领导小组职责，召开会议，听取汇报，对政务公开工作进行安排部署。不定期对政务公开、政务新媒体工作开展监督检查，对发现的问题及时督促整改落实。借助市政务公开办云视频培训会机会，组织召开全县政务公开业务培训会，各乡镇、各部门分管副职、业务骨干全部参训，宣讲政务公开有关法律、法规、政策和业务实操，不断促进提升政务公开工作水平。</w:t>
      </w:r>
    </w:p>
    <w:p w14:paraId="3AA363D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二、主动公开政府信息情况</w:t>
      </w:r>
    </w:p>
    <w:p w14:paraId="2324EE7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宋体" w:hAnsi="宋体" w:eastAsia="宋体" w:cs="宋体"/>
          <w:i w:val="0"/>
          <w:iCs w:val="0"/>
          <w:caps w:val="0"/>
          <w:color w:val="333333"/>
          <w:spacing w:val="0"/>
          <w:sz w:val="24"/>
          <w:szCs w:val="24"/>
        </w:rPr>
      </w:pPr>
    </w:p>
    <w:tbl>
      <w:tblPr>
        <w:tblStyle w:val="3"/>
        <w:tblW w:w="97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2435"/>
        <w:gridCol w:w="2435"/>
        <w:gridCol w:w="2435"/>
        <w:gridCol w:w="2435"/>
      </w:tblGrid>
      <w:tr w14:paraId="76ECA0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C6D9F1"/>
            <w:tcMar>
              <w:left w:w="57" w:type="dxa"/>
              <w:right w:w="57" w:type="dxa"/>
            </w:tcMar>
            <w:vAlign w:val="center"/>
          </w:tcPr>
          <w:p w14:paraId="324794B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宋体" w:hAnsi="宋体" w:eastAsia="宋体" w:cs="宋体"/>
                <w:color w:val="000000"/>
                <w:kern w:val="0"/>
                <w:sz w:val="20"/>
                <w:szCs w:val="20"/>
                <w:lang w:val="en-US" w:eastAsia="zh-CN" w:bidi="ar"/>
              </w:rPr>
              <w:t>第二十条第（一）项</w:t>
            </w:r>
          </w:p>
        </w:tc>
      </w:tr>
      <w:tr w14:paraId="4E3E3A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4CE2871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宋体" w:hAnsi="宋体" w:eastAsia="宋体" w:cs="宋体"/>
                <w:color w:val="000000"/>
                <w:kern w:val="0"/>
                <w:sz w:val="20"/>
                <w:szCs w:val="20"/>
                <w:lang w:val="en-US" w:eastAsia="zh-CN" w:bidi="ar"/>
              </w:rPr>
              <w:t>信息内容</w:t>
            </w:r>
          </w:p>
        </w:tc>
        <w:tc>
          <w:tcPr>
            <w:tcW w:w="2435"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14:paraId="63B73E6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宋体" w:hAnsi="宋体" w:eastAsia="宋体" w:cs="宋体"/>
                <w:color w:val="000000"/>
                <w:kern w:val="0"/>
                <w:sz w:val="20"/>
                <w:szCs w:val="20"/>
                <w:lang w:val="en-US" w:eastAsia="zh-CN" w:bidi="ar"/>
              </w:rPr>
              <w:t>本年</w:t>
            </w:r>
            <w:r>
              <w:rPr>
                <w:rFonts w:hint="eastAsia" w:ascii="宋体" w:hAnsi="宋体" w:eastAsia="宋体" w:cs="宋体"/>
                <w:kern w:val="0"/>
                <w:sz w:val="20"/>
                <w:szCs w:val="20"/>
                <w:lang w:val="en-US" w:eastAsia="zh-CN" w:bidi="ar"/>
              </w:rPr>
              <w:t>制发件数</w:t>
            </w:r>
          </w:p>
        </w:tc>
        <w:tc>
          <w:tcPr>
            <w:tcW w:w="2435"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14:paraId="092E5E7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宋体" w:hAnsi="宋体" w:eastAsia="宋体" w:cs="宋体"/>
                <w:color w:val="000000"/>
                <w:kern w:val="0"/>
                <w:sz w:val="20"/>
                <w:szCs w:val="20"/>
                <w:lang w:val="en-US" w:eastAsia="zh-CN" w:bidi="ar"/>
              </w:rPr>
              <w:t>本年废止件数</w:t>
            </w:r>
          </w:p>
        </w:tc>
        <w:tc>
          <w:tcPr>
            <w:tcW w:w="2435"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14:paraId="0C4ECF2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宋体" w:hAnsi="宋体" w:eastAsia="宋体" w:cs="宋体"/>
                <w:color w:val="000000"/>
                <w:kern w:val="0"/>
                <w:sz w:val="20"/>
                <w:szCs w:val="20"/>
                <w:lang w:val="en-US" w:eastAsia="zh-CN" w:bidi="ar"/>
              </w:rPr>
              <w:t>现行有效件</w:t>
            </w:r>
            <w:r>
              <w:rPr>
                <w:rFonts w:hint="eastAsia" w:ascii="宋体" w:hAnsi="宋体" w:eastAsia="宋体" w:cs="宋体"/>
                <w:kern w:val="0"/>
                <w:sz w:val="20"/>
                <w:szCs w:val="20"/>
                <w:lang w:val="en-US" w:eastAsia="zh-CN" w:bidi="ar"/>
              </w:rPr>
              <w:t>数</w:t>
            </w:r>
          </w:p>
        </w:tc>
      </w:tr>
      <w:tr w14:paraId="63CB72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52D503E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pPr>
            <w:r>
              <w:rPr>
                <w:rFonts w:hint="eastAsia" w:ascii="宋体" w:hAnsi="宋体" w:eastAsia="宋体" w:cs="宋体"/>
                <w:color w:val="000000"/>
                <w:kern w:val="0"/>
                <w:sz w:val="20"/>
                <w:szCs w:val="20"/>
                <w:lang w:val="en-US" w:eastAsia="zh-CN" w:bidi="ar"/>
              </w:rPr>
              <w:t>规章</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14:paraId="6BC8D89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hint="eastAsia" w:ascii="宋体" w:hAnsi="宋体" w:eastAsia="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14:paraId="65C4FEB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hint="eastAsia" w:ascii="宋体" w:hAnsi="宋体" w:eastAsia="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14:paraId="740DF8A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hint="eastAsia" w:ascii="Calibri" w:hAnsi="Calibri" w:cs="Calibri"/>
                <w:kern w:val="0"/>
                <w:sz w:val="21"/>
                <w:szCs w:val="21"/>
                <w:lang w:val="en-US" w:eastAsia="zh-CN" w:bidi="ar"/>
              </w:rPr>
              <w:t>0</w:t>
            </w:r>
          </w:p>
        </w:tc>
      </w:tr>
      <w:tr w14:paraId="30FAF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4529A37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pPr>
            <w:r>
              <w:rPr>
                <w:rFonts w:hint="eastAsia" w:ascii="宋体" w:hAnsi="宋体" w:eastAsia="宋体" w:cs="宋体"/>
                <w:color w:val="000000"/>
                <w:kern w:val="0"/>
                <w:sz w:val="20"/>
                <w:szCs w:val="20"/>
                <w:lang w:val="en-US" w:eastAsia="zh-CN" w:bidi="ar"/>
              </w:rPr>
              <w:t>行政规范性文件</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14:paraId="4FFF9B2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eastAsiaTheme="minorEastAsia"/>
                <w:lang w:val="en-US" w:eastAsia="zh-CN"/>
              </w:rPr>
            </w:pPr>
            <w:r>
              <w:rPr>
                <w:rFonts w:hint="eastAsia"/>
                <w:lang w:val="en-US" w:eastAsia="zh-CN"/>
              </w:rPr>
              <w:t>5</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14:paraId="7CFC012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eastAsiaTheme="minorEastAsia"/>
                <w:lang w:val="en-US" w:eastAsia="zh-CN"/>
              </w:rPr>
            </w:pPr>
            <w:r>
              <w:rPr>
                <w:rFonts w:hint="eastAsia"/>
                <w:lang w:val="en-US" w:eastAsia="zh-CN"/>
              </w:rPr>
              <w:t>1</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14:paraId="654B3E7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eastAsiaTheme="minorEastAsia"/>
                <w:lang w:val="en-US" w:eastAsia="zh-CN"/>
              </w:rPr>
            </w:pPr>
            <w:r>
              <w:rPr>
                <w:rFonts w:hint="eastAsia"/>
                <w:lang w:val="en-US" w:eastAsia="zh-CN"/>
              </w:rPr>
              <w:t>9</w:t>
            </w:r>
          </w:p>
        </w:tc>
      </w:tr>
      <w:tr w14:paraId="1A21BE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14:paraId="23C8392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宋体" w:hAnsi="宋体" w:eastAsia="宋体" w:cs="宋体"/>
                <w:color w:val="000000"/>
                <w:kern w:val="0"/>
                <w:sz w:val="20"/>
                <w:szCs w:val="20"/>
                <w:lang w:val="en-US" w:eastAsia="zh-CN" w:bidi="ar"/>
              </w:rPr>
              <w:t>第二十条第（五）项</w:t>
            </w:r>
          </w:p>
        </w:tc>
      </w:tr>
      <w:tr w14:paraId="51518E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4C2D907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宋体" w:hAnsi="宋体" w:eastAsia="宋体" w:cs="宋体"/>
                <w:color w:val="000000"/>
                <w:kern w:val="0"/>
                <w:sz w:val="20"/>
                <w:szCs w:val="20"/>
                <w:lang w:val="en-US" w:eastAsia="zh-CN" w:bidi="ar"/>
              </w:rPr>
              <w:t>信息内容</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14:paraId="084C196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宋体" w:hAnsi="宋体" w:eastAsia="宋体" w:cs="宋体"/>
                <w:color w:val="000000"/>
                <w:kern w:val="0"/>
                <w:sz w:val="20"/>
                <w:szCs w:val="20"/>
                <w:lang w:val="en-US" w:eastAsia="zh-CN" w:bidi="ar"/>
              </w:rPr>
              <w:t>本年处理决定数量</w:t>
            </w:r>
          </w:p>
        </w:tc>
      </w:tr>
      <w:tr w14:paraId="3C7DB1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35DF3CF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pPr>
            <w:r>
              <w:rPr>
                <w:rFonts w:hint="eastAsia" w:ascii="宋体" w:hAnsi="宋体" w:eastAsia="宋体" w:cs="宋体"/>
                <w:color w:val="000000"/>
                <w:kern w:val="0"/>
                <w:sz w:val="20"/>
                <w:szCs w:val="20"/>
                <w:lang w:val="en-US" w:eastAsia="zh-CN" w:bidi="ar"/>
              </w:rPr>
              <w:t>行政许可</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14:paraId="56B3E41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eastAsiaTheme="minorEastAsia"/>
                <w:lang w:val="en-US" w:eastAsia="zh-CN"/>
              </w:rPr>
            </w:pPr>
            <w:r>
              <w:rPr>
                <w:rFonts w:hint="eastAsia"/>
                <w:lang w:val="en-US" w:eastAsia="zh-CN"/>
              </w:rPr>
              <w:t>91999</w:t>
            </w:r>
          </w:p>
        </w:tc>
      </w:tr>
      <w:tr w14:paraId="46601D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14:paraId="4EA632C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宋体" w:hAnsi="宋体" w:eastAsia="宋体" w:cs="宋体"/>
                <w:color w:val="000000"/>
                <w:kern w:val="0"/>
                <w:sz w:val="20"/>
                <w:szCs w:val="20"/>
                <w:lang w:val="en-US" w:eastAsia="zh-CN" w:bidi="ar"/>
              </w:rPr>
              <w:t>第二十条第（六）项</w:t>
            </w:r>
          </w:p>
        </w:tc>
      </w:tr>
      <w:tr w14:paraId="317818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6D58204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pPr>
            <w:r>
              <w:rPr>
                <w:rFonts w:hint="eastAsia" w:ascii="宋体" w:hAnsi="宋体" w:eastAsia="宋体" w:cs="宋体"/>
                <w:color w:val="000000"/>
                <w:kern w:val="0"/>
                <w:sz w:val="20"/>
                <w:szCs w:val="20"/>
                <w:lang w:val="en-US" w:eastAsia="zh-CN" w:bidi="ar"/>
              </w:rPr>
              <w:t>信息内容</w:t>
            </w:r>
          </w:p>
        </w:tc>
        <w:tc>
          <w:tcPr>
            <w:tcW w:w="7305" w:type="dxa"/>
            <w:gridSpan w:val="3"/>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14:paraId="63202E6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pPr>
            <w:r>
              <w:rPr>
                <w:rFonts w:hint="eastAsia" w:ascii="宋体" w:hAnsi="宋体" w:eastAsia="宋体" w:cs="宋体"/>
                <w:color w:val="000000"/>
                <w:kern w:val="0"/>
                <w:sz w:val="20"/>
                <w:szCs w:val="20"/>
                <w:lang w:val="en-US" w:eastAsia="zh-CN" w:bidi="ar"/>
              </w:rPr>
              <w:t>本年处理决定数量</w:t>
            </w:r>
          </w:p>
        </w:tc>
      </w:tr>
      <w:tr w14:paraId="7136B9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082A3EC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pPr>
            <w:r>
              <w:rPr>
                <w:rFonts w:hint="eastAsia" w:ascii="宋体" w:hAnsi="宋体" w:eastAsia="宋体" w:cs="宋体"/>
                <w:color w:val="000000"/>
                <w:kern w:val="0"/>
                <w:sz w:val="20"/>
                <w:szCs w:val="20"/>
                <w:lang w:val="en-US" w:eastAsia="zh-CN" w:bidi="ar"/>
              </w:rPr>
              <w:t>行政处罚</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14:paraId="4783C02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eastAsiaTheme="minorEastAsia"/>
                <w:lang w:val="en-US" w:eastAsia="zh-CN"/>
              </w:rPr>
            </w:pPr>
            <w:r>
              <w:rPr>
                <w:rFonts w:hint="eastAsia"/>
                <w:lang w:val="en-US" w:eastAsia="zh-CN"/>
              </w:rPr>
              <w:t>462</w:t>
            </w:r>
          </w:p>
        </w:tc>
      </w:tr>
      <w:tr w14:paraId="0C216E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42F446B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pPr>
            <w:r>
              <w:rPr>
                <w:rFonts w:hint="eastAsia" w:ascii="宋体" w:hAnsi="宋体" w:eastAsia="宋体" w:cs="宋体"/>
                <w:color w:val="000000"/>
                <w:kern w:val="0"/>
                <w:sz w:val="20"/>
                <w:szCs w:val="20"/>
                <w:lang w:val="en-US" w:eastAsia="zh-CN" w:bidi="ar"/>
              </w:rPr>
              <w:t>行政强制</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14:paraId="390BB47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eastAsiaTheme="minorEastAsia"/>
                <w:lang w:val="en-US" w:eastAsia="zh-CN"/>
              </w:rPr>
            </w:pPr>
            <w:r>
              <w:rPr>
                <w:rFonts w:hint="eastAsia"/>
                <w:lang w:val="en-US" w:eastAsia="zh-CN"/>
              </w:rPr>
              <w:t>25</w:t>
            </w:r>
          </w:p>
        </w:tc>
      </w:tr>
      <w:tr w14:paraId="33BE34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14:paraId="56DFB7D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宋体" w:hAnsi="宋体" w:eastAsia="宋体" w:cs="宋体"/>
                <w:color w:val="000000"/>
                <w:kern w:val="0"/>
                <w:sz w:val="20"/>
                <w:szCs w:val="20"/>
                <w:lang w:val="en-US" w:eastAsia="zh-CN" w:bidi="ar"/>
              </w:rPr>
              <w:t>第二十条第（八）项</w:t>
            </w:r>
          </w:p>
        </w:tc>
      </w:tr>
      <w:tr w14:paraId="35312E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75F1CB0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宋体" w:hAnsi="宋体" w:eastAsia="宋体" w:cs="宋体"/>
                <w:color w:val="000000"/>
                <w:kern w:val="0"/>
                <w:sz w:val="20"/>
                <w:szCs w:val="20"/>
                <w:lang w:val="en-US" w:eastAsia="zh-CN" w:bidi="ar"/>
              </w:rPr>
              <w:t>信息内容</w:t>
            </w:r>
          </w:p>
        </w:tc>
        <w:tc>
          <w:tcPr>
            <w:tcW w:w="7305" w:type="dxa"/>
            <w:gridSpan w:val="3"/>
            <w:tcBorders>
              <w:top w:val="nil"/>
              <w:left w:val="nil"/>
              <w:bottom w:val="single" w:color="auto" w:sz="8" w:space="0"/>
              <w:right w:val="single" w:color="000000" w:sz="8" w:space="0"/>
            </w:tcBorders>
            <w:shd w:val="clear" w:color="auto" w:fill="auto"/>
            <w:tcMar>
              <w:left w:w="57" w:type="dxa"/>
              <w:right w:w="57" w:type="dxa"/>
            </w:tcMar>
            <w:vAlign w:val="center"/>
          </w:tcPr>
          <w:p w14:paraId="1712FCC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宋体" w:hAnsi="宋体" w:eastAsia="宋体" w:cs="宋体"/>
                <w:color w:val="000000"/>
                <w:kern w:val="0"/>
                <w:sz w:val="20"/>
                <w:szCs w:val="20"/>
                <w:lang w:val="en-US" w:eastAsia="zh-CN" w:bidi="ar"/>
              </w:rPr>
              <w:t>本年收费金额（单位：万元）</w:t>
            </w:r>
          </w:p>
        </w:tc>
      </w:tr>
      <w:tr w14:paraId="5B8160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48FC42C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pPr>
            <w:r>
              <w:rPr>
                <w:rFonts w:hint="eastAsia" w:ascii="宋体" w:hAnsi="宋体" w:eastAsia="宋体" w:cs="宋体"/>
                <w:color w:val="000000"/>
                <w:kern w:val="0"/>
                <w:sz w:val="20"/>
                <w:szCs w:val="20"/>
                <w:lang w:val="en-US" w:eastAsia="zh-CN" w:bidi="ar"/>
              </w:rPr>
              <w:t>行政事业性收费</w:t>
            </w:r>
          </w:p>
        </w:tc>
        <w:tc>
          <w:tcPr>
            <w:tcW w:w="7305" w:type="dxa"/>
            <w:gridSpan w:val="3"/>
            <w:tcBorders>
              <w:top w:val="nil"/>
              <w:left w:val="nil"/>
              <w:bottom w:val="single" w:color="auto" w:sz="8" w:space="0"/>
              <w:right w:val="single" w:color="000000" w:sz="8" w:space="0"/>
            </w:tcBorders>
            <w:shd w:val="clear" w:color="auto" w:fill="auto"/>
            <w:tcMar>
              <w:left w:w="57" w:type="dxa"/>
              <w:right w:w="57" w:type="dxa"/>
            </w:tcMar>
            <w:vAlign w:val="center"/>
          </w:tcPr>
          <w:p w14:paraId="0EE3EF32">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宋体" w:eastAsiaTheme="minorEastAsia"/>
                <w:sz w:val="24"/>
                <w:szCs w:val="24"/>
                <w:lang w:val="en-US" w:eastAsia="zh-CN"/>
              </w:rPr>
            </w:pPr>
            <w:r>
              <w:rPr>
                <w:rFonts w:hint="eastAsia" w:ascii="宋体"/>
                <w:sz w:val="24"/>
                <w:szCs w:val="24"/>
                <w:lang w:val="en-US" w:eastAsia="zh-CN"/>
              </w:rPr>
              <w:t>322.941355</w:t>
            </w:r>
          </w:p>
        </w:tc>
      </w:tr>
    </w:tbl>
    <w:p w14:paraId="6320A81A">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pPr>
    </w:p>
    <w:p w14:paraId="73D9EEC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三、收到和处理政府信息公开申请情况</w:t>
      </w:r>
    </w:p>
    <w:p w14:paraId="7E4FD55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宋体" w:hAnsi="宋体" w:eastAsia="宋体" w:cs="宋体"/>
          <w:i w:val="0"/>
          <w:iCs w:val="0"/>
          <w:caps w:val="0"/>
          <w:color w:val="333333"/>
          <w:spacing w:val="0"/>
          <w:sz w:val="24"/>
          <w:szCs w:val="24"/>
        </w:rPr>
      </w:pPr>
    </w:p>
    <w:tbl>
      <w:tblPr>
        <w:tblStyle w:val="3"/>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768"/>
        <w:gridCol w:w="943"/>
        <w:gridCol w:w="3220"/>
        <w:gridCol w:w="688"/>
        <w:gridCol w:w="688"/>
        <w:gridCol w:w="688"/>
        <w:gridCol w:w="688"/>
        <w:gridCol w:w="688"/>
        <w:gridCol w:w="688"/>
        <w:gridCol w:w="689"/>
      </w:tblGrid>
      <w:tr w14:paraId="5F76D42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4931" w:type="dxa"/>
            <w:gridSpan w:val="3"/>
            <w:vMerge w:val="restart"/>
            <w:tcBorders>
              <w:top w:val="single" w:color="auto" w:sz="8" w:space="0"/>
              <w:left w:val="single" w:color="auto" w:sz="8" w:space="0"/>
              <w:bottom w:val="outset" w:color="auto" w:sz="8" w:space="0"/>
              <w:right w:val="single" w:color="auto" w:sz="8" w:space="0"/>
            </w:tcBorders>
            <w:shd w:val="clear" w:color="auto" w:fill="auto"/>
            <w:tcMar>
              <w:left w:w="108" w:type="dxa"/>
              <w:right w:w="108" w:type="dxa"/>
            </w:tcMar>
            <w:vAlign w:val="center"/>
          </w:tcPr>
          <w:p w14:paraId="4036581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pPr>
            <w:r>
              <w:rPr>
                <w:rFonts w:hint="eastAsia" w:ascii="楷体" w:hAnsi="楷体" w:eastAsia="楷体" w:cs="楷体"/>
                <w:kern w:val="0"/>
                <w:sz w:val="20"/>
                <w:szCs w:val="20"/>
                <w:lang w:val="en-US" w:eastAsia="zh-CN" w:bidi="ar"/>
              </w:rPr>
              <w:t>（本列数据的勾稽关系为：第一项加第二项之和，等于第三项加第四项之和）</w:t>
            </w:r>
          </w:p>
        </w:tc>
        <w:tc>
          <w:tcPr>
            <w:tcW w:w="4817" w:type="dxa"/>
            <w:gridSpan w:val="7"/>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14:paraId="78E977A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宋体" w:hAnsi="宋体" w:eastAsia="宋体" w:cs="宋体"/>
                <w:kern w:val="0"/>
                <w:sz w:val="20"/>
                <w:szCs w:val="20"/>
                <w:lang w:val="en-US" w:eastAsia="zh-CN" w:bidi="ar"/>
              </w:rPr>
              <w:t>申请人情况</w:t>
            </w:r>
          </w:p>
        </w:tc>
      </w:tr>
      <w:tr w14:paraId="06135D2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vMerge w:val="continue"/>
            <w:tcBorders>
              <w:top w:val="single" w:color="auto" w:sz="8" w:space="0"/>
              <w:left w:val="single" w:color="auto" w:sz="8" w:space="0"/>
              <w:bottom w:val="outset" w:color="auto" w:sz="8" w:space="0"/>
              <w:right w:val="single" w:color="auto" w:sz="8" w:space="0"/>
            </w:tcBorders>
            <w:shd w:val="clear" w:color="auto" w:fill="auto"/>
            <w:tcMar>
              <w:left w:w="108" w:type="dxa"/>
              <w:right w:w="108" w:type="dxa"/>
            </w:tcMar>
            <w:vAlign w:val="center"/>
          </w:tcPr>
          <w:p w14:paraId="3CED53A7">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688" w:type="dxa"/>
            <w:vMerge w:val="restart"/>
            <w:tcBorders>
              <w:top w:val="nil"/>
              <w:left w:val="nil"/>
              <w:bottom w:val="single" w:color="auto" w:sz="8" w:space="0"/>
              <w:right w:val="single" w:color="auto" w:sz="8" w:space="0"/>
            </w:tcBorders>
            <w:shd w:val="clear" w:color="auto" w:fill="auto"/>
            <w:tcMar>
              <w:left w:w="57" w:type="dxa"/>
              <w:right w:w="57" w:type="dxa"/>
            </w:tcMar>
            <w:vAlign w:val="center"/>
          </w:tcPr>
          <w:p w14:paraId="636582F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宋体" w:hAnsi="宋体" w:eastAsia="宋体" w:cs="宋体"/>
                <w:kern w:val="0"/>
                <w:sz w:val="20"/>
                <w:szCs w:val="20"/>
                <w:lang w:val="en-US" w:eastAsia="zh-CN" w:bidi="ar"/>
              </w:rPr>
              <w:t>自然人</w:t>
            </w:r>
          </w:p>
        </w:tc>
        <w:tc>
          <w:tcPr>
            <w:tcW w:w="3440" w:type="dxa"/>
            <w:gridSpan w:val="5"/>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14:paraId="4B23D77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宋体" w:hAnsi="宋体" w:eastAsia="宋体" w:cs="宋体"/>
                <w:kern w:val="0"/>
                <w:sz w:val="20"/>
                <w:szCs w:val="20"/>
                <w:lang w:val="en-US" w:eastAsia="zh-CN" w:bidi="ar"/>
              </w:rPr>
              <w:t>法人或其他组织</w:t>
            </w:r>
          </w:p>
        </w:tc>
        <w:tc>
          <w:tcPr>
            <w:tcW w:w="689" w:type="dxa"/>
            <w:vMerge w:val="restart"/>
            <w:tcBorders>
              <w:top w:val="single" w:color="auto" w:sz="8" w:space="0"/>
              <w:left w:val="nil"/>
              <w:bottom w:val="outset" w:color="auto" w:sz="8" w:space="0"/>
              <w:right w:val="single" w:color="auto" w:sz="8" w:space="0"/>
            </w:tcBorders>
            <w:shd w:val="clear" w:color="auto" w:fill="auto"/>
            <w:tcMar>
              <w:left w:w="57" w:type="dxa"/>
              <w:right w:w="57" w:type="dxa"/>
            </w:tcMar>
            <w:vAlign w:val="center"/>
          </w:tcPr>
          <w:p w14:paraId="09FBE76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宋体" w:hAnsi="宋体" w:eastAsia="宋体" w:cs="宋体"/>
                <w:kern w:val="0"/>
                <w:sz w:val="20"/>
                <w:szCs w:val="20"/>
                <w:lang w:val="en-US" w:eastAsia="zh-CN" w:bidi="ar"/>
              </w:rPr>
              <w:t>总计</w:t>
            </w:r>
          </w:p>
        </w:tc>
      </w:tr>
      <w:tr w14:paraId="7784F1C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vMerge w:val="continue"/>
            <w:tcBorders>
              <w:top w:val="single" w:color="auto" w:sz="8" w:space="0"/>
              <w:left w:val="single" w:color="auto" w:sz="8" w:space="0"/>
              <w:bottom w:val="outset" w:color="auto" w:sz="8" w:space="0"/>
              <w:right w:val="single" w:color="auto" w:sz="8" w:space="0"/>
            </w:tcBorders>
            <w:shd w:val="clear" w:color="auto" w:fill="auto"/>
            <w:tcMar>
              <w:left w:w="108" w:type="dxa"/>
              <w:right w:w="108" w:type="dxa"/>
            </w:tcMar>
            <w:vAlign w:val="center"/>
          </w:tcPr>
          <w:p w14:paraId="6DF33112">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688" w:type="dxa"/>
            <w:vMerge w:val="continue"/>
            <w:tcBorders>
              <w:top w:val="nil"/>
              <w:left w:val="nil"/>
              <w:bottom w:val="single" w:color="auto" w:sz="8" w:space="0"/>
              <w:right w:val="single" w:color="auto" w:sz="8" w:space="0"/>
            </w:tcBorders>
            <w:shd w:val="clear" w:color="auto" w:fill="auto"/>
            <w:tcMar>
              <w:left w:w="57" w:type="dxa"/>
              <w:right w:w="57" w:type="dxa"/>
            </w:tcMar>
            <w:vAlign w:val="center"/>
          </w:tcPr>
          <w:p w14:paraId="3FB75D15">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3640A63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宋体" w:hAnsi="宋体" w:eastAsia="宋体" w:cs="宋体"/>
                <w:kern w:val="0"/>
                <w:sz w:val="20"/>
                <w:szCs w:val="20"/>
                <w:lang w:val="en-US" w:eastAsia="zh-CN" w:bidi="ar"/>
              </w:rPr>
              <w:t>商业</w:t>
            </w:r>
          </w:p>
          <w:p w14:paraId="2E1CA2D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宋体" w:hAnsi="宋体" w:eastAsia="宋体" w:cs="宋体"/>
                <w:kern w:val="0"/>
                <w:sz w:val="20"/>
                <w:szCs w:val="20"/>
                <w:lang w:val="en-US" w:eastAsia="zh-CN" w:bidi="ar"/>
              </w:rPr>
              <w:t>企业</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6343658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宋体" w:hAnsi="宋体" w:eastAsia="宋体" w:cs="宋体"/>
                <w:kern w:val="0"/>
                <w:sz w:val="20"/>
                <w:szCs w:val="20"/>
                <w:lang w:val="en-US" w:eastAsia="zh-CN" w:bidi="ar"/>
              </w:rPr>
              <w:t>科研</w:t>
            </w:r>
          </w:p>
          <w:p w14:paraId="30FC496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宋体" w:hAnsi="宋体" w:eastAsia="宋体" w:cs="宋体"/>
                <w:kern w:val="0"/>
                <w:sz w:val="20"/>
                <w:szCs w:val="20"/>
                <w:lang w:val="en-US" w:eastAsia="zh-CN" w:bidi="ar"/>
              </w:rPr>
              <w:t>机构</w:t>
            </w:r>
          </w:p>
        </w:tc>
        <w:tc>
          <w:tcPr>
            <w:tcW w:w="688"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14:paraId="445EFA8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宋体" w:hAnsi="宋体" w:eastAsia="宋体" w:cs="宋体"/>
                <w:kern w:val="0"/>
                <w:sz w:val="20"/>
                <w:szCs w:val="20"/>
                <w:lang w:val="en-US" w:eastAsia="zh-CN" w:bidi="ar"/>
              </w:rPr>
              <w:t>社会公益组织</w:t>
            </w:r>
          </w:p>
        </w:tc>
        <w:tc>
          <w:tcPr>
            <w:tcW w:w="688"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14:paraId="704A6B1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宋体" w:hAnsi="宋体" w:eastAsia="宋体" w:cs="宋体"/>
                <w:kern w:val="0"/>
                <w:sz w:val="20"/>
                <w:szCs w:val="20"/>
                <w:lang w:val="en-US" w:eastAsia="zh-CN" w:bidi="ar"/>
              </w:rPr>
              <w:t>法律服务机构</w:t>
            </w:r>
          </w:p>
        </w:tc>
        <w:tc>
          <w:tcPr>
            <w:tcW w:w="688"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14:paraId="216C73C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宋体" w:hAnsi="宋体" w:eastAsia="宋体" w:cs="宋体"/>
                <w:kern w:val="0"/>
                <w:sz w:val="20"/>
                <w:szCs w:val="20"/>
                <w:lang w:val="en-US" w:eastAsia="zh-CN" w:bidi="ar"/>
              </w:rPr>
              <w:t>其他</w:t>
            </w:r>
          </w:p>
        </w:tc>
        <w:tc>
          <w:tcPr>
            <w:tcW w:w="689" w:type="dxa"/>
            <w:vMerge w:val="continue"/>
            <w:tcBorders>
              <w:top w:val="single" w:color="auto" w:sz="8" w:space="0"/>
              <w:left w:val="nil"/>
              <w:bottom w:val="outset" w:color="auto" w:sz="8" w:space="0"/>
              <w:right w:val="single" w:color="auto" w:sz="8" w:space="0"/>
            </w:tcBorders>
            <w:shd w:val="clear" w:color="auto" w:fill="auto"/>
            <w:tcMar>
              <w:left w:w="57" w:type="dxa"/>
              <w:right w:w="57" w:type="dxa"/>
            </w:tcMar>
            <w:vAlign w:val="center"/>
          </w:tcPr>
          <w:p w14:paraId="29D5326B">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r>
      <w:tr w14:paraId="0E82EC3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2A74E33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pPr>
            <w:r>
              <w:rPr>
                <w:rFonts w:hint="eastAsia" w:ascii="宋体" w:hAnsi="宋体" w:eastAsia="宋体" w:cs="宋体"/>
                <w:kern w:val="0"/>
                <w:sz w:val="20"/>
                <w:szCs w:val="20"/>
                <w:lang w:val="en-US" w:eastAsia="zh-CN" w:bidi="ar"/>
              </w:rPr>
              <w:t>一、本年新收政府信息公开申请数量</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230EF32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45</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0309190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eastAsiaTheme="minorEastAsia"/>
                <w:lang w:val="en-US" w:eastAsia="zh-CN"/>
              </w:rPr>
            </w:pPr>
            <w:r>
              <w:rPr>
                <w:rFonts w:hint="eastAsia"/>
                <w:lang w:val="en-US" w:eastAsia="zh-CN"/>
              </w:rPr>
              <w:t>1</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7976042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7D320A6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0C8E205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5D62684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top"/>
          </w:tcPr>
          <w:p w14:paraId="6B4386D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eastAsiaTheme="minorEastAsia"/>
                <w:lang w:val="en-US" w:eastAsia="zh-CN"/>
              </w:rPr>
            </w:pPr>
            <w:r>
              <w:rPr>
                <w:rFonts w:hint="eastAsia"/>
                <w:lang w:val="en-US" w:eastAsia="zh-CN"/>
              </w:rPr>
              <w:t>46</w:t>
            </w:r>
          </w:p>
        </w:tc>
      </w:tr>
      <w:tr w14:paraId="083E537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5551B8A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pPr>
            <w:r>
              <w:rPr>
                <w:rFonts w:hint="eastAsia" w:ascii="宋体" w:hAnsi="宋体" w:eastAsia="宋体" w:cs="宋体"/>
                <w:kern w:val="0"/>
                <w:sz w:val="20"/>
                <w:szCs w:val="20"/>
                <w:lang w:val="en-US" w:eastAsia="zh-CN" w:bidi="ar"/>
              </w:rPr>
              <w:t>二、上年结转政府信息公开申请数量</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22B323A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eastAsiaTheme="minorEastAsia"/>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22ADD99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40879D1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7C645F8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158847E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3234EBF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top"/>
          </w:tcPr>
          <w:p w14:paraId="28DCF9D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eastAsiaTheme="minorEastAsia"/>
                <w:lang w:val="en-US" w:eastAsia="zh-CN"/>
              </w:rPr>
            </w:pPr>
            <w:r>
              <w:rPr>
                <w:rFonts w:hint="eastAsia"/>
                <w:lang w:val="en-US" w:eastAsia="zh-CN"/>
              </w:rPr>
              <w:t>0</w:t>
            </w:r>
          </w:p>
        </w:tc>
      </w:tr>
      <w:tr w14:paraId="25171FB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restart"/>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59CB543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pPr>
            <w:r>
              <w:rPr>
                <w:rFonts w:hint="eastAsia" w:ascii="宋体" w:hAnsi="宋体" w:eastAsia="宋体" w:cs="宋体"/>
                <w:kern w:val="0"/>
                <w:sz w:val="20"/>
                <w:szCs w:val="20"/>
                <w:lang w:val="en-US" w:eastAsia="zh-CN" w:bidi="ar"/>
              </w:rPr>
              <w:t>三、本年度办理结果</w:t>
            </w:r>
          </w:p>
        </w:tc>
        <w:tc>
          <w:tcPr>
            <w:tcW w:w="4163" w:type="dxa"/>
            <w:gridSpan w:val="2"/>
            <w:tcBorders>
              <w:top w:val="nil"/>
              <w:left w:val="nil"/>
              <w:bottom w:val="single" w:color="auto" w:sz="8" w:space="0"/>
              <w:right w:val="single" w:color="auto" w:sz="8" w:space="0"/>
            </w:tcBorders>
            <w:shd w:val="clear" w:color="auto" w:fill="auto"/>
            <w:tcMar>
              <w:left w:w="57" w:type="dxa"/>
              <w:right w:w="57" w:type="dxa"/>
            </w:tcMar>
            <w:vAlign w:val="center"/>
          </w:tcPr>
          <w:p w14:paraId="7941E8E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pPr>
            <w:r>
              <w:rPr>
                <w:rFonts w:hint="eastAsia" w:ascii="宋体" w:hAnsi="宋体" w:eastAsia="宋体" w:cs="宋体"/>
                <w:kern w:val="0"/>
                <w:sz w:val="20"/>
                <w:szCs w:val="20"/>
                <w:lang w:val="en-US" w:eastAsia="zh-CN" w:bidi="ar"/>
              </w:rPr>
              <w:t>（一）予以公开</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3817751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eastAsiaTheme="minorEastAsia"/>
                <w:lang w:val="en-US" w:eastAsia="zh-CN"/>
              </w:rPr>
            </w:pPr>
            <w:r>
              <w:rPr>
                <w:rFonts w:hint="eastAsia"/>
                <w:lang w:val="en-US" w:eastAsia="zh-CN"/>
              </w:rPr>
              <w:t>31</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05324B5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777891C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1AB57CE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4D5A441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1AF23FD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9" w:type="dxa"/>
            <w:tcBorders>
              <w:top w:val="single" w:color="auto" w:sz="8" w:space="0"/>
              <w:left w:val="nil"/>
              <w:bottom w:val="single" w:color="auto" w:sz="8" w:space="0"/>
              <w:right w:val="single" w:color="auto" w:sz="8" w:space="0"/>
            </w:tcBorders>
            <w:shd w:val="clear" w:color="auto" w:fill="auto"/>
            <w:tcMar>
              <w:left w:w="57" w:type="dxa"/>
              <w:right w:w="57" w:type="dxa"/>
            </w:tcMar>
            <w:vAlign w:val="top"/>
          </w:tcPr>
          <w:p w14:paraId="47BE21D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eastAsiaTheme="minorEastAsia"/>
                <w:lang w:val="en-US" w:eastAsia="zh-CN"/>
              </w:rPr>
            </w:pPr>
            <w:r>
              <w:rPr>
                <w:rFonts w:hint="eastAsia"/>
                <w:lang w:val="en-US" w:eastAsia="zh-CN"/>
              </w:rPr>
              <w:t>31</w:t>
            </w:r>
          </w:p>
        </w:tc>
      </w:tr>
      <w:tr w14:paraId="2F23A60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33052A58">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4163" w:type="dxa"/>
            <w:gridSpan w:val="2"/>
            <w:tcBorders>
              <w:top w:val="nil"/>
              <w:left w:val="nil"/>
              <w:bottom w:val="single" w:color="auto" w:sz="8" w:space="0"/>
              <w:right w:val="single" w:color="auto" w:sz="8" w:space="0"/>
            </w:tcBorders>
            <w:shd w:val="clear" w:color="auto" w:fill="auto"/>
            <w:tcMar>
              <w:left w:w="57" w:type="dxa"/>
              <w:right w:w="57" w:type="dxa"/>
            </w:tcMar>
            <w:vAlign w:val="center"/>
          </w:tcPr>
          <w:p w14:paraId="4C1C850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pPr>
            <w:r>
              <w:rPr>
                <w:rFonts w:hint="eastAsia" w:ascii="宋体" w:hAnsi="宋体" w:eastAsia="宋体" w:cs="宋体"/>
                <w:kern w:val="0"/>
                <w:sz w:val="20"/>
                <w:szCs w:val="20"/>
                <w:lang w:val="en-US" w:eastAsia="zh-CN" w:bidi="ar"/>
              </w:rPr>
              <w:t>（二）部分公开</w:t>
            </w:r>
            <w:r>
              <w:rPr>
                <w:rFonts w:hint="eastAsia" w:ascii="楷体" w:hAnsi="楷体" w:eastAsia="楷体" w:cs="楷体"/>
                <w:kern w:val="0"/>
                <w:sz w:val="20"/>
                <w:szCs w:val="20"/>
                <w:lang w:val="en-US" w:eastAsia="zh-CN" w:bidi="ar"/>
              </w:rPr>
              <w:t>（区分处理的，只计这一情形，不计其他情形）</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7B262B1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4</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7A76483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7A2F374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175852B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59A5B2C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39AD250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14:paraId="480C8F1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eastAsiaTheme="minorEastAsia"/>
                <w:lang w:val="en-US" w:eastAsia="zh-CN"/>
              </w:rPr>
            </w:pPr>
            <w:r>
              <w:rPr>
                <w:rFonts w:hint="eastAsia"/>
                <w:lang w:val="en-US" w:eastAsia="zh-CN"/>
              </w:rPr>
              <w:t>4</w:t>
            </w:r>
          </w:p>
        </w:tc>
      </w:tr>
      <w:tr w14:paraId="3DF0F59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6734D720">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943" w:type="dxa"/>
            <w:vMerge w:val="restart"/>
            <w:tcBorders>
              <w:top w:val="nil"/>
              <w:left w:val="nil"/>
              <w:bottom w:val="outset" w:color="auto" w:sz="8" w:space="0"/>
              <w:right w:val="single" w:color="auto" w:sz="8" w:space="0"/>
            </w:tcBorders>
            <w:shd w:val="clear" w:color="auto" w:fill="auto"/>
            <w:tcMar>
              <w:left w:w="57" w:type="dxa"/>
              <w:right w:w="57" w:type="dxa"/>
            </w:tcMar>
            <w:vAlign w:val="center"/>
          </w:tcPr>
          <w:p w14:paraId="4EB8BCA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pPr>
            <w:r>
              <w:rPr>
                <w:rFonts w:hint="eastAsia" w:ascii="宋体" w:hAnsi="宋体" w:eastAsia="宋体" w:cs="宋体"/>
                <w:kern w:val="0"/>
                <w:sz w:val="20"/>
                <w:szCs w:val="20"/>
                <w:lang w:val="en-US" w:eastAsia="zh-CN" w:bidi="ar"/>
              </w:rPr>
              <w:t>（三）不予公开</w:t>
            </w:r>
          </w:p>
        </w:tc>
        <w:tc>
          <w:tcPr>
            <w:tcW w:w="3220" w:type="dxa"/>
            <w:tcBorders>
              <w:top w:val="nil"/>
              <w:left w:val="nil"/>
              <w:bottom w:val="single" w:color="auto" w:sz="8" w:space="0"/>
              <w:right w:val="single" w:color="auto" w:sz="8" w:space="0"/>
            </w:tcBorders>
            <w:shd w:val="clear" w:color="auto" w:fill="auto"/>
            <w:tcMar>
              <w:left w:w="57" w:type="dxa"/>
              <w:right w:w="57" w:type="dxa"/>
            </w:tcMar>
            <w:vAlign w:val="top"/>
          </w:tcPr>
          <w:p w14:paraId="2DE429E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pPr>
            <w:r>
              <w:rPr>
                <w:rFonts w:hint="eastAsia" w:ascii="宋体" w:hAnsi="宋体" w:eastAsia="宋体" w:cs="宋体"/>
                <w:kern w:val="0"/>
                <w:sz w:val="20"/>
                <w:szCs w:val="20"/>
                <w:lang w:val="en-US" w:eastAsia="zh-CN" w:bidi="ar"/>
              </w:rPr>
              <w:t>1.属于国家秘密</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1955D79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6C15CF9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0E04F81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726111A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7C1B9E7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79197C3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9" w:type="dxa"/>
            <w:tcBorders>
              <w:top w:val="single" w:color="auto" w:sz="8" w:space="0"/>
              <w:left w:val="nil"/>
              <w:bottom w:val="single" w:color="auto" w:sz="8" w:space="0"/>
              <w:right w:val="single" w:color="auto" w:sz="8" w:space="0"/>
            </w:tcBorders>
            <w:shd w:val="clear" w:color="auto" w:fill="auto"/>
            <w:tcMar>
              <w:left w:w="57" w:type="dxa"/>
              <w:right w:w="57" w:type="dxa"/>
            </w:tcMar>
            <w:vAlign w:val="top"/>
          </w:tcPr>
          <w:p w14:paraId="4416EF1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hint="eastAsia" w:ascii="Calibri" w:hAnsi="Calibri" w:cs="Calibri"/>
                <w:kern w:val="0"/>
                <w:sz w:val="20"/>
                <w:szCs w:val="20"/>
                <w:lang w:val="en-US" w:eastAsia="zh-CN" w:bidi="ar"/>
              </w:rPr>
              <w:t>0</w:t>
            </w:r>
          </w:p>
        </w:tc>
      </w:tr>
      <w:tr w14:paraId="606BB7D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6C0C42A8">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eastAsiaTheme="minorEastAsia"/>
                <w:sz w:val="24"/>
                <w:szCs w:val="24"/>
                <w:lang w:eastAsia="zh-CN"/>
              </w:rPr>
            </w:pPr>
            <w:r>
              <w:rPr>
                <w:rFonts w:hint="eastAsia" w:ascii="宋体"/>
                <w:sz w:val="24"/>
                <w:szCs w:val="24"/>
                <w:lang w:eastAsia="zh-CN"/>
              </w:rPr>
              <w:t>0</w:t>
            </w: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14:paraId="3D7EC7E4">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vAlign w:val="top"/>
          </w:tcPr>
          <w:p w14:paraId="2D14D9B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pPr>
            <w:r>
              <w:rPr>
                <w:rFonts w:hint="eastAsia" w:ascii="宋体" w:hAnsi="宋体" w:eastAsia="宋体" w:cs="宋体"/>
                <w:kern w:val="0"/>
                <w:sz w:val="20"/>
                <w:szCs w:val="20"/>
                <w:lang w:val="en-US" w:eastAsia="zh-CN" w:bidi="ar"/>
              </w:rPr>
              <w:t>2.其他法律行政法规禁止公开</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20237A3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1BF0439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0A09F91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236FE48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3F1732E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5E6AA1F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top"/>
          </w:tcPr>
          <w:p w14:paraId="0037A61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r>
      <w:tr w14:paraId="3063562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6E895E5A">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14:paraId="3C83DBD2">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vAlign w:val="top"/>
          </w:tcPr>
          <w:p w14:paraId="10A255E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pPr>
            <w:r>
              <w:rPr>
                <w:rFonts w:hint="eastAsia" w:ascii="宋体" w:hAnsi="宋体" w:eastAsia="宋体" w:cs="宋体"/>
                <w:kern w:val="0"/>
                <w:sz w:val="20"/>
                <w:szCs w:val="20"/>
                <w:lang w:val="en-US" w:eastAsia="zh-CN" w:bidi="ar"/>
              </w:rPr>
              <w:t>3.危及“三安全一稳定”</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455C805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1AAB80E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608BCAF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6F10CEC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41710A2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54C24D6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top"/>
          </w:tcPr>
          <w:p w14:paraId="27E3270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r>
      <w:tr w14:paraId="41C4FC8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52DFE081">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14:paraId="62960F93">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vAlign w:val="top"/>
          </w:tcPr>
          <w:p w14:paraId="7021482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pPr>
            <w:r>
              <w:rPr>
                <w:rFonts w:hint="eastAsia" w:ascii="宋体" w:hAnsi="宋体" w:eastAsia="宋体" w:cs="宋体"/>
                <w:kern w:val="0"/>
                <w:sz w:val="20"/>
                <w:szCs w:val="20"/>
                <w:lang w:val="en-US" w:eastAsia="zh-CN" w:bidi="ar"/>
              </w:rPr>
              <w:t>4.保护第三方合法权益</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0BCF508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eastAsiaTheme="minorEastAsia"/>
                <w:lang w:val="en-US" w:eastAsia="zh-CN"/>
              </w:rPr>
            </w:pPr>
            <w:r>
              <w:rPr>
                <w:rFonts w:hint="eastAsia"/>
                <w:lang w:val="en-US" w:eastAsia="zh-CN"/>
              </w:rPr>
              <w:t>1</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418987E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61ADB07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3DDBD05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68FBF73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518DBED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top"/>
          </w:tcPr>
          <w:p w14:paraId="227CE15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eastAsiaTheme="minorEastAsia"/>
                <w:lang w:val="en-US" w:eastAsia="zh-CN"/>
              </w:rPr>
            </w:pPr>
            <w:r>
              <w:rPr>
                <w:rFonts w:hint="eastAsia"/>
                <w:lang w:val="en-US" w:eastAsia="zh-CN"/>
              </w:rPr>
              <w:t>1</w:t>
            </w:r>
          </w:p>
        </w:tc>
      </w:tr>
      <w:tr w14:paraId="4CA2C2A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73FB137B">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14:paraId="02CB5A79">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vAlign w:val="top"/>
          </w:tcPr>
          <w:p w14:paraId="0F1DEE0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pPr>
            <w:r>
              <w:rPr>
                <w:rFonts w:hint="eastAsia" w:ascii="宋体" w:hAnsi="宋体" w:eastAsia="宋体" w:cs="宋体"/>
                <w:kern w:val="0"/>
                <w:sz w:val="20"/>
                <w:szCs w:val="20"/>
                <w:lang w:val="en-US" w:eastAsia="zh-CN" w:bidi="ar"/>
              </w:rPr>
              <w:t>5.属于三类内部事务信息</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7ED6D1C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07BB236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4A3065A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44A3611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0C2D9AE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3F2B00F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top"/>
          </w:tcPr>
          <w:p w14:paraId="6B06CD9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hint="eastAsia" w:ascii="Calibri" w:hAnsi="Calibri" w:cs="Calibri"/>
                <w:kern w:val="0"/>
                <w:sz w:val="20"/>
                <w:szCs w:val="20"/>
                <w:lang w:val="en-US" w:eastAsia="zh-CN" w:bidi="ar"/>
              </w:rPr>
              <w:t>0</w:t>
            </w:r>
          </w:p>
        </w:tc>
      </w:tr>
      <w:tr w14:paraId="451946F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384B69A1">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14:paraId="3E3785EE">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vAlign w:val="top"/>
          </w:tcPr>
          <w:p w14:paraId="65BC091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pPr>
            <w:r>
              <w:rPr>
                <w:rFonts w:hint="eastAsia" w:ascii="宋体" w:hAnsi="宋体" w:eastAsia="宋体" w:cs="宋体"/>
                <w:kern w:val="0"/>
                <w:sz w:val="20"/>
                <w:szCs w:val="20"/>
                <w:lang w:val="en-US" w:eastAsia="zh-CN" w:bidi="ar"/>
              </w:rPr>
              <w:t>6.属于四类过程性信息</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52546F6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7A92FD7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0AF1CC6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63F7E9B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236954F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04626FA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top"/>
          </w:tcPr>
          <w:p w14:paraId="01C02AC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r>
      <w:tr w14:paraId="0D8736C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46D5A615">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14:paraId="60766D72">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vAlign w:val="top"/>
          </w:tcPr>
          <w:p w14:paraId="5BFE661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pPr>
            <w:r>
              <w:rPr>
                <w:rFonts w:hint="eastAsia" w:ascii="宋体" w:hAnsi="宋体" w:eastAsia="宋体" w:cs="宋体"/>
                <w:kern w:val="0"/>
                <w:sz w:val="20"/>
                <w:szCs w:val="20"/>
                <w:lang w:val="en-US" w:eastAsia="zh-CN" w:bidi="ar"/>
              </w:rPr>
              <w:t>7.属于行政执法案卷</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1512111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5203055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4A04858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1BC3BED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374A698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71AC4B6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top"/>
          </w:tcPr>
          <w:p w14:paraId="16DCBBC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r>
      <w:tr w14:paraId="4E1EF7B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6801742B">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14:paraId="12221694">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vAlign w:val="top"/>
          </w:tcPr>
          <w:p w14:paraId="016E843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pPr>
            <w:r>
              <w:rPr>
                <w:rFonts w:hint="eastAsia" w:ascii="宋体" w:hAnsi="宋体" w:eastAsia="宋体" w:cs="宋体"/>
                <w:kern w:val="0"/>
                <w:sz w:val="20"/>
                <w:szCs w:val="20"/>
                <w:lang w:val="en-US" w:eastAsia="zh-CN" w:bidi="ar"/>
              </w:rPr>
              <w:t>8.属于行政查询事项</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589B7E4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3863B50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119698B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18BE71D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544005D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2445E3A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top"/>
          </w:tcPr>
          <w:p w14:paraId="6CFAB48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r>
      <w:tr w14:paraId="01DCFC6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55E7DDA3">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943" w:type="dxa"/>
            <w:vMerge w:val="restart"/>
            <w:tcBorders>
              <w:top w:val="nil"/>
              <w:left w:val="nil"/>
              <w:bottom w:val="outset" w:color="auto" w:sz="8" w:space="0"/>
              <w:right w:val="single" w:color="auto" w:sz="8" w:space="0"/>
            </w:tcBorders>
            <w:shd w:val="clear" w:color="auto" w:fill="auto"/>
            <w:tcMar>
              <w:left w:w="57" w:type="dxa"/>
              <w:right w:w="57" w:type="dxa"/>
            </w:tcMar>
            <w:vAlign w:val="center"/>
          </w:tcPr>
          <w:p w14:paraId="66E84E6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pPr>
            <w:r>
              <w:rPr>
                <w:rFonts w:hint="eastAsia" w:ascii="宋体" w:hAnsi="宋体" w:eastAsia="宋体" w:cs="宋体"/>
                <w:kern w:val="0"/>
                <w:sz w:val="20"/>
                <w:szCs w:val="20"/>
                <w:lang w:val="en-US" w:eastAsia="zh-CN" w:bidi="ar"/>
              </w:rPr>
              <w:t>（四）无法提供</w:t>
            </w:r>
          </w:p>
        </w:tc>
        <w:tc>
          <w:tcPr>
            <w:tcW w:w="3220" w:type="dxa"/>
            <w:tcBorders>
              <w:top w:val="nil"/>
              <w:left w:val="nil"/>
              <w:bottom w:val="single" w:color="auto" w:sz="8" w:space="0"/>
              <w:right w:val="single" w:color="auto" w:sz="8" w:space="0"/>
            </w:tcBorders>
            <w:shd w:val="clear" w:color="auto" w:fill="auto"/>
            <w:tcMar>
              <w:left w:w="57" w:type="dxa"/>
              <w:right w:w="57" w:type="dxa"/>
            </w:tcMar>
            <w:vAlign w:val="top"/>
          </w:tcPr>
          <w:p w14:paraId="2BA800C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pPr>
            <w:r>
              <w:rPr>
                <w:rFonts w:hint="eastAsia" w:ascii="宋体" w:hAnsi="宋体" w:eastAsia="宋体" w:cs="宋体"/>
                <w:kern w:val="0"/>
                <w:sz w:val="20"/>
                <w:szCs w:val="20"/>
                <w:lang w:val="en-US" w:eastAsia="zh-CN" w:bidi="ar"/>
              </w:rPr>
              <w:t>1.本机关不掌握相关政府信息</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4CEEA13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hint="eastAsia" w:ascii="Calibri" w:hAnsi="Calibri" w:cs="Calibri"/>
                <w:kern w:val="0"/>
                <w:sz w:val="20"/>
                <w:szCs w:val="20"/>
                <w:lang w:val="en-US" w:eastAsia="zh-CN" w:bidi="ar"/>
              </w:rPr>
              <w:t>5</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0646455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eastAsiaTheme="minorEastAsia"/>
                <w:lang w:val="en-US" w:eastAsia="zh-CN"/>
              </w:rPr>
            </w:pPr>
            <w:r>
              <w:rPr>
                <w:rFonts w:hint="eastAsia"/>
                <w:lang w:val="en-US" w:eastAsia="zh-CN"/>
              </w:rPr>
              <w:t>1</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103D7B6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3F1F846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21531F6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622D46F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top"/>
          </w:tcPr>
          <w:p w14:paraId="31A551C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hint="eastAsia" w:ascii="Calibri" w:hAnsi="Calibri" w:cs="Calibri"/>
                <w:kern w:val="0"/>
                <w:sz w:val="20"/>
                <w:szCs w:val="20"/>
                <w:lang w:val="en-US" w:eastAsia="zh-CN" w:bidi="ar"/>
              </w:rPr>
              <w:t>6</w:t>
            </w:r>
          </w:p>
        </w:tc>
      </w:tr>
      <w:tr w14:paraId="4FF7E25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2B7D54A1">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14:paraId="24B42657">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vAlign w:val="top"/>
          </w:tcPr>
          <w:p w14:paraId="764821C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pPr>
            <w:r>
              <w:rPr>
                <w:rFonts w:hint="eastAsia" w:ascii="宋体" w:hAnsi="宋体" w:eastAsia="宋体" w:cs="宋体"/>
                <w:kern w:val="0"/>
                <w:sz w:val="20"/>
                <w:szCs w:val="20"/>
                <w:lang w:val="en-US" w:eastAsia="zh-CN" w:bidi="ar"/>
              </w:rPr>
              <w:t>2.没有现成信息需要另行制作</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3FF6635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7186D9B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607FCE1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479BA9E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486C5BE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65B3262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top"/>
          </w:tcPr>
          <w:p w14:paraId="3269FF4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r>
      <w:tr w14:paraId="02CAE4C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6CE6125F">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14:paraId="02156F69">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vAlign w:val="top"/>
          </w:tcPr>
          <w:p w14:paraId="3BC73F0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pPr>
            <w:r>
              <w:rPr>
                <w:rFonts w:hint="eastAsia" w:ascii="宋体" w:hAnsi="宋体" w:eastAsia="宋体" w:cs="宋体"/>
                <w:kern w:val="0"/>
                <w:sz w:val="20"/>
                <w:szCs w:val="20"/>
                <w:lang w:val="en-US" w:eastAsia="zh-CN" w:bidi="ar"/>
              </w:rPr>
              <w:t>3.补正后申请内容仍不明确</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4A2FF16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46FBCB6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1A3F23B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55CCBA5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08BABE1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0DB7B1E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top"/>
          </w:tcPr>
          <w:p w14:paraId="0C306CB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r>
      <w:tr w14:paraId="5B8C4A3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692B7C88">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943" w:type="dxa"/>
            <w:vMerge w:val="restart"/>
            <w:tcBorders>
              <w:top w:val="nil"/>
              <w:left w:val="nil"/>
              <w:bottom w:val="outset" w:color="auto" w:sz="8" w:space="0"/>
              <w:right w:val="single" w:color="auto" w:sz="8" w:space="0"/>
            </w:tcBorders>
            <w:shd w:val="clear" w:color="auto" w:fill="auto"/>
            <w:tcMar>
              <w:left w:w="57" w:type="dxa"/>
              <w:right w:w="57" w:type="dxa"/>
            </w:tcMar>
            <w:vAlign w:val="center"/>
          </w:tcPr>
          <w:p w14:paraId="506BEA4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pPr>
            <w:r>
              <w:rPr>
                <w:rFonts w:hint="eastAsia" w:ascii="宋体" w:hAnsi="宋体" w:eastAsia="宋体" w:cs="宋体"/>
                <w:kern w:val="0"/>
                <w:sz w:val="20"/>
                <w:szCs w:val="20"/>
                <w:lang w:val="en-US" w:eastAsia="zh-CN" w:bidi="ar"/>
              </w:rPr>
              <w:t>（五）不予处理</w:t>
            </w:r>
          </w:p>
        </w:tc>
        <w:tc>
          <w:tcPr>
            <w:tcW w:w="3220" w:type="dxa"/>
            <w:tcBorders>
              <w:top w:val="nil"/>
              <w:left w:val="nil"/>
              <w:bottom w:val="single" w:color="auto" w:sz="8" w:space="0"/>
              <w:right w:val="single" w:color="auto" w:sz="8" w:space="0"/>
            </w:tcBorders>
            <w:shd w:val="clear" w:color="auto" w:fill="auto"/>
            <w:tcMar>
              <w:left w:w="57" w:type="dxa"/>
              <w:right w:w="57" w:type="dxa"/>
            </w:tcMar>
            <w:vAlign w:val="top"/>
          </w:tcPr>
          <w:p w14:paraId="3B9C7C7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pPr>
            <w:r>
              <w:rPr>
                <w:rFonts w:hint="eastAsia" w:ascii="宋体" w:hAnsi="宋体" w:eastAsia="宋体" w:cs="宋体"/>
                <w:kern w:val="0"/>
                <w:sz w:val="20"/>
                <w:szCs w:val="20"/>
                <w:lang w:val="en-US" w:eastAsia="zh-CN" w:bidi="ar"/>
              </w:rPr>
              <w:t>1.信访举报投诉类申请</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39A981E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1BCA2F2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6BA9DBD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7F433D5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2B30696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273EC24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top"/>
          </w:tcPr>
          <w:p w14:paraId="5CDACFE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r>
      <w:tr w14:paraId="09EF851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449AA84C">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14:paraId="7522B8A0">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vAlign w:val="top"/>
          </w:tcPr>
          <w:p w14:paraId="29EE2EE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pPr>
            <w:r>
              <w:rPr>
                <w:rFonts w:hint="eastAsia" w:ascii="宋体" w:hAnsi="宋体" w:eastAsia="宋体" w:cs="宋体"/>
                <w:kern w:val="0"/>
                <w:sz w:val="20"/>
                <w:szCs w:val="20"/>
                <w:lang w:val="en-US" w:eastAsia="zh-CN" w:bidi="ar"/>
              </w:rPr>
              <w:t>2.重复申请</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5D1858C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1D40F04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71705F8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4239EEB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2935836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6D72476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top"/>
          </w:tcPr>
          <w:p w14:paraId="01C7705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r>
      <w:tr w14:paraId="75B365B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2A559B6D">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14:paraId="53388958">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vAlign w:val="top"/>
          </w:tcPr>
          <w:p w14:paraId="6AFF18F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pPr>
            <w:r>
              <w:rPr>
                <w:rFonts w:hint="eastAsia" w:ascii="宋体" w:hAnsi="宋体" w:eastAsia="宋体" w:cs="宋体"/>
                <w:kern w:val="0"/>
                <w:sz w:val="20"/>
                <w:szCs w:val="20"/>
                <w:lang w:val="en-US" w:eastAsia="zh-CN" w:bidi="ar"/>
              </w:rPr>
              <w:t>3.要求提供公开出版物</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0A19D67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4A640EB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20E7202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6223B7B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183D9B7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164A071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top"/>
          </w:tcPr>
          <w:p w14:paraId="0B8B1F2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r>
      <w:tr w14:paraId="2145B33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16504564">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14:paraId="3409778E">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vAlign w:val="top"/>
          </w:tcPr>
          <w:p w14:paraId="69BDC8A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pPr>
            <w:r>
              <w:rPr>
                <w:rFonts w:hint="eastAsia" w:ascii="宋体" w:hAnsi="宋体" w:eastAsia="宋体" w:cs="宋体"/>
                <w:kern w:val="0"/>
                <w:sz w:val="20"/>
                <w:szCs w:val="20"/>
                <w:lang w:val="en-US" w:eastAsia="zh-CN" w:bidi="ar"/>
              </w:rPr>
              <w:t>4.无正当理由大量反复申请</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463F614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1651B44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7CB9ADF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7281896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250993B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4A1E939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top"/>
          </w:tcPr>
          <w:p w14:paraId="7D8F5F4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r>
      <w:tr w14:paraId="4314E0D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79" w:hRule="atLeast"/>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4CE336D0">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14:paraId="74C73163">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3220" w:type="dxa"/>
            <w:tcBorders>
              <w:top w:val="nil"/>
              <w:left w:val="nil"/>
              <w:bottom w:val="outset" w:color="auto" w:sz="8" w:space="0"/>
              <w:right w:val="single" w:color="auto" w:sz="8" w:space="0"/>
            </w:tcBorders>
            <w:shd w:val="clear" w:color="auto" w:fill="auto"/>
            <w:tcMar>
              <w:left w:w="57" w:type="dxa"/>
              <w:right w:w="57" w:type="dxa"/>
            </w:tcMar>
            <w:vAlign w:val="center"/>
          </w:tcPr>
          <w:p w14:paraId="40C18CD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pPr>
            <w:r>
              <w:rPr>
                <w:rFonts w:hint="eastAsia" w:ascii="宋体" w:hAnsi="宋体" w:eastAsia="宋体" w:cs="宋体"/>
                <w:kern w:val="0"/>
                <w:sz w:val="20"/>
                <w:szCs w:val="20"/>
                <w:lang w:val="en-US" w:eastAsia="zh-CN" w:bidi="ar"/>
              </w:rPr>
              <w:t>5.要求行政机关确认或重新出具已获取信息</w:t>
            </w:r>
          </w:p>
        </w:tc>
        <w:tc>
          <w:tcPr>
            <w:tcW w:w="688" w:type="dxa"/>
            <w:tcBorders>
              <w:top w:val="nil"/>
              <w:left w:val="nil"/>
              <w:bottom w:val="outset" w:color="auto" w:sz="8" w:space="0"/>
              <w:right w:val="single" w:color="auto" w:sz="8" w:space="0"/>
            </w:tcBorders>
            <w:shd w:val="clear" w:color="auto" w:fill="auto"/>
            <w:tcMar>
              <w:left w:w="57" w:type="dxa"/>
              <w:right w:w="57" w:type="dxa"/>
            </w:tcMar>
            <w:vAlign w:val="top"/>
          </w:tcPr>
          <w:p w14:paraId="5E8913D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outset" w:color="auto" w:sz="8" w:space="0"/>
              <w:right w:val="single" w:color="auto" w:sz="8" w:space="0"/>
            </w:tcBorders>
            <w:shd w:val="clear" w:color="auto" w:fill="auto"/>
            <w:tcMar>
              <w:left w:w="57" w:type="dxa"/>
              <w:right w:w="57" w:type="dxa"/>
            </w:tcMar>
            <w:vAlign w:val="top"/>
          </w:tcPr>
          <w:p w14:paraId="67D775E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outset" w:color="auto" w:sz="8" w:space="0"/>
              <w:right w:val="single" w:color="auto" w:sz="8" w:space="0"/>
            </w:tcBorders>
            <w:shd w:val="clear" w:color="auto" w:fill="auto"/>
            <w:tcMar>
              <w:left w:w="57" w:type="dxa"/>
              <w:right w:w="57" w:type="dxa"/>
            </w:tcMar>
            <w:vAlign w:val="top"/>
          </w:tcPr>
          <w:p w14:paraId="2CF53AF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outset" w:color="auto" w:sz="8" w:space="0"/>
              <w:right w:val="single" w:color="auto" w:sz="8" w:space="0"/>
            </w:tcBorders>
            <w:shd w:val="clear" w:color="auto" w:fill="auto"/>
            <w:tcMar>
              <w:left w:w="57" w:type="dxa"/>
              <w:right w:w="57" w:type="dxa"/>
            </w:tcMar>
            <w:vAlign w:val="top"/>
          </w:tcPr>
          <w:p w14:paraId="07C14C8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nil"/>
              <w:left w:val="nil"/>
              <w:bottom w:val="outset" w:color="auto" w:sz="8" w:space="0"/>
              <w:right w:val="single" w:color="auto" w:sz="8" w:space="0"/>
            </w:tcBorders>
            <w:shd w:val="clear" w:color="auto" w:fill="auto"/>
            <w:tcMar>
              <w:left w:w="57" w:type="dxa"/>
              <w:right w:w="57" w:type="dxa"/>
            </w:tcMar>
            <w:vAlign w:val="top"/>
          </w:tcPr>
          <w:p w14:paraId="7BE78BC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outset" w:color="auto" w:sz="8" w:space="0"/>
              <w:right w:val="single" w:color="auto" w:sz="8" w:space="0"/>
            </w:tcBorders>
            <w:shd w:val="clear" w:color="auto" w:fill="auto"/>
            <w:tcMar>
              <w:left w:w="57" w:type="dxa"/>
              <w:right w:w="57" w:type="dxa"/>
            </w:tcMar>
            <w:vAlign w:val="top"/>
          </w:tcPr>
          <w:p w14:paraId="20B0949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9" w:type="dxa"/>
            <w:tcBorders>
              <w:top w:val="nil"/>
              <w:left w:val="nil"/>
              <w:bottom w:val="outset" w:color="auto" w:sz="8" w:space="0"/>
              <w:right w:val="single" w:color="auto" w:sz="8" w:space="0"/>
            </w:tcBorders>
            <w:shd w:val="clear" w:color="auto" w:fill="auto"/>
            <w:tcMar>
              <w:left w:w="57" w:type="dxa"/>
              <w:right w:w="57" w:type="dxa"/>
            </w:tcMar>
            <w:vAlign w:val="top"/>
          </w:tcPr>
          <w:p w14:paraId="0BABC21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r>
      <w:tr w14:paraId="2A4E4D3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75376F1B">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943" w:type="dxa"/>
            <w:vMerge w:val="restart"/>
            <w:tcBorders>
              <w:top w:val="outset" w:color="auto" w:sz="8" w:space="0"/>
              <w:left w:val="nil"/>
              <w:bottom w:val="outset" w:color="auto" w:sz="8" w:space="0"/>
              <w:right w:val="single" w:color="auto" w:sz="8" w:space="0"/>
            </w:tcBorders>
            <w:shd w:val="clear" w:color="auto" w:fill="auto"/>
            <w:tcMar>
              <w:left w:w="57" w:type="dxa"/>
              <w:right w:w="57" w:type="dxa"/>
            </w:tcMar>
            <w:vAlign w:val="center"/>
          </w:tcPr>
          <w:p w14:paraId="78C2E01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pPr>
            <w:r>
              <w:rPr>
                <w:rFonts w:hint="eastAsia" w:ascii="宋体" w:hAnsi="宋体" w:eastAsia="宋体" w:cs="宋体"/>
                <w:kern w:val="0"/>
                <w:sz w:val="20"/>
                <w:szCs w:val="20"/>
                <w:lang w:val="en-US" w:eastAsia="zh-CN" w:bidi="ar"/>
              </w:rPr>
              <w:t>（六）其他处理</w:t>
            </w:r>
          </w:p>
        </w:tc>
        <w:tc>
          <w:tcPr>
            <w:tcW w:w="3220" w:type="dxa"/>
            <w:tcBorders>
              <w:top w:val="nil"/>
              <w:left w:val="nil"/>
              <w:bottom w:val="single" w:color="auto" w:sz="8" w:space="0"/>
              <w:right w:val="single" w:color="auto" w:sz="8" w:space="0"/>
            </w:tcBorders>
            <w:shd w:val="clear" w:color="auto" w:fill="auto"/>
            <w:tcMar>
              <w:left w:w="57" w:type="dxa"/>
              <w:right w:w="57" w:type="dxa"/>
            </w:tcMar>
            <w:vAlign w:val="center"/>
          </w:tcPr>
          <w:p w14:paraId="1F504D8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pPr>
            <w:r>
              <w:rPr>
                <w:rFonts w:hint="eastAsia" w:ascii="宋体" w:hAnsi="宋体" w:eastAsia="宋体" w:cs="宋体"/>
                <w:kern w:val="0"/>
                <w:sz w:val="20"/>
                <w:szCs w:val="20"/>
                <w:lang w:val="en-US" w:eastAsia="zh-CN" w:bidi="ar"/>
              </w:rPr>
              <w:t>1.申请人无正当理由逾期不补正、行政机关不再处理其政府信息公开申请</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3BB1C9A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3F2162E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757137E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0C813CA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7B74AC9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587AD3B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top"/>
          </w:tcPr>
          <w:p w14:paraId="691790E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Calibri" w:hAnsi="Calibri" w:cs="Calibri"/>
                <w:kern w:val="0"/>
                <w:sz w:val="20"/>
                <w:szCs w:val="20"/>
                <w:lang w:val="en-US" w:eastAsia="zh-CN" w:bidi="ar"/>
              </w:rPr>
            </w:pPr>
          </w:p>
          <w:p w14:paraId="18A1A52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r>
      <w:tr w14:paraId="3A08332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225B27DB">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943" w:type="dxa"/>
            <w:vMerge w:val="continue"/>
            <w:tcBorders>
              <w:top w:val="outset" w:color="auto" w:sz="8" w:space="0"/>
              <w:left w:val="nil"/>
              <w:bottom w:val="outset" w:color="auto" w:sz="8" w:space="0"/>
              <w:right w:val="single" w:color="auto" w:sz="8" w:space="0"/>
            </w:tcBorders>
            <w:shd w:val="clear" w:color="auto" w:fill="auto"/>
            <w:tcMar>
              <w:left w:w="57" w:type="dxa"/>
              <w:right w:w="57" w:type="dxa"/>
            </w:tcMar>
            <w:vAlign w:val="center"/>
          </w:tcPr>
          <w:p w14:paraId="4CF3C680">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vAlign w:val="center"/>
          </w:tcPr>
          <w:p w14:paraId="2109D69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pPr>
            <w:r>
              <w:rPr>
                <w:rFonts w:hint="eastAsia" w:ascii="宋体" w:hAnsi="宋体" w:eastAsia="宋体" w:cs="宋体"/>
                <w:kern w:val="0"/>
                <w:sz w:val="20"/>
                <w:szCs w:val="20"/>
                <w:lang w:val="en-US" w:eastAsia="zh-CN" w:bidi="ar"/>
              </w:rPr>
              <w:t>2.申请人逾期未按收费通知要求缴纳费用、行政机关不再处理其政府信息公开申请</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2FB0F8F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7F37D7F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349E494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34FBD21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284D2D5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3463C53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top"/>
          </w:tcPr>
          <w:p w14:paraId="3487316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Calibri" w:hAnsi="Calibri" w:cs="Calibri"/>
                <w:kern w:val="0"/>
                <w:sz w:val="20"/>
                <w:szCs w:val="20"/>
                <w:lang w:val="en-US" w:eastAsia="zh-CN" w:bidi="ar"/>
              </w:rPr>
            </w:pPr>
          </w:p>
          <w:p w14:paraId="2A387B8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r>
      <w:tr w14:paraId="4415D63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27A0ED54">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943" w:type="dxa"/>
            <w:vMerge w:val="continue"/>
            <w:tcBorders>
              <w:top w:val="outset" w:color="auto" w:sz="8" w:space="0"/>
              <w:left w:val="nil"/>
              <w:bottom w:val="outset" w:color="auto" w:sz="8" w:space="0"/>
              <w:right w:val="single" w:color="auto" w:sz="8" w:space="0"/>
            </w:tcBorders>
            <w:shd w:val="clear" w:color="auto" w:fill="auto"/>
            <w:tcMar>
              <w:left w:w="57" w:type="dxa"/>
              <w:right w:w="57" w:type="dxa"/>
            </w:tcMar>
            <w:vAlign w:val="center"/>
          </w:tcPr>
          <w:p w14:paraId="67E5282D">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vAlign w:val="center"/>
          </w:tcPr>
          <w:p w14:paraId="1775355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pPr>
            <w:r>
              <w:rPr>
                <w:rFonts w:hint="eastAsia" w:ascii="宋体" w:hAnsi="宋体" w:eastAsia="宋体" w:cs="宋体"/>
                <w:kern w:val="0"/>
                <w:sz w:val="20"/>
                <w:szCs w:val="20"/>
                <w:lang w:val="en-US" w:eastAsia="zh-CN" w:bidi="ar"/>
              </w:rPr>
              <w:t>3.其他</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5F705A2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2</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3E582A5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1397FBC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468EF21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2ED6A75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1346EFE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top"/>
          </w:tcPr>
          <w:p w14:paraId="61A8924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2</w:t>
            </w:r>
          </w:p>
        </w:tc>
      </w:tr>
      <w:tr w14:paraId="77F3F6F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3754B1A9">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4163" w:type="dxa"/>
            <w:gridSpan w:val="2"/>
            <w:tcBorders>
              <w:top w:val="nil"/>
              <w:left w:val="nil"/>
              <w:bottom w:val="single" w:color="auto" w:sz="8" w:space="0"/>
              <w:right w:val="single" w:color="auto" w:sz="8" w:space="0"/>
            </w:tcBorders>
            <w:shd w:val="clear" w:color="auto" w:fill="auto"/>
            <w:tcMar>
              <w:left w:w="57" w:type="dxa"/>
              <w:right w:w="57" w:type="dxa"/>
            </w:tcMar>
            <w:vAlign w:val="center"/>
          </w:tcPr>
          <w:p w14:paraId="46E64DA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pPr>
            <w:r>
              <w:rPr>
                <w:rFonts w:hint="eastAsia" w:ascii="宋体" w:hAnsi="宋体" w:eastAsia="宋体" w:cs="宋体"/>
                <w:kern w:val="0"/>
                <w:sz w:val="20"/>
                <w:szCs w:val="20"/>
                <w:lang w:val="en-US" w:eastAsia="zh-CN" w:bidi="ar"/>
              </w:rPr>
              <w:t>（七）总计</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70C15B1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hint="eastAsia" w:ascii="Calibri" w:hAnsi="Calibri" w:cs="Calibri"/>
                <w:kern w:val="0"/>
                <w:sz w:val="20"/>
                <w:szCs w:val="20"/>
                <w:lang w:val="en-US" w:eastAsia="zh-CN" w:bidi="ar"/>
              </w:rPr>
              <w:t>43</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45B6771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1</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5D6A97A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60626DA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7AE3958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176959C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top"/>
          </w:tcPr>
          <w:p w14:paraId="6C31C7E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44</w:t>
            </w:r>
          </w:p>
        </w:tc>
      </w:tr>
      <w:tr w14:paraId="6822D51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4AF609C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pPr>
            <w:r>
              <w:rPr>
                <w:rFonts w:hint="eastAsia" w:ascii="宋体" w:hAnsi="宋体" w:eastAsia="宋体" w:cs="宋体"/>
                <w:kern w:val="0"/>
                <w:sz w:val="20"/>
                <w:szCs w:val="20"/>
                <w:lang w:val="en-US" w:eastAsia="zh-CN" w:bidi="ar"/>
              </w:rPr>
              <w:t>四、结转下年度继续办理</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09480F8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2</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49F7673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6E08747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2B80F1F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1200DE3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0932154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top"/>
          </w:tcPr>
          <w:p w14:paraId="6C9ABC7E">
            <w:pPr>
              <w:keepNext w:val="0"/>
              <w:keepLines w:val="0"/>
              <w:pageBreakBefore w:val="0"/>
              <w:kinsoku/>
              <w:wordWrap/>
              <w:overflowPunct/>
              <w:topLinePunct w:val="0"/>
              <w:autoSpaceDE/>
              <w:autoSpaceDN/>
              <w:bidi w:val="0"/>
              <w:adjustRightInd/>
              <w:snapToGrid/>
              <w:spacing w:line="560" w:lineRule="exact"/>
              <w:ind w:firstLine="240" w:firstLineChars="100"/>
              <w:textAlignment w:val="auto"/>
              <w:rPr>
                <w:rFonts w:hint="default" w:ascii="宋体" w:eastAsiaTheme="minorEastAsia"/>
                <w:sz w:val="24"/>
                <w:szCs w:val="24"/>
                <w:lang w:val="en-US" w:eastAsia="zh-CN"/>
              </w:rPr>
            </w:pPr>
            <w:r>
              <w:rPr>
                <w:rFonts w:hint="eastAsia" w:ascii="宋体"/>
                <w:sz w:val="24"/>
                <w:szCs w:val="24"/>
                <w:lang w:val="en-US" w:eastAsia="zh-CN"/>
              </w:rPr>
              <w:t>2</w:t>
            </w:r>
          </w:p>
        </w:tc>
      </w:tr>
    </w:tbl>
    <w:p w14:paraId="16F2B26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宋体" w:hAnsi="宋体" w:eastAsia="宋体" w:cs="宋体"/>
          <w:i w:val="0"/>
          <w:iCs w:val="0"/>
          <w:caps w:val="0"/>
          <w:color w:val="333333"/>
          <w:spacing w:val="0"/>
          <w:sz w:val="24"/>
          <w:szCs w:val="24"/>
        </w:rPr>
      </w:pPr>
    </w:p>
    <w:p w14:paraId="0B70AD3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四、政府信息公开行政复议、行政诉讼情况</w:t>
      </w:r>
    </w:p>
    <w:p w14:paraId="65BC28F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宋体" w:hAnsi="宋体" w:eastAsia="宋体" w:cs="宋体"/>
          <w:i w:val="0"/>
          <w:iCs w:val="0"/>
          <w:caps w:val="0"/>
          <w:color w:val="333333"/>
          <w:spacing w:val="0"/>
          <w:sz w:val="24"/>
          <w:szCs w:val="24"/>
        </w:rPr>
      </w:pPr>
    </w:p>
    <w:tbl>
      <w:tblPr>
        <w:tblStyle w:val="3"/>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14:paraId="4E90820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3210"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63C2D0B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pPr>
            <w:r>
              <w:rPr>
                <w:rFonts w:hint="eastAsia" w:ascii="宋体" w:hAnsi="宋体" w:eastAsia="宋体" w:cs="宋体"/>
                <w:kern w:val="0"/>
                <w:sz w:val="20"/>
                <w:szCs w:val="20"/>
                <w:lang w:val="en-US" w:eastAsia="zh-CN" w:bidi="ar"/>
              </w:rPr>
              <w:t>行政复议</w:t>
            </w:r>
          </w:p>
        </w:tc>
        <w:tc>
          <w:tcPr>
            <w:tcW w:w="6428" w:type="dxa"/>
            <w:gridSpan w:val="10"/>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0AAB99B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pPr>
            <w:r>
              <w:rPr>
                <w:rFonts w:hint="eastAsia" w:ascii="宋体" w:hAnsi="宋体" w:eastAsia="宋体" w:cs="宋体"/>
                <w:kern w:val="0"/>
                <w:sz w:val="20"/>
                <w:szCs w:val="20"/>
                <w:lang w:val="en-US" w:eastAsia="zh-CN" w:bidi="ar"/>
              </w:rPr>
              <w:t>行政诉讼</w:t>
            </w:r>
          </w:p>
        </w:tc>
      </w:tr>
      <w:tr w14:paraId="13ED576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42"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4CADF53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pPr>
            <w:r>
              <w:rPr>
                <w:rFonts w:hint="eastAsia" w:ascii="宋体" w:hAnsi="宋体" w:eastAsia="宋体" w:cs="宋体"/>
                <w:kern w:val="0"/>
                <w:sz w:val="20"/>
                <w:szCs w:val="20"/>
                <w:lang w:val="en-US" w:eastAsia="zh-CN" w:bidi="ar"/>
              </w:rPr>
              <w:t>结果维持</w:t>
            </w:r>
          </w:p>
        </w:tc>
        <w:tc>
          <w:tcPr>
            <w:tcW w:w="642"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3AFA305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宋体" w:hAnsi="宋体" w:eastAsia="宋体" w:cs="宋体"/>
                <w:kern w:val="0"/>
                <w:sz w:val="20"/>
                <w:szCs w:val="20"/>
                <w:lang w:val="en-US" w:eastAsia="zh-CN" w:bidi="ar"/>
              </w:rPr>
            </w:pPr>
            <w:r>
              <w:rPr>
                <w:rFonts w:hint="eastAsia" w:ascii="宋体" w:hAnsi="宋体" w:eastAsia="宋体" w:cs="宋体"/>
                <w:kern w:val="0"/>
                <w:sz w:val="20"/>
                <w:szCs w:val="20"/>
                <w:lang w:val="en-US" w:eastAsia="zh-CN" w:bidi="ar"/>
              </w:rPr>
              <w:t>结果</w:t>
            </w:r>
          </w:p>
          <w:p w14:paraId="1EC358E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pPr>
            <w:r>
              <w:rPr>
                <w:rFonts w:hint="eastAsia" w:ascii="宋体" w:hAnsi="宋体" w:eastAsia="宋体" w:cs="宋体"/>
                <w:kern w:val="0"/>
                <w:sz w:val="20"/>
                <w:szCs w:val="20"/>
                <w:lang w:val="en-US" w:eastAsia="zh-CN" w:bidi="ar"/>
              </w:rPr>
              <w:t>纠正</w:t>
            </w:r>
          </w:p>
        </w:tc>
        <w:tc>
          <w:tcPr>
            <w:tcW w:w="642"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18221B8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宋体" w:hAnsi="宋体" w:eastAsia="宋体" w:cs="宋体"/>
                <w:kern w:val="0"/>
                <w:sz w:val="20"/>
                <w:szCs w:val="20"/>
                <w:lang w:val="en-US" w:eastAsia="zh-CN" w:bidi="ar"/>
              </w:rPr>
            </w:pPr>
            <w:r>
              <w:rPr>
                <w:rFonts w:hint="eastAsia" w:ascii="宋体" w:hAnsi="宋体" w:eastAsia="宋体" w:cs="宋体"/>
                <w:kern w:val="0"/>
                <w:sz w:val="20"/>
                <w:szCs w:val="20"/>
                <w:lang w:val="en-US" w:eastAsia="zh-CN" w:bidi="ar"/>
              </w:rPr>
              <w:t>其他</w:t>
            </w:r>
          </w:p>
          <w:p w14:paraId="3509776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pPr>
            <w:r>
              <w:rPr>
                <w:rFonts w:hint="eastAsia" w:ascii="宋体" w:hAnsi="宋体" w:eastAsia="宋体" w:cs="宋体"/>
                <w:kern w:val="0"/>
                <w:sz w:val="20"/>
                <w:szCs w:val="20"/>
                <w:lang w:val="en-US" w:eastAsia="zh-CN" w:bidi="ar"/>
              </w:rPr>
              <w:t>结果</w:t>
            </w:r>
          </w:p>
        </w:tc>
        <w:tc>
          <w:tcPr>
            <w:tcW w:w="642"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0F35AEB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宋体" w:hAnsi="宋体" w:eastAsia="宋体" w:cs="宋体"/>
                <w:kern w:val="0"/>
                <w:sz w:val="20"/>
                <w:szCs w:val="20"/>
                <w:lang w:val="en-US" w:eastAsia="zh-CN" w:bidi="ar"/>
              </w:rPr>
            </w:pPr>
            <w:r>
              <w:rPr>
                <w:rFonts w:hint="eastAsia" w:ascii="宋体" w:hAnsi="宋体" w:eastAsia="宋体" w:cs="宋体"/>
                <w:kern w:val="0"/>
                <w:sz w:val="20"/>
                <w:szCs w:val="20"/>
                <w:lang w:val="en-US" w:eastAsia="zh-CN" w:bidi="ar"/>
              </w:rPr>
              <w:t>尚未</w:t>
            </w:r>
          </w:p>
          <w:p w14:paraId="47CE8F9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pPr>
            <w:r>
              <w:rPr>
                <w:rFonts w:hint="eastAsia" w:ascii="宋体" w:hAnsi="宋体" w:eastAsia="宋体" w:cs="宋体"/>
                <w:kern w:val="0"/>
                <w:sz w:val="20"/>
                <w:szCs w:val="20"/>
                <w:lang w:val="en-US" w:eastAsia="zh-CN" w:bidi="ar"/>
              </w:rPr>
              <w:t>审结</w:t>
            </w:r>
          </w:p>
        </w:tc>
        <w:tc>
          <w:tcPr>
            <w:tcW w:w="642"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687F3CC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pPr>
            <w:r>
              <w:rPr>
                <w:rFonts w:hint="eastAsia" w:ascii="宋体" w:hAnsi="宋体" w:eastAsia="宋体" w:cs="宋体"/>
                <w:kern w:val="0"/>
                <w:sz w:val="20"/>
                <w:szCs w:val="20"/>
                <w:lang w:val="en-US" w:eastAsia="zh-CN" w:bidi="ar"/>
              </w:rPr>
              <w:t>总计</w:t>
            </w:r>
          </w:p>
        </w:tc>
        <w:tc>
          <w:tcPr>
            <w:tcW w:w="3213"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783FA1D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pPr>
            <w:r>
              <w:rPr>
                <w:rFonts w:hint="eastAsia" w:ascii="宋体" w:hAnsi="宋体" w:eastAsia="宋体" w:cs="宋体"/>
                <w:kern w:val="0"/>
                <w:sz w:val="20"/>
                <w:szCs w:val="20"/>
                <w:lang w:val="en-US" w:eastAsia="zh-CN" w:bidi="ar"/>
              </w:rPr>
              <w:t>未经复议直接起诉</w:t>
            </w:r>
          </w:p>
        </w:tc>
        <w:tc>
          <w:tcPr>
            <w:tcW w:w="3215"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7D32832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pPr>
            <w:r>
              <w:rPr>
                <w:rFonts w:hint="eastAsia" w:ascii="宋体" w:hAnsi="宋体" w:eastAsia="宋体" w:cs="宋体"/>
                <w:kern w:val="0"/>
                <w:sz w:val="20"/>
                <w:szCs w:val="20"/>
                <w:lang w:val="en-US" w:eastAsia="zh-CN" w:bidi="ar"/>
              </w:rPr>
              <w:t>复议后起诉</w:t>
            </w:r>
          </w:p>
        </w:tc>
      </w:tr>
      <w:tr w14:paraId="0487CCB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42"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5AC2BDD3">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642"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192F5520">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642"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69050075">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642"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51393F8E">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642"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48CF511D">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7935C37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宋体" w:hAnsi="宋体" w:eastAsia="宋体" w:cs="宋体"/>
                <w:kern w:val="0"/>
                <w:sz w:val="20"/>
                <w:szCs w:val="20"/>
                <w:lang w:val="en-US" w:eastAsia="zh-CN" w:bidi="ar"/>
              </w:rPr>
            </w:pPr>
            <w:r>
              <w:rPr>
                <w:rFonts w:hint="eastAsia" w:ascii="宋体" w:hAnsi="宋体" w:eastAsia="宋体" w:cs="宋体"/>
                <w:kern w:val="0"/>
                <w:sz w:val="20"/>
                <w:szCs w:val="20"/>
                <w:lang w:val="en-US" w:eastAsia="zh-CN" w:bidi="ar"/>
              </w:rPr>
              <w:t>结果</w:t>
            </w:r>
          </w:p>
          <w:p w14:paraId="2DA7B5F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pPr>
            <w:r>
              <w:rPr>
                <w:rFonts w:hint="eastAsia" w:ascii="宋体" w:hAnsi="宋体" w:eastAsia="宋体" w:cs="宋体"/>
                <w:kern w:val="0"/>
                <w:sz w:val="20"/>
                <w:szCs w:val="20"/>
                <w:lang w:val="en-US" w:eastAsia="zh-CN" w:bidi="ar"/>
              </w:rPr>
              <w:t>维持</w:t>
            </w:r>
          </w:p>
        </w:tc>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332C372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宋体" w:hAnsi="宋体" w:eastAsia="宋体" w:cs="宋体"/>
                <w:kern w:val="0"/>
                <w:sz w:val="20"/>
                <w:szCs w:val="20"/>
                <w:lang w:val="en-US" w:eastAsia="zh-CN" w:bidi="ar"/>
              </w:rPr>
            </w:pPr>
            <w:r>
              <w:rPr>
                <w:rFonts w:hint="eastAsia" w:ascii="宋体" w:hAnsi="宋体" w:eastAsia="宋体" w:cs="宋体"/>
                <w:kern w:val="0"/>
                <w:sz w:val="20"/>
                <w:szCs w:val="20"/>
                <w:lang w:val="en-US" w:eastAsia="zh-CN" w:bidi="ar"/>
              </w:rPr>
              <w:t>结果</w:t>
            </w:r>
          </w:p>
          <w:p w14:paraId="545EAEB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pPr>
            <w:r>
              <w:rPr>
                <w:rFonts w:hint="eastAsia" w:ascii="宋体" w:hAnsi="宋体" w:eastAsia="宋体" w:cs="宋体"/>
                <w:kern w:val="0"/>
                <w:sz w:val="20"/>
                <w:szCs w:val="20"/>
                <w:lang w:val="en-US" w:eastAsia="zh-CN" w:bidi="ar"/>
              </w:rPr>
              <w:t>纠正</w:t>
            </w:r>
          </w:p>
        </w:tc>
        <w:tc>
          <w:tcPr>
            <w:tcW w:w="64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330044E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宋体" w:hAnsi="宋体" w:eastAsia="宋体" w:cs="宋体"/>
                <w:kern w:val="0"/>
                <w:sz w:val="20"/>
                <w:szCs w:val="20"/>
                <w:lang w:val="en-US" w:eastAsia="zh-CN" w:bidi="ar"/>
              </w:rPr>
            </w:pPr>
            <w:r>
              <w:rPr>
                <w:rFonts w:hint="eastAsia" w:ascii="宋体" w:hAnsi="宋体" w:eastAsia="宋体" w:cs="宋体"/>
                <w:kern w:val="0"/>
                <w:sz w:val="20"/>
                <w:szCs w:val="20"/>
                <w:lang w:val="en-US" w:eastAsia="zh-CN" w:bidi="ar"/>
              </w:rPr>
              <w:t>其他</w:t>
            </w:r>
          </w:p>
          <w:p w14:paraId="0DB9D82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pPr>
            <w:r>
              <w:rPr>
                <w:rFonts w:hint="eastAsia" w:ascii="宋体" w:hAnsi="宋体" w:eastAsia="宋体" w:cs="宋体"/>
                <w:kern w:val="0"/>
                <w:sz w:val="20"/>
                <w:szCs w:val="20"/>
                <w:lang w:val="en-US" w:eastAsia="zh-CN" w:bidi="ar"/>
              </w:rPr>
              <w:t>结果</w:t>
            </w:r>
          </w:p>
        </w:tc>
        <w:tc>
          <w:tcPr>
            <w:tcW w:w="64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4604605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宋体" w:hAnsi="宋体" w:eastAsia="宋体" w:cs="宋体"/>
                <w:kern w:val="0"/>
                <w:sz w:val="20"/>
                <w:szCs w:val="20"/>
                <w:lang w:val="en-US" w:eastAsia="zh-CN" w:bidi="ar"/>
              </w:rPr>
            </w:pPr>
            <w:r>
              <w:rPr>
                <w:rFonts w:hint="eastAsia" w:ascii="宋体" w:hAnsi="宋体" w:eastAsia="宋体" w:cs="宋体"/>
                <w:kern w:val="0"/>
                <w:sz w:val="20"/>
                <w:szCs w:val="20"/>
                <w:lang w:val="en-US" w:eastAsia="zh-CN" w:bidi="ar"/>
              </w:rPr>
              <w:t>尚未</w:t>
            </w:r>
          </w:p>
          <w:p w14:paraId="7C9B593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pPr>
            <w:r>
              <w:rPr>
                <w:rFonts w:hint="eastAsia" w:ascii="宋体" w:hAnsi="宋体" w:eastAsia="宋体" w:cs="宋体"/>
                <w:kern w:val="0"/>
                <w:sz w:val="20"/>
                <w:szCs w:val="20"/>
                <w:lang w:val="en-US" w:eastAsia="zh-CN" w:bidi="ar"/>
              </w:rPr>
              <w:t>审结</w:t>
            </w:r>
          </w:p>
        </w:tc>
        <w:tc>
          <w:tcPr>
            <w:tcW w:w="64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3715B31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pPr>
            <w:r>
              <w:rPr>
                <w:rFonts w:hint="eastAsia" w:ascii="宋体" w:hAnsi="宋体" w:eastAsia="宋体" w:cs="宋体"/>
                <w:color w:val="000000"/>
                <w:kern w:val="0"/>
                <w:sz w:val="20"/>
                <w:szCs w:val="20"/>
                <w:lang w:val="en-US" w:eastAsia="zh-CN" w:bidi="ar"/>
              </w:rPr>
              <w:t>总计</w:t>
            </w:r>
          </w:p>
        </w:tc>
        <w:tc>
          <w:tcPr>
            <w:tcW w:w="64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0987808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宋体" w:hAnsi="宋体" w:eastAsia="宋体" w:cs="宋体"/>
                <w:kern w:val="0"/>
                <w:sz w:val="20"/>
                <w:szCs w:val="20"/>
                <w:lang w:val="en-US" w:eastAsia="zh-CN" w:bidi="ar"/>
              </w:rPr>
            </w:pPr>
            <w:r>
              <w:rPr>
                <w:rFonts w:hint="eastAsia" w:ascii="宋体" w:hAnsi="宋体" w:eastAsia="宋体" w:cs="宋体"/>
                <w:kern w:val="0"/>
                <w:sz w:val="20"/>
                <w:szCs w:val="20"/>
                <w:lang w:val="en-US" w:eastAsia="zh-CN" w:bidi="ar"/>
              </w:rPr>
              <w:t>结果</w:t>
            </w:r>
          </w:p>
          <w:p w14:paraId="5C0F1B8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pPr>
            <w:r>
              <w:rPr>
                <w:rFonts w:hint="eastAsia" w:ascii="宋体" w:hAnsi="宋体" w:eastAsia="宋体" w:cs="宋体"/>
                <w:kern w:val="0"/>
                <w:sz w:val="20"/>
                <w:szCs w:val="20"/>
                <w:lang w:val="en-US" w:eastAsia="zh-CN" w:bidi="ar"/>
              </w:rPr>
              <w:t>维持</w:t>
            </w:r>
          </w:p>
        </w:tc>
        <w:tc>
          <w:tcPr>
            <w:tcW w:w="64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5B43A12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宋体" w:hAnsi="宋体" w:eastAsia="宋体" w:cs="宋体"/>
                <w:kern w:val="0"/>
                <w:sz w:val="20"/>
                <w:szCs w:val="20"/>
                <w:lang w:val="en-US" w:eastAsia="zh-CN" w:bidi="ar"/>
              </w:rPr>
            </w:pPr>
            <w:r>
              <w:rPr>
                <w:rFonts w:hint="eastAsia" w:ascii="宋体" w:hAnsi="宋体" w:eastAsia="宋体" w:cs="宋体"/>
                <w:kern w:val="0"/>
                <w:sz w:val="20"/>
                <w:szCs w:val="20"/>
                <w:lang w:val="en-US" w:eastAsia="zh-CN" w:bidi="ar"/>
              </w:rPr>
              <w:t>结果</w:t>
            </w:r>
          </w:p>
          <w:p w14:paraId="0A021F2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pPr>
            <w:r>
              <w:rPr>
                <w:rFonts w:hint="eastAsia" w:ascii="宋体" w:hAnsi="宋体" w:eastAsia="宋体" w:cs="宋体"/>
                <w:kern w:val="0"/>
                <w:sz w:val="20"/>
                <w:szCs w:val="20"/>
                <w:lang w:val="en-US" w:eastAsia="zh-CN" w:bidi="ar"/>
              </w:rPr>
              <w:t>纠正</w:t>
            </w:r>
          </w:p>
        </w:tc>
        <w:tc>
          <w:tcPr>
            <w:tcW w:w="64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20821FE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其他</w:t>
            </w:r>
          </w:p>
          <w:p w14:paraId="548C2A8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pPr>
            <w:r>
              <w:rPr>
                <w:rFonts w:hint="eastAsia" w:ascii="宋体" w:hAnsi="宋体" w:eastAsia="宋体" w:cs="宋体"/>
                <w:color w:val="000000"/>
                <w:kern w:val="0"/>
                <w:sz w:val="20"/>
                <w:szCs w:val="20"/>
                <w:lang w:val="en-US" w:eastAsia="zh-CN" w:bidi="ar"/>
              </w:rPr>
              <w:t>结果</w:t>
            </w:r>
          </w:p>
        </w:tc>
        <w:tc>
          <w:tcPr>
            <w:tcW w:w="64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73DB4DF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宋体" w:hAnsi="宋体" w:eastAsia="宋体" w:cs="宋体"/>
                <w:kern w:val="0"/>
                <w:sz w:val="20"/>
                <w:szCs w:val="20"/>
                <w:lang w:val="en-US" w:eastAsia="zh-CN" w:bidi="ar"/>
              </w:rPr>
            </w:pPr>
            <w:r>
              <w:rPr>
                <w:rFonts w:hint="eastAsia" w:ascii="宋体" w:hAnsi="宋体" w:eastAsia="宋体" w:cs="宋体"/>
                <w:kern w:val="0"/>
                <w:sz w:val="20"/>
                <w:szCs w:val="20"/>
                <w:lang w:val="en-US" w:eastAsia="zh-CN" w:bidi="ar"/>
              </w:rPr>
              <w:t>尚未</w:t>
            </w:r>
          </w:p>
          <w:p w14:paraId="6B23CD3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pPr>
            <w:r>
              <w:rPr>
                <w:rFonts w:hint="eastAsia" w:ascii="宋体" w:hAnsi="宋体" w:eastAsia="宋体" w:cs="宋体"/>
                <w:kern w:val="0"/>
                <w:sz w:val="20"/>
                <w:szCs w:val="20"/>
                <w:lang w:val="en-US" w:eastAsia="zh-CN" w:bidi="ar"/>
              </w:rPr>
              <w:t>审结</w:t>
            </w:r>
          </w:p>
        </w:tc>
        <w:tc>
          <w:tcPr>
            <w:tcW w:w="64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575F3F0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pPr>
            <w:r>
              <w:rPr>
                <w:rFonts w:hint="eastAsia" w:ascii="宋体" w:hAnsi="宋体" w:eastAsia="宋体" w:cs="宋体"/>
                <w:color w:val="000000"/>
                <w:kern w:val="0"/>
                <w:sz w:val="20"/>
                <w:szCs w:val="20"/>
                <w:lang w:val="en-US" w:eastAsia="zh-CN" w:bidi="ar"/>
              </w:rPr>
              <w:t>总计</w:t>
            </w:r>
          </w:p>
        </w:tc>
      </w:tr>
      <w:tr w14:paraId="1157157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385B37F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eastAsiaTheme="minorEastAsia"/>
                <w:lang w:val="en-US" w:eastAsia="zh-CN"/>
              </w:rPr>
            </w:pPr>
            <w:r>
              <w:rPr>
                <w:rFonts w:hint="eastAsia"/>
                <w:lang w:val="en-US" w:eastAsia="zh-CN"/>
              </w:rPr>
              <w:t>2</w:t>
            </w:r>
          </w:p>
        </w:tc>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7496C60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lang w:val="en-US"/>
              </w:rPr>
            </w:pPr>
            <w:r>
              <w:rPr>
                <w:rFonts w:hint="eastAsia" w:ascii="黑体" w:hAnsi="宋体" w:eastAsia="黑体" w:cs="黑体"/>
                <w:kern w:val="0"/>
                <w:sz w:val="20"/>
                <w:szCs w:val="20"/>
                <w:lang w:val="en-US" w:eastAsia="zh-CN" w:bidi="ar"/>
              </w:rPr>
              <w:t>0</w:t>
            </w:r>
          </w:p>
        </w:tc>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358976A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pPr>
            <w:r>
              <w:rPr>
                <w:rFonts w:hint="eastAsia" w:ascii="黑体" w:hAnsi="宋体" w:eastAsia="黑体" w:cs="黑体"/>
                <w:kern w:val="0"/>
                <w:sz w:val="20"/>
                <w:szCs w:val="20"/>
                <w:lang w:val="en-US" w:eastAsia="zh-CN" w:bidi="ar"/>
              </w:rPr>
              <w:t>0</w:t>
            </w:r>
          </w:p>
        </w:tc>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028985A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eastAsiaTheme="minorEastAsia"/>
                <w:lang w:val="en-US" w:eastAsia="zh-CN"/>
              </w:rPr>
            </w:pPr>
            <w:r>
              <w:rPr>
                <w:rFonts w:hint="eastAsia"/>
                <w:lang w:val="en-US" w:eastAsia="zh-CN"/>
              </w:rPr>
              <w:t>1</w:t>
            </w:r>
          </w:p>
        </w:tc>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56661A0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eastAsiaTheme="minorEastAsia"/>
                <w:lang w:val="en-US" w:eastAsia="zh-CN"/>
              </w:rPr>
            </w:pPr>
            <w:r>
              <w:rPr>
                <w:rFonts w:hint="eastAsia"/>
                <w:lang w:val="en-US" w:eastAsia="zh-CN"/>
              </w:rPr>
              <w:t>3</w:t>
            </w:r>
          </w:p>
        </w:tc>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67E66DA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eastAsiaTheme="minorEastAsia"/>
                <w:lang w:val="en-US" w:eastAsia="zh-CN"/>
              </w:rPr>
            </w:pPr>
            <w:r>
              <w:rPr>
                <w:rFonts w:hint="eastAsia"/>
                <w:lang w:val="en-US" w:eastAsia="zh-CN"/>
              </w:rPr>
              <w:t>0</w:t>
            </w:r>
          </w:p>
        </w:tc>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557EF52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pPr>
            <w:r>
              <w:rPr>
                <w:rFonts w:hint="eastAsia" w:ascii="黑体" w:hAnsi="宋体" w:eastAsia="黑体" w:cs="黑体"/>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2375425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eastAsiaTheme="minorEastAsia"/>
                <w:lang w:val="en-US" w:eastAsia="zh-CN"/>
              </w:rPr>
            </w:pPr>
            <w:r>
              <w:rPr>
                <w:rFonts w:hint="eastAsia"/>
                <w:lang w:val="en-US" w:eastAsia="zh-CN"/>
              </w:rPr>
              <w:t>0</w:t>
            </w:r>
          </w:p>
        </w:tc>
        <w:tc>
          <w:tcPr>
            <w:tcW w:w="64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2FF0534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pPr>
            <w:r>
              <w:rPr>
                <w:rFonts w:hint="eastAsia" w:ascii="黑体" w:hAnsi="宋体" w:eastAsia="黑体" w:cs="黑体"/>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1B52C21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eastAsiaTheme="minorEastAsia"/>
                <w:lang w:val="en-US" w:eastAsia="zh-CN"/>
              </w:rPr>
            </w:pPr>
            <w:r>
              <w:rPr>
                <w:rFonts w:hint="eastAsia"/>
                <w:lang w:val="en-US" w:eastAsia="zh-CN"/>
              </w:rPr>
              <w:t>0</w:t>
            </w:r>
          </w:p>
        </w:tc>
        <w:tc>
          <w:tcPr>
            <w:tcW w:w="64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5FCC9ED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pPr>
            <w:r>
              <w:rPr>
                <w:rFonts w:hint="eastAsia" w:ascii="黑体" w:hAnsi="宋体" w:eastAsia="黑体" w:cs="黑体"/>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4B773FE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pPr>
            <w:r>
              <w:rPr>
                <w:rFonts w:hint="eastAsia" w:ascii="黑体" w:hAnsi="宋体" w:eastAsia="黑体" w:cs="黑体"/>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7218AA2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pPr>
            <w:r>
              <w:rPr>
                <w:rFonts w:hint="eastAsia" w:ascii="黑体" w:hAnsi="宋体" w:eastAsia="黑体" w:cs="黑体"/>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7913686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eastAsiaTheme="minorEastAsia"/>
                <w:lang w:val="en-US" w:eastAsia="zh-CN"/>
              </w:rPr>
            </w:pPr>
            <w:r>
              <w:rPr>
                <w:rFonts w:hint="eastAsia"/>
                <w:lang w:val="en-US" w:eastAsia="zh-CN"/>
              </w:rPr>
              <w:t>1</w:t>
            </w:r>
          </w:p>
        </w:tc>
        <w:tc>
          <w:tcPr>
            <w:tcW w:w="64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3148CF67">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eastAsiaTheme="minorEastAsia"/>
                <w:sz w:val="24"/>
                <w:szCs w:val="24"/>
                <w:lang w:val="en-US" w:eastAsia="zh-CN"/>
              </w:rPr>
            </w:pPr>
            <w:r>
              <w:rPr>
                <w:rFonts w:hint="eastAsia" w:ascii="黑体" w:hAnsi="黑体" w:eastAsia="黑体" w:cs="黑体"/>
                <w:sz w:val="20"/>
                <w:szCs w:val="20"/>
                <w:lang w:val="en-US" w:eastAsia="zh-CN"/>
              </w:rPr>
              <w:t>1</w:t>
            </w:r>
          </w:p>
        </w:tc>
      </w:tr>
    </w:tbl>
    <w:p w14:paraId="55D6253B">
      <w:pPr>
        <w:keepNext w:val="0"/>
        <w:keepLines w:val="0"/>
        <w:pageBreakBefore w:val="0"/>
        <w:widowControl/>
        <w:suppressLineNumbers w:val="0"/>
        <w:kinsoku/>
        <w:wordWrap/>
        <w:overflowPunct/>
        <w:topLinePunct w:val="0"/>
        <w:autoSpaceDE/>
        <w:autoSpaceDN/>
        <w:bidi w:val="0"/>
        <w:adjustRightInd/>
        <w:snapToGrid/>
        <w:spacing w:line="540" w:lineRule="exact"/>
        <w:jc w:val="left"/>
        <w:textAlignment w:val="auto"/>
      </w:pPr>
    </w:p>
    <w:p w14:paraId="3C538B1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五、存在的主要问题及改进情况</w:t>
      </w:r>
    </w:p>
    <w:p w14:paraId="0F9D1C3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宋体" w:hAnsi="宋体" w:eastAsia="宋体" w:cs="宋体"/>
          <w:i w:val="0"/>
          <w:iCs w:val="0"/>
          <w:caps w:val="0"/>
          <w:color w:val="333333"/>
          <w:spacing w:val="0"/>
          <w:sz w:val="24"/>
          <w:szCs w:val="24"/>
          <w:shd w:val="clear" w:fill="FFFFFF"/>
          <w:lang w:eastAsia="zh-CN"/>
        </w:rPr>
      </w:pPr>
      <w:r>
        <w:rPr>
          <w:rFonts w:hint="eastAsia" w:ascii="宋体" w:hAnsi="宋体" w:eastAsia="宋体" w:cs="宋体"/>
          <w:i w:val="0"/>
          <w:iCs w:val="0"/>
          <w:caps w:val="0"/>
          <w:color w:val="333333"/>
          <w:spacing w:val="0"/>
          <w:sz w:val="24"/>
          <w:szCs w:val="24"/>
          <w:shd w:val="clear" w:fill="FFFFFF"/>
          <w:lang w:eastAsia="zh-CN"/>
        </w:rPr>
        <w:t>202</w:t>
      </w:r>
      <w:r>
        <w:rPr>
          <w:rFonts w:hint="eastAsia" w:ascii="宋体" w:hAnsi="宋体" w:eastAsia="宋体" w:cs="宋体"/>
          <w:i w:val="0"/>
          <w:iCs w:val="0"/>
          <w:caps w:val="0"/>
          <w:color w:val="333333"/>
          <w:spacing w:val="0"/>
          <w:sz w:val="24"/>
          <w:szCs w:val="24"/>
          <w:shd w:val="clear" w:fill="FFFFFF"/>
          <w:lang w:val="en-US" w:eastAsia="zh-CN"/>
        </w:rPr>
        <w:t>4</w:t>
      </w:r>
      <w:r>
        <w:rPr>
          <w:rFonts w:hint="eastAsia" w:ascii="宋体" w:hAnsi="宋体" w:eastAsia="宋体" w:cs="宋体"/>
          <w:i w:val="0"/>
          <w:iCs w:val="0"/>
          <w:caps w:val="0"/>
          <w:color w:val="333333"/>
          <w:spacing w:val="0"/>
          <w:sz w:val="24"/>
          <w:szCs w:val="24"/>
          <w:shd w:val="clear" w:fill="FFFFFF"/>
          <w:lang w:eastAsia="zh-CN"/>
        </w:rPr>
        <w:t>年，涞水县扎实推进政府信息公开工作，但仍存在问题与不足:一是政策解读力度仍需进一步加强，部分解读针对性不强。二是部分重点领域信息公开力度仍需进一步加大。</w:t>
      </w:r>
    </w:p>
    <w:p w14:paraId="36BF636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420"/>
        <w:jc w:val="both"/>
        <w:textAlignment w:val="auto"/>
        <w:rPr>
          <w:rFonts w:hint="eastAsia" w:ascii="宋体" w:hAnsi="宋体" w:eastAsia="宋体" w:cs="宋体"/>
          <w:i w:val="0"/>
          <w:iCs w:val="0"/>
          <w:caps w:val="0"/>
          <w:color w:val="333333"/>
          <w:spacing w:val="0"/>
          <w:sz w:val="24"/>
          <w:szCs w:val="24"/>
          <w:shd w:val="clear" w:fill="FFFFFF"/>
          <w:lang w:eastAsia="zh-CN"/>
        </w:rPr>
      </w:pPr>
      <w:r>
        <w:rPr>
          <w:rFonts w:hint="eastAsia"/>
          <w:color w:val="333333"/>
          <w:lang w:val="en-US" w:eastAsia="zh-CN"/>
        </w:rPr>
        <w:t>下一步，针对存在的问题，重点从以下方面加以改进：</w:t>
      </w:r>
      <w:r>
        <w:rPr>
          <w:rFonts w:hint="eastAsia" w:ascii="宋体" w:hAnsi="宋体" w:eastAsia="宋体" w:cs="宋体"/>
          <w:i w:val="0"/>
          <w:iCs w:val="0"/>
          <w:caps w:val="0"/>
          <w:color w:val="333333"/>
          <w:spacing w:val="0"/>
          <w:sz w:val="24"/>
          <w:szCs w:val="24"/>
          <w:shd w:val="clear" w:fill="FFFFFF"/>
          <w:lang w:eastAsia="zh-CN"/>
        </w:rPr>
        <w:t>一是持续强化政策解读工作，严格要求解读工作务必深入研究政策背景和目标，精准把握核心要点，确保解读内容的专业性、准确性和权威性。二是围绕县委、县政府中心工作，以企业和群众需求为重点，加大重点领域信息公开力度，提高重点领域信息公开时效。</w:t>
      </w:r>
    </w:p>
    <w:p w14:paraId="4765944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六、其他需要报告的事项</w:t>
      </w:r>
    </w:p>
    <w:p w14:paraId="735A9C60">
      <w:pPr>
        <w:keepNext w:val="0"/>
        <w:keepLines w:val="0"/>
        <w:pageBreakBefore w:val="0"/>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认真贯彻执行国务院办公厅《政府信息公开信息处理费管理办法》和《关于政府信息公开处理费管理有关事项的通知》</w:t>
      </w:r>
      <w:r>
        <w:rPr>
          <w:rFonts w:hint="eastAsia" w:ascii="宋体" w:hAnsi="宋体" w:eastAsia="宋体" w:cs="宋体"/>
          <w:color w:val="auto"/>
          <w:sz w:val="24"/>
          <w:szCs w:val="24"/>
          <w:lang w:eastAsia="zh-CN"/>
        </w:rPr>
        <w:t>，</w:t>
      </w:r>
      <w:bookmarkStart w:id="0" w:name="_GoBack"/>
      <w:bookmarkEnd w:id="0"/>
      <w:r>
        <w:rPr>
          <w:rFonts w:hint="eastAsia" w:ascii="宋体" w:hAnsi="宋体" w:eastAsia="宋体" w:cs="宋体"/>
          <w:color w:val="auto"/>
          <w:sz w:val="24"/>
          <w:szCs w:val="24"/>
        </w:rPr>
        <w:t>202</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年</w:t>
      </w:r>
      <w:r>
        <w:rPr>
          <w:rFonts w:hint="eastAsia" w:ascii="宋体" w:hAnsi="宋体" w:eastAsia="宋体" w:cs="宋体"/>
          <w:color w:val="auto"/>
          <w:sz w:val="24"/>
          <w:szCs w:val="24"/>
          <w:lang w:eastAsia="zh-CN"/>
        </w:rPr>
        <w:t>全县各单位未</w:t>
      </w:r>
      <w:r>
        <w:rPr>
          <w:rFonts w:hint="eastAsia" w:ascii="宋体" w:hAnsi="宋体" w:eastAsia="宋体" w:cs="宋体"/>
          <w:color w:val="auto"/>
          <w:sz w:val="24"/>
          <w:szCs w:val="24"/>
        </w:rPr>
        <w:t>收取信息处理费。</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cwNTQwZTZhNTIwMmY0Y2JlYzM5NGMzMmFhYzhhNDMifQ=="/>
  </w:docVars>
  <w:rsids>
    <w:rsidRoot w:val="37A11E00"/>
    <w:rsid w:val="002B247F"/>
    <w:rsid w:val="00577718"/>
    <w:rsid w:val="00771B68"/>
    <w:rsid w:val="00977B14"/>
    <w:rsid w:val="00C704F2"/>
    <w:rsid w:val="012A4E2C"/>
    <w:rsid w:val="019127B6"/>
    <w:rsid w:val="01BF0E47"/>
    <w:rsid w:val="0284231A"/>
    <w:rsid w:val="02BC3862"/>
    <w:rsid w:val="034F45F9"/>
    <w:rsid w:val="041B0A5C"/>
    <w:rsid w:val="04CB4231"/>
    <w:rsid w:val="04DA0918"/>
    <w:rsid w:val="05AF5900"/>
    <w:rsid w:val="05B9677F"/>
    <w:rsid w:val="060774EA"/>
    <w:rsid w:val="064C75F3"/>
    <w:rsid w:val="06EE2458"/>
    <w:rsid w:val="072145DC"/>
    <w:rsid w:val="07BB67DE"/>
    <w:rsid w:val="07C75183"/>
    <w:rsid w:val="07FB4E2D"/>
    <w:rsid w:val="084E1401"/>
    <w:rsid w:val="08E12275"/>
    <w:rsid w:val="09862E1C"/>
    <w:rsid w:val="09B94F9F"/>
    <w:rsid w:val="0A022ACD"/>
    <w:rsid w:val="0A892BC4"/>
    <w:rsid w:val="0AD16319"/>
    <w:rsid w:val="0AE03649"/>
    <w:rsid w:val="0B386398"/>
    <w:rsid w:val="0B7F7B23"/>
    <w:rsid w:val="0BB93035"/>
    <w:rsid w:val="0BC1638D"/>
    <w:rsid w:val="0BD25EA5"/>
    <w:rsid w:val="0D2E35AF"/>
    <w:rsid w:val="0DC363ED"/>
    <w:rsid w:val="0DCE08EE"/>
    <w:rsid w:val="0E071E4C"/>
    <w:rsid w:val="0E8E2C22"/>
    <w:rsid w:val="0E9B1118"/>
    <w:rsid w:val="0E9E4764"/>
    <w:rsid w:val="0EA37FCC"/>
    <w:rsid w:val="0F6E05DA"/>
    <w:rsid w:val="0F781459"/>
    <w:rsid w:val="0F8E47D8"/>
    <w:rsid w:val="0F9067A2"/>
    <w:rsid w:val="0F931DEF"/>
    <w:rsid w:val="0FB83603"/>
    <w:rsid w:val="0FE8213B"/>
    <w:rsid w:val="0FEB39D9"/>
    <w:rsid w:val="103A226A"/>
    <w:rsid w:val="10473E69"/>
    <w:rsid w:val="11301FEB"/>
    <w:rsid w:val="11E0751A"/>
    <w:rsid w:val="11FF376C"/>
    <w:rsid w:val="121958EC"/>
    <w:rsid w:val="123D34B1"/>
    <w:rsid w:val="123E24E6"/>
    <w:rsid w:val="12750005"/>
    <w:rsid w:val="12A85BB1"/>
    <w:rsid w:val="1351449B"/>
    <w:rsid w:val="13685340"/>
    <w:rsid w:val="13E26254"/>
    <w:rsid w:val="14184FB8"/>
    <w:rsid w:val="14D40EDF"/>
    <w:rsid w:val="14E82BDD"/>
    <w:rsid w:val="152C07A1"/>
    <w:rsid w:val="156A48B9"/>
    <w:rsid w:val="158F4E06"/>
    <w:rsid w:val="15BC69A2"/>
    <w:rsid w:val="16036155"/>
    <w:rsid w:val="167069E6"/>
    <w:rsid w:val="172B0B5F"/>
    <w:rsid w:val="17DD00AB"/>
    <w:rsid w:val="17E53404"/>
    <w:rsid w:val="17F673BF"/>
    <w:rsid w:val="18504D21"/>
    <w:rsid w:val="18826EA4"/>
    <w:rsid w:val="18DE232D"/>
    <w:rsid w:val="19212219"/>
    <w:rsid w:val="1981715C"/>
    <w:rsid w:val="19A8293B"/>
    <w:rsid w:val="1A1B4EBB"/>
    <w:rsid w:val="1A2C70C8"/>
    <w:rsid w:val="1A383CBF"/>
    <w:rsid w:val="1A404921"/>
    <w:rsid w:val="1AC66731"/>
    <w:rsid w:val="1AD75407"/>
    <w:rsid w:val="1AD87250"/>
    <w:rsid w:val="1B9A62B3"/>
    <w:rsid w:val="1B9F1FC2"/>
    <w:rsid w:val="1C1442B7"/>
    <w:rsid w:val="1C275D99"/>
    <w:rsid w:val="1C8F393E"/>
    <w:rsid w:val="1C963E3D"/>
    <w:rsid w:val="1CE95744"/>
    <w:rsid w:val="1CF245F9"/>
    <w:rsid w:val="1D2642A2"/>
    <w:rsid w:val="1DB21FDA"/>
    <w:rsid w:val="1DFB572F"/>
    <w:rsid w:val="1E2E46BF"/>
    <w:rsid w:val="1EA00084"/>
    <w:rsid w:val="1EBC3110"/>
    <w:rsid w:val="1F643B71"/>
    <w:rsid w:val="1FEE7A64"/>
    <w:rsid w:val="1FF97A4C"/>
    <w:rsid w:val="207B2B57"/>
    <w:rsid w:val="20CA763A"/>
    <w:rsid w:val="20DD2ECA"/>
    <w:rsid w:val="20F36B91"/>
    <w:rsid w:val="211663DC"/>
    <w:rsid w:val="21BC6F83"/>
    <w:rsid w:val="21E87D78"/>
    <w:rsid w:val="22034BB2"/>
    <w:rsid w:val="221C5C74"/>
    <w:rsid w:val="22220C9E"/>
    <w:rsid w:val="2265586D"/>
    <w:rsid w:val="22877591"/>
    <w:rsid w:val="23730F38"/>
    <w:rsid w:val="242D23BA"/>
    <w:rsid w:val="244F40DF"/>
    <w:rsid w:val="245B2DEE"/>
    <w:rsid w:val="24F829C8"/>
    <w:rsid w:val="250F386E"/>
    <w:rsid w:val="2524556B"/>
    <w:rsid w:val="2580651A"/>
    <w:rsid w:val="25C66622"/>
    <w:rsid w:val="25DD571A"/>
    <w:rsid w:val="261E020C"/>
    <w:rsid w:val="263F0183"/>
    <w:rsid w:val="265359DC"/>
    <w:rsid w:val="26A83F7A"/>
    <w:rsid w:val="27624129"/>
    <w:rsid w:val="276500BD"/>
    <w:rsid w:val="279544FE"/>
    <w:rsid w:val="2802590C"/>
    <w:rsid w:val="28643ED1"/>
    <w:rsid w:val="28956780"/>
    <w:rsid w:val="28ED3EC6"/>
    <w:rsid w:val="2B0B2D29"/>
    <w:rsid w:val="2B17347C"/>
    <w:rsid w:val="2B514BE0"/>
    <w:rsid w:val="2BC74EA2"/>
    <w:rsid w:val="2C7E7070"/>
    <w:rsid w:val="2CFF066C"/>
    <w:rsid w:val="2D287BC3"/>
    <w:rsid w:val="2E1D524D"/>
    <w:rsid w:val="2E9B6172"/>
    <w:rsid w:val="2F176141"/>
    <w:rsid w:val="2F6A07F9"/>
    <w:rsid w:val="2FC8743B"/>
    <w:rsid w:val="2FEA73B1"/>
    <w:rsid w:val="2FFE5C3C"/>
    <w:rsid w:val="30085A89"/>
    <w:rsid w:val="301E705B"/>
    <w:rsid w:val="305B02AF"/>
    <w:rsid w:val="305B6930"/>
    <w:rsid w:val="30AC28B9"/>
    <w:rsid w:val="310E0E7D"/>
    <w:rsid w:val="31271F3F"/>
    <w:rsid w:val="315F16D9"/>
    <w:rsid w:val="31EF5153"/>
    <w:rsid w:val="321626E0"/>
    <w:rsid w:val="323B2686"/>
    <w:rsid w:val="326835EA"/>
    <w:rsid w:val="33212995"/>
    <w:rsid w:val="33890C8F"/>
    <w:rsid w:val="338F274A"/>
    <w:rsid w:val="33D12D62"/>
    <w:rsid w:val="342033A2"/>
    <w:rsid w:val="34757B91"/>
    <w:rsid w:val="34A75871"/>
    <w:rsid w:val="34BD6E42"/>
    <w:rsid w:val="34D83C7C"/>
    <w:rsid w:val="34E46AC5"/>
    <w:rsid w:val="350C1B78"/>
    <w:rsid w:val="352C3FC8"/>
    <w:rsid w:val="35D2582C"/>
    <w:rsid w:val="35F03248"/>
    <w:rsid w:val="368A369C"/>
    <w:rsid w:val="36F35315"/>
    <w:rsid w:val="37272EF1"/>
    <w:rsid w:val="373F4487"/>
    <w:rsid w:val="37461371"/>
    <w:rsid w:val="37691B50"/>
    <w:rsid w:val="37A11E00"/>
    <w:rsid w:val="37CD3840"/>
    <w:rsid w:val="386D5023"/>
    <w:rsid w:val="387230BF"/>
    <w:rsid w:val="38E52E0C"/>
    <w:rsid w:val="398C3287"/>
    <w:rsid w:val="39BF365D"/>
    <w:rsid w:val="39EE6834"/>
    <w:rsid w:val="3A706705"/>
    <w:rsid w:val="3A865F28"/>
    <w:rsid w:val="3B7F4E52"/>
    <w:rsid w:val="3B892174"/>
    <w:rsid w:val="3CC64D02"/>
    <w:rsid w:val="3CD613E9"/>
    <w:rsid w:val="3D736FBF"/>
    <w:rsid w:val="3DA05553"/>
    <w:rsid w:val="3DC47494"/>
    <w:rsid w:val="3E135D25"/>
    <w:rsid w:val="3E4D7489"/>
    <w:rsid w:val="3E6C47ED"/>
    <w:rsid w:val="3E9C5D1B"/>
    <w:rsid w:val="3EAB0654"/>
    <w:rsid w:val="3EDB4A95"/>
    <w:rsid w:val="3FB672B0"/>
    <w:rsid w:val="3FEE07F8"/>
    <w:rsid w:val="40073668"/>
    <w:rsid w:val="40414DCB"/>
    <w:rsid w:val="40D95004"/>
    <w:rsid w:val="40EB2F89"/>
    <w:rsid w:val="41961147"/>
    <w:rsid w:val="41A2189A"/>
    <w:rsid w:val="41BA3087"/>
    <w:rsid w:val="42861613"/>
    <w:rsid w:val="42935686"/>
    <w:rsid w:val="42E61C5A"/>
    <w:rsid w:val="42FF450A"/>
    <w:rsid w:val="43503578"/>
    <w:rsid w:val="43E443EC"/>
    <w:rsid w:val="44136A7F"/>
    <w:rsid w:val="441A1710"/>
    <w:rsid w:val="44A1408B"/>
    <w:rsid w:val="45124F88"/>
    <w:rsid w:val="453A003B"/>
    <w:rsid w:val="455B24C0"/>
    <w:rsid w:val="459040FF"/>
    <w:rsid w:val="45A73A3F"/>
    <w:rsid w:val="45A81449"/>
    <w:rsid w:val="45C51FFB"/>
    <w:rsid w:val="45D264C6"/>
    <w:rsid w:val="462211FB"/>
    <w:rsid w:val="46780E1B"/>
    <w:rsid w:val="46D07C1E"/>
    <w:rsid w:val="46DA3884"/>
    <w:rsid w:val="46E00127"/>
    <w:rsid w:val="480037BE"/>
    <w:rsid w:val="488F68F0"/>
    <w:rsid w:val="48943F06"/>
    <w:rsid w:val="499D2CCA"/>
    <w:rsid w:val="499E6DEB"/>
    <w:rsid w:val="4A965D14"/>
    <w:rsid w:val="4BAC7DF0"/>
    <w:rsid w:val="4BBC5C4E"/>
    <w:rsid w:val="4C1415E6"/>
    <w:rsid w:val="4C7B78B7"/>
    <w:rsid w:val="4CC528E0"/>
    <w:rsid w:val="4CEA0599"/>
    <w:rsid w:val="4CF37146"/>
    <w:rsid w:val="4DE4323A"/>
    <w:rsid w:val="4EAC1FAA"/>
    <w:rsid w:val="4F8847C5"/>
    <w:rsid w:val="507E34D2"/>
    <w:rsid w:val="50A05B3E"/>
    <w:rsid w:val="50A218B6"/>
    <w:rsid w:val="51183927"/>
    <w:rsid w:val="512008A3"/>
    <w:rsid w:val="515208D2"/>
    <w:rsid w:val="526861E8"/>
    <w:rsid w:val="52B93733"/>
    <w:rsid w:val="53642E53"/>
    <w:rsid w:val="536C5EBC"/>
    <w:rsid w:val="536F7A4A"/>
    <w:rsid w:val="543D36A4"/>
    <w:rsid w:val="54414F42"/>
    <w:rsid w:val="54C142D5"/>
    <w:rsid w:val="553E1482"/>
    <w:rsid w:val="55861908"/>
    <w:rsid w:val="55A734CB"/>
    <w:rsid w:val="55B300C2"/>
    <w:rsid w:val="55EE2EA8"/>
    <w:rsid w:val="56026953"/>
    <w:rsid w:val="56FE35BF"/>
    <w:rsid w:val="585711D8"/>
    <w:rsid w:val="585D60C3"/>
    <w:rsid w:val="5889510A"/>
    <w:rsid w:val="588D4BFA"/>
    <w:rsid w:val="597E2795"/>
    <w:rsid w:val="59802C75"/>
    <w:rsid w:val="59DB7055"/>
    <w:rsid w:val="5A6000EC"/>
    <w:rsid w:val="5AC171DD"/>
    <w:rsid w:val="5B062A42"/>
    <w:rsid w:val="5B5C4D58"/>
    <w:rsid w:val="5B6559BA"/>
    <w:rsid w:val="5BCB2DA4"/>
    <w:rsid w:val="5C08389F"/>
    <w:rsid w:val="5C4750C0"/>
    <w:rsid w:val="5D1A4582"/>
    <w:rsid w:val="5DB449D7"/>
    <w:rsid w:val="5DB91FED"/>
    <w:rsid w:val="5E0F7E5F"/>
    <w:rsid w:val="5E8720EC"/>
    <w:rsid w:val="5E8F0FA0"/>
    <w:rsid w:val="5EC549C2"/>
    <w:rsid w:val="5EEA61D6"/>
    <w:rsid w:val="5F1020E1"/>
    <w:rsid w:val="5F4C1D73"/>
    <w:rsid w:val="5F571ABE"/>
    <w:rsid w:val="5F942D12"/>
    <w:rsid w:val="5FB24F46"/>
    <w:rsid w:val="5FD2024B"/>
    <w:rsid w:val="604364E6"/>
    <w:rsid w:val="60456A5A"/>
    <w:rsid w:val="60681AA9"/>
    <w:rsid w:val="61167757"/>
    <w:rsid w:val="6138147B"/>
    <w:rsid w:val="613F280A"/>
    <w:rsid w:val="615A5895"/>
    <w:rsid w:val="61700C15"/>
    <w:rsid w:val="6171498D"/>
    <w:rsid w:val="61CB22EF"/>
    <w:rsid w:val="61E41603"/>
    <w:rsid w:val="62214605"/>
    <w:rsid w:val="6280132C"/>
    <w:rsid w:val="62EF200D"/>
    <w:rsid w:val="633A0C85"/>
    <w:rsid w:val="637E208C"/>
    <w:rsid w:val="63AB687C"/>
    <w:rsid w:val="6416019A"/>
    <w:rsid w:val="648F3AA8"/>
    <w:rsid w:val="651641C9"/>
    <w:rsid w:val="6659436D"/>
    <w:rsid w:val="668A4527"/>
    <w:rsid w:val="67397CFB"/>
    <w:rsid w:val="674212A6"/>
    <w:rsid w:val="6759214B"/>
    <w:rsid w:val="67F72090"/>
    <w:rsid w:val="68CC52CB"/>
    <w:rsid w:val="68D0444F"/>
    <w:rsid w:val="68EB04B3"/>
    <w:rsid w:val="690D7691"/>
    <w:rsid w:val="693B41FE"/>
    <w:rsid w:val="6972546A"/>
    <w:rsid w:val="69A753F0"/>
    <w:rsid w:val="6A9C0CCD"/>
    <w:rsid w:val="6A9E130D"/>
    <w:rsid w:val="6AA737F0"/>
    <w:rsid w:val="6AC83870"/>
    <w:rsid w:val="6B430FE2"/>
    <w:rsid w:val="6BAE0CB8"/>
    <w:rsid w:val="6BEA5A68"/>
    <w:rsid w:val="6C2C42D2"/>
    <w:rsid w:val="6C3A079D"/>
    <w:rsid w:val="6C417D7E"/>
    <w:rsid w:val="6D233E90"/>
    <w:rsid w:val="6D877A12"/>
    <w:rsid w:val="6E0252EB"/>
    <w:rsid w:val="6E6C6C08"/>
    <w:rsid w:val="6F912DCA"/>
    <w:rsid w:val="6FFE7D34"/>
    <w:rsid w:val="701423EB"/>
    <w:rsid w:val="7036127C"/>
    <w:rsid w:val="706447A2"/>
    <w:rsid w:val="709B5583"/>
    <w:rsid w:val="70CE3BAA"/>
    <w:rsid w:val="71184E25"/>
    <w:rsid w:val="71AA1F21"/>
    <w:rsid w:val="724A54B2"/>
    <w:rsid w:val="72571089"/>
    <w:rsid w:val="72AA0D65"/>
    <w:rsid w:val="73467A28"/>
    <w:rsid w:val="73685BF0"/>
    <w:rsid w:val="740F250F"/>
    <w:rsid w:val="74D379E1"/>
    <w:rsid w:val="74F71921"/>
    <w:rsid w:val="75501031"/>
    <w:rsid w:val="755521A4"/>
    <w:rsid w:val="755A3C5E"/>
    <w:rsid w:val="758122DF"/>
    <w:rsid w:val="75DB4D9F"/>
    <w:rsid w:val="763C3364"/>
    <w:rsid w:val="768F5B89"/>
    <w:rsid w:val="77683027"/>
    <w:rsid w:val="777D1E86"/>
    <w:rsid w:val="77866F8C"/>
    <w:rsid w:val="77B91110"/>
    <w:rsid w:val="77DA1086"/>
    <w:rsid w:val="78A51694"/>
    <w:rsid w:val="78AA6CAB"/>
    <w:rsid w:val="791B54B2"/>
    <w:rsid w:val="792702FB"/>
    <w:rsid w:val="79AD6A1D"/>
    <w:rsid w:val="79FA156C"/>
    <w:rsid w:val="7A020420"/>
    <w:rsid w:val="7A060F5A"/>
    <w:rsid w:val="7A4D1FE3"/>
    <w:rsid w:val="7AB77FBA"/>
    <w:rsid w:val="7B610002"/>
    <w:rsid w:val="7B713AB0"/>
    <w:rsid w:val="7B73186F"/>
    <w:rsid w:val="7BA8280E"/>
    <w:rsid w:val="7BAB0D70"/>
    <w:rsid w:val="7BF87D2D"/>
    <w:rsid w:val="7D8555F0"/>
    <w:rsid w:val="7D9B4E14"/>
    <w:rsid w:val="7DBF4FA6"/>
    <w:rsid w:val="7DC425BD"/>
    <w:rsid w:val="7E2D63B4"/>
    <w:rsid w:val="7E461EAD"/>
    <w:rsid w:val="7E6478FC"/>
    <w:rsid w:val="7EC768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autoRedefine/>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2701</Words>
  <Characters>2768</Characters>
  <Lines>0</Lines>
  <Paragraphs>0</Paragraphs>
  <TotalTime>73</TotalTime>
  <ScaleCrop>false</ScaleCrop>
  <LinksUpToDate>false</LinksUpToDate>
  <CharactersWithSpaces>2925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2022-01-11T09:34:00Z</dcterms:created>
  <dc:creator>Administrator</dc:creator>
  <cp:lastModifiedBy>Wang</cp:lastModifiedBy>
  <dcterms:modified xsi:type="dcterms:W3CDTF">2025-02-14T02:05:35Z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8BD079440E1A4126A4025B7AF3ECC981</vt:lpwstr>
  </property>
  <property fmtid="{D5CDD505-2E9C-101B-9397-08002B2CF9AE}" pid="4" name="KSOTemplateDocerSaveRecord">
    <vt:lpwstr>eyJoZGlkIjoiNDcwNTQwZTZhNTIwMmY0Y2JlYzM5NGMzMmFhYzhhNDMiLCJ1c2VySWQiOiI0ODY4NDYxNDkifQ==</vt:lpwstr>
  </property>
</Properties>
</file>