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EB68E">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涞水县城市管理综合执法局</w:t>
      </w:r>
    </w:p>
    <w:p w14:paraId="513C5B98">
      <w:pPr>
        <w:jc w:val="center"/>
        <w:rPr>
          <w:rFonts w:hint="eastAsia" w:ascii="黑体" w:hAnsi="黑体" w:eastAsia="黑体" w:cs="黑体"/>
          <w:b/>
          <w:bCs/>
          <w:sz w:val="44"/>
          <w:szCs w:val="44"/>
        </w:rPr>
      </w:pPr>
      <w:r>
        <w:rPr>
          <w:rFonts w:hint="eastAsia" w:ascii="黑体" w:hAnsi="黑体" w:eastAsia="黑体" w:cs="黑体"/>
          <w:b/>
          <w:bCs/>
          <w:sz w:val="44"/>
          <w:szCs w:val="44"/>
        </w:rPr>
        <w:t>部门预算公开有关事项的说明</w:t>
      </w:r>
    </w:p>
    <w:p w14:paraId="38F20E8B">
      <w:pPr>
        <w:ind w:firstLine="640" w:firstLineChars="200"/>
        <w:rPr>
          <w:rFonts w:hint="eastAsia" w:asciiTheme="majorEastAsia" w:hAnsiTheme="majorEastAsia" w:eastAsiaTheme="majorEastAsia"/>
          <w:sz w:val="32"/>
          <w:szCs w:val="32"/>
        </w:rPr>
      </w:pPr>
    </w:p>
    <w:p w14:paraId="674E8EAF">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一、部门职责、机构设置等基本情况</w:t>
      </w:r>
    </w:p>
    <w:p w14:paraId="0305736E">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rPr>
        <w:t>主要职责</w:t>
      </w:r>
    </w:p>
    <w:p w14:paraId="6D80774F">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1、行使市容环境卫生管理方面法律、法规、规章制度的行政处罚权，强制拆除不符合城市容貌标准、环境卫生标准的建筑物或设施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2、行使城市规划管理方面法律、法规、规章规定的行政处罚权，对未取得《建设工程规划许可证》或者违反《建设工程许可证》规定进行建设，严重影响城市规划行为的行政处罚权。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3、行使城市绿化管理方面法律、法规、规章规定的行政处罚权。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4、行使市政公用设施管理方面法律、法规、规章规定的行政处罚权。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5、行驶环境保护管理方面法律、法规、规章规定的对产生社会生活噪音污染，建筑施工噪音污染行为的行政处罚权；对城市饮食服务业超标排污行为的行政处罚权；对象城市建成区范围内排水网管河道水面排污倾倒工业废渣、城市垃圾和其他废物行为的行政处罚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6、行使工商行政管理方面法律、法规、规章规定的对城区范围内店外或专业市场外经营无照商贩的行政处罚权。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7、行使公安交通管理方面法律、法规、规章规定的对侵占城市道路两侧人行行道行为的行政处罚权。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8、行使省政府决定调整的城市管理领域的其他行政处罚权。</w:t>
      </w:r>
    </w:p>
    <w:p w14:paraId="1A0D7716">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（二）</w:t>
      </w:r>
      <w:r>
        <w:rPr>
          <w:rFonts w:hint="eastAsia" w:ascii="仿宋_GB2312" w:hAnsi="仿宋_GB2312" w:eastAsia="仿宋_GB2312" w:cs="仿宋_GB2312"/>
          <w:bCs/>
          <w:sz w:val="32"/>
          <w:szCs w:val="32"/>
        </w:rPr>
        <w:t>机构设置情况</w:t>
      </w:r>
    </w:p>
    <w:p w14:paraId="2067877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1、执法局下设综合办公室、财务室、综合执法队五个中队、规划执法队、收费监查队、数字化指挥中心。</w:t>
      </w:r>
    </w:p>
    <w:tbl>
      <w:tblPr>
        <w:tblStyle w:val="3"/>
        <w:tblpPr w:leftFromText="180" w:rightFromText="180" w:vertAnchor="text" w:horzAnchor="page" w:tblpX="1382" w:tblpY="590"/>
        <w:tblOverlap w:val="never"/>
        <w:tblW w:w="9796" w:type="dxa"/>
        <w:tblInd w:w="0" w:type="dxa"/>
        <w:tblLayout w:type="fixed"/>
        <w:tblCellMar>
          <w:top w:w="0" w:type="dxa"/>
          <w:left w:w="108" w:type="dxa"/>
          <w:bottom w:w="0" w:type="dxa"/>
          <w:right w:w="108" w:type="dxa"/>
        </w:tblCellMar>
      </w:tblPr>
      <w:tblGrid>
        <w:gridCol w:w="1080"/>
        <w:gridCol w:w="2320"/>
        <w:gridCol w:w="2120"/>
        <w:gridCol w:w="1900"/>
        <w:gridCol w:w="2376"/>
      </w:tblGrid>
      <w:tr w14:paraId="262F354A">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auto" w:fill="auto"/>
            <w:vAlign w:val="center"/>
          </w:tcPr>
          <w:p w14:paraId="274944AF">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部门机构设置情况</w:t>
            </w:r>
          </w:p>
        </w:tc>
      </w:tr>
      <w:tr w14:paraId="13AAE526">
        <w:tblPrEx>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4E6554EA">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序号</w:t>
            </w:r>
          </w:p>
        </w:tc>
        <w:tc>
          <w:tcPr>
            <w:tcW w:w="2320" w:type="dxa"/>
            <w:vMerge w:val="restart"/>
            <w:tcBorders>
              <w:top w:val="nil"/>
              <w:left w:val="single" w:color="auto" w:sz="4" w:space="0"/>
              <w:bottom w:val="single" w:color="000000" w:sz="4" w:space="0"/>
              <w:right w:val="single" w:color="auto" w:sz="4" w:space="0"/>
            </w:tcBorders>
            <w:shd w:val="clear" w:color="auto" w:fill="auto"/>
            <w:vAlign w:val="center"/>
          </w:tcPr>
          <w:p w14:paraId="6D02E43B">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单位名称</w:t>
            </w:r>
          </w:p>
        </w:tc>
        <w:tc>
          <w:tcPr>
            <w:tcW w:w="2120" w:type="dxa"/>
            <w:vMerge w:val="restart"/>
            <w:tcBorders>
              <w:top w:val="nil"/>
              <w:left w:val="single" w:color="auto" w:sz="4" w:space="0"/>
              <w:bottom w:val="single" w:color="000000" w:sz="4" w:space="0"/>
              <w:right w:val="single" w:color="auto" w:sz="4" w:space="0"/>
            </w:tcBorders>
            <w:shd w:val="clear" w:color="auto" w:fill="auto"/>
            <w:vAlign w:val="center"/>
          </w:tcPr>
          <w:p w14:paraId="3ACE7F55">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shd w:val="clear" w:color="auto" w:fill="auto"/>
            <w:vAlign w:val="center"/>
          </w:tcPr>
          <w:p w14:paraId="5996C583">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shd w:val="clear" w:color="auto" w:fill="auto"/>
            <w:vAlign w:val="center"/>
          </w:tcPr>
          <w:p w14:paraId="7C366F4F">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经费保障形式</w:t>
            </w:r>
          </w:p>
        </w:tc>
      </w:tr>
      <w:tr w14:paraId="4901541F">
        <w:tblPrEx>
          <w:tblCellMar>
            <w:top w:w="0" w:type="dxa"/>
            <w:left w:w="108" w:type="dxa"/>
            <w:bottom w:w="0" w:type="dxa"/>
            <w:right w:w="108" w:type="dxa"/>
          </w:tblCellMar>
        </w:tblPrEx>
        <w:trPr>
          <w:trHeight w:val="638" w:hRule="atLeast"/>
        </w:trPr>
        <w:tc>
          <w:tcPr>
            <w:tcW w:w="1080" w:type="dxa"/>
            <w:vMerge w:val="continue"/>
            <w:tcBorders>
              <w:top w:val="nil"/>
              <w:left w:val="single" w:color="auto" w:sz="4" w:space="0"/>
              <w:bottom w:val="single" w:color="000000" w:sz="4" w:space="0"/>
              <w:right w:val="single" w:color="auto" w:sz="4" w:space="0"/>
            </w:tcBorders>
            <w:vAlign w:val="center"/>
          </w:tcPr>
          <w:p w14:paraId="39D7386B">
            <w:pPr>
              <w:widowControl/>
              <w:jc w:val="left"/>
              <w:rPr>
                <w:rFonts w:cs="宋体" w:asciiTheme="minorEastAsia" w:hAnsiTheme="minorEastAsia"/>
                <w:color w:val="000000"/>
                <w:kern w:val="0"/>
                <w:sz w:val="28"/>
                <w:szCs w:val="28"/>
              </w:rPr>
            </w:pPr>
          </w:p>
        </w:tc>
        <w:tc>
          <w:tcPr>
            <w:tcW w:w="2320" w:type="dxa"/>
            <w:vMerge w:val="continue"/>
            <w:tcBorders>
              <w:top w:val="nil"/>
              <w:left w:val="single" w:color="auto" w:sz="4" w:space="0"/>
              <w:bottom w:val="single" w:color="000000" w:sz="4" w:space="0"/>
              <w:right w:val="single" w:color="auto" w:sz="4" w:space="0"/>
            </w:tcBorders>
            <w:vAlign w:val="center"/>
          </w:tcPr>
          <w:p w14:paraId="7501F527">
            <w:pPr>
              <w:widowControl/>
              <w:jc w:val="left"/>
              <w:rPr>
                <w:rFonts w:cs="宋体" w:asciiTheme="minorEastAsia" w:hAnsiTheme="minorEastAsia"/>
                <w:color w:val="000000"/>
                <w:kern w:val="0"/>
                <w:sz w:val="28"/>
                <w:szCs w:val="28"/>
              </w:rPr>
            </w:pPr>
          </w:p>
        </w:tc>
        <w:tc>
          <w:tcPr>
            <w:tcW w:w="2120" w:type="dxa"/>
            <w:vMerge w:val="continue"/>
            <w:tcBorders>
              <w:top w:val="nil"/>
              <w:left w:val="single" w:color="auto" w:sz="4" w:space="0"/>
              <w:bottom w:val="single" w:color="000000" w:sz="4" w:space="0"/>
              <w:right w:val="single" w:color="auto" w:sz="4" w:space="0"/>
            </w:tcBorders>
            <w:vAlign w:val="center"/>
          </w:tcPr>
          <w:p w14:paraId="32E2B4D8">
            <w:pPr>
              <w:widowControl/>
              <w:jc w:val="left"/>
              <w:rPr>
                <w:rFonts w:cs="宋体" w:asciiTheme="minorEastAsia" w:hAnsiTheme="minorEastAsia"/>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389CD8D5">
            <w:pPr>
              <w:widowControl/>
              <w:jc w:val="left"/>
              <w:rPr>
                <w:rFonts w:cs="宋体" w:asciiTheme="minorEastAsia" w:hAnsiTheme="minorEastAsia"/>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0ADC585F">
            <w:pPr>
              <w:widowControl/>
              <w:jc w:val="left"/>
              <w:rPr>
                <w:rFonts w:cs="宋体" w:asciiTheme="minorEastAsia" w:hAnsiTheme="minorEastAsia"/>
                <w:color w:val="000000"/>
                <w:kern w:val="0"/>
                <w:sz w:val="28"/>
                <w:szCs w:val="28"/>
              </w:rPr>
            </w:pPr>
          </w:p>
        </w:tc>
      </w:tr>
      <w:tr w14:paraId="0C56E71B">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14:paraId="18835411">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w:t>
            </w:r>
          </w:p>
        </w:tc>
        <w:tc>
          <w:tcPr>
            <w:tcW w:w="2320" w:type="dxa"/>
            <w:tcBorders>
              <w:top w:val="nil"/>
              <w:left w:val="nil"/>
              <w:bottom w:val="single" w:color="auto" w:sz="4" w:space="0"/>
              <w:right w:val="single" w:color="auto" w:sz="4" w:space="0"/>
            </w:tcBorders>
            <w:shd w:val="clear" w:color="auto" w:fill="auto"/>
            <w:vAlign w:val="center"/>
          </w:tcPr>
          <w:p w14:paraId="7D94431F">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涞水县行政执法局</w:t>
            </w:r>
          </w:p>
        </w:tc>
        <w:tc>
          <w:tcPr>
            <w:tcW w:w="2120" w:type="dxa"/>
            <w:tcBorders>
              <w:top w:val="nil"/>
              <w:left w:val="nil"/>
              <w:bottom w:val="single" w:color="auto" w:sz="4" w:space="0"/>
              <w:right w:val="single" w:color="auto" w:sz="4" w:space="0"/>
            </w:tcBorders>
            <w:shd w:val="clear" w:color="auto" w:fill="auto"/>
            <w:vAlign w:val="center"/>
          </w:tcPr>
          <w:p w14:paraId="0B37C46E">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事业</w:t>
            </w:r>
          </w:p>
        </w:tc>
        <w:tc>
          <w:tcPr>
            <w:tcW w:w="1900" w:type="dxa"/>
            <w:tcBorders>
              <w:top w:val="nil"/>
              <w:left w:val="nil"/>
              <w:bottom w:val="single" w:color="auto" w:sz="4" w:space="0"/>
              <w:right w:val="single" w:color="auto" w:sz="4" w:space="0"/>
            </w:tcBorders>
            <w:shd w:val="clear" w:color="auto" w:fill="auto"/>
            <w:vAlign w:val="center"/>
          </w:tcPr>
          <w:p w14:paraId="441E6865">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正科级</w:t>
            </w:r>
          </w:p>
        </w:tc>
        <w:tc>
          <w:tcPr>
            <w:tcW w:w="2376" w:type="dxa"/>
            <w:tcBorders>
              <w:top w:val="nil"/>
              <w:left w:val="nil"/>
              <w:bottom w:val="single" w:color="auto" w:sz="4" w:space="0"/>
              <w:right w:val="single" w:color="auto" w:sz="4" w:space="0"/>
            </w:tcBorders>
            <w:shd w:val="clear" w:color="auto" w:fill="auto"/>
            <w:vAlign w:val="center"/>
          </w:tcPr>
          <w:p w14:paraId="7A0CBC07">
            <w:pPr>
              <w:widowControl/>
              <w:jc w:val="center"/>
              <w:rPr>
                <w:rFonts w:cs="宋体" w:asciiTheme="minorEastAsia" w:hAnsiTheme="minorEastAsia"/>
                <w:color w:val="000000"/>
                <w:kern w:val="0"/>
                <w:sz w:val="28"/>
                <w:szCs w:val="28"/>
              </w:rPr>
            </w:pPr>
            <w:r>
              <w:rPr>
                <w:rFonts w:hint="eastAsia" w:ascii="??_GB2312" w:hAnsi="宋体" w:cs="宋体"/>
                <w:color w:val="000000"/>
                <w:kern w:val="0"/>
                <w:sz w:val="24"/>
                <w:szCs w:val="24"/>
                <w:lang w:eastAsia="zh-CN"/>
              </w:rPr>
              <w:t>财政性资金基本保障</w:t>
            </w:r>
          </w:p>
        </w:tc>
      </w:tr>
    </w:tbl>
    <w:p w14:paraId="7EA968B5">
      <w:pPr>
        <w:spacing w:line="560" w:lineRule="exact"/>
        <w:rPr>
          <w:rFonts w:hint="eastAsia" w:ascii="仿宋_GB2312" w:hAnsi="仿宋_GB2312" w:eastAsia="仿宋_GB2312" w:cs="仿宋_GB2312"/>
          <w:sz w:val="32"/>
          <w:szCs w:val="32"/>
          <w:lang w:val="en-US" w:eastAsia="zh-CN"/>
        </w:rPr>
      </w:pPr>
    </w:p>
    <w:p w14:paraId="4CC62C85">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二、部门预算安排总体情况</w:t>
      </w:r>
    </w:p>
    <w:p w14:paraId="783F484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1、收入情况</w:t>
      </w:r>
    </w:p>
    <w:p w14:paraId="6B1A088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年预算收入总额</w:t>
      </w:r>
      <w:r>
        <w:rPr>
          <w:rFonts w:hint="eastAsia" w:ascii="仿宋_GB2312" w:hAnsi="仿宋_GB2312" w:eastAsia="仿宋_GB2312" w:cs="仿宋_GB2312"/>
          <w:sz w:val="32"/>
          <w:szCs w:val="32"/>
          <w:lang w:val="en-US" w:eastAsia="zh-CN"/>
        </w:rPr>
        <w:t>2293.12</w:t>
      </w:r>
      <w:r>
        <w:rPr>
          <w:rFonts w:hint="eastAsia" w:ascii="仿宋_GB2312" w:hAnsi="仿宋_GB2312" w:eastAsia="仿宋_GB2312" w:cs="仿宋_GB2312"/>
          <w:sz w:val="32"/>
          <w:szCs w:val="32"/>
        </w:rPr>
        <w:t>万元，均为财政拨款收入其中：一般公共预算拨款</w:t>
      </w:r>
      <w:r>
        <w:rPr>
          <w:rFonts w:hint="eastAsia" w:ascii="仿宋_GB2312" w:hAnsi="仿宋_GB2312" w:eastAsia="仿宋_GB2312" w:cs="仿宋_GB2312"/>
          <w:sz w:val="32"/>
          <w:szCs w:val="32"/>
          <w:lang w:val="en-US" w:eastAsia="zh-CN"/>
        </w:rPr>
        <w:t>2293.12</w:t>
      </w:r>
      <w:r>
        <w:rPr>
          <w:rFonts w:hint="eastAsia" w:ascii="仿宋_GB2312" w:hAnsi="仿宋_GB2312" w:eastAsia="仿宋_GB2312" w:cs="仿宋_GB2312"/>
          <w:sz w:val="32"/>
          <w:szCs w:val="32"/>
        </w:rPr>
        <w:t>万元，政府性基金预算拨款0万元，国有资本经营预算拨款0万元，上级补助收入0万元，事业收入0万元，经营收入0万元，附属单位上缴收入0万元，其他收入0万元。</w:t>
      </w:r>
    </w:p>
    <w:p w14:paraId="6611EB9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2、支出情况</w:t>
      </w:r>
    </w:p>
    <w:p w14:paraId="1D0DCE2F">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年预算支出总额</w:t>
      </w:r>
      <w:r>
        <w:rPr>
          <w:rFonts w:hint="eastAsia" w:ascii="仿宋_GB2312" w:hAnsi="仿宋_GB2312" w:eastAsia="仿宋_GB2312" w:cs="仿宋_GB2312"/>
          <w:sz w:val="32"/>
          <w:szCs w:val="32"/>
          <w:lang w:val="en-US" w:eastAsia="zh-CN"/>
        </w:rPr>
        <w:t>2293.12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490.86</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1802.26</w:t>
      </w:r>
      <w:r>
        <w:rPr>
          <w:rFonts w:hint="eastAsia" w:ascii="仿宋_GB2312" w:hAnsi="仿宋_GB2312" w:eastAsia="仿宋_GB2312" w:cs="仿宋_GB2312"/>
          <w:sz w:val="32"/>
          <w:szCs w:val="32"/>
        </w:rPr>
        <w:t>万元，上缴上级支出0万元，经营支出0万元，对附属单位补助支出0万元</w:t>
      </w:r>
      <w:r>
        <w:rPr>
          <w:rFonts w:hint="eastAsia" w:ascii="仿宋_GB2312" w:hAnsi="仿宋_GB2312" w:eastAsia="仿宋_GB2312" w:cs="仿宋_GB2312"/>
          <w:sz w:val="32"/>
          <w:szCs w:val="32"/>
          <w:lang w:eastAsia="zh-CN"/>
        </w:rPr>
        <w:t>。</w:t>
      </w:r>
    </w:p>
    <w:p w14:paraId="4811D22E">
      <w:pPr>
        <w:numPr>
          <w:ilvl w:val="0"/>
          <w:numId w:val="1"/>
        </w:num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与上年增减变化情况</w:t>
      </w:r>
    </w:p>
    <w:p w14:paraId="662E47C2">
      <w:pPr>
        <w:numPr>
          <w:ilvl w:val="0"/>
          <w:numId w:val="0"/>
        </w:numPr>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本年度预算收支安排</w:t>
      </w:r>
      <w:r>
        <w:rPr>
          <w:rFonts w:hint="eastAsia" w:ascii="仿宋_GB2312" w:hAnsi="仿宋_GB2312" w:eastAsia="仿宋_GB2312" w:cs="仿宋_GB2312"/>
          <w:sz w:val="32"/>
          <w:szCs w:val="32"/>
          <w:lang w:val="en-US" w:eastAsia="zh-CN"/>
        </w:rPr>
        <w:t>2293.12万元，较上年增加886.34万元。其中：基本支出增加113.18万元，主要是人员经费、日常公用经费增加，原因是工资福利、各项保险增加。项目支出增加773.16万元，主要是</w:t>
      </w:r>
      <w:r>
        <w:rPr>
          <w:rFonts w:hint="eastAsia" w:ascii="仿宋_GB2312" w:hAnsi="仿宋_GB2312" w:eastAsia="仿宋_GB2312" w:cs="仿宋_GB2312"/>
          <w:sz w:val="32"/>
          <w:szCs w:val="32"/>
        </w:rPr>
        <w:t>根据201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年工作任务和目标规划，用于</w:t>
      </w:r>
      <w:r>
        <w:rPr>
          <w:rFonts w:hint="eastAsia" w:ascii="仿宋_GB2312" w:hAnsi="仿宋_GB2312" w:eastAsia="仿宋_GB2312" w:cs="仿宋_GB2312"/>
          <w:sz w:val="32"/>
          <w:szCs w:val="32"/>
          <w:lang w:eastAsia="zh-CN"/>
        </w:rPr>
        <w:t>环卫承包片区增加补充合同，全年组织的非税收入增加，增加执法电瓶车等一次性购置项目。</w:t>
      </w:r>
    </w:p>
    <w:p w14:paraId="2A31114E">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三、机关运行经费安排情况</w:t>
      </w:r>
    </w:p>
    <w:p w14:paraId="751F6F96">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机关运行经费安排</w:t>
      </w:r>
      <w:r>
        <w:rPr>
          <w:rFonts w:hint="eastAsia" w:ascii="仿宋_GB2312" w:hAnsi="仿宋_GB2312" w:eastAsia="仿宋_GB2312" w:cs="仿宋_GB2312"/>
          <w:sz w:val="32"/>
          <w:szCs w:val="32"/>
          <w:lang w:val="en-US" w:eastAsia="zh-CN"/>
        </w:rPr>
        <w:t>24.85</w:t>
      </w:r>
      <w:r>
        <w:rPr>
          <w:rFonts w:hint="eastAsia" w:ascii="仿宋_GB2312" w:hAnsi="仿宋_GB2312" w:eastAsia="仿宋_GB2312" w:cs="仿宋_GB2312"/>
          <w:sz w:val="32"/>
          <w:szCs w:val="32"/>
        </w:rPr>
        <w:t>万元，其中：办公费</w:t>
      </w:r>
      <w:r>
        <w:rPr>
          <w:rFonts w:hint="eastAsia" w:ascii="仿宋_GB2312" w:hAnsi="仿宋_GB2312" w:eastAsia="仿宋_GB2312" w:cs="仿宋_GB2312"/>
          <w:sz w:val="32"/>
          <w:szCs w:val="32"/>
          <w:lang w:val="en-US" w:eastAsia="zh-CN"/>
        </w:rPr>
        <w:t>10.34</w:t>
      </w:r>
      <w:r>
        <w:rPr>
          <w:rFonts w:hint="eastAsia" w:ascii="仿宋_GB2312" w:hAnsi="仿宋_GB2312" w:eastAsia="仿宋_GB2312" w:cs="仿宋_GB2312"/>
          <w:sz w:val="32"/>
          <w:szCs w:val="32"/>
        </w:rPr>
        <w:t>万元，邮电费0.36万元，取暖费2.</w:t>
      </w:r>
      <w:r>
        <w:rPr>
          <w:rFonts w:hint="eastAsia" w:ascii="仿宋_GB2312" w:hAnsi="仿宋_GB2312" w:eastAsia="仿宋_GB2312" w:cs="仿宋_GB2312"/>
          <w:sz w:val="32"/>
          <w:szCs w:val="32"/>
          <w:lang w:val="en-US" w:eastAsia="zh-CN"/>
        </w:rPr>
        <w:t>86</w:t>
      </w:r>
      <w:r>
        <w:rPr>
          <w:rFonts w:hint="eastAsia" w:ascii="仿宋_GB2312" w:hAnsi="仿宋_GB2312" w:eastAsia="仿宋_GB2312" w:cs="仿宋_GB2312"/>
          <w:sz w:val="32"/>
          <w:szCs w:val="32"/>
        </w:rPr>
        <w:t>万元，工会经费</w:t>
      </w:r>
      <w:r>
        <w:rPr>
          <w:rFonts w:hint="eastAsia" w:ascii="仿宋_GB2312" w:hAnsi="仿宋_GB2312" w:eastAsia="仿宋_GB2312" w:cs="仿宋_GB2312"/>
          <w:sz w:val="32"/>
          <w:szCs w:val="32"/>
          <w:lang w:val="en-US" w:eastAsia="zh-CN"/>
        </w:rPr>
        <w:t>2.71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职工福利费</w:t>
      </w:r>
      <w:r>
        <w:rPr>
          <w:rFonts w:hint="eastAsia" w:ascii="仿宋_GB2312" w:hAnsi="仿宋_GB2312" w:eastAsia="仿宋_GB2312" w:cs="仿宋_GB2312"/>
          <w:sz w:val="32"/>
          <w:szCs w:val="32"/>
          <w:lang w:val="en-US" w:eastAsia="zh-CN"/>
        </w:rPr>
        <w:t>3.88万元，差旅费4.70万元</w:t>
      </w:r>
      <w:r>
        <w:rPr>
          <w:rFonts w:hint="eastAsia" w:ascii="仿宋_GB2312" w:hAnsi="仿宋_GB2312" w:eastAsia="仿宋_GB2312" w:cs="仿宋_GB2312"/>
          <w:sz w:val="32"/>
          <w:szCs w:val="32"/>
          <w:lang w:eastAsia="zh-CN"/>
        </w:rPr>
        <w:t>。</w:t>
      </w:r>
    </w:p>
    <w:p w14:paraId="6AF32B53">
      <w:pPr>
        <w:numPr>
          <w:ilvl w:val="0"/>
          <w:numId w:val="2"/>
        </w:num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财政拨款“三公”经费预算情况</w:t>
      </w:r>
    </w:p>
    <w:tbl>
      <w:tblPr>
        <w:tblStyle w:val="3"/>
        <w:tblpPr w:leftFromText="180" w:rightFromText="180" w:vertAnchor="text" w:horzAnchor="page" w:tblpX="1082" w:tblpY="665"/>
        <w:tblOverlap w:val="never"/>
        <w:tblW w:w="9855" w:type="dxa"/>
        <w:tblInd w:w="0" w:type="dxa"/>
        <w:tblLayout w:type="fixed"/>
        <w:tblCellMar>
          <w:top w:w="0" w:type="dxa"/>
          <w:left w:w="108" w:type="dxa"/>
          <w:bottom w:w="0" w:type="dxa"/>
          <w:right w:w="108" w:type="dxa"/>
        </w:tblCellMar>
      </w:tblPr>
      <w:tblGrid>
        <w:gridCol w:w="2136"/>
        <w:gridCol w:w="1717"/>
        <w:gridCol w:w="1717"/>
        <w:gridCol w:w="1177"/>
        <w:gridCol w:w="3108"/>
      </w:tblGrid>
      <w:tr w14:paraId="7CDF5F02">
        <w:tblPrEx>
          <w:tblCellMar>
            <w:top w:w="0" w:type="dxa"/>
            <w:left w:w="108" w:type="dxa"/>
            <w:bottom w:w="0" w:type="dxa"/>
            <w:right w:w="108" w:type="dxa"/>
          </w:tblCellMar>
        </w:tblPrEx>
        <w:trPr>
          <w:trHeight w:val="405" w:hRule="atLeast"/>
        </w:trPr>
        <w:tc>
          <w:tcPr>
            <w:tcW w:w="9855" w:type="dxa"/>
            <w:gridSpan w:val="5"/>
            <w:tcBorders>
              <w:top w:val="nil"/>
              <w:left w:val="nil"/>
              <w:bottom w:val="nil"/>
              <w:right w:val="nil"/>
            </w:tcBorders>
            <w:vAlign w:val="center"/>
          </w:tcPr>
          <w:p w14:paraId="47132B2A">
            <w:pPr>
              <w:widowControl/>
              <w:spacing w:line="520" w:lineRule="exact"/>
              <w:jc w:val="center"/>
              <w:rPr>
                <w:rFonts w:hint="eastAsia" w:ascii="仿宋" w:hAnsi="仿宋" w:eastAsia="仿宋" w:cs="仿宋"/>
                <w:kern w:val="0"/>
                <w:sz w:val="24"/>
                <w:szCs w:val="24"/>
                <w:lang w:eastAsia="zh-CN"/>
              </w:rPr>
            </w:pPr>
            <w:r>
              <w:rPr>
                <w:rFonts w:hint="eastAsia" w:ascii="仿宋" w:hAnsi="仿宋" w:eastAsia="仿宋" w:cs="仿宋"/>
                <w:b/>
                <w:bCs/>
                <w:sz w:val="28"/>
                <w:szCs w:val="28"/>
              </w:rPr>
              <w:t>“三公”经费预算情况及增减</w:t>
            </w:r>
            <w:r>
              <w:rPr>
                <w:rFonts w:hint="eastAsia" w:ascii="仿宋" w:hAnsi="仿宋" w:eastAsia="仿宋" w:cs="仿宋"/>
                <w:b/>
                <w:bCs/>
                <w:sz w:val="28"/>
                <w:szCs w:val="28"/>
                <w:lang w:eastAsia="zh-CN"/>
              </w:rPr>
              <w:t>变化情况</w:t>
            </w:r>
          </w:p>
        </w:tc>
      </w:tr>
      <w:tr w14:paraId="27B9FD07">
        <w:tblPrEx>
          <w:tblCellMar>
            <w:top w:w="0" w:type="dxa"/>
            <w:left w:w="108" w:type="dxa"/>
            <w:bottom w:w="0" w:type="dxa"/>
            <w:right w:w="108" w:type="dxa"/>
          </w:tblCellMar>
        </w:tblPrEx>
        <w:trPr>
          <w:trHeight w:val="221" w:hRule="atLeast"/>
        </w:trPr>
        <w:tc>
          <w:tcPr>
            <w:tcW w:w="2136" w:type="dxa"/>
            <w:tcBorders>
              <w:top w:val="nil"/>
              <w:left w:val="nil"/>
              <w:bottom w:val="nil"/>
              <w:right w:val="nil"/>
            </w:tcBorders>
            <w:vAlign w:val="center"/>
          </w:tcPr>
          <w:p w14:paraId="35FCBFB3">
            <w:pPr>
              <w:widowControl/>
              <w:jc w:val="left"/>
              <w:rPr>
                <w:rFonts w:hint="eastAsia" w:ascii="仿宋" w:hAnsi="仿宋" w:eastAsia="仿宋" w:cs="仿宋"/>
                <w:kern w:val="0"/>
                <w:sz w:val="24"/>
                <w:szCs w:val="24"/>
              </w:rPr>
            </w:pPr>
          </w:p>
        </w:tc>
        <w:tc>
          <w:tcPr>
            <w:tcW w:w="1717" w:type="dxa"/>
            <w:tcBorders>
              <w:top w:val="nil"/>
              <w:left w:val="nil"/>
              <w:bottom w:val="nil"/>
              <w:right w:val="nil"/>
            </w:tcBorders>
            <w:vAlign w:val="center"/>
          </w:tcPr>
          <w:p w14:paraId="7B963B5E">
            <w:pPr>
              <w:widowControl/>
              <w:jc w:val="left"/>
              <w:rPr>
                <w:rFonts w:hint="eastAsia" w:ascii="仿宋" w:hAnsi="仿宋" w:eastAsia="仿宋" w:cs="仿宋"/>
                <w:kern w:val="0"/>
                <w:sz w:val="24"/>
                <w:szCs w:val="24"/>
              </w:rPr>
            </w:pPr>
          </w:p>
        </w:tc>
        <w:tc>
          <w:tcPr>
            <w:tcW w:w="1717" w:type="dxa"/>
            <w:tcBorders>
              <w:top w:val="nil"/>
              <w:left w:val="nil"/>
              <w:bottom w:val="nil"/>
              <w:right w:val="nil"/>
            </w:tcBorders>
            <w:vAlign w:val="center"/>
          </w:tcPr>
          <w:p w14:paraId="64CE6642">
            <w:pPr>
              <w:widowControl/>
              <w:jc w:val="left"/>
              <w:rPr>
                <w:rFonts w:hint="eastAsia" w:ascii="仿宋" w:hAnsi="仿宋" w:eastAsia="仿宋" w:cs="仿宋"/>
                <w:kern w:val="0"/>
                <w:sz w:val="24"/>
                <w:szCs w:val="24"/>
              </w:rPr>
            </w:pPr>
          </w:p>
        </w:tc>
        <w:tc>
          <w:tcPr>
            <w:tcW w:w="1177" w:type="dxa"/>
            <w:tcBorders>
              <w:top w:val="nil"/>
              <w:left w:val="nil"/>
              <w:bottom w:val="nil"/>
              <w:right w:val="nil"/>
            </w:tcBorders>
            <w:vAlign w:val="center"/>
          </w:tcPr>
          <w:p w14:paraId="5433EE56">
            <w:pPr>
              <w:widowControl/>
              <w:jc w:val="left"/>
              <w:rPr>
                <w:rFonts w:hint="eastAsia" w:ascii="仿宋" w:hAnsi="仿宋" w:eastAsia="仿宋" w:cs="仿宋"/>
                <w:kern w:val="0"/>
                <w:sz w:val="24"/>
                <w:szCs w:val="24"/>
              </w:rPr>
            </w:pPr>
          </w:p>
        </w:tc>
        <w:tc>
          <w:tcPr>
            <w:tcW w:w="3108" w:type="dxa"/>
            <w:tcBorders>
              <w:top w:val="nil"/>
              <w:left w:val="nil"/>
              <w:bottom w:val="nil"/>
              <w:right w:val="nil"/>
            </w:tcBorders>
            <w:vAlign w:val="center"/>
          </w:tcPr>
          <w:p w14:paraId="758D045D">
            <w:pPr>
              <w:widowControl/>
              <w:jc w:val="right"/>
              <w:rPr>
                <w:rFonts w:hint="eastAsia" w:ascii="仿宋" w:hAnsi="仿宋" w:eastAsia="仿宋" w:cs="仿宋"/>
                <w:kern w:val="0"/>
                <w:sz w:val="24"/>
                <w:szCs w:val="24"/>
              </w:rPr>
            </w:pPr>
            <w:r>
              <w:rPr>
                <w:rFonts w:hint="eastAsia" w:ascii="仿宋" w:hAnsi="仿宋" w:eastAsia="仿宋" w:cs="仿宋"/>
                <w:kern w:val="0"/>
                <w:sz w:val="24"/>
                <w:szCs w:val="24"/>
              </w:rPr>
              <w:t>单位：万元</w:t>
            </w:r>
          </w:p>
        </w:tc>
      </w:tr>
      <w:tr w14:paraId="46BCB3AF">
        <w:tblPrEx>
          <w:tblCellMar>
            <w:top w:w="0" w:type="dxa"/>
            <w:left w:w="108" w:type="dxa"/>
            <w:bottom w:w="0" w:type="dxa"/>
            <w:right w:w="108" w:type="dxa"/>
          </w:tblCellMar>
        </w:tblPrEx>
        <w:trPr>
          <w:trHeight w:val="285" w:hRule="atLeast"/>
        </w:trPr>
        <w:tc>
          <w:tcPr>
            <w:tcW w:w="2136" w:type="dxa"/>
            <w:tcBorders>
              <w:top w:val="single" w:color="auto" w:sz="4" w:space="0"/>
              <w:left w:val="single" w:color="auto" w:sz="4" w:space="0"/>
              <w:bottom w:val="single" w:color="auto" w:sz="4" w:space="0"/>
              <w:right w:val="single" w:color="auto" w:sz="4" w:space="0"/>
            </w:tcBorders>
            <w:vAlign w:val="center"/>
          </w:tcPr>
          <w:p w14:paraId="7372DBC1">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项目名称</w:t>
            </w:r>
          </w:p>
        </w:tc>
        <w:tc>
          <w:tcPr>
            <w:tcW w:w="1717" w:type="dxa"/>
            <w:tcBorders>
              <w:top w:val="single" w:color="auto" w:sz="4" w:space="0"/>
              <w:left w:val="nil"/>
              <w:bottom w:val="single" w:color="auto" w:sz="4" w:space="0"/>
              <w:right w:val="single" w:color="auto" w:sz="4" w:space="0"/>
            </w:tcBorders>
            <w:vAlign w:val="center"/>
          </w:tcPr>
          <w:p w14:paraId="4E9CA76D">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201</w:t>
            </w: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年度预算</w:t>
            </w:r>
          </w:p>
        </w:tc>
        <w:tc>
          <w:tcPr>
            <w:tcW w:w="1717" w:type="dxa"/>
            <w:tcBorders>
              <w:top w:val="single" w:color="auto" w:sz="4" w:space="0"/>
              <w:left w:val="nil"/>
              <w:bottom w:val="single" w:color="auto" w:sz="4" w:space="0"/>
              <w:right w:val="single" w:color="auto" w:sz="4" w:space="0"/>
            </w:tcBorders>
            <w:vAlign w:val="center"/>
          </w:tcPr>
          <w:p w14:paraId="781E72CD">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201</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年度预算</w:t>
            </w:r>
          </w:p>
        </w:tc>
        <w:tc>
          <w:tcPr>
            <w:tcW w:w="1177" w:type="dxa"/>
            <w:tcBorders>
              <w:top w:val="single" w:color="auto" w:sz="4" w:space="0"/>
              <w:left w:val="nil"/>
              <w:bottom w:val="single" w:color="auto" w:sz="4" w:space="0"/>
              <w:right w:val="single" w:color="auto" w:sz="4" w:space="0"/>
            </w:tcBorders>
            <w:vAlign w:val="center"/>
          </w:tcPr>
          <w:p w14:paraId="7A366A1F">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增减金额</w:t>
            </w:r>
          </w:p>
        </w:tc>
        <w:tc>
          <w:tcPr>
            <w:tcW w:w="3108" w:type="dxa"/>
            <w:tcBorders>
              <w:top w:val="single" w:color="auto" w:sz="4" w:space="0"/>
              <w:left w:val="nil"/>
              <w:bottom w:val="single" w:color="auto" w:sz="4" w:space="0"/>
              <w:right w:val="single" w:color="auto" w:sz="4" w:space="0"/>
            </w:tcBorders>
            <w:vAlign w:val="center"/>
          </w:tcPr>
          <w:p w14:paraId="4941325C">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变化情况</w:t>
            </w:r>
          </w:p>
        </w:tc>
      </w:tr>
      <w:tr w14:paraId="26A142A2">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172BFCD7">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因公出国经费</w:t>
            </w:r>
          </w:p>
        </w:tc>
        <w:tc>
          <w:tcPr>
            <w:tcW w:w="1717" w:type="dxa"/>
            <w:tcBorders>
              <w:top w:val="nil"/>
              <w:left w:val="nil"/>
              <w:bottom w:val="single" w:color="auto" w:sz="4" w:space="0"/>
              <w:right w:val="single" w:color="auto" w:sz="4" w:space="0"/>
            </w:tcBorders>
            <w:vAlign w:val="center"/>
          </w:tcPr>
          <w:p w14:paraId="41343C30">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1717" w:type="dxa"/>
            <w:tcBorders>
              <w:top w:val="nil"/>
              <w:left w:val="nil"/>
              <w:bottom w:val="single" w:color="auto" w:sz="4" w:space="0"/>
              <w:right w:val="single" w:color="auto" w:sz="4" w:space="0"/>
            </w:tcBorders>
            <w:vAlign w:val="center"/>
          </w:tcPr>
          <w:p w14:paraId="68AF8BE0">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1177" w:type="dxa"/>
            <w:tcBorders>
              <w:top w:val="nil"/>
              <w:left w:val="nil"/>
              <w:bottom w:val="single" w:color="auto" w:sz="4" w:space="0"/>
              <w:right w:val="single" w:color="auto" w:sz="4" w:space="0"/>
            </w:tcBorders>
            <w:vAlign w:val="center"/>
          </w:tcPr>
          <w:p w14:paraId="43492A15">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3108" w:type="dxa"/>
            <w:tcBorders>
              <w:top w:val="nil"/>
              <w:left w:val="nil"/>
              <w:bottom w:val="single" w:color="auto" w:sz="4" w:space="0"/>
              <w:right w:val="single" w:color="auto" w:sz="4" w:space="0"/>
            </w:tcBorders>
            <w:vAlign w:val="center"/>
          </w:tcPr>
          <w:p w14:paraId="409CC08D">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无增减变化</w:t>
            </w:r>
          </w:p>
        </w:tc>
      </w:tr>
      <w:tr w14:paraId="7E939E98">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30C50F3A">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公务用车购置经费</w:t>
            </w:r>
          </w:p>
        </w:tc>
        <w:tc>
          <w:tcPr>
            <w:tcW w:w="1717" w:type="dxa"/>
            <w:tcBorders>
              <w:top w:val="nil"/>
              <w:left w:val="nil"/>
              <w:bottom w:val="single" w:color="auto" w:sz="4" w:space="0"/>
              <w:right w:val="single" w:color="auto" w:sz="4" w:space="0"/>
            </w:tcBorders>
            <w:vAlign w:val="center"/>
          </w:tcPr>
          <w:p w14:paraId="43115DDA">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1717" w:type="dxa"/>
            <w:tcBorders>
              <w:top w:val="nil"/>
              <w:left w:val="nil"/>
              <w:bottom w:val="single" w:color="auto" w:sz="4" w:space="0"/>
              <w:right w:val="single" w:color="auto" w:sz="4" w:space="0"/>
            </w:tcBorders>
            <w:vAlign w:val="center"/>
          </w:tcPr>
          <w:p w14:paraId="5E742078">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1177" w:type="dxa"/>
            <w:tcBorders>
              <w:top w:val="nil"/>
              <w:left w:val="nil"/>
              <w:bottom w:val="single" w:color="auto" w:sz="4" w:space="0"/>
              <w:right w:val="single" w:color="auto" w:sz="4" w:space="0"/>
            </w:tcBorders>
            <w:vAlign w:val="center"/>
          </w:tcPr>
          <w:p w14:paraId="0F34DBF1">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3108" w:type="dxa"/>
            <w:tcBorders>
              <w:top w:val="nil"/>
              <w:left w:val="nil"/>
              <w:bottom w:val="single" w:color="auto" w:sz="4" w:space="0"/>
              <w:right w:val="single" w:color="auto" w:sz="4" w:space="0"/>
            </w:tcBorders>
            <w:vAlign w:val="center"/>
          </w:tcPr>
          <w:p w14:paraId="4E347CB9">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无增减变化</w:t>
            </w:r>
          </w:p>
        </w:tc>
      </w:tr>
      <w:tr w14:paraId="74E23AF8">
        <w:tblPrEx>
          <w:tblCellMar>
            <w:top w:w="0" w:type="dxa"/>
            <w:left w:w="108" w:type="dxa"/>
            <w:bottom w:w="0" w:type="dxa"/>
            <w:right w:w="108" w:type="dxa"/>
          </w:tblCellMar>
        </w:tblPrEx>
        <w:trPr>
          <w:trHeight w:val="570" w:hRule="atLeast"/>
        </w:trPr>
        <w:tc>
          <w:tcPr>
            <w:tcW w:w="2136" w:type="dxa"/>
            <w:tcBorders>
              <w:top w:val="nil"/>
              <w:left w:val="single" w:color="auto" w:sz="4" w:space="0"/>
              <w:bottom w:val="single" w:color="auto" w:sz="4" w:space="0"/>
              <w:right w:val="single" w:color="auto" w:sz="4" w:space="0"/>
            </w:tcBorders>
            <w:vAlign w:val="center"/>
          </w:tcPr>
          <w:p w14:paraId="7D195595">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公务用车运行经费</w:t>
            </w:r>
          </w:p>
        </w:tc>
        <w:tc>
          <w:tcPr>
            <w:tcW w:w="1717" w:type="dxa"/>
            <w:tcBorders>
              <w:top w:val="nil"/>
              <w:left w:val="nil"/>
              <w:bottom w:val="single" w:color="auto" w:sz="4" w:space="0"/>
              <w:right w:val="single" w:color="auto" w:sz="4" w:space="0"/>
            </w:tcBorders>
            <w:vAlign w:val="center"/>
          </w:tcPr>
          <w:p w14:paraId="2575ADC8">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31.2</w:t>
            </w:r>
          </w:p>
        </w:tc>
        <w:tc>
          <w:tcPr>
            <w:tcW w:w="1717" w:type="dxa"/>
            <w:tcBorders>
              <w:top w:val="nil"/>
              <w:left w:val="nil"/>
              <w:bottom w:val="single" w:color="auto" w:sz="4" w:space="0"/>
              <w:right w:val="single" w:color="auto" w:sz="4" w:space="0"/>
            </w:tcBorders>
            <w:vAlign w:val="center"/>
          </w:tcPr>
          <w:p w14:paraId="39E6A656">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31.2</w:t>
            </w:r>
          </w:p>
        </w:tc>
        <w:tc>
          <w:tcPr>
            <w:tcW w:w="1177" w:type="dxa"/>
            <w:tcBorders>
              <w:top w:val="nil"/>
              <w:left w:val="nil"/>
              <w:bottom w:val="single" w:color="auto" w:sz="4" w:space="0"/>
              <w:right w:val="single" w:color="auto" w:sz="4" w:space="0"/>
            </w:tcBorders>
            <w:vAlign w:val="center"/>
          </w:tcPr>
          <w:p w14:paraId="4AA078AA">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3108" w:type="dxa"/>
            <w:tcBorders>
              <w:top w:val="nil"/>
              <w:left w:val="nil"/>
              <w:bottom w:val="single" w:color="auto" w:sz="4" w:space="0"/>
              <w:right w:val="single" w:color="auto" w:sz="4" w:space="0"/>
            </w:tcBorders>
            <w:vAlign w:val="center"/>
          </w:tcPr>
          <w:p w14:paraId="6D63F193">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无增减变化</w:t>
            </w:r>
          </w:p>
        </w:tc>
      </w:tr>
      <w:tr w14:paraId="474DB5EA">
        <w:tblPrEx>
          <w:tblCellMar>
            <w:top w:w="0" w:type="dxa"/>
            <w:left w:w="108" w:type="dxa"/>
            <w:bottom w:w="0" w:type="dxa"/>
            <w:right w:w="108" w:type="dxa"/>
          </w:tblCellMar>
        </w:tblPrEx>
        <w:trPr>
          <w:trHeight w:val="855" w:hRule="atLeast"/>
        </w:trPr>
        <w:tc>
          <w:tcPr>
            <w:tcW w:w="2136" w:type="dxa"/>
            <w:tcBorders>
              <w:top w:val="nil"/>
              <w:left w:val="single" w:color="auto" w:sz="4" w:space="0"/>
              <w:bottom w:val="single" w:color="auto" w:sz="4" w:space="0"/>
              <w:right w:val="single" w:color="auto" w:sz="4" w:space="0"/>
            </w:tcBorders>
            <w:vAlign w:val="center"/>
          </w:tcPr>
          <w:p w14:paraId="60745E4D">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公务接待费支出</w:t>
            </w:r>
          </w:p>
        </w:tc>
        <w:tc>
          <w:tcPr>
            <w:tcW w:w="1717" w:type="dxa"/>
            <w:tcBorders>
              <w:top w:val="nil"/>
              <w:left w:val="nil"/>
              <w:bottom w:val="single" w:color="auto" w:sz="4" w:space="0"/>
              <w:right w:val="single" w:color="auto" w:sz="4" w:space="0"/>
            </w:tcBorders>
            <w:vAlign w:val="center"/>
          </w:tcPr>
          <w:p w14:paraId="6E35BF54">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0.5</w:t>
            </w:r>
          </w:p>
        </w:tc>
        <w:tc>
          <w:tcPr>
            <w:tcW w:w="1717" w:type="dxa"/>
            <w:tcBorders>
              <w:top w:val="nil"/>
              <w:left w:val="nil"/>
              <w:bottom w:val="single" w:color="auto" w:sz="4" w:space="0"/>
              <w:right w:val="single" w:color="auto" w:sz="4" w:space="0"/>
            </w:tcBorders>
            <w:vAlign w:val="center"/>
          </w:tcPr>
          <w:p w14:paraId="35699C1F">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c>
          <w:tcPr>
            <w:tcW w:w="1177" w:type="dxa"/>
            <w:tcBorders>
              <w:top w:val="nil"/>
              <w:left w:val="nil"/>
              <w:bottom w:val="single" w:color="auto" w:sz="4" w:space="0"/>
              <w:right w:val="single" w:color="auto" w:sz="4" w:space="0"/>
            </w:tcBorders>
            <w:vAlign w:val="center"/>
          </w:tcPr>
          <w:p w14:paraId="2ADE75B0">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.5</w:t>
            </w:r>
          </w:p>
        </w:tc>
        <w:tc>
          <w:tcPr>
            <w:tcW w:w="3108" w:type="dxa"/>
            <w:tcBorders>
              <w:top w:val="nil"/>
              <w:left w:val="nil"/>
              <w:bottom w:val="single" w:color="auto" w:sz="4" w:space="0"/>
              <w:right w:val="single" w:color="auto" w:sz="4" w:space="0"/>
            </w:tcBorders>
            <w:vAlign w:val="center"/>
          </w:tcPr>
          <w:p w14:paraId="26CDC413">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201</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年公务接待费预算减少主要是：有接待任务科室减少公务接待费，认真执行中央八项规定，厉行节约，杜绝浪费。</w:t>
            </w:r>
          </w:p>
        </w:tc>
      </w:tr>
      <w:tr w14:paraId="38676BEF">
        <w:tblPrEx>
          <w:tblCellMar>
            <w:top w:w="0" w:type="dxa"/>
            <w:left w:w="108" w:type="dxa"/>
            <w:bottom w:w="0" w:type="dxa"/>
            <w:right w:w="108" w:type="dxa"/>
          </w:tblCellMar>
        </w:tblPrEx>
        <w:trPr>
          <w:trHeight w:val="1140" w:hRule="atLeast"/>
        </w:trPr>
        <w:tc>
          <w:tcPr>
            <w:tcW w:w="2136" w:type="dxa"/>
            <w:tcBorders>
              <w:top w:val="nil"/>
              <w:left w:val="single" w:color="auto" w:sz="4" w:space="0"/>
              <w:bottom w:val="single" w:color="auto" w:sz="4" w:space="0"/>
              <w:right w:val="single" w:color="auto" w:sz="4" w:space="0"/>
            </w:tcBorders>
            <w:vAlign w:val="center"/>
          </w:tcPr>
          <w:p w14:paraId="2D2399DC">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合计</w:t>
            </w:r>
          </w:p>
        </w:tc>
        <w:tc>
          <w:tcPr>
            <w:tcW w:w="1717" w:type="dxa"/>
            <w:tcBorders>
              <w:top w:val="nil"/>
              <w:left w:val="nil"/>
              <w:bottom w:val="single" w:color="auto" w:sz="4" w:space="0"/>
              <w:right w:val="single" w:color="auto" w:sz="4" w:space="0"/>
            </w:tcBorders>
            <w:vAlign w:val="center"/>
          </w:tcPr>
          <w:p w14:paraId="3FE227DA">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31.7</w:t>
            </w:r>
          </w:p>
        </w:tc>
        <w:tc>
          <w:tcPr>
            <w:tcW w:w="1717" w:type="dxa"/>
            <w:tcBorders>
              <w:top w:val="nil"/>
              <w:left w:val="nil"/>
              <w:bottom w:val="single" w:color="auto" w:sz="4" w:space="0"/>
              <w:right w:val="single" w:color="auto" w:sz="4" w:space="0"/>
            </w:tcBorders>
            <w:vAlign w:val="center"/>
          </w:tcPr>
          <w:p w14:paraId="6DC24453">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31.7</w:t>
            </w:r>
          </w:p>
        </w:tc>
        <w:tc>
          <w:tcPr>
            <w:tcW w:w="1177" w:type="dxa"/>
            <w:tcBorders>
              <w:top w:val="nil"/>
              <w:left w:val="nil"/>
              <w:bottom w:val="single" w:color="auto" w:sz="4" w:space="0"/>
              <w:right w:val="single" w:color="auto" w:sz="4" w:space="0"/>
            </w:tcBorders>
            <w:vAlign w:val="center"/>
          </w:tcPr>
          <w:p w14:paraId="22F0F13C">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.5</w:t>
            </w:r>
          </w:p>
        </w:tc>
        <w:tc>
          <w:tcPr>
            <w:tcW w:w="3108" w:type="dxa"/>
            <w:tcBorders>
              <w:top w:val="nil"/>
              <w:left w:val="nil"/>
              <w:bottom w:val="single" w:color="auto" w:sz="4" w:space="0"/>
              <w:right w:val="single" w:color="auto" w:sz="4" w:space="0"/>
            </w:tcBorders>
            <w:vAlign w:val="center"/>
          </w:tcPr>
          <w:p w14:paraId="4849071D">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201</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年，我局针对三公经费支出制定了严格的管理制度，认真执行中央八项规定，厉行节约，杜绝浪费。从总量来讲，我局的三公经费与201</w:t>
            </w: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年相比减少了</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.5万元。</w:t>
            </w:r>
          </w:p>
        </w:tc>
      </w:tr>
      <w:tr w14:paraId="1B80FF00">
        <w:tblPrEx>
          <w:tblCellMar>
            <w:top w:w="0" w:type="dxa"/>
            <w:left w:w="108" w:type="dxa"/>
            <w:bottom w:w="0" w:type="dxa"/>
            <w:right w:w="108" w:type="dxa"/>
          </w:tblCellMar>
        </w:tblPrEx>
        <w:trPr>
          <w:trHeight w:val="285" w:hRule="atLeast"/>
        </w:trPr>
        <w:tc>
          <w:tcPr>
            <w:tcW w:w="2136" w:type="dxa"/>
            <w:tcBorders>
              <w:top w:val="nil"/>
              <w:left w:val="nil"/>
              <w:bottom w:val="nil"/>
              <w:right w:val="nil"/>
            </w:tcBorders>
            <w:vAlign w:val="center"/>
          </w:tcPr>
          <w:p w14:paraId="0B660593">
            <w:pPr>
              <w:widowControl/>
              <w:jc w:val="left"/>
              <w:rPr>
                <w:rFonts w:hint="eastAsia" w:ascii="仿宋" w:hAnsi="仿宋" w:eastAsia="仿宋" w:cs="仿宋"/>
                <w:kern w:val="0"/>
                <w:sz w:val="24"/>
                <w:szCs w:val="24"/>
              </w:rPr>
            </w:pPr>
          </w:p>
        </w:tc>
        <w:tc>
          <w:tcPr>
            <w:tcW w:w="1717" w:type="dxa"/>
            <w:tcBorders>
              <w:top w:val="nil"/>
              <w:left w:val="nil"/>
              <w:bottom w:val="nil"/>
              <w:right w:val="nil"/>
            </w:tcBorders>
            <w:vAlign w:val="center"/>
          </w:tcPr>
          <w:p w14:paraId="156DB8B0">
            <w:pPr>
              <w:widowControl/>
              <w:jc w:val="left"/>
              <w:rPr>
                <w:rFonts w:hint="eastAsia" w:ascii="仿宋" w:hAnsi="仿宋" w:eastAsia="仿宋" w:cs="仿宋"/>
                <w:kern w:val="0"/>
                <w:sz w:val="24"/>
                <w:szCs w:val="24"/>
              </w:rPr>
            </w:pPr>
          </w:p>
        </w:tc>
        <w:tc>
          <w:tcPr>
            <w:tcW w:w="1717" w:type="dxa"/>
            <w:tcBorders>
              <w:top w:val="nil"/>
              <w:left w:val="nil"/>
              <w:bottom w:val="nil"/>
              <w:right w:val="nil"/>
            </w:tcBorders>
            <w:vAlign w:val="center"/>
          </w:tcPr>
          <w:p w14:paraId="163AC893">
            <w:pPr>
              <w:widowControl/>
              <w:jc w:val="left"/>
              <w:rPr>
                <w:rFonts w:hint="eastAsia" w:ascii="仿宋" w:hAnsi="仿宋" w:eastAsia="仿宋" w:cs="仿宋"/>
                <w:kern w:val="0"/>
                <w:sz w:val="24"/>
                <w:szCs w:val="24"/>
              </w:rPr>
            </w:pPr>
          </w:p>
        </w:tc>
        <w:tc>
          <w:tcPr>
            <w:tcW w:w="1177" w:type="dxa"/>
            <w:tcBorders>
              <w:top w:val="nil"/>
              <w:left w:val="nil"/>
              <w:bottom w:val="nil"/>
              <w:right w:val="nil"/>
            </w:tcBorders>
            <w:vAlign w:val="center"/>
          </w:tcPr>
          <w:p w14:paraId="3CB62458">
            <w:pPr>
              <w:widowControl/>
              <w:jc w:val="left"/>
              <w:rPr>
                <w:rFonts w:hint="eastAsia" w:ascii="仿宋" w:hAnsi="仿宋" w:eastAsia="仿宋" w:cs="仿宋"/>
                <w:kern w:val="0"/>
                <w:sz w:val="24"/>
                <w:szCs w:val="24"/>
              </w:rPr>
            </w:pPr>
          </w:p>
        </w:tc>
        <w:tc>
          <w:tcPr>
            <w:tcW w:w="3108" w:type="dxa"/>
            <w:tcBorders>
              <w:top w:val="nil"/>
              <w:left w:val="nil"/>
              <w:bottom w:val="nil"/>
              <w:right w:val="nil"/>
            </w:tcBorders>
            <w:vAlign w:val="center"/>
          </w:tcPr>
          <w:p w14:paraId="270CA641">
            <w:pPr>
              <w:widowControl/>
              <w:jc w:val="left"/>
              <w:rPr>
                <w:rFonts w:hint="eastAsia" w:ascii="仿宋" w:hAnsi="仿宋" w:eastAsia="仿宋" w:cs="仿宋"/>
                <w:kern w:val="0"/>
                <w:sz w:val="24"/>
                <w:szCs w:val="24"/>
              </w:rPr>
            </w:pPr>
          </w:p>
        </w:tc>
      </w:tr>
    </w:tbl>
    <w:p w14:paraId="68D1B6BA">
      <w:pPr>
        <w:numPr>
          <w:ilvl w:val="0"/>
          <w:numId w:val="0"/>
        </w:numPr>
        <w:spacing w:line="560" w:lineRule="exact"/>
        <w:rPr>
          <w:rFonts w:hint="eastAsia" w:ascii="仿宋_GB2312" w:hAnsi="仿宋_GB2312" w:eastAsia="仿宋_GB2312" w:cs="仿宋_GB2312"/>
          <w:b/>
          <w:bCs/>
          <w:sz w:val="32"/>
          <w:szCs w:val="32"/>
        </w:rPr>
      </w:pPr>
    </w:p>
    <w:p w14:paraId="1E274E71">
      <w:pPr>
        <w:numPr>
          <w:ilvl w:val="0"/>
          <w:numId w:val="0"/>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我单位“三公”经费支出31.2万元，其中：公车运行维护费31.2万元，公务接待费0万元，因公出国出境0万元。2017年我单位预算安排“三公”经费支出31.7万元，其中：公车运行维护费31.2万元，公务接待费0.5万元，因公出国出境0万元。</w:t>
      </w:r>
    </w:p>
    <w:p w14:paraId="20923075">
      <w:pPr>
        <w:numPr>
          <w:ilvl w:val="0"/>
          <w:numId w:val="0"/>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2018年我局严格控制“三公”经费支出，严格执行中央</w:t>
      </w:r>
      <w:bookmarkStart w:id="1" w:name="_GoBack"/>
      <w:r>
        <w:rPr>
          <w:rFonts w:hint="eastAsia" w:ascii="仿宋_GB2312" w:hAnsi="仿宋_GB2312" w:eastAsia="仿宋_GB2312" w:cs="仿宋_GB2312"/>
          <w:sz w:val="32"/>
          <w:szCs w:val="32"/>
          <w:lang w:val="en-US" w:eastAsia="zh-CN"/>
        </w:rPr>
        <w:t>八项</w:t>
      </w:r>
      <w:bookmarkEnd w:id="1"/>
      <w:r>
        <w:rPr>
          <w:rFonts w:hint="eastAsia" w:ascii="仿宋_GB2312" w:hAnsi="仿宋_GB2312" w:eastAsia="仿宋_GB2312" w:cs="仿宋_GB2312"/>
          <w:sz w:val="32"/>
          <w:szCs w:val="32"/>
          <w:lang w:val="en-US" w:eastAsia="zh-CN"/>
        </w:rPr>
        <w:t>规定，公务用车维护费、因公出国出境均与2017部门预算一致，年增长0万元，公务接待费厉行节约减少了0.5万元。</w:t>
      </w:r>
    </w:p>
    <w:p w14:paraId="162E4E4A">
      <w:pPr>
        <w:numPr>
          <w:ilvl w:val="0"/>
          <w:numId w:val="2"/>
        </w:num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绩效预算信息情况</w:t>
      </w:r>
    </w:p>
    <w:p w14:paraId="7BF970E7">
      <w:pPr>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sz w:val="32"/>
          <w:szCs w:val="32"/>
        </w:rPr>
        <w:t>涞水县</w:t>
      </w:r>
      <w:r>
        <w:rPr>
          <w:rFonts w:hint="eastAsia" w:ascii="仿宋_GB2312" w:hAnsi="仿宋_GB2312" w:eastAsia="仿宋_GB2312" w:cs="仿宋_GB2312"/>
          <w:sz w:val="32"/>
          <w:szCs w:val="32"/>
          <w:lang w:eastAsia="zh-CN"/>
        </w:rPr>
        <w:t>执法局</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总体绩效</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、部门职能及工作活动的绩效目标指标：</w:t>
      </w:r>
    </w:p>
    <w:p w14:paraId="06B7B798">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年在县委、县政府的领导下，</w:t>
      </w:r>
      <w:r>
        <w:rPr>
          <w:rFonts w:hint="eastAsia" w:ascii="仿宋_GB2312" w:hAnsi="仿宋_GB2312" w:eastAsia="仿宋_GB2312" w:cs="仿宋_GB2312"/>
          <w:sz w:val="32"/>
          <w:szCs w:val="32"/>
          <w:lang w:eastAsia="zh-CN"/>
        </w:rPr>
        <w:t>进一步加强加大城市管理工作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改善人居环境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努力实现年度发展规划目标。</w:t>
      </w:r>
    </w:p>
    <w:p w14:paraId="00AE271C">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附表：</w:t>
      </w:r>
    </w:p>
    <w:p w14:paraId="18EF8550">
      <w:pPr>
        <w:jc w:val="both"/>
        <w:outlineLvl w:val="0"/>
        <w:rPr>
          <w:rFonts w:hint="eastAsia" w:ascii="方正小标宋_GBK" w:eastAsia="方正小标宋_GBK"/>
          <w:sz w:val="32"/>
        </w:rPr>
      </w:pPr>
      <w:bookmarkStart w:id="0" w:name="_Toc477163533"/>
    </w:p>
    <w:p w14:paraId="15164BC3">
      <w:pPr>
        <w:jc w:val="center"/>
        <w:outlineLvl w:val="0"/>
        <w:rPr>
          <w:rFonts w:hint="eastAsia" w:ascii="方正小标宋_GBK" w:eastAsia="方正小标宋_GBK"/>
          <w:sz w:val="32"/>
        </w:rPr>
      </w:pPr>
    </w:p>
    <w:p w14:paraId="1C3EF5B0">
      <w:pPr>
        <w:jc w:val="center"/>
        <w:outlineLvl w:val="0"/>
        <w:rPr>
          <w:rFonts w:hint="eastAsia" w:ascii="方正小标宋_GBK" w:eastAsia="方正小标宋_GBK"/>
          <w:sz w:val="32"/>
        </w:rPr>
      </w:pPr>
    </w:p>
    <w:p w14:paraId="070F0A5A">
      <w:pPr>
        <w:jc w:val="center"/>
        <w:outlineLvl w:val="0"/>
        <w:rPr>
          <w:rFonts w:hint="eastAsia" w:ascii="方正小标宋_GBK" w:eastAsia="方正小标宋_GBK"/>
          <w:sz w:val="32"/>
        </w:rPr>
      </w:pPr>
    </w:p>
    <w:p w14:paraId="1E290B3E">
      <w:pPr>
        <w:jc w:val="center"/>
        <w:outlineLvl w:val="0"/>
        <w:rPr>
          <w:rFonts w:hint="eastAsia" w:ascii="方正小标宋_GBK" w:eastAsia="方正小标宋_GBK"/>
          <w:sz w:val="32"/>
        </w:rPr>
      </w:pPr>
    </w:p>
    <w:p w14:paraId="51AF867C">
      <w:pPr>
        <w:jc w:val="center"/>
        <w:outlineLvl w:val="0"/>
        <w:rPr>
          <w:rFonts w:hint="eastAsia" w:ascii="方正小标宋_GBK" w:eastAsia="方正小标宋_GBK"/>
          <w:sz w:val="32"/>
        </w:rPr>
      </w:pPr>
    </w:p>
    <w:p w14:paraId="0DDFFF56">
      <w:pPr>
        <w:jc w:val="center"/>
        <w:outlineLvl w:val="0"/>
        <w:rPr>
          <w:rFonts w:hint="eastAsia" w:ascii="方正小标宋_GBK" w:eastAsia="方正小标宋_GBK"/>
          <w:sz w:val="32"/>
        </w:rPr>
      </w:pPr>
    </w:p>
    <w:p w14:paraId="1053C4AF">
      <w:pPr>
        <w:jc w:val="center"/>
        <w:outlineLvl w:val="0"/>
        <w:rPr>
          <w:rFonts w:hint="eastAsia" w:ascii="方正小标宋_GBK" w:eastAsia="方正小标宋_GBK"/>
          <w:sz w:val="32"/>
        </w:rPr>
      </w:pPr>
    </w:p>
    <w:p w14:paraId="1ED88C6D">
      <w:pPr>
        <w:jc w:val="center"/>
        <w:outlineLvl w:val="0"/>
        <w:rPr>
          <w:rFonts w:hint="eastAsia" w:ascii="方正小标宋_GBK" w:eastAsia="方正小标宋_GBK"/>
          <w:sz w:val="32"/>
          <w:lang w:val="en-US" w:eastAsia="zh-CN"/>
        </w:rPr>
      </w:pPr>
    </w:p>
    <w:p w14:paraId="78A59035">
      <w:pPr>
        <w:jc w:val="center"/>
        <w:outlineLvl w:val="0"/>
        <w:rPr>
          <w:rFonts w:hint="eastAsia" w:ascii="方正小标宋_GBK" w:eastAsia="方正小标宋_GBK"/>
          <w:sz w:val="32"/>
          <w:lang w:val="en-US" w:eastAsia="zh-CN"/>
        </w:rPr>
      </w:pPr>
    </w:p>
    <w:p w14:paraId="11CC7899">
      <w:pPr>
        <w:jc w:val="center"/>
        <w:outlineLvl w:val="0"/>
        <w:rPr>
          <w:rFonts w:hint="eastAsia" w:ascii="方正小标宋_GBK" w:eastAsia="方正小标宋_GBK"/>
          <w:sz w:val="32"/>
          <w:lang w:val="en-US" w:eastAsia="zh-CN"/>
        </w:rPr>
        <w:sectPr>
          <w:pgSz w:w="11906" w:h="16838"/>
          <w:pgMar w:top="1440" w:right="1483" w:bottom="1440" w:left="1803" w:header="851" w:footer="992" w:gutter="0"/>
          <w:cols w:space="0" w:num="1"/>
          <w:rtlGutter w:val="0"/>
          <w:docGrid w:type="lines" w:linePitch="319" w:charSpace="0"/>
        </w:sectPr>
      </w:pPr>
    </w:p>
    <w:p w14:paraId="75DD9412">
      <w:pPr>
        <w:jc w:val="center"/>
        <w:outlineLvl w:val="0"/>
        <w:rPr>
          <w:rFonts w:hint="eastAsia" w:ascii="方正小标宋_GBK" w:eastAsia="方正小标宋_GBK"/>
          <w:sz w:val="32"/>
        </w:rPr>
      </w:pPr>
      <w:r>
        <w:rPr>
          <w:rFonts w:hint="eastAsia" w:ascii="方正小标宋_GBK" w:eastAsia="方正小标宋_GBK"/>
          <w:sz w:val="32"/>
          <w:lang w:val="en-US" w:eastAsia="zh-CN"/>
        </w:rPr>
        <w:tab/>
      </w:r>
      <w:r>
        <w:rPr>
          <w:rFonts w:hint="eastAsia" w:ascii="方正小标宋_GBK" w:eastAsia="方正小标宋_GBK"/>
          <w:sz w:val="32"/>
        </w:rPr>
        <w:t>部门职责-工作活动绩效目标</w:t>
      </w:r>
    </w:p>
    <w:tbl>
      <w:tblPr>
        <w:tblStyle w:val="3"/>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072573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35228E68">
            <w:pPr>
              <w:spacing w:line="300" w:lineRule="exact"/>
              <w:jc w:val="left"/>
              <w:rPr>
                <w:rFonts w:ascii="方正小标宋_GBK" w:eastAsia="方正小标宋_GBK"/>
                <w:sz w:val="24"/>
              </w:rPr>
            </w:pPr>
            <w:r>
              <w:rPr>
                <w:rFonts w:ascii="方正小标宋_GBK" w:eastAsia="方正小标宋_GBK"/>
                <w:sz w:val="24"/>
              </w:rPr>
              <w:t>565</w:t>
            </w:r>
            <w:r>
              <w:rPr>
                <w:rFonts w:hint="eastAsia" w:ascii="方正小标宋_GBK" w:eastAsia="方正小标宋_GBK"/>
                <w:sz w:val="24"/>
              </w:rPr>
              <w:t>涞水县城市管理行政执法局</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4DF37BEB">
            <w:pPr>
              <w:spacing w:line="300" w:lineRule="exact"/>
              <w:jc w:val="right"/>
              <w:rPr>
                <w:rFonts w:ascii="方正书宋_GBK" w:eastAsia="方正书宋_GBK"/>
                <w:sz w:val="24"/>
              </w:rPr>
            </w:pPr>
            <w:r>
              <w:rPr>
                <w:rFonts w:hint="eastAsia" w:ascii="方正书宋_GBK" w:eastAsia="方正书宋_GBK"/>
                <w:sz w:val="24"/>
              </w:rPr>
              <w:t>单位：万元</w:t>
            </w:r>
          </w:p>
        </w:tc>
      </w:tr>
      <w:tr w14:paraId="4791B7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3A8FAD6C">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386BF6D2">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3EFBAA95">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530064DA">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77665A5C">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10EA1B5B">
            <w:pPr>
              <w:spacing w:line="300" w:lineRule="exact"/>
              <w:jc w:val="center"/>
              <w:rPr>
                <w:rFonts w:ascii="方正书宋_GBK" w:eastAsia="方正书宋_GBK"/>
                <w:b/>
              </w:rPr>
            </w:pPr>
            <w:r>
              <w:rPr>
                <w:rFonts w:hint="eastAsia" w:ascii="方正书宋_GBK" w:eastAsia="方正书宋_GBK"/>
                <w:b/>
              </w:rPr>
              <w:t>评价标准</w:t>
            </w:r>
          </w:p>
        </w:tc>
      </w:tr>
      <w:tr w14:paraId="41B584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7466C450">
            <w:pPr>
              <w:spacing w:line="300" w:lineRule="exact"/>
              <w:jc w:val="left"/>
              <w:outlineLvl w:val="0"/>
            </w:pPr>
          </w:p>
        </w:tc>
        <w:tc>
          <w:tcPr>
            <w:tcW w:w="1276" w:type="dxa"/>
            <w:vMerge w:val="continue"/>
            <w:shd w:val="clear" w:color="auto" w:fill="auto"/>
            <w:vAlign w:val="center"/>
          </w:tcPr>
          <w:p w14:paraId="213535BB">
            <w:pPr>
              <w:spacing w:line="300" w:lineRule="exact"/>
              <w:jc w:val="left"/>
              <w:outlineLvl w:val="0"/>
            </w:pPr>
          </w:p>
        </w:tc>
        <w:tc>
          <w:tcPr>
            <w:tcW w:w="2976" w:type="dxa"/>
            <w:vMerge w:val="continue"/>
            <w:shd w:val="clear" w:color="auto" w:fill="auto"/>
            <w:vAlign w:val="center"/>
          </w:tcPr>
          <w:p w14:paraId="75D6DC1D">
            <w:pPr>
              <w:spacing w:line="300" w:lineRule="exact"/>
              <w:jc w:val="left"/>
              <w:outlineLvl w:val="0"/>
            </w:pPr>
          </w:p>
        </w:tc>
        <w:tc>
          <w:tcPr>
            <w:tcW w:w="2976" w:type="dxa"/>
            <w:vMerge w:val="continue"/>
            <w:shd w:val="clear" w:color="auto" w:fill="auto"/>
            <w:vAlign w:val="center"/>
          </w:tcPr>
          <w:p w14:paraId="1CC867B4">
            <w:pPr>
              <w:spacing w:line="300" w:lineRule="exact"/>
              <w:jc w:val="left"/>
              <w:outlineLvl w:val="0"/>
            </w:pPr>
          </w:p>
        </w:tc>
        <w:tc>
          <w:tcPr>
            <w:tcW w:w="1417" w:type="dxa"/>
            <w:vMerge w:val="continue"/>
            <w:shd w:val="clear" w:color="auto" w:fill="auto"/>
            <w:vAlign w:val="center"/>
          </w:tcPr>
          <w:p w14:paraId="1D1A51AE">
            <w:pPr>
              <w:spacing w:line="300" w:lineRule="exact"/>
              <w:jc w:val="left"/>
              <w:outlineLvl w:val="0"/>
            </w:pPr>
          </w:p>
        </w:tc>
        <w:tc>
          <w:tcPr>
            <w:tcW w:w="737" w:type="dxa"/>
            <w:shd w:val="clear" w:color="auto" w:fill="auto"/>
            <w:vAlign w:val="center"/>
          </w:tcPr>
          <w:p w14:paraId="6FD3100A">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4B928A7D">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1A0661AB">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372D0323">
            <w:pPr>
              <w:spacing w:line="300" w:lineRule="exact"/>
              <w:jc w:val="center"/>
              <w:rPr>
                <w:rFonts w:ascii="方正书宋_GBK" w:eastAsia="方正书宋_GBK"/>
                <w:b/>
              </w:rPr>
            </w:pPr>
            <w:r>
              <w:rPr>
                <w:rFonts w:hint="eastAsia" w:ascii="方正书宋_GBK" w:eastAsia="方正书宋_GBK"/>
                <w:b/>
              </w:rPr>
              <w:t>差</w:t>
            </w:r>
          </w:p>
        </w:tc>
      </w:tr>
      <w:tr w14:paraId="379523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6F639E5">
            <w:pPr>
              <w:spacing w:line="300" w:lineRule="exact"/>
              <w:jc w:val="left"/>
              <w:rPr>
                <w:rFonts w:ascii="方正书宋_GBK" w:eastAsia="方正书宋_GBK"/>
                <w:b/>
              </w:rPr>
            </w:pPr>
            <w:r>
              <w:rPr>
                <w:rFonts w:hint="eastAsia" w:ascii="方正书宋_GBK" w:eastAsia="方正书宋_GBK"/>
                <w:b/>
              </w:rPr>
              <w:t>城市管理管理</w:t>
            </w:r>
          </w:p>
        </w:tc>
        <w:tc>
          <w:tcPr>
            <w:tcW w:w="1276" w:type="dxa"/>
            <w:shd w:val="clear" w:color="auto" w:fill="auto"/>
            <w:vAlign w:val="center"/>
          </w:tcPr>
          <w:p w14:paraId="37E5D840">
            <w:pPr>
              <w:spacing w:line="300" w:lineRule="exact"/>
              <w:jc w:val="left"/>
              <w:rPr>
                <w:rFonts w:hint="eastAsia" w:ascii="方正书宋_GBK" w:eastAsia="方正书宋_GBK"/>
                <w:lang w:eastAsia="zh-CN"/>
              </w:rPr>
            </w:pPr>
            <w:r>
              <w:rPr>
                <w:rFonts w:hint="eastAsia" w:ascii="方正书宋_GBK" w:eastAsia="方正书宋_GBK"/>
                <w:lang w:val="en-US" w:eastAsia="zh-CN"/>
              </w:rPr>
              <w:t>1802.26</w:t>
            </w:r>
          </w:p>
        </w:tc>
        <w:tc>
          <w:tcPr>
            <w:tcW w:w="2976" w:type="dxa"/>
            <w:shd w:val="clear" w:color="auto" w:fill="auto"/>
            <w:vAlign w:val="center"/>
          </w:tcPr>
          <w:p w14:paraId="3039DFF9">
            <w:pPr>
              <w:spacing w:line="300" w:lineRule="exact"/>
              <w:jc w:val="left"/>
              <w:rPr>
                <w:rFonts w:ascii="方正书宋_GBK" w:eastAsia="方正书宋_GBK"/>
              </w:rPr>
            </w:pPr>
            <w:r>
              <w:rPr>
                <w:rFonts w:hint="eastAsia" w:ascii="方正书宋_GBK" w:eastAsia="方正书宋_GBK"/>
              </w:rPr>
              <w:t>负责城区市容环境卫生、城市规划、城市绿化、市政公用设施、环境保护、工商行政管理、公安交通；安全和应急管理；改善城区人居环境。</w:t>
            </w:r>
          </w:p>
        </w:tc>
        <w:tc>
          <w:tcPr>
            <w:tcW w:w="2976" w:type="dxa"/>
            <w:shd w:val="clear" w:color="auto" w:fill="auto"/>
            <w:vAlign w:val="center"/>
          </w:tcPr>
          <w:p w14:paraId="78F93AE9">
            <w:pPr>
              <w:spacing w:line="300" w:lineRule="exact"/>
              <w:jc w:val="left"/>
              <w:rPr>
                <w:rFonts w:ascii="方正书宋_GBK" w:eastAsia="方正书宋_GBK"/>
              </w:rPr>
            </w:pPr>
            <w:r>
              <w:rPr>
                <w:rFonts w:hint="eastAsia" w:ascii="方正书宋_GBK" w:eastAsia="方正书宋_GBK"/>
              </w:rPr>
              <w:t>加强管理，提高城市承载能力和宜居度。加强城区建设，改善城区人居环境，实现城乡统筹发展。</w:t>
            </w:r>
          </w:p>
        </w:tc>
        <w:tc>
          <w:tcPr>
            <w:tcW w:w="1417" w:type="dxa"/>
            <w:shd w:val="clear" w:color="auto" w:fill="auto"/>
            <w:vAlign w:val="center"/>
          </w:tcPr>
          <w:p w14:paraId="1D5C95F2">
            <w:pPr>
              <w:spacing w:line="300" w:lineRule="exact"/>
              <w:jc w:val="left"/>
              <w:rPr>
                <w:rFonts w:ascii="方正书宋_GBK" w:eastAsia="方正书宋_GBK"/>
              </w:rPr>
            </w:pPr>
          </w:p>
        </w:tc>
        <w:tc>
          <w:tcPr>
            <w:tcW w:w="737" w:type="dxa"/>
            <w:shd w:val="clear" w:color="auto" w:fill="auto"/>
            <w:vAlign w:val="center"/>
          </w:tcPr>
          <w:p w14:paraId="1866C6B2">
            <w:pPr>
              <w:spacing w:line="300" w:lineRule="exact"/>
              <w:jc w:val="center"/>
              <w:rPr>
                <w:rFonts w:ascii="方正书宋_GBK" w:eastAsia="方正书宋_GBK"/>
              </w:rPr>
            </w:pPr>
          </w:p>
        </w:tc>
        <w:tc>
          <w:tcPr>
            <w:tcW w:w="737" w:type="dxa"/>
            <w:shd w:val="clear" w:color="auto" w:fill="auto"/>
            <w:vAlign w:val="center"/>
          </w:tcPr>
          <w:p w14:paraId="314A38D4">
            <w:pPr>
              <w:spacing w:line="300" w:lineRule="exact"/>
              <w:jc w:val="center"/>
              <w:rPr>
                <w:rFonts w:ascii="方正书宋_GBK" w:eastAsia="方正书宋_GBK"/>
              </w:rPr>
            </w:pPr>
          </w:p>
        </w:tc>
        <w:tc>
          <w:tcPr>
            <w:tcW w:w="737" w:type="dxa"/>
            <w:shd w:val="clear" w:color="auto" w:fill="auto"/>
            <w:vAlign w:val="center"/>
          </w:tcPr>
          <w:p w14:paraId="63055D0E">
            <w:pPr>
              <w:spacing w:line="300" w:lineRule="exact"/>
              <w:jc w:val="center"/>
              <w:rPr>
                <w:rFonts w:ascii="方正书宋_GBK" w:eastAsia="方正书宋_GBK"/>
              </w:rPr>
            </w:pPr>
          </w:p>
        </w:tc>
        <w:tc>
          <w:tcPr>
            <w:tcW w:w="737" w:type="dxa"/>
            <w:shd w:val="clear" w:color="auto" w:fill="auto"/>
            <w:vAlign w:val="center"/>
          </w:tcPr>
          <w:p w14:paraId="66696774">
            <w:pPr>
              <w:spacing w:line="300" w:lineRule="exact"/>
              <w:jc w:val="center"/>
              <w:rPr>
                <w:rFonts w:ascii="方正书宋_GBK" w:eastAsia="方正书宋_GBK"/>
              </w:rPr>
            </w:pPr>
          </w:p>
        </w:tc>
      </w:tr>
      <w:tr w14:paraId="5BC771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7F94AEF">
            <w:pPr>
              <w:spacing w:line="300" w:lineRule="exact"/>
              <w:jc w:val="left"/>
              <w:rPr>
                <w:rFonts w:hint="eastAsia" w:ascii="方正书宋_GBK" w:eastAsia="方正书宋_GBK"/>
                <w:b/>
              </w:rPr>
            </w:pPr>
            <w:r>
              <w:rPr>
                <w:rFonts w:hint="eastAsia" w:ascii="方正书宋_GBK" w:eastAsia="方正书宋_GBK"/>
                <w:b/>
              </w:rPr>
              <w:t>　　城市容貌环境综合整治</w:t>
            </w:r>
          </w:p>
        </w:tc>
        <w:tc>
          <w:tcPr>
            <w:tcW w:w="1276" w:type="dxa"/>
            <w:vMerge w:val="restart"/>
            <w:shd w:val="clear" w:color="auto" w:fill="auto"/>
            <w:vAlign w:val="center"/>
          </w:tcPr>
          <w:p w14:paraId="1B82DE66">
            <w:pPr>
              <w:spacing w:line="300" w:lineRule="exact"/>
              <w:jc w:val="left"/>
              <w:rPr>
                <w:rFonts w:ascii="方正书宋_GBK" w:eastAsia="方正书宋_GBK"/>
              </w:rPr>
            </w:pPr>
            <w:r>
              <w:rPr>
                <w:rFonts w:hint="eastAsia" w:ascii="方正书宋_GBK" w:eastAsia="方正书宋_GBK"/>
                <w:lang w:val="en-US" w:eastAsia="zh-CN"/>
              </w:rPr>
              <w:t>1802.26</w:t>
            </w:r>
          </w:p>
        </w:tc>
        <w:tc>
          <w:tcPr>
            <w:tcW w:w="2976" w:type="dxa"/>
            <w:vMerge w:val="restart"/>
            <w:shd w:val="clear" w:color="auto" w:fill="auto"/>
            <w:vAlign w:val="center"/>
          </w:tcPr>
          <w:p w14:paraId="7B855D60">
            <w:pPr>
              <w:spacing w:line="300" w:lineRule="exact"/>
              <w:jc w:val="left"/>
              <w:rPr>
                <w:rFonts w:hint="eastAsia" w:ascii="方正书宋_GBK" w:eastAsia="方正书宋_GBK"/>
              </w:rPr>
            </w:pPr>
            <w:r>
              <w:rPr>
                <w:rFonts w:hint="eastAsia" w:ascii="方正书宋_GBK" w:eastAsia="方正书宋_GBK"/>
              </w:rPr>
              <w:t>负责城区市容环境治理、城建监察等各项工作，改善人居环境，大气污染治理。</w:t>
            </w:r>
          </w:p>
        </w:tc>
        <w:tc>
          <w:tcPr>
            <w:tcW w:w="2976" w:type="dxa"/>
            <w:vMerge w:val="restart"/>
            <w:shd w:val="clear" w:color="auto" w:fill="auto"/>
            <w:vAlign w:val="center"/>
          </w:tcPr>
          <w:p w14:paraId="1F990684">
            <w:pPr>
              <w:spacing w:line="300" w:lineRule="exact"/>
              <w:jc w:val="left"/>
              <w:rPr>
                <w:rFonts w:hint="eastAsia" w:ascii="方正书宋_GBK" w:eastAsia="方正书宋_GBK"/>
              </w:rPr>
            </w:pPr>
            <w:r>
              <w:rPr>
                <w:rFonts w:hint="eastAsia" w:ascii="方正书宋_GBK" w:eastAsia="方正书宋_GBK"/>
              </w:rPr>
              <w:t>推进国家级园林城市创建进程，加强大气污染治理力度。</w:t>
            </w:r>
          </w:p>
        </w:tc>
        <w:tc>
          <w:tcPr>
            <w:tcW w:w="1417" w:type="dxa"/>
            <w:shd w:val="clear" w:color="auto" w:fill="auto"/>
            <w:vAlign w:val="center"/>
          </w:tcPr>
          <w:p w14:paraId="055E3E24">
            <w:pPr>
              <w:spacing w:line="300" w:lineRule="exact"/>
              <w:jc w:val="left"/>
              <w:rPr>
                <w:rFonts w:ascii="方正书宋_GBK" w:eastAsia="方正书宋_GBK"/>
              </w:rPr>
            </w:pPr>
            <w:r>
              <w:rPr>
                <w:rFonts w:hint="eastAsia" w:ascii="方正书宋_GBK" w:eastAsia="方正书宋_GBK"/>
              </w:rPr>
              <w:t>垃圾处理率</w:t>
            </w:r>
          </w:p>
        </w:tc>
        <w:tc>
          <w:tcPr>
            <w:tcW w:w="737" w:type="dxa"/>
            <w:shd w:val="clear" w:color="auto" w:fill="auto"/>
            <w:vAlign w:val="center"/>
          </w:tcPr>
          <w:p w14:paraId="5FA3850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96%</w:t>
            </w:r>
          </w:p>
        </w:tc>
        <w:tc>
          <w:tcPr>
            <w:tcW w:w="737" w:type="dxa"/>
            <w:shd w:val="clear" w:color="auto" w:fill="auto"/>
            <w:vAlign w:val="center"/>
          </w:tcPr>
          <w:p w14:paraId="243AA20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E21173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488AB8F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1CC0CA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91E8045">
            <w:pPr>
              <w:spacing w:line="300" w:lineRule="exact"/>
              <w:jc w:val="left"/>
              <w:rPr>
                <w:rFonts w:hint="eastAsia" w:ascii="方正书宋_GBK" w:eastAsia="方正书宋_GBK"/>
                <w:b/>
              </w:rPr>
            </w:pPr>
          </w:p>
        </w:tc>
        <w:tc>
          <w:tcPr>
            <w:tcW w:w="1276" w:type="dxa"/>
            <w:vMerge w:val="continue"/>
            <w:shd w:val="clear" w:color="auto" w:fill="auto"/>
            <w:vAlign w:val="center"/>
          </w:tcPr>
          <w:p w14:paraId="45179C95">
            <w:pPr>
              <w:spacing w:line="300" w:lineRule="exact"/>
              <w:jc w:val="left"/>
              <w:rPr>
                <w:rFonts w:ascii="方正书宋_GBK" w:eastAsia="方正书宋_GBK"/>
              </w:rPr>
            </w:pPr>
          </w:p>
        </w:tc>
        <w:tc>
          <w:tcPr>
            <w:tcW w:w="2976" w:type="dxa"/>
            <w:vMerge w:val="continue"/>
            <w:shd w:val="clear" w:color="auto" w:fill="auto"/>
            <w:vAlign w:val="center"/>
          </w:tcPr>
          <w:p w14:paraId="45D807C0">
            <w:pPr>
              <w:spacing w:line="300" w:lineRule="exact"/>
              <w:jc w:val="left"/>
              <w:rPr>
                <w:rFonts w:hint="eastAsia" w:ascii="方正书宋_GBK" w:eastAsia="方正书宋_GBK"/>
              </w:rPr>
            </w:pPr>
          </w:p>
        </w:tc>
        <w:tc>
          <w:tcPr>
            <w:tcW w:w="2976" w:type="dxa"/>
            <w:vMerge w:val="continue"/>
            <w:shd w:val="clear" w:color="auto" w:fill="auto"/>
            <w:vAlign w:val="center"/>
          </w:tcPr>
          <w:p w14:paraId="6A803025">
            <w:pPr>
              <w:spacing w:line="300" w:lineRule="exact"/>
              <w:jc w:val="left"/>
              <w:rPr>
                <w:rFonts w:hint="eastAsia" w:ascii="方正书宋_GBK" w:eastAsia="方正书宋_GBK"/>
              </w:rPr>
            </w:pPr>
          </w:p>
        </w:tc>
        <w:tc>
          <w:tcPr>
            <w:tcW w:w="1417" w:type="dxa"/>
            <w:shd w:val="clear" w:color="auto" w:fill="auto"/>
            <w:vAlign w:val="center"/>
          </w:tcPr>
          <w:p w14:paraId="123F265E">
            <w:pPr>
              <w:spacing w:line="300" w:lineRule="exact"/>
              <w:jc w:val="left"/>
              <w:rPr>
                <w:rFonts w:hint="eastAsia" w:ascii="方正书宋_GBK" w:eastAsia="方正书宋_GBK"/>
              </w:rPr>
            </w:pPr>
            <w:r>
              <w:rPr>
                <w:rFonts w:hint="eastAsia" w:ascii="方正书宋_GBK" w:eastAsia="方正书宋_GBK"/>
              </w:rPr>
              <w:t>机械化清扫率</w:t>
            </w:r>
          </w:p>
        </w:tc>
        <w:tc>
          <w:tcPr>
            <w:tcW w:w="737" w:type="dxa"/>
            <w:shd w:val="clear" w:color="auto" w:fill="auto"/>
            <w:vAlign w:val="center"/>
          </w:tcPr>
          <w:p w14:paraId="29DE01F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71%</w:t>
            </w:r>
          </w:p>
        </w:tc>
        <w:tc>
          <w:tcPr>
            <w:tcW w:w="737" w:type="dxa"/>
            <w:shd w:val="clear" w:color="auto" w:fill="auto"/>
            <w:vAlign w:val="center"/>
          </w:tcPr>
          <w:p w14:paraId="23FEDBA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69%</w:t>
            </w:r>
          </w:p>
        </w:tc>
        <w:tc>
          <w:tcPr>
            <w:tcW w:w="737" w:type="dxa"/>
            <w:shd w:val="clear" w:color="auto" w:fill="auto"/>
            <w:vAlign w:val="center"/>
          </w:tcPr>
          <w:p w14:paraId="514E248F">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67%</w:t>
            </w:r>
          </w:p>
        </w:tc>
        <w:tc>
          <w:tcPr>
            <w:tcW w:w="737" w:type="dxa"/>
            <w:shd w:val="clear" w:color="auto" w:fill="auto"/>
            <w:vAlign w:val="center"/>
          </w:tcPr>
          <w:p w14:paraId="42E8E1D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67%</w:t>
            </w:r>
          </w:p>
        </w:tc>
      </w:tr>
      <w:tr w14:paraId="3E3606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5FF8DEE">
            <w:pPr>
              <w:spacing w:line="300" w:lineRule="exact"/>
              <w:jc w:val="left"/>
              <w:rPr>
                <w:rFonts w:hint="eastAsia" w:ascii="方正书宋_GBK" w:eastAsia="方正书宋_GBK"/>
                <w:b/>
              </w:rPr>
            </w:pPr>
          </w:p>
        </w:tc>
        <w:tc>
          <w:tcPr>
            <w:tcW w:w="1276" w:type="dxa"/>
            <w:vMerge w:val="continue"/>
            <w:shd w:val="clear" w:color="auto" w:fill="auto"/>
            <w:vAlign w:val="center"/>
          </w:tcPr>
          <w:p w14:paraId="14B5AC10">
            <w:pPr>
              <w:spacing w:line="300" w:lineRule="exact"/>
              <w:jc w:val="left"/>
              <w:rPr>
                <w:rFonts w:ascii="方正书宋_GBK" w:eastAsia="方正书宋_GBK"/>
              </w:rPr>
            </w:pPr>
          </w:p>
        </w:tc>
        <w:tc>
          <w:tcPr>
            <w:tcW w:w="2976" w:type="dxa"/>
            <w:vMerge w:val="continue"/>
            <w:shd w:val="clear" w:color="auto" w:fill="auto"/>
            <w:vAlign w:val="center"/>
          </w:tcPr>
          <w:p w14:paraId="67C5EDB8">
            <w:pPr>
              <w:spacing w:line="300" w:lineRule="exact"/>
              <w:jc w:val="left"/>
              <w:rPr>
                <w:rFonts w:hint="eastAsia" w:ascii="方正书宋_GBK" w:eastAsia="方正书宋_GBK"/>
              </w:rPr>
            </w:pPr>
          </w:p>
        </w:tc>
        <w:tc>
          <w:tcPr>
            <w:tcW w:w="2976" w:type="dxa"/>
            <w:vMerge w:val="continue"/>
            <w:shd w:val="clear" w:color="auto" w:fill="auto"/>
            <w:vAlign w:val="center"/>
          </w:tcPr>
          <w:p w14:paraId="5F6D7902">
            <w:pPr>
              <w:spacing w:line="300" w:lineRule="exact"/>
              <w:jc w:val="left"/>
              <w:rPr>
                <w:rFonts w:hint="eastAsia" w:ascii="方正书宋_GBK" w:eastAsia="方正书宋_GBK"/>
              </w:rPr>
            </w:pPr>
          </w:p>
        </w:tc>
        <w:tc>
          <w:tcPr>
            <w:tcW w:w="1417" w:type="dxa"/>
            <w:shd w:val="clear" w:color="auto" w:fill="auto"/>
            <w:vAlign w:val="center"/>
          </w:tcPr>
          <w:p w14:paraId="74F25A3A">
            <w:pPr>
              <w:spacing w:line="300" w:lineRule="exact"/>
              <w:jc w:val="left"/>
              <w:rPr>
                <w:rFonts w:hint="eastAsia" w:ascii="方正书宋_GBK" w:eastAsia="方正书宋_GBK"/>
              </w:rPr>
            </w:pPr>
            <w:r>
              <w:rPr>
                <w:rFonts w:hint="eastAsia" w:ascii="方正书宋_GBK" w:eastAsia="方正书宋_GBK"/>
              </w:rPr>
              <w:t>市容环境治理完成率</w:t>
            </w:r>
          </w:p>
        </w:tc>
        <w:tc>
          <w:tcPr>
            <w:tcW w:w="737" w:type="dxa"/>
            <w:shd w:val="clear" w:color="auto" w:fill="auto"/>
            <w:vAlign w:val="center"/>
          </w:tcPr>
          <w:p w14:paraId="7BBF8B02">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0DE1FD6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1942787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29C6DB4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4985DB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60F160C">
            <w:pPr>
              <w:spacing w:line="300" w:lineRule="exact"/>
              <w:jc w:val="left"/>
              <w:rPr>
                <w:rFonts w:hint="eastAsia" w:ascii="方正书宋_GBK" w:eastAsia="方正书宋_GBK"/>
                <w:b/>
              </w:rPr>
            </w:pPr>
            <w:r>
              <w:rPr>
                <w:rFonts w:hint="eastAsia" w:ascii="方正书宋_GBK" w:eastAsia="方正书宋_GBK"/>
                <w:b/>
              </w:rPr>
              <w:t>　　城市绿化巡查与查处</w:t>
            </w:r>
          </w:p>
        </w:tc>
        <w:tc>
          <w:tcPr>
            <w:tcW w:w="1276" w:type="dxa"/>
            <w:shd w:val="clear" w:color="auto" w:fill="auto"/>
            <w:vAlign w:val="center"/>
          </w:tcPr>
          <w:p w14:paraId="1DD023EE">
            <w:pPr>
              <w:spacing w:line="300" w:lineRule="exact"/>
              <w:jc w:val="left"/>
              <w:rPr>
                <w:rFonts w:ascii="方正书宋_GBK" w:eastAsia="方正书宋_GBK"/>
              </w:rPr>
            </w:pPr>
          </w:p>
        </w:tc>
        <w:tc>
          <w:tcPr>
            <w:tcW w:w="2976" w:type="dxa"/>
            <w:shd w:val="clear" w:color="auto" w:fill="auto"/>
            <w:vAlign w:val="center"/>
          </w:tcPr>
          <w:p w14:paraId="699D27B1">
            <w:pPr>
              <w:spacing w:line="300" w:lineRule="exact"/>
              <w:jc w:val="left"/>
              <w:rPr>
                <w:rFonts w:hint="eastAsia" w:ascii="方正书宋_GBK" w:eastAsia="方正书宋_GBK"/>
              </w:rPr>
            </w:pPr>
            <w:r>
              <w:rPr>
                <w:rFonts w:hint="eastAsia" w:ascii="方正书宋_GBK" w:eastAsia="方正书宋_GBK"/>
              </w:rPr>
              <w:t>对城市进行绿化建设并对破坏绿化、不符合标准的进行处罚</w:t>
            </w:r>
          </w:p>
        </w:tc>
        <w:tc>
          <w:tcPr>
            <w:tcW w:w="2976" w:type="dxa"/>
            <w:shd w:val="clear" w:color="auto" w:fill="auto"/>
            <w:vAlign w:val="center"/>
          </w:tcPr>
          <w:p w14:paraId="241CA4EB">
            <w:pPr>
              <w:spacing w:line="300" w:lineRule="exact"/>
              <w:jc w:val="left"/>
              <w:rPr>
                <w:rFonts w:hint="eastAsia" w:ascii="方正书宋_GBK" w:eastAsia="方正书宋_GBK"/>
              </w:rPr>
            </w:pPr>
            <w:r>
              <w:rPr>
                <w:rFonts w:hint="eastAsia" w:ascii="方正书宋_GBK" w:eastAsia="方正书宋_GBK"/>
              </w:rPr>
              <w:t>城市绿化巡查</w:t>
            </w:r>
          </w:p>
        </w:tc>
        <w:tc>
          <w:tcPr>
            <w:tcW w:w="1417" w:type="dxa"/>
            <w:shd w:val="clear" w:color="auto" w:fill="auto"/>
            <w:vAlign w:val="center"/>
          </w:tcPr>
          <w:p w14:paraId="3949B109">
            <w:pPr>
              <w:spacing w:line="300" w:lineRule="exact"/>
              <w:jc w:val="left"/>
              <w:rPr>
                <w:rFonts w:hint="eastAsia" w:ascii="方正书宋_GBK" w:eastAsia="方正书宋_GBK"/>
              </w:rPr>
            </w:pPr>
            <w:r>
              <w:rPr>
                <w:rFonts w:hint="eastAsia" w:ascii="方正书宋_GBK" w:eastAsia="方正书宋_GBK"/>
              </w:rPr>
              <w:t>巡查破坏城市绿化</w:t>
            </w:r>
          </w:p>
        </w:tc>
        <w:tc>
          <w:tcPr>
            <w:tcW w:w="737" w:type="dxa"/>
            <w:shd w:val="clear" w:color="auto" w:fill="auto"/>
            <w:vAlign w:val="center"/>
          </w:tcPr>
          <w:p w14:paraId="7D7B25E8">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6B5874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7436421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CC3197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13AC88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72CFB07">
            <w:pPr>
              <w:spacing w:line="300" w:lineRule="exact"/>
              <w:jc w:val="left"/>
              <w:rPr>
                <w:rFonts w:hint="eastAsia" w:ascii="方正书宋_GBK" w:eastAsia="方正书宋_GBK"/>
                <w:b/>
              </w:rPr>
            </w:pPr>
            <w:r>
              <w:rPr>
                <w:rFonts w:hint="eastAsia" w:ascii="方正书宋_GBK" w:eastAsia="方正书宋_GBK"/>
                <w:b/>
              </w:rPr>
              <w:t>　　城市规划巡查与查处</w:t>
            </w:r>
          </w:p>
        </w:tc>
        <w:tc>
          <w:tcPr>
            <w:tcW w:w="1276" w:type="dxa"/>
            <w:shd w:val="clear" w:color="auto" w:fill="auto"/>
            <w:vAlign w:val="center"/>
          </w:tcPr>
          <w:p w14:paraId="2CB40DCE">
            <w:pPr>
              <w:spacing w:line="300" w:lineRule="exact"/>
              <w:jc w:val="left"/>
              <w:rPr>
                <w:rFonts w:ascii="方正书宋_GBK" w:eastAsia="方正书宋_GBK"/>
              </w:rPr>
            </w:pPr>
          </w:p>
        </w:tc>
        <w:tc>
          <w:tcPr>
            <w:tcW w:w="2976" w:type="dxa"/>
            <w:shd w:val="clear" w:color="auto" w:fill="auto"/>
            <w:vAlign w:val="center"/>
          </w:tcPr>
          <w:p w14:paraId="65570182">
            <w:pPr>
              <w:spacing w:line="300" w:lineRule="exact"/>
              <w:jc w:val="left"/>
              <w:rPr>
                <w:rFonts w:hint="eastAsia" w:ascii="方正书宋_GBK" w:eastAsia="方正书宋_GBK"/>
              </w:rPr>
            </w:pPr>
            <w:r>
              <w:rPr>
                <w:rFonts w:hint="eastAsia" w:ascii="方正书宋_GBK" w:eastAsia="方正书宋_GBK"/>
              </w:rPr>
              <w:t>城区违法违规建筑的监督及查处</w:t>
            </w:r>
          </w:p>
        </w:tc>
        <w:tc>
          <w:tcPr>
            <w:tcW w:w="2976" w:type="dxa"/>
            <w:shd w:val="clear" w:color="auto" w:fill="auto"/>
            <w:vAlign w:val="center"/>
          </w:tcPr>
          <w:p w14:paraId="0F775D1E">
            <w:pPr>
              <w:spacing w:line="300" w:lineRule="exact"/>
              <w:jc w:val="left"/>
              <w:rPr>
                <w:rFonts w:hint="eastAsia" w:ascii="方正书宋_GBK" w:eastAsia="方正书宋_GBK"/>
              </w:rPr>
            </w:pPr>
            <w:r>
              <w:rPr>
                <w:rFonts w:hint="eastAsia" w:ascii="方正书宋_GBK" w:eastAsia="方正书宋_GBK"/>
              </w:rPr>
              <w:t>城市规划巡查</w:t>
            </w:r>
          </w:p>
        </w:tc>
        <w:tc>
          <w:tcPr>
            <w:tcW w:w="1417" w:type="dxa"/>
            <w:shd w:val="clear" w:color="auto" w:fill="auto"/>
            <w:vAlign w:val="center"/>
          </w:tcPr>
          <w:p w14:paraId="7B8A4E77">
            <w:pPr>
              <w:spacing w:line="300" w:lineRule="exact"/>
              <w:jc w:val="left"/>
              <w:rPr>
                <w:rFonts w:hint="eastAsia" w:ascii="方正书宋_GBK" w:eastAsia="方正书宋_GBK"/>
              </w:rPr>
            </w:pPr>
            <w:r>
              <w:rPr>
                <w:rFonts w:hint="eastAsia" w:ascii="方正书宋_GBK" w:eastAsia="方正书宋_GBK"/>
              </w:rPr>
              <w:t>巡查未取得《建设工程规划许可证》或者违反《建设工程规划许可证》规定进行建设</w:t>
            </w:r>
          </w:p>
        </w:tc>
        <w:tc>
          <w:tcPr>
            <w:tcW w:w="737" w:type="dxa"/>
            <w:shd w:val="clear" w:color="auto" w:fill="auto"/>
            <w:vAlign w:val="center"/>
          </w:tcPr>
          <w:p w14:paraId="7D0BEED3">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FBA430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24DE26E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E457867">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20F537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E3E7849">
            <w:pPr>
              <w:spacing w:line="300" w:lineRule="exact"/>
              <w:jc w:val="left"/>
              <w:rPr>
                <w:rFonts w:hint="eastAsia" w:ascii="方正书宋_GBK" w:eastAsia="方正书宋_GBK"/>
                <w:b/>
              </w:rPr>
            </w:pPr>
            <w:r>
              <w:rPr>
                <w:rFonts w:hint="eastAsia" w:ascii="方正书宋_GBK" w:eastAsia="方正书宋_GBK"/>
                <w:b/>
              </w:rPr>
              <w:t>　　市政公用设施巡查与查处</w:t>
            </w:r>
          </w:p>
        </w:tc>
        <w:tc>
          <w:tcPr>
            <w:tcW w:w="1276" w:type="dxa"/>
            <w:shd w:val="clear" w:color="auto" w:fill="auto"/>
            <w:vAlign w:val="center"/>
          </w:tcPr>
          <w:p w14:paraId="25C6B41C">
            <w:pPr>
              <w:spacing w:line="300" w:lineRule="exact"/>
              <w:jc w:val="left"/>
              <w:rPr>
                <w:rFonts w:ascii="方正书宋_GBK" w:eastAsia="方正书宋_GBK"/>
              </w:rPr>
            </w:pPr>
          </w:p>
        </w:tc>
        <w:tc>
          <w:tcPr>
            <w:tcW w:w="2976" w:type="dxa"/>
            <w:shd w:val="clear" w:color="auto" w:fill="auto"/>
            <w:vAlign w:val="center"/>
          </w:tcPr>
          <w:p w14:paraId="4053E326">
            <w:pPr>
              <w:spacing w:line="300" w:lineRule="exact"/>
              <w:jc w:val="left"/>
              <w:rPr>
                <w:rFonts w:hint="eastAsia" w:ascii="方正书宋_GBK" w:eastAsia="方正书宋_GBK"/>
              </w:rPr>
            </w:pPr>
            <w:r>
              <w:rPr>
                <w:rFonts w:hint="eastAsia" w:ascii="方正书宋_GBK" w:eastAsia="方正书宋_GBK"/>
              </w:rPr>
              <w:t>负责查处破坏市政公用设施行为并处罚。</w:t>
            </w:r>
          </w:p>
        </w:tc>
        <w:tc>
          <w:tcPr>
            <w:tcW w:w="2976" w:type="dxa"/>
            <w:shd w:val="clear" w:color="auto" w:fill="auto"/>
            <w:vAlign w:val="center"/>
          </w:tcPr>
          <w:p w14:paraId="5290F3E3">
            <w:pPr>
              <w:spacing w:line="300" w:lineRule="exact"/>
              <w:jc w:val="left"/>
              <w:rPr>
                <w:rFonts w:hint="eastAsia" w:ascii="方正书宋_GBK" w:eastAsia="方正书宋_GBK"/>
              </w:rPr>
            </w:pPr>
            <w:r>
              <w:rPr>
                <w:rFonts w:hint="eastAsia" w:ascii="方正书宋_GBK" w:eastAsia="方正书宋_GBK"/>
              </w:rPr>
              <w:t>市政公用设施巡查</w:t>
            </w:r>
          </w:p>
        </w:tc>
        <w:tc>
          <w:tcPr>
            <w:tcW w:w="1417" w:type="dxa"/>
            <w:shd w:val="clear" w:color="auto" w:fill="auto"/>
            <w:vAlign w:val="center"/>
          </w:tcPr>
          <w:p w14:paraId="3265B80A">
            <w:pPr>
              <w:spacing w:line="300" w:lineRule="exact"/>
              <w:jc w:val="left"/>
              <w:rPr>
                <w:rFonts w:hint="eastAsia" w:ascii="方正书宋_GBK" w:eastAsia="方正书宋_GBK"/>
              </w:rPr>
            </w:pPr>
            <w:r>
              <w:rPr>
                <w:rFonts w:hint="eastAsia" w:ascii="方正书宋_GBK" w:eastAsia="方正书宋_GBK"/>
              </w:rPr>
              <w:t>巡查破坏市政公用基础设施</w:t>
            </w:r>
          </w:p>
        </w:tc>
        <w:tc>
          <w:tcPr>
            <w:tcW w:w="737" w:type="dxa"/>
            <w:shd w:val="clear" w:color="auto" w:fill="auto"/>
            <w:vAlign w:val="center"/>
          </w:tcPr>
          <w:p w14:paraId="77EC3031">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16F3102">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226804F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2865750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14549E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E0D4A48">
            <w:pPr>
              <w:spacing w:line="300" w:lineRule="exact"/>
              <w:jc w:val="left"/>
              <w:rPr>
                <w:rFonts w:hint="eastAsia" w:ascii="方正书宋_GBK" w:eastAsia="方正书宋_GBK"/>
                <w:b/>
              </w:rPr>
            </w:pPr>
            <w:r>
              <w:rPr>
                <w:rFonts w:hint="eastAsia" w:ascii="方正书宋_GBK" w:eastAsia="方正书宋_GBK"/>
                <w:b/>
              </w:rPr>
              <w:t>　　环境保护巡查与查处</w:t>
            </w:r>
          </w:p>
        </w:tc>
        <w:tc>
          <w:tcPr>
            <w:tcW w:w="1276" w:type="dxa"/>
            <w:shd w:val="clear" w:color="auto" w:fill="auto"/>
            <w:vAlign w:val="center"/>
          </w:tcPr>
          <w:p w14:paraId="31C9B851">
            <w:pPr>
              <w:spacing w:line="300" w:lineRule="exact"/>
              <w:jc w:val="left"/>
              <w:rPr>
                <w:rFonts w:ascii="方正书宋_GBK" w:eastAsia="方正书宋_GBK"/>
              </w:rPr>
            </w:pPr>
          </w:p>
        </w:tc>
        <w:tc>
          <w:tcPr>
            <w:tcW w:w="2976" w:type="dxa"/>
            <w:shd w:val="clear" w:color="auto" w:fill="auto"/>
            <w:vAlign w:val="center"/>
          </w:tcPr>
          <w:p w14:paraId="5F498DE3">
            <w:pPr>
              <w:spacing w:line="300" w:lineRule="exact"/>
              <w:jc w:val="left"/>
              <w:rPr>
                <w:rFonts w:hint="eastAsia" w:ascii="方正书宋_GBK" w:eastAsia="方正书宋_GBK"/>
              </w:rPr>
            </w:pPr>
            <w:r>
              <w:rPr>
                <w:rFonts w:hint="eastAsia" w:ascii="方正书宋_GBK" w:eastAsia="方正书宋_GBK"/>
              </w:rPr>
              <w:t>负责对噪音污染、城市饮食服务业超标排放、向城市建成区范围内排水管网、河道、水面排污、倾倒工业废渣、城市垃圾和其他废弃物巡查并查处。</w:t>
            </w:r>
          </w:p>
        </w:tc>
        <w:tc>
          <w:tcPr>
            <w:tcW w:w="2976" w:type="dxa"/>
            <w:shd w:val="clear" w:color="auto" w:fill="auto"/>
            <w:vAlign w:val="center"/>
          </w:tcPr>
          <w:p w14:paraId="5ABC2FA7">
            <w:pPr>
              <w:spacing w:line="300" w:lineRule="exact"/>
              <w:jc w:val="left"/>
              <w:rPr>
                <w:rFonts w:hint="eastAsia" w:ascii="方正书宋_GBK" w:eastAsia="方正书宋_GBK"/>
              </w:rPr>
            </w:pPr>
            <w:r>
              <w:rPr>
                <w:rFonts w:hint="eastAsia" w:ascii="方正书宋_GBK" w:eastAsia="方正书宋_GBK"/>
              </w:rPr>
              <w:t>环境保护巡查</w:t>
            </w:r>
          </w:p>
        </w:tc>
        <w:tc>
          <w:tcPr>
            <w:tcW w:w="1417" w:type="dxa"/>
            <w:shd w:val="clear" w:color="auto" w:fill="auto"/>
            <w:vAlign w:val="center"/>
          </w:tcPr>
          <w:p w14:paraId="0A023BD9">
            <w:pPr>
              <w:spacing w:line="300" w:lineRule="exact"/>
              <w:jc w:val="left"/>
              <w:rPr>
                <w:rFonts w:hint="eastAsia" w:ascii="方正书宋_GBK" w:eastAsia="方正书宋_GBK"/>
              </w:rPr>
            </w:pPr>
            <w:r>
              <w:rPr>
                <w:rFonts w:hint="eastAsia" w:ascii="方正书宋_GBK" w:eastAsia="方正书宋_GBK"/>
              </w:rPr>
              <w:t>巡查噪音污染、城市饮食服务业超标排放、向城市建成区范围内排水管网、河道、水面排污、倾倒工业废渣、城市垃圾和其他废弃物</w:t>
            </w:r>
          </w:p>
        </w:tc>
        <w:tc>
          <w:tcPr>
            <w:tcW w:w="737" w:type="dxa"/>
            <w:shd w:val="clear" w:color="auto" w:fill="auto"/>
            <w:vAlign w:val="center"/>
          </w:tcPr>
          <w:p w14:paraId="68B59441">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3B1C29AF">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05A70927">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AABBCE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49795F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17F9829">
            <w:pPr>
              <w:spacing w:line="300" w:lineRule="exact"/>
              <w:jc w:val="left"/>
              <w:rPr>
                <w:rFonts w:hint="eastAsia" w:ascii="方正书宋_GBK" w:eastAsia="方正书宋_GBK"/>
                <w:b/>
              </w:rPr>
            </w:pPr>
            <w:r>
              <w:rPr>
                <w:rFonts w:hint="eastAsia" w:ascii="方正书宋_GBK" w:eastAsia="方正书宋_GBK"/>
                <w:b/>
              </w:rPr>
              <w:t>　　工商行政管理巡查与查处</w:t>
            </w:r>
          </w:p>
        </w:tc>
        <w:tc>
          <w:tcPr>
            <w:tcW w:w="1276" w:type="dxa"/>
            <w:shd w:val="clear" w:color="auto" w:fill="auto"/>
            <w:vAlign w:val="center"/>
          </w:tcPr>
          <w:p w14:paraId="32421265">
            <w:pPr>
              <w:spacing w:line="300" w:lineRule="exact"/>
              <w:jc w:val="left"/>
              <w:rPr>
                <w:rFonts w:ascii="方正书宋_GBK" w:eastAsia="方正书宋_GBK"/>
              </w:rPr>
            </w:pPr>
          </w:p>
        </w:tc>
        <w:tc>
          <w:tcPr>
            <w:tcW w:w="2976" w:type="dxa"/>
            <w:shd w:val="clear" w:color="auto" w:fill="auto"/>
            <w:vAlign w:val="center"/>
          </w:tcPr>
          <w:p w14:paraId="758E30EC">
            <w:pPr>
              <w:spacing w:line="300" w:lineRule="exact"/>
              <w:jc w:val="left"/>
              <w:rPr>
                <w:rFonts w:hint="eastAsia" w:ascii="方正书宋_GBK" w:eastAsia="方正书宋_GBK"/>
              </w:rPr>
            </w:pPr>
            <w:r>
              <w:rPr>
                <w:rFonts w:hint="eastAsia" w:ascii="方正书宋_GBK" w:eastAsia="方正书宋_GBK"/>
              </w:rPr>
              <w:t>负责城区范围内店外或专业市场外经营、无照商贩巡查并查处。</w:t>
            </w:r>
          </w:p>
        </w:tc>
        <w:tc>
          <w:tcPr>
            <w:tcW w:w="2976" w:type="dxa"/>
            <w:shd w:val="clear" w:color="auto" w:fill="auto"/>
            <w:vAlign w:val="center"/>
          </w:tcPr>
          <w:p w14:paraId="053389BC">
            <w:pPr>
              <w:spacing w:line="300" w:lineRule="exact"/>
              <w:jc w:val="left"/>
              <w:rPr>
                <w:rFonts w:hint="eastAsia" w:ascii="方正书宋_GBK" w:eastAsia="方正书宋_GBK"/>
              </w:rPr>
            </w:pPr>
            <w:r>
              <w:rPr>
                <w:rFonts w:hint="eastAsia" w:ascii="方正书宋_GBK" w:eastAsia="方正书宋_GBK"/>
              </w:rPr>
              <w:t>工商行政管理巡查</w:t>
            </w:r>
          </w:p>
        </w:tc>
        <w:tc>
          <w:tcPr>
            <w:tcW w:w="1417" w:type="dxa"/>
            <w:shd w:val="clear" w:color="auto" w:fill="auto"/>
            <w:vAlign w:val="center"/>
          </w:tcPr>
          <w:p w14:paraId="3C22500D">
            <w:pPr>
              <w:spacing w:line="300" w:lineRule="exact"/>
              <w:jc w:val="left"/>
              <w:rPr>
                <w:rFonts w:hint="eastAsia" w:ascii="方正书宋_GBK" w:eastAsia="方正书宋_GBK"/>
              </w:rPr>
            </w:pPr>
            <w:r>
              <w:rPr>
                <w:rFonts w:hint="eastAsia" w:ascii="方正书宋_GBK" w:eastAsia="方正书宋_GBK"/>
              </w:rPr>
              <w:t>巡查城区范围内店外或专业市场外经营、无照商贩。</w:t>
            </w:r>
          </w:p>
        </w:tc>
        <w:tc>
          <w:tcPr>
            <w:tcW w:w="737" w:type="dxa"/>
            <w:shd w:val="clear" w:color="auto" w:fill="auto"/>
            <w:vAlign w:val="center"/>
          </w:tcPr>
          <w:p w14:paraId="67D87714">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1B95FA9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5BEDED0A">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FB2AD3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6D4B3B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DFF3528">
            <w:pPr>
              <w:spacing w:line="300" w:lineRule="exact"/>
              <w:jc w:val="left"/>
              <w:rPr>
                <w:rFonts w:hint="eastAsia" w:ascii="方正书宋_GBK" w:eastAsia="方正书宋_GBK"/>
                <w:b/>
              </w:rPr>
            </w:pPr>
            <w:r>
              <w:rPr>
                <w:rFonts w:hint="eastAsia" w:ascii="方正书宋_GBK" w:eastAsia="方正书宋_GBK"/>
                <w:b/>
              </w:rPr>
              <w:t>　　公安交通巡查与查处</w:t>
            </w:r>
          </w:p>
        </w:tc>
        <w:tc>
          <w:tcPr>
            <w:tcW w:w="1276" w:type="dxa"/>
            <w:shd w:val="clear" w:color="auto" w:fill="auto"/>
            <w:vAlign w:val="center"/>
          </w:tcPr>
          <w:p w14:paraId="465D87CD">
            <w:pPr>
              <w:spacing w:line="300" w:lineRule="exact"/>
              <w:jc w:val="left"/>
              <w:rPr>
                <w:rFonts w:ascii="方正书宋_GBK" w:eastAsia="方正书宋_GBK"/>
              </w:rPr>
            </w:pPr>
          </w:p>
        </w:tc>
        <w:tc>
          <w:tcPr>
            <w:tcW w:w="2976" w:type="dxa"/>
            <w:shd w:val="clear" w:color="auto" w:fill="auto"/>
            <w:vAlign w:val="center"/>
          </w:tcPr>
          <w:p w14:paraId="69EC1513">
            <w:pPr>
              <w:spacing w:line="300" w:lineRule="exact"/>
              <w:jc w:val="left"/>
              <w:rPr>
                <w:rFonts w:hint="eastAsia" w:ascii="方正书宋_GBK" w:eastAsia="方正书宋_GBK"/>
              </w:rPr>
            </w:pPr>
            <w:r>
              <w:rPr>
                <w:rFonts w:hint="eastAsia" w:ascii="方正书宋_GBK" w:eastAsia="方正书宋_GBK"/>
              </w:rPr>
              <w:t>负责侵占城市道路两侧人行道。</w:t>
            </w:r>
          </w:p>
        </w:tc>
        <w:tc>
          <w:tcPr>
            <w:tcW w:w="2976" w:type="dxa"/>
            <w:shd w:val="clear" w:color="auto" w:fill="auto"/>
            <w:vAlign w:val="center"/>
          </w:tcPr>
          <w:p w14:paraId="29961D2B">
            <w:pPr>
              <w:spacing w:line="300" w:lineRule="exact"/>
              <w:jc w:val="left"/>
              <w:rPr>
                <w:rFonts w:hint="eastAsia" w:ascii="方正书宋_GBK" w:eastAsia="方正书宋_GBK"/>
              </w:rPr>
            </w:pPr>
            <w:r>
              <w:rPr>
                <w:rFonts w:hint="eastAsia" w:ascii="方正书宋_GBK" w:eastAsia="方正书宋_GBK"/>
              </w:rPr>
              <w:t>公安交通巡查</w:t>
            </w:r>
          </w:p>
        </w:tc>
        <w:tc>
          <w:tcPr>
            <w:tcW w:w="1417" w:type="dxa"/>
            <w:shd w:val="clear" w:color="auto" w:fill="auto"/>
            <w:vAlign w:val="center"/>
          </w:tcPr>
          <w:p w14:paraId="5960F4B3">
            <w:pPr>
              <w:spacing w:line="300" w:lineRule="exact"/>
              <w:jc w:val="left"/>
              <w:rPr>
                <w:rFonts w:hint="eastAsia" w:ascii="方正书宋_GBK" w:eastAsia="方正书宋_GBK"/>
              </w:rPr>
            </w:pPr>
            <w:r>
              <w:rPr>
                <w:rFonts w:hint="eastAsia" w:ascii="方正书宋_GBK" w:eastAsia="方正书宋_GBK"/>
              </w:rPr>
              <w:t>巡查侵占城市道路两侧人行道。</w:t>
            </w:r>
          </w:p>
        </w:tc>
        <w:tc>
          <w:tcPr>
            <w:tcW w:w="737" w:type="dxa"/>
            <w:shd w:val="clear" w:color="auto" w:fill="auto"/>
            <w:vAlign w:val="center"/>
          </w:tcPr>
          <w:p w14:paraId="542CC80A">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C65D11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19991C2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5FF8127">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054C8A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DB94E9F">
            <w:pPr>
              <w:spacing w:line="300" w:lineRule="exact"/>
              <w:jc w:val="left"/>
              <w:rPr>
                <w:rFonts w:hint="eastAsia" w:ascii="方正书宋_GBK" w:eastAsia="方正书宋_GBK"/>
                <w:b/>
              </w:rPr>
            </w:pPr>
            <w:r>
              <w:rPr>
                <w:rFonts w:hint="eastAsia" w:ascii="方正书宋_GBK" w:eastAsia="方正书宋_GBK"/>
                <w:b/>
              </w:rPr>
              <w:t>城市管理政务管理</w:t>
            </w:r>
          </w:p>
        </w:tc>
        <w:tc>
          <w:tcPr>
            <w:tcW w:w="1276" w:type="dxa"/>
            <w:shd w:val="clear" w:color="auto" w:fill="auto"/>
            <w:vAlign w:val="center"/>
          </w:tcPr>
          <w:p w14:paraId="155183C2">
            <w:pPr>
              <w:spacing w:line="300" w:lineRule="exact"/>
              <w:jc w:val="left"/>
              <w:rPr>
                <w:rFonts w:ascii="方正书宋_GBK" w:eastAsia="方正书宋_GBK"/>
              </w:rPr>
            </w:pPr>
          </w:p>
        </w:tc>
        <w:tc>
          <w:tcPr>
            <w:tcW w:w="2976" w:type="dxa"/>
            <w:shd w:val="clear" w:color="auto" w:fill="auto"/>
            <w:vAlign w:val="center"/>
          </w:tcPr>
          <w:p w14:paraId="450BC07A">
            <w:pPr>
              <w:spacing w:line="300" w:lineRule="exact"/>
              <w:jc w:val="left"/>
              <w:rPr>
                <w:rFonts w:hint="eastAsia" w:ascii="方正书宋_GBK" w:eastAsia="方正书宋_GBK"/>
              </w:rPr>
            </w:pPr>
            <w:r>
              <w:rPr>
                <w:rFonts w:hint="eastAsia" w:ascii="方正书宋_GBK" w:eastAsia="方正书宋_GBK"/>
              </w:rPr>
              <w:t>负责城市管理系统综合业务管理和综合事务管理。</w:t>
            </w:r>
          </w:p>
        </w:tc>
        <w:tc>
          <w:tcPr>
            <w:tcW w:w="2976" w:type="dxa"/>
            <w:shd w:val="clear" w:color="auto" w:fill="auto"/>
            <w:vAlign w:val="center"/>
          </w:tcPr>
          <w:p w14:paraId="5D9A0506">
            <w:pPr>
              <w:spacing w:line="300" w:lineRule="exact"/>
              <w:jc w:val="left"/>
              <w:rPr>
                <w:rFonts w:hint="eastAsia" w:ascii="方正书宋_GBK" w:eastAsia="方正书宋_GBK"/>
              </w:rPr>
            </w:pPr>
            <w:r>
              <w:rPr>
                <w:rFonts w:hint="eastAsia" w:ascii="方正书宋_GBK" w:eastAsia="方正书宋_GBK"/>
              </w:rPr>
              <w:t>加强全县城管执法人才队伍建设，提高人才业务素质，提高行业水平。提升机关及行业信息化水平，保障各类业务系统安全稳定运行。规范审批行为，推进政务公开，增加服务意识，提高工作效率。</w:t>
            </w:r>
          </w:p>
        </w:tc>
        <w:tc>
          <w:tcPr>
            <w:tcW w:w="1417" w:type="dxa"/>
            <w:shd w:val="clear" w:color="auto" w:fill="auto"/>
            <w:vAlign w:val="center"/>
          </w:tcPr>
          <w:p w14:paraId="0FE1BA99">
            <w:pPr>
              <w:spacing w:line="300" w:lineRule="exact"/>
              <w:jc w:val="left"/>
              <w:rPr>
                <w:rFonts w:hint="eastAsia" w:ascii="方正书宋_GBK" w:eastAsia="方正书宋_GBK"/>
              </w:rPr>
            </w:pPr>
          </w:p>
        </w:tc>
        <w:tc>
          <w:tcPr>
            <w:tcW w:w="737" w:type="dxa"/>
            <w:shd w:val="clear" w:color="auto" w:fill="auto"/>
            <w:vAlign w:val="center"/>
          </w:tcPr>
          <w:p w14:paraId="5D815414">
            <w:pPr>
              <w:spacing w:line="300" w:lineRule="exact"/>
              <w:jc w:val="center"/>
              <w:rPr>
                <w:rFonts w:ascii="方正书宋_GBK" w:eastAsia="方正书宋_GBK"/>
              </w:rPr>
            </w:pPr>
          </w:p>
        </w:tc>
        <w:tc>
          <w:tcPr>
            <w:tcW w:w="737" w:type="dxa"/>
            <w:shd w:val="clear" w:color="auto" w:fill="auto"/>
            <w:vAlign w:val="center"/>
          </w:tcPr>
          <w:p w14:paraId="48913015">
            <w:pPr>
              <w:spacing w:line="300" w:lineRule="exact"/>
              <w:jc w:val="center"/>
              <w:rPr>
                <w:rFonts w:hint="eastAsia" w:ascii="方正书宋_GBK" w:eastAsia="方正书宋_GBK"/>
              </w:rPr>
            </w:pPr>
          </w:p>
        </w:tc>
        <w:tc>
          <w:tcPr>
            <w:tcW w:w="737" w:type="dxa"/>
            <w:shd w:val="clear" w:color="auto" w:fill="auto"/>
            <w:vAlign w:val="center"/>
          </w:tcPr>
          <w:p w14:paraId="53008E6F">
            <w:pPr>
              <w:spacing w:line="300" w:lineRule="exact"/>
              <w:jc w:val="center"/>
              <w:rPr>
                <w:rFonts w:hint="eastAsia" w:ascii="方正书宋_GBK" w:eastAsia="方正书宋_GBK"/>
              </w:rPr>
            </w:pPr>
          </w:p>
        </w:tc>
        <w:tc>
          <w:tcPr>
            <w:tcW w:w="737" w:type="dxa"/>
            <w:shd w:val="clear" w:color="auto" w:fill="auto"/>
            <w:vAlign w:val="center"/>
          </w:tcPr>
          <w:p w14:paraId="39D6C69C">
            <w:pPr>
              <w:spacing w:line="300" w:lineRule="exact"/>
              <w:jc w:val="center"/>
              <w:rPr>
                <w:rFonts w:hint="eastAsia" w:ascii="方正书宋_GBK" w:eastAsia="方正书宋_GBK"/>
              </w:rPr>
            </w:pPr>
          </w:p>
        </w:tc>
      </w:tr>
      <w:tr w14:paraId="57445F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0400A0A">
            <w:pPr>
              <w:spacing w:line="300" w:lineRule="exact"/>
              <w:jc w:val="left"/>
              <w:rPr>
                <w:rFonts w:hint="eastAsia" w:ascii="方正书宋_GBK" w:eastAsia="方正书宋_GBK"/>
                <w:b/>
              </w:rPr>
            </w:pPr>
            <w:r>
              <w:rPr>
                <w:rFonts w:hint="eastAsia" w:ascii="方正书宋_GBK" w:eastAsia="方正书宋_GBK"/>
                <w:b/>
              </w:rPr>
              <w:t>　　综合业务管理</w:t>
            </w:r>
          </w:p>
        </w:tc>
        <w:tc>
          <w:tcPr>
            <w:tcW w:w="1276" w:type="dxa"/>
            <w:shd w:val="clear" w:color="auto" w:fill="auto"/>
            <w:vAlign w:val="center"/>
          </w:tcPr>
          <w:p w14:paraId="72C9E64B">
            <w:pPr>
              <w:spacing w:line="300" w:lineRule="exact"/>
              <w:jc w:val="left"/>
              <w:rPr>
                <w:rFonts w:ascii="方正书宋_GBK" w:eastAsia="方正书宋_GBK"/>
              </w:rPr>
            </w:pPr>
          </w:p>
        </w:tc>
        <w:tc>
          <w:tcPr>
            <w:tcW w:w="2976" w:type="dxa"/>
            <w:shd w:val="clear" w:color="auto" w:fill="auto"/>
            <w:vAlign w:val="center"/>
          </w:tcPr>
          <w:p w14:paraId="2684BEF3">
            <w:pPr>
              <w:spacing w:line="300" w:lineRule="exact"/>
              <w:jc w:val="left"/>
              <w:rPr>
                <w:rFonts w:hint="eastAsia" w:ascii="方正书宋_GBK" w:eastAsia="方正书宋_GBK"/>
              </w:rPr>
            </w:pPr>
            <w:r>
              <w:rPr>
                <w:rFonts w:hint="eastAsia" w:ascii="方正书宋_GBK" w:eastAsia="方正书宋_GBK"/>
              </w:rPr>
              <w:t>调研提出城市管理执法工作规划和建议，工作部署、协调推动、督促指导、行政审批、业务监管及县委、政府交办的其他事项等行政管理事项。</w:t>
            </w:r>
          </w:p>
        </w:tc>
        <w:tc>
          <w:tcPr>
            <w:tcW w:w="2976" w:type="dxa"/>
            <w:shd w:val="clear" w:color="auto" w:fill="auto"/>
            <w:vAlign w:val="center"/>
          </w:tcPr>
          <w:p w14:paraId="15B4F5B7">
            <w:pPr>
              <w:spacing w:line="300" w:lineRule="exact"/>
              <w:jc w:val="left"/>
              <w:rPr>
                <w:rFonts w:hint="eastAsia" w:ascii="方正书宋_GBK" w:eastAsia="方正书宋_GBK"/>
              </w:rPr>
            </w:pPr>
            <w:r>
              <w:rPr>
                <w:rFonts w:hint="eastAsia" w:ascii="方正书宋_GBK" w:eastAsia="方正书宋_GBK"/>
              </w:rPr>
              <w:t>加强管理，圆满完成县委、县政府交办任务</w:t>
            </w:r>
          </w:p>
        </w:tc>
        <w:tc>
          <w:tcPr>
            <w:tcW w:w="1417" w:type="dxa"/>
            <w:shd w:val="clear" w:color="auto" w:fill="auto"/>
            <w:vAlign w:val="center"/>
          </w:tcPr>
          <w:p w14:paraId="1034846B">
            <w:pPr>
              <w:spacing w:line="300" w:lineRule="exact"/>
              <w:jc w:val="left"/>
              <w:rPr>
                <w:rFonts w:hint="eastAsia" w:ascii="方正书宋_GBK" w:eastAsia="方正书宋_GBK"/>
              </w:rPr>
            </w:pPr>
            <w:r>
              <w:rPr>
                <w:rFonts w:hint="eastAsia" w:ascii="方正书宋_GBK" w:eastAsia="方正书宋_GBK"/>
              </w:rPr>
              <w:t>综合业务管理工作完成率</w:t>
            </w:r>
          </w:p>
        </w:tc>
        <w:tc>
          <w:tcPr>
            <w:tcW w:w="737" w:type="dxa"/>
            <w:shd w:val="clear" w:color="auto" w:fill="auto"/>
            <w:vAlign w:val="center"/>
          </w:tcPr>
          <w:p w14:paraId="5238EC81">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D02DE6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3128D60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F2AA17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1215CA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B3F73E7">
            <w:pPr>
              <w:spacing w:line="300" w:lineRule="exact"/>
              <w:jc w:val="left"/>
              <w:rPr>
                <w:rFonts w:hint="eastAsia" w:ascii="方正书宋_GBK" w:eastAsia="方正书宋_GBK"/>
                <w:b/>
              </w:rPr>
            </w:pPr>
            <w:r>
              <w:rPr>
                <w:rFonts w:hint="eastAsia" w:ascii="方正书宋_GBK" w:eastAsia="方正书宋_GBK"/>
                <w:b/>
              </w:rPr>
              <w:t>　　综合事务管理</w:t>
            </w:r>
          </w:p>
        </w:tc>
        <w:tc>
          <w:tcPr>
            <w:tcW w:w="1276" w:type="dxa"/>
            <w:shd w:val="clear" w:color="auto" w:fill="auto"/>
            <w:vAlign w:val="center"/>
          </w:tcPr>
          <w:p w14:paraId="441DA796">
            <w:pPr>
              <w:spacing w:line="300" w:lineRule="exact"/>
              <w:jc w:val="left"/>
              <w:rPr>
                <w:rFonts w:ascii="方正书宋_GBK" w:eastAsia="方正书宋_GBK"/>
              </w:rPr>
            </w:pPr>
          </w:p>
        </w:tc>
        <w:tc>
          <w:tcPr>
            <w:tcW w:w="2976" w:type="dxa"/>
            <w:shd w:val="clear" w:color="auto" w:fill="auto"/>
            <w:vAlign w:val="center"/>
          </w:tcPr>
          <w:p w14:paraId="1A534FD3">
            <w:pPr>
              <w:spacing w:line="300" w:lineRule="exact"/>
              <w:jc w:val="left"/>
              <w:rPr>
                <w:rFonts w:hint="eastAsia" w:ascii="方正书宋_GBK" w:eastAsia="方正书宋_GBK"/>
              </w:rPr>
            </w:pPr>
            <w:r>
              <w:rPr>
                <w:rFonts w:hint="eastAsia" w:ascii="方正书宋_GBK" w:eastAsia="方正书宋_GBK"/>
              </w:rPr>
              <w:t>加强事务管理，开展自身能力建设。</w:t>
            </w:r>
          </w:p>
        </w:tc>
        <w:tc>
          <w:tcPr>
            <w:tcW w:w="2976" w:type="dxa"/>
            <w:shd w:val="clear" w:color="auto" w:fill="auto"/>
            <w:vAlign w:val="center"/>
          </w:tcPr>
          <w:p w14:paraId="4A8AD439">
            <w:pPr>
              <w:spacing w:line="300" w:lineRule="exact"/>
              <w:jc w:val="left"/>
              <w:rPr>
                <w:rFonts w:hint="eastAsia" w:ascii="方正书宋_GBK" w:eastAsia="方正书宋_GBK"/>
              </w:rPr>
            </w:pPr>
            <w:r>
              <w:rPr>
                <w:rFonts w:hint="eastAsia" w:ascii="方正书宋_GBK" w:eastAsia="方正书宋_GBK"/>
              </w:rPr>
              <w:t>加强事务管理，提高自身工作能力。</w:t>
            </w:r>
          </w:p>
        </w:tc>
        <w:tc>
          <w:tcPr>
            <w:tcW w:w="1417" w:type="dxa"/>
            <w:shd w:val="clear" w:color="auto" w:fill="auto"/>
            <w:vAlign w:val="center"/>
          </w:tcPr>
          <w:p w14:paraId="78812C5C">
            <w:pPr>
              <w:spacing w:line="300" w:lineRule="exact"/>
              <w:jc w:val="left"/>
              <w:rPr>
                <w:rFonts w:hint="eastAsia" w:ascii="方正书宋_GBK" w:eastAsia="方正书宋_GBK"/>
              </w:rPr>
            </w:pPr>
            <w:r>
              <w:rPr>
                <w:rFonts w:hint="eastAsia" w:ascii="方正书宋_GBK" w:eastAsia="方正书宋_GBK"/>
              </w:rPr>
              <w:t>综合事务管理工作完成率</w:t>
            </w:r>
          </w:p>
        </w:tc>
        <w:tc>
          <w:tcPr>
            <w:tcW w:w="737" w:type="dxa"/>
            <w:shd w:val="clear" w:color="auto" w:fill="auto"/>
            <w:vAlign w:val="center"/>
          </w:tcPr>
          <w:p w14:paraId="545651CE">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D4585D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745E750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29F5004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bl>
    <w:p w14:paraId="751B4B03">
      <w:pPr>
        <w:tabs>
          <w:tab w:val="center" w:pos="140"/>
        </w:tabs>
        <w:jc w:val="left"/>
        <w:outlineLvl w:val="0"/>
        <w:rPr>
          <w:rFonts w:hint="eastAsia" w:ascii="方正小标宋_GBK" w:eastAsia="方正小标宋_GBK"/>
          <w:sz w:val="32"/>
          <w:lang w:eastAsia="zh-CN"/>
        </w:rPr>
        <w:sectPr>
          <w:pgSz w:w="16838" w:h="11906" w:orient="landscape"/>
          <w:pgMar w:top="1803" w:right="1440" w:bottom="1485" w:left="1440" w:header="851" w:footer="992" w:gutter="0"/>
          <w:cols w:space="0" w:num="1"/>
          <w:rtlGutter w:val="0"/>
          <w:docGrid w:type="lines" w:linePitch="319" w:charSpace="0"/>
        </w:sectPr>
      </w:pPr>
    </w:p>
    <w:bookmarkEnd w:id="0"/>
    <w:p w14:paraId="113A293D">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六、政府采购预算情况</w:t>
      </w:r>
    </w:p>
    <w:p w14:paraId="2478795F">
      <w:pPr>
        <w:numPr>
          <w:ilvl w:val="0"/>
          <w:numId w:val="0"/>
        </w:numPr>
        <w:ind w:firstLine="56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本年度部门预算共计安排政府采购项目为1类1个总计1105.95万元。其中服务类1个,涉及1105.95万元，主要包括：1、环卫外包1105.95万元。</w:t>
      </w:r>
    </w:p>
    <w:p w14:paraId="39185506">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七、国有资产信息情况</w:t>
      </w:r>
    </w:p>
    <w:p w14:paraId="417CECDF">
      <w:pPr>
        <w:numPr>
          <w:ilvl w:val="0"/>
          <w:numId w:val="0"/>
        </w:num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2017年末执法局固定资产总额642.3099 万元，其中公务用车 7辆，价值181.27万元，环卫清扫车辆 8辆，价值105.20 万元，城管数字化管理系统305.86万元 ，其他固定资产49.98万元。</w:t>
      </w:r>
    </w:p>
    <w:p w14:paraId="6C25DB08">
      <w:pPr>
        <w:ind w:firstLine="630" w:firstLineChars="196"/>
        <w:rPr>
          <w:rFonts w:ascii="黑体" w:hAnsi="仿宋_GB2312" w:eastAsia="黑体" w:cs="仿宋_GB2312"/>
          <w:b/>
          <w:sz w:val="32"/>
          <w:szCs w:val="32"/>
        </w:rPr>
      </w:pPr>
      <w:r>
        <w:rPr>
          <w:rFonts w:hint="eastAsia" w:ascii="黑体" w:hAnsi="仿宋_GB2312" w:eastAsia="黑体" w:cs="仿宋_GB2312"/>
          <w:b/>
          <w:sz w:val="32"/>
          <w:szCs w:val="32"/>
          <w:lang w:eastAsia="zh-CN"/>
        </w:rPr>
        <w:t>八</w:t>
      </w:r>
      <w:r>
        <w:rPr>
          <w:rFonts w:hint="eastAsia" w:ascii="黑体" w:hAnsi="仿宋_GB2312" w:eastAsia="黑体" w:cs="仿宋_GB2312"/>
          <w:b/>
          <w:sz w:val="32"/>
          <w:szCs w:val="32"/>
        </w:rPr>
        <w:t>、专业名词解释</w:t>
      </w:r>
    </w:p>
    <w:p w14:paraId="0B3F91E9">
      <w:pPr>
        <w:ind w:firstLine="630" w:firstLineChars="196"/>
        <w:rPr>
          <w:rFonts w:ascii="仿宋_GB2312" w:hAnsi="宋体" w:eastAsia="仿宋_GB2312"/>
          <w:sz w:val="32"/>
          <w:szCs w:val="32"/>
        </w:rPr>
      </w:pPr>
      <w:r>
        <w:rPr>
          <w:rFonts w:ascii="仿宋_GB2312" w:hAnsi="宋体" w:eastAsia="仿宋_GB2312"/>
          <w:b/>
          <w:bCs/>
          <w:sz w:val="32"/>
          <w:szCs w:val="32"/>
        </w:rPr>
        <w:t>1</w:t>
      </w:r>
      <w:r>
        <w:rPr>
          <w:rFonts w:hint="eastAsia" w:ascii="仿宋_GB2312" w:hAnsi="宋体" w:eastAsia="仿宋_GB2312"/>
          <w:b/>
          <w:bCs/>
          <w:sz w:val="32"/>
          <w:szCs w:val="32"/>
        </w:rPr>
        <w:t>、一般公共预算财政拨款收入：</w:t>
      </w:r>
      <w:r>
        <w:rPr>
          <w:rFonts w:hint="eastAsia" w:ascii="仿宋_GB2312" w:hAnsi="宋体" w:eastAsia="仿宋_GB2312"/>
          <w:sz w:val="32"/>
          <w:szCs w:val="32"/>
        </w:rPr>
        <w:t>县级财政当年拨付的资金。</w:t>
      </w:r>
    </w:p>
    <w:p w14:paraId="702B1450">
      <w:pPr>
        <w:pStyle w:val="2"/>
        <w:widowControl/>
        <w:ind w:firstLine="578" w:firstLineChars="180"/>
        <w:rPr>
          <w:rFonts w:ascii="仿宋_GB2312" w:hAnsi="仿宋_GB2312" w:eastAsia="仿宋_GB2312" w:cs="仿宋_GB2312"/>
          <w:sz w:val="32"/>
          <w:szCs w:val="32"/>
        </w:rPr>
      </w:pPr>
      <w:r>
        <w:rPr>
          <w:rStyle w:val="5"/>
          <w:rFonts w:ascii="仿宋_GB2312" w:hAnsi="仿宋_GB2312" w:eastAsia="仿宋_GB2312" w:cs="仿宋_GB2312"/>
          <w:sz w:val="32"/>
          <w:szCs w:val="32"/>
          <w:shd w:val="clear" w:color="auto" w:fill="FFFFFF"/>
        </w:rPr>
        <w:t>2</w:t>
      </w:r>
      <w:r>
        <w:rPr>
          <w:rStyle w:val="5"/>
          <w:rFonts w:hint="eastAsia" w:ascii="仿宋_GB2312" w:hAnsi="仿宋_GB2312" w:eastAsia="仿宋_GB2312" w:cs="仿宋_GB2312"/>
          <w:sz w:val="32"/>
          <w:szCs w:val="32"/>
          <w:shd w:val="clear" w:color="auto" w:fill="FFFFFF"/>
        </w:rPr>
        <w:t>、其他收入：</w:t>
      </w:r>
      <w:r>
        <w:rPr>
          <w:rFonts w:hint="eastAsia" w:ascii="仿宋_GB2312" w:hAnsi="仿宋_GB2312" w:eastAsia="仿宋_GB2312" w:cs="仿宋_GB2312"/>
          <w:sz w:val="32"/>
          <w:szCs w:val="32"/>
          <w:shd w:val="clear" w:color="auto" w:fill="FFFFFF"/>
        </w:rPr>
        <w:t>指除上述财政拨款收入以外的收入。主要是存款利息收入。</w:t>
      </w:r>
    </w:p>
    <w:p w14:paraId="0948711A">
      <w:pPr>
        <w:pStyle w:val="2"/>
        <w:widowControl/>
        <w:ind w:firstLine="578" w:firstLineChars="180"/>
        <w:rPr>
          <w:rFonts w:ascii="仿宋_GB2312" w:hAnsi="宋体" w:eastAsia="仿宋_GB2312"/>
          <w:sz w:val="32"/>
          <w:szCs w:val="32"/>
        </w:rPr>
      </w:pPr>
      <w:r>
        <w:rPr>
          <w:rStyle w:val="5"/>
          <w:rFonts w:ascii="仿宋_GB2312" w:hAnsi="仿宋_GB2312" w:eastAsia="仿宋_GB2312" w:cs="仿宋_GB2312"/>
          <w:color w:val="000000"/>
          <w:sz w:val="32"/>
          <w:szCs w:val="32"/>
          <w:shd w:val="clear" w:color="auto" w:fill="FFFFFF"/>
        </w:rPr>
        <w:t>3</w:t>
      </w:r>
      <w:r>
        <w:rPr>
          <w:rFonts w:hint="eastAsia" w:ascii="仿宋_GB2312" w:hAnsi="宋体" w:eastAsia="仿宋_GB2312"/>
          <w:b/>
          <w:bCs/>
          <w:sz w:val="32"/>
          <w:szCs w:val="32"/>
        </w:rPr>
        <w:t>、基本支出：</w:t>
      </w:r>
      <w:r>
        <w:rPr>
          <w:rFonts w:hint="eastAsia" w:ascii="仿宋_GB2312" w:hAnsi="宋体" w:eastAsia="仿宋_GB2312"/>
          <w:sz w:val="32"/>
          <w:szCs w:val="32"/>
        </w:rPr>
        <w:t>指为保障机构正常运转、完成日常工作任务而发生的人员支出和公用支出。</w:t>
      </w:r>
    </w:p>
    <w:p w14:paraId="427199B3">
      <w:pPr>
        <w:pStyle w:val="2"/>
        <w:widowControl/>
        <w:rPr>
          <w:rFonts w:ascii="仿宋_GB2312" w:hAnsi="宋体" w:eastAsia="仿宋_GB2312"/>
          <w:sz w:val="32"/>
          <w:szCs w:val="32"/>
        </w:rPr>
      </w:pPr>
      <w:r>
        <w:rPr>
          <w:rFonts w:ascii="仿宋_GB2312" w:hAnsi="宋体" w:eastAsia="仿宋_GB2312"/>
          <w:b/>
          <w:bCs/>
          <w:sz w:val="32"/>
          <w:szCs w:val="32"/>
        </w:rPr>
        <w:t xml:space="preserve">    4</w:t>
      </w:r>
      <w:r>
        <w:rPr>
          <w:rFonts w:hint="eastAsia" w:ascii="仿宋_GB2312" w:hAnsi="宋体" w:eastAsia="仿宋_GB2312"/>
          <w:b/>
          <w:bCs/>
          <w:sz w:val="32"/>
          <w:szCs w:val="32"/>
        </w:rPr>
        <w:t>、项目支出</w:t>
      </w:r>
      <w:r>
        <w:rPr>
          <w:rFonts w:hint="eastAsia" w:ascii="仿宋_GB2312" w:hAnsi="宋体" w:eastAsia="仿宋_GB2312"/>
          <w:sz w:val="32"/>
          <w:szCs w:val="32"/>
        </w:rPr>
        <w:t>：指在基本支出之外为完成特定行政任务和事业发展目标所发生的支出。</w:t>
      </w:r>
    </w:p>
    <w:p w14:paraId="0D85607D">
      <w:pPr>
        <w:pStyle w:val="2"/>
        <w:widowControl/>
        <w:ind w:firstLine="643" w:firstLineChars="200"/>
        <w:rPr>
          <w:rFonts w:ascii="仿宋_GB2312" w:hAnsi="宋体" w:eastAsia="仿宋_GB2312"/>
          <w:sz w:val="32"/>
          <w:szCs w:val="32"/>
        </w:rPr>
      </w:pPr>
      <w:r>
        <w:rPr>
          <w:rFonts w:ascii="仿宋_GB2312" w:hAnsi="宋体" w:eastAsia="仿宋_GB2312"/>
          <w:b/>
          <w:bCs/>
          <w:sz w:val="32"/>
          <w:szCs w:val="32"/>
        </w:rPr>
        <w:t>5</w:t>
      </w:r>
      <w:r>
        <w:rPr>
          <w:rFonts w:hint="eastAsia" w:ascii="仿宋_GB2312" w:hAnsi="宋体" w:eastAsia="仿宋_GB2312"/>
          <w:b/>
          <w:bCs/>
          <w:sz w:val="32"/>
          <w:szCs w:val="32"/>
        </w:rPr>
        <w:t>、“三公”经费：</w:t>
      </w:r>
      <w:r>
        <w:rPr>
          <w:rFonts w:hint="eastAsia" w:ascii="仿宋_GB2312" w:hAnsi="宋体" w:eastAsia="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2E263AA">
      <w:pPr>
        <w:pStyle w:val="2"/>
        <w:widowControl/>
        <w:ind w:firstLine="643" w:firstLineChars="200"/>
        <w:rPr>
          <w:rFonts w:ascii="仿宋_GB2312" w:hAnsi="宋体" w:eastAsia="仿宋_GB2312"/>
          <w:sz w:val="32"/>
          <w:szCs w:val="32"/>
        </w:rPr>
      </w:pPr>
      <w:r>
        <w:rPr>
          <w:rFonts w:ascii="仿宋_GB2312" w:hAnsi="宋体" w:eastAsia="仿宋_GB2312"/>
          <w:b/>
          <w:bCs/>
          <w:sz w:val="32"/>
          <w:szCs w:val="32"/>
        </w:rPr>
        <w:t>6</w:t>
      </w:r>
      <w:r>
        <w:rPr>
          <w:rFonts w:hint="eastAsia" w:ascii="仿宋_GB2312" w:hAnsi="宋体" w:eastAsia="仿宋_GB2312"/>
          <w:b/>
          <w:bCs/>
          <w:sz w:val="32"/>
          <w:szCs w:val="32"/>
        </w:rPr>
        <w:t>、机关运行经费：</w:t>
      </w:r>
      <w:r>
        <w:rPr>
          <w:rFonts w:hint="eastAsia" w:ascii="仿宋_GB2312" w:hAnsi="宋体" w:eastAsia="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21B6B42">
      <w:pPr>
        <w:rPr>
          <w:rFonts w:hint="eastAsia" w:ascii="黑体" w:hAnsi="黑体" w:eastAsia="黑体" w:cs="黑体"/>
          <w:sz w:val="32"/>
          <w:szCs w:val="32"/>
          <w:lang w:val="en-US" w:eastAsia="zh-CN"/>
        </w:rPr>
      </w:pPr>
      <w:r>
        <w:rPr>
          <w:rFonts w:hint="eastAsia"/>
          <w:lang w:val="en-US" w:eastAsia="zh-CN"/>
        </w:rPr>
        <w:t xml:space="preserve">     </w:t>
      </w:r>
      <w:r>
        <w:rPr>
          <w:rFonts w:hint="eastAsia" w:ascii="黑体" w:hAnsi="黑体" w:eastAsia="黑体" w:cs="黑体"/>
          <w:sz w:val="32"/>
          <w:szCs w:val="32"/>
          <w:lang w:val="en-US" w:eastAsia="zh-CN"/>
        </w:rPr>
        <w:t xml:space="preserve"> 九、其他需要说明的事项</w:t>
      </w:r>
    </w:p>
    <w:p w14:paraId="3EFC4953">
      <w:pPr>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 xml:space="preserve">     </w:t>
      </w:r>
      <w:r>
        <w:rPr>
          <w:rFonts w:hint="eastAsia" w:ascii="仿宋" w:hAnsi="仿宋" w:eastAsia="仿宋" w:cs="仿宋"/>
          <w:sz w:val="32"/>
          <w:szCs w:val="32"/>
          <w:lang w:val="en-US" w:eastAsia="zh-CN"/>
        </w:rPr>
        <w:t>我部门无政府性基金预算及国有资本经营预算，空表列示。</w:t>
      </w:r>
    </w:p>
    <w:p w14:paraId="231EEF41">
      <w:pPr>
        <w:rPr>
          <w:rFonts w:hint="eastAsia"/>
        </w:rPr>
      </w:pPr>
    </w:p>
    <w:p w14:paraId="714C6121"/>
    <w:p w14:paraId="7F1B5719">
      <w:pPr>
        <w:numPr>
          <w:ilvl w:val="0"/>
          <w:numId w:val="0"/>
        </w:numPr>
        <w:ind w:firstLine="640"/>
        <w:rPr>
          <w:rFonts w:hint="eastAsia" w:ascii="仿宋" w:hAnsi="仿宋"/>
          <w:sz w:val="32"/>
          <w:szCs w:val="32"/>
          <w:lang w:val="en-US" w:eastAsia="zh-CN"/>
        </w:rPr>
      </w:pPr>
      <w:r>
        <w:rPr>
          <w:rFonts w:hint="eastAsia" w:ascii="仿宋_GB2312" w:hAnsi="仿宋_GB2312" w:eastAsia="仿宋_GB2312" w:cs="仿宋_GB2312"/>
          <w:sz w:val="32"/>
          <w:szCs w:val="32"/>
          <w:lang w:val="en-US" w:eastAsia="zh-CN"/>
        </w:rPr>
        <w:t xml:space="preserve">                         </w:t>
      </w:r>
    </w:p>
    <w:p w14:paraId="5C8F56B7">
      <w:pPr>
        <w:numPr>
          <w:ilvl w:val="0"/>
          <w:numId w:val="0"/>
        </w:numPr>
        <w:spacing w:line="560" w:lineRule="exact"/>
        <w:jc w:val="right"/>
        <w:rPr>
          <w:rFonts w:hint="eastAsia" w:ascii="仿宋" w:hAnsi="仿宋"/>
          <w:sz w:val="32"/>
          <w:szCs w:val="32"/>
          <w:lang w:val="en-US" w:eastAsia="zh-CN"/>
        </w:rPr>
      </w:pPr>
      <w:r>
        <w:rPr>
          <w:rFonts w:hint="eastAsia" w:ascii="仿宋" w:hAnsi="仿宋"/>
          <w:sz w:val="32"/>
          <w:szCs w:val="32"/>
          <w:lang w:val="en-US" w:eastAsia="zh-CN"/>
        </w:rPr>
        <w:t xml:space="preserve">                         </w:t>
      </w:r>
    </w:p>
    <w:p w14:paraId="19DCF3BE">
      <w:pPr>
        <w:numPr>
          <w:ilvl w:val="0"/>
          <w:numId w:val="0"/>
        </w:numPr>
        <w:tabs>
          <w:tab w:val="left" w:pos="5218"/>
          <w:tab w:val="right" w:pos="9386"/>
        </w:tabs>
        <w:spacing w:line="560" w:lineRule="exact"/>
        <w:jc w:val="left"/>
        <w:rPr>
          <w:rFonts w:hint="eastAsia" w:ascii="仿宋" w:hAnsi="仿宋" w:eastAsiaTheme="minorEastAsia" w:cstheme="minorBidi"/>
          <w:kern w:val="2"/>
          <w:sz w:val="32"/>
          <w:szCs w:val="32"/>
          <w:lang w:val="en-US" w:eastAsia="zh-CN" w:bidi="ar-SA"/>
        </w:rPr>
      </w:pPr>
      <w:r>
        <w:rPr>
          <w:rFonts w:hint="eastAsia" w:ascii="仿宋" w:hAnsi="仿宋"/>
          <w:sz w:val="32"/>
          <w:szCs w:val="32"/>
          <w:lang w:val="en-US" w:eastAsia="zh-CN"/>
        </w:rPr>
        <w:tab/>
      </w:r>
      <w:r>
        <w:rPr>
          <w:rFonts w:hint="eastAsia" w:ascii="仿宋" w:hAnsi="仿宋"/>
          <w:sz w:val="32"/>
          <w:szCs w:val="32"/>
          <w:lang w:val="en-US" w:eastAsia="zh-CN"/>
        </w:rPr>
        <w:t>2018年3月5日</w:t>
      </w:r>
      <w:r>
        <w:rPr>
          <w:rFonts w:hint="eastAsia" w:ascii="仿宋" w:hAnsi="仿宋"/>
          <w:sz w:val="32"/>
          <w:szCs w:val="32"/>
          <w:lang w:val="en-US" w:eastAsia="zh-CN"/>
        </w:rPr>
        <w:tab/>
      </w:r>
      <w:r>
        <w:rPr>
          <w:rFonts w:hint="eastAsia" w:ascii="仿宋" w:hAnsi="仿宋"/>
          <w:sz w:val="32"/>
          <w:szCs w:val="32"/>
          <w:lang w:val="en-US" w:eastAsia="zh-CN"/>
        </w:rPr>
        <w:t xml:space="preserve">  </w:t>
      </w:r>
      <w:r>
        <w:rPr>
          <w:rFonts w:hint="eastAsia" w:ascii="仿宋" w:hAnsi="仿宋" w:cstheme="minorBidi"/>
          <w:kern w:val="2"/>
          <w:sz w:val="32"/>
          <w:szCs w:val="32"/>
          <w:lang w:val="en-US" w:eastAsia="zh-CN" w:bidi="ar-S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40001" w:csb1="00000000"/>
  </w:font>
  <w:font w:name="方正书宋_GBK">
    <w:altName w:val="宋体"/>
    <w:panose1 w:val="00000000000000000000"/>
    <w:charset w:val="86"/>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1C958"/>
    <w:multiLevelType w:val="singleLevel"/>
    <w:tmpl w:val="58D1C958"/>
    <w:lvl w:ilvl="0" w:tentative="0">
      <w:start w:val="4"/>
      <w:numFmt w:val="chineseCounting"/>
      <w:suff w:val="nothing"/>
      <w:lvlText w:val="%1、"/>
      <w:lvlJc w:val="left"/>
    </w:lvl>
  </w:abstractNum>
  <w:abstractNum w:abstractNumId="1">
    <w:nsid w:val="5C6A2067"/>
    <w:multiLevelType w:val="singleLevel"/>
    <w:tmpl w:val="5C6A206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D5E"/>
    <w:rsid w:val="00076AAF"/>
    <w:rsid w:val="000A45FE"/>
    <w:rsid w:val="001E3E1E"/>
    <w:rsid w:val="001E455D"/>
    <w:rsid w:val="00221D80"/>
    <w:rsid w:val="0029094C"/>
    <w:rsid w:val="00366D5E"/>
    <w:rsid w:val="004B60A6"/>
    <w:rsid w:val="00556E10"/>
    <w:rsid w:val="00594DF0"/>
    <w:rsid w:val="00754CA6"/>
    <w:rsid w:val="0092549B"/>
    <w:rsid w:val="009A0115"/>
    <w:rsid w:val="00A81F9D"/>
    <w:rsid w:val="00ED3FF1"/>
    <w:rsid w:val="00EE0F93"/>
    <w:rsid w:val="00F223BA"/>
    <w:rsid w:val="00F51F34"/>
    <w:rsid w:val="0119349C"/>
    <w:rsid w:val="01D74BA7"/>
    <w:rsid w:val="020871AE"/>
    <w:rsid w:val="0259220A"/>
    <w:rsid w:val="029C0D5B"/>
    <w:rsid w:val="04E0078F"/>
    <w:rsid w:val="06584A58"/>
    <w:rsid w:val="07247A18"/>
    <w:rsid w:val="09370A82"/>
    <w:rsid w:val="0943339B"/>
    <w:rsid w:val="0AE424E2"/>
    <w:rsid w:val="0CC82E21"/>
    <w:rsid w:val="10070535"/>
    <w:rsid w:val="16177A92"/>
    <w:rsid w:val="165420AC"/>
    <w:rsid w:val="17B61CF8"/>
    <w:rsid w:val="1A5C001D"/>
    <w:rsid w:val="1B4B53D7"/>
    <w:rsid w:val="248A4D55"/>
    <w:rsid w:val="29B001E8"/>
    <w:rsid w:val="2B9E7B75"/>
    <w:rsid w:val="2EB519C9"/>
    <w:rsid w:val="30433476"/>
    <w:rsid w:val="34521CE7"/>
    <w:rsid w:val="35CA7AC4"/>
    <w:rsid w:val="3CB67477"/>
    <w:rsid w:val="3D5A38F6"/>
    <w:rsid w:val="3F0D07A1"/>
    <w:rsid w:val="48E53826"/>
    <w:rsid w:val="4C264065"/>
    <w:rsid w:val="4C736A6F"/>
    <w:rsid w:val="4F6E6EDC"/>
    <w:rsid w:val="4FA40A3B"/>
    <w:rsid w:val="50517078"/>
    <w:rsid w:val="50D86F3E"/>
    <w:rsid w:val="517153C6"/>
    <w:rsid w:val="52B22AD0"/>
    <w:rsid w:val="560027C3"/>
    <w:rsid w:val="57277744"/>
    <w:rsid w:val="59301AF9"/>
    <w:rsid w:val="5EBF66CB"/>
    <w:rsid w:val="60F47A16"/>
    <w:rsid w:val="66EE5684"/>
    <w:rsid w:val="6DEC46F3"/>
    <w:rsid w:val="6F881BC6"/>
    <w:rsid w:val="708D1BB3"/>
    <w:rsid w:val="727462F3"/>
    <w:rsid w:val="75D5506B"/>
    <w:rsid w:val="78F85BB7"/>
    <w:rsid w:val="7CD74E5A"/>
    <w:rsid w:val="7D4C758F"/>
    <w:rsid w:val="7FFE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jc w:val="left"/>
    </w:pPr>
    <w:rPr>
      <w:kern w:val="0"/>
      <w:sz w:val="24"/>
    </w:rPr>
  </w:style>
  <w:style w:type="character" w:styleId="5">
    <w:name w:val="Strong"/>
    <w:basedOn w:val="4"/>
    <w:qFormat/>
    <w:uiPriority w:val="22"/>
    <w:rPr>
      <w:b/>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 (Beijing) Limited</Company>
  <Pages>10</Pages>
  <Words>3210</Words>
  <Characters>3524</Characters>
  <Lines>9</Lines>
  <Paragraphs>2</Paragraphs>
  <TotalTime>0</TotalTime>
  <ScaleCrop>false</ScaleCrop>
  <LinksUpToDate>false</LinksUpToDate>
  <CharactersWithSpaces>3673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2017-03-21T06:26:00Z</dcterms:created>
  <dc:creator>Lenovo User</dc:creator>
  <cp:lastModifiedBy>八爪小鱼</cp:lastModifiedBy>
  <cp:lastPrinted>2017-03-27T06:55:00Z</cp:lastPrinted>
  <dcterms:modified xsi:type="dcterms:W3CDTF">2024-12-03T08:49:01Z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A99EC3ECBEF3443B97BA9A1E85F44DEC_12</vt:lpwstr>
  </property>
</Properties>
</file>