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Pr>
        <w:jc w:val="center"/>
      </w:pPr>
      <w:r>
        <w:rPr>
          <w:rFonts w:hint="eastAsia" w:ascii="黑体" w:hAnsi="黑体" w:eastAsia="黑体" w:cs="黑体"/>
          <w:b/>
          <w:color w:val="000000"/>
          <w:sz w:val="30"/>
          <w:lang w:eastAsia="zh-CN"/>
        </w:rPr>
        <w:t>涞水县城市管理综合执法队</w:t>
      </w:r>
      <w:r>
        <w:rPr>
          <w:rFonts w:hint="eastAsia" w:ascii="黑体" w:hAnsi="黑体" w:eastAsia="黑体" w:cs="黑体"/>
          <w:b/>
          <w:color w:val="000000"/>
          <w:sz w:val="30"/>
        </w:rPr>
        <w:t>所属单位预算</w:t>
      </w:r>
    </w:p>
    <w:p>
      <w:pPr>
        <w:pStyle w:val="6"/>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涞水县城市管理综合执法队单位</w:t>
      </w:r>
      <w:r>
        <w:rPr>
          <w:rFonts w:hint="eastAsia"/>
        </w:rPr>
        <w:t>（本级）收支预算</w:t>
      </w:r>
      <w:r>
        <w:tab/>
      </w:r>
      <w:r>
        <w:rPr>
          <w:rFonts w:hint="eastAsia"/>
          <w:lang w:val="en-US" w:eastAsia="zh-CN"/>
        </w:rPr>
        <w:t>1</w:t>
      </w:r>
      <w:r>
        <w:fldChar w:fldCharType="end"/>
      </w:r>
    </w:p>
    <w:p>
      <w:r>
        <w:fldChar w:fldCharType="end"/>
      </w:r>
    </w:p>
    <w:p/>
    <w:p/>
    <w:p/>
    <w:p/>
    <w:p/>
    <w:p/>
    <w:p>
      <w:pPr>
        <w:tabs>
          <w:tab w:val="left" w:pos="3964"/>
        </w:tabs>
        <w:rPr>
          <w:rFonts w:hint="eastAsia" w:eastAsia="宋体"/>
          <w:lang w:eastAsia="zh-CN"/>
        </w:rPr>
      </w:pPr>
      <w:r>
        <w:rPr>
          <w:rFonts w:hint="eastAsia"/>
          <w:lang w:eastAsia="zh-CN"/>
        </w:rPr>
        <w:tab/>
      </w:r>
    </w:p>
    <w:p/>
    <w:p/>
    <w:p/>
    <w:p/>
    <w:p/>
    <w:p/>
    <w:p/>
    <w:p/>
    <w:p/>
    <w:p>
      <w:pPr>
        <w:jc w:val="center"/>
      </w:pPr>
    </w:p>
    <w:p/>
    <w:p/>
    <w:p>
      <w:pPr>
        <w:pStyle w:val="6"/>
        <w:tabs>
          <w:tab w:val="right" w:leader="dot" w:pos="14562"/>
        </w:tabs>
      </w:pPr>
      <w:r>
        <w:fldChar w:fldCharType="begin"/>
      </w:r>
      <w:r>
        <w:instrText xml:space="preserve">TOC \o "3-3" \h \z \u</w:instrText>
      </w:r>
      <w:r>
        <w:fldChar w:fldCharType="separate"/>
      </w:r>
      <w:r>
        <w:fldChar w:fldCharType="begin"/>
      </w:r>
      <w:r>
        <w:instrText xml:space="preserve">TOC \o "3-3" \h \z \u</w:instrText>
      </w:r>
      <w:r>
        <w:fldChar w:fldCharType="separate"/>
      </w:r>
    </w:p>
    <w:p/>
    <w:p>
      <w:pPr>
        <w:jc w:val="both"/>
      </w:pPr>
    </w:p>
    <w:p/>
    <w:tbl>
      <w:tblPr>
        <w:tblStyle w:val="8"/>
        <w:tblW w:w="133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52"/>
        <w:gridCol w:w="3990"/>
        <w:gridCol w:w="1560"/>
        <w:gridCol w:w="4161"/>
        <w:gridCol w:w="21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353" w:type="dxa"/>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0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w:t>
            </w:r>
            <w:r>
              <w:rPr>
                <w:rFonts w:hint="eastAsia" w:ascii="宋体" w:hAnsi="宋体" w:cs="宋体"/>
                <w:i w:val="0"/>
                <w:iCs w:val="0"/>
                <w:color w:val="000000"/>
                <w:kern w:val="0"/>
                <w:sz w:val="22"/>
                <w:szCs w:val="22"/>
                <w:u w:val="none"/>
                <w:lang w:val="en-US" w:eastAsia="zh-CN" w:bidi="ar"/>
              </w:rPr>
              <w:t>5</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452" w:type="dxa"/>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550" w:type="dxa"/>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6351" w:type="dxa"/>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452" w:type="dxa"/>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1610.03</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一、一般公共服务支出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二、外交支出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三、国防支出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四、财政专户管理资金收入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四、公共安全支出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五、单位资金</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五、教育支出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六、科学技术支出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七、文化旅游体育与传媒支出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八、社会保障和就业支出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九、社会保险基金支出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十、卫生健康支出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十一、节能环保支出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十二、城乡社区支出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1610.03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十三、农林水支出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十四、交通运输支出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十五、资源勘探工业信息等支出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十六、商业服务业等支出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十七、金融支出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十八、援助其他地区支出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十九、自然资源海洋气象等支出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二十、住房保障支出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二十一、粮油物资储备支出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二十二、国有资本经营预算支出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二十三、灾害防治及应急管理支出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二十四、预备费</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二十五、其他支出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二十六、转移性支出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二十七、债务还本支出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二十八、债务付息支出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二十九、债务发行费用支出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三十、抗疫特别国债安排的支出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lang w:val="en-US"/>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三十一、人行科目</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本年收入合计</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1610.03</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本年支出合计</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1610.03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上年结转结余</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lang w:val="en-US"/>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年终结转结余</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lang w:val="en-US"/>
              </w:rPr>
            </w:pPr>
          </w:p>
        </w:tc>
      </w:tr>
    </w:tbl>
    <w:p/>
    <w:p>
      <w:r>
        <w:fldChar w:fldCharType="end"/>
      </w:r>
    </w:p>
    <w:p/>
    <w:p/>
    <w:p/>
    <w:p/>
    <w:p>
      <w:pPr>
        <w:tabs>
          <w:tab w:val="left" w:pos="3478"/>
        </w:tabs>
        <w:rPr>
          <w:rFonts w:hint="eastAsia" w:eastAsia="宋体"/>
          <w:lang w:eastAsia="zh-CN"/>
        </w:rPr>
      </w:pPr>
    </w:p>
    <w:p>
      <w:pPr>
        <w:tabs>
          <w:tab w:val="left" w:pos="4611"/>
        </w:tabs>
        <w:rPr>
          <w:rFonts w:hint="eastAsia" w:eastAsia="宋体"/>
          <w:lang w:eastAsia="zh-CN"/>
        </w:rPr>
      </w:pPr>
    </w:p>
    <w:p/>
    <w:p/>
    <w:p/>
    <w:p/>
    <w:p/>
    <w:p/>
    <w:tbl>
      <w:tblPr>
        <w:tblStyle w:val="8"/>
        <w:tblW w:w="133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9"/>
        <w:gridCol w:w="997"/>
        <w:gridCol w:w="2205"/>
        <w:gridCol w:w="941"/>
        <w:gridCol w:w="941"/>
        <w:gridCol w:w="973"/>
        <w:gridCol w:w="1053"/>
        <w:gridCol w:w="941"/>
        <w:gridCol w:w="941"/>
        <w:gridCol w:w="941"/>
        <w:gridCol w:w="941"/>
        <w:gridCol w:w="941"/>
        <w:gridCol w:w="9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365" w:type="dxa"/>
            <w:gridSpan w:val="13"/>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预算收入总表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60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18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w:t>
            </w:r>
            <w:r>
              <w:rPr>
                <w:rFonts w:hint="eastAsia" w:ascii="宋体" w:hAnsi="宋体" w:cs="宋体"/>
                <w:i w:val="0"/>
                <w:iCs w:val="0"/>
                <w:color w:val="000000"/>
                <w:kern w:val="0"/>
                <w:sz w:val="22"/>
                <w:szCs w:val="22"/>
                <w:u w:val="none"/>
                <w:lang w:val="en-US" w:eastAsia="zh-CN" w:bidi="ar"/>
              </w:rPr>
              <w:t>5</w:t>
            </w:r>
          </w:p>
        </w:tc>
        <w:tc>
          <w:tcPr>
            <w:tcW w:w="18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767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上年结转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财政拨款</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财政专户</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上级补助</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附属单位</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城乡社区支出</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cs="Calibri"/>
                <w:i w:val="0"/>
                <w:iCs w:val="0"/>
                <w:color w:val="000000"/>
                <w:kern w:val="0"/>
                <w:sz w:val="22"/>
                <w:szCs w:val="22"/>
                <w:u w:val="none"/>
                <w:lang w:val="en-US" w:eastAsia="zh-CN" w:bidi="ar"/>
              </w:rPr>
              <w:t>1610.03</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城乡社区管理事务</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cs="Calibri"/>
                <w:i w:val="0"/>
                <w:iCs w:val="0"/>
                <w:color w:val="000000"/>
                <w:kern w:val="0"/>
                <w:sz w:val="22"/>
                <w:szCs w:val="22"/>
                <w:u w:val="none"/>
                <w:lang w:val="en-US" w:eastAsia="zh-CN" w:bidi="ar"/>
              </w:rPr>
              <w:t>1610.03</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2120104</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城管执法</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cs="Calibri"/>
                <w:i w:val="0"/>
                <w:iCs w:val="0"/>
                <w:color w:val="000000"/>
                <w:kern w:val="0"/>
                <w:sz w:val="22"/>
                <w:szCs w:val="22"/>
                <w:u w:val="none"/>
                <w:lang w:val="en-US" w:eastAsia="zh-CN" w:bidi="ar"/>
              </w:rPr>
              <w:t>1610.03</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cs="Calibri"/>
                <w:i w:val="0"/>
                <w:iCs w:val="0"/>
                <w:color w:val="000000"/>
                <w:kern w:val="0"/>
                <w:sz w:val="22"/>
                <w:szCs w:val="22"/>
                <w:u w:val="none"/>
                <w:lang w:val="en-US" w:eastAsia="zh-CN" w:bidi="ar"/>
              </w:rPr>
              <w:t>1610.03</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right"/>
              <w:rPr>
                <w:rFonts w:hint="default" w:ascii="Calibri" w:hAnsi="Calibri" w:eastAsia="宋体" w:cs="Calibri"/>
                <w:i w:val="0"/>
                <w:iCs w:val="0"/>
                <w:color w:val="000000"/>
                <w:sz w:val="22"/>
                <w:szCs w:val="22"/>
                <w:u w:val="none"/>
              </w:rPr>
            </w:pPr>
          </w:p>
        </w:tc>
      </w:tr>
    </w:tbl>
    <w:p/>
    <w:tbl>
      <w:tblPr>
        <w:tblStyle w:val="8"/>
        <w:tblW w:w="1354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1"/>
        <w:gridCol w:w="1105"/>
        <w:gridCol w:w="2767"/>
        <w:gridCol w:w="1262"/>
        <w:gridCol w:w="1105"/>
        <w:gridCol w:w="1105"/>
        <w:gridCol w:w="1105"/>
        <w:gridCol w:w="1923"/>
        <w:gridCol w:w="25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548"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36"/>
                <w:szCs w:val="36"/>
                <w:u w:val="none"/>
                <w:lang w:val="en-US" w:eastAsia="zh-CN" w:bidi="ar"/>
              </w:rPr>
            </w:pPr>
          </w:p>
          <w:p>
            <w:pPr>
              <w:keepNext w:val="0"/>
              <w:keepLines w:val="0"/>
              <w:widowControl/>
              <w:suppressLineNumbers w:val="0"/>
              <w:ind w:firstLine="5040" w:firstLineChars="1400"/>
              <w:jc w:val="both"/>
              <w:textAlignment w:val="center"/>
              <w:rPr>
                <w:rFonts w:hint="eastAsia" w:ascii="宋体" w:hAnsi="宋体" w:eastAsia="宋体" w:cs="宋体"/>
                <w:i w:val="0"/>
                <w:iCs w:val="0"/>
                <w:color w:val="000000"/>
                <w:sz w:val="22"/>
                <w:szCs w:val="22"/>
                <w:u w:val="none"/>
              </w:rPr>
            </w:pPr>
            <w:r>
              <w:rPr>
                <w:rFonts w:hint="eastAsia" w:asciiTheme="majorEastAsia" w:hAnsiTheme="majorEastAsia" w:eastAsiaTheme="majorEastAsia" w:cstheme="majorEastAsia"/>
                <w:i w:val="0"/>
                <w:iCs w:val="0"/>
                <w:color w:val="000000"/>
                <w:kern w:val="0"/>
                <w:sz w:val="36"/>
                <w:szCs w:val="36"/>
                <w:u w:val="none"/>
                <w:lang w:val="en-US" w:eastAsia="zh-CN" w:bidi="ar"/>
              </w:rPr>
              <w:t>单位预算支出总表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11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w:t>
            </w:r>
            <w:r>
              <w:rPr>
                <w:rFonts w:hint="eastAsia" w:ascii="宋体" w:hAnsi="宋体" w:cs="宋体"/>
                <w:i w:val="0"/>
                <w:iCs w:val="0"/>
                <w:color w:val="000000"/>
                <w:kern w:val="0"/>
                <w:sz w:val="22"/>
                <w:szCs w:val="22"/>
                <w:u w:val="none"/>
                <w:lang w:val="en-US" w:eastAsia="zh-CN" w:bidi="ar"/>
              </w:rPr>
              <w:t>5</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8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2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92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2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对附属单位</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9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left"/>
              <w:rPr>
                <w:rFonts w:hint="default" w:ascii="Calibri" w:hAnsi="Calibri" w:eastAsia="宋体" w:cs="Calibri"/>
                <w:i w:val="0"/>
                <w:iCs w:val="0"/>
                <w:color w:val="000000"/>
                <w:sz w:val="22"/>
                <w:szCs w:val="22"/>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596.07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1013.96</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城乡社区支出</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596.07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1013.96</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城乡社区管理事务</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596.07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1013.96</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lang w:val="en-US"/>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4</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2120104</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城管执法</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596.07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1013.96</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r>
    </w:tbl>
    <w:p/>
    <w:p/>
    <w:p/>
    <w:p/>
    <w:tbl>
      <w:tblPr>
        <w:tblStyle w:val="8"/>
        <w:tblW w:w="1310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6"/>
        <w:gridCol w:w="2616"/>
        <w:gridCol w:w="1061"/>
        <w:gridCol w:w="3030"/>
        <w:gridCol w:w="1164"/>
        <w:gridCol w:w="1320"/>
        <w:gridCol w:w="1545"/>
        <w:gridCol w:w="17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107"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预算财政拨款收支总表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9807"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预算年度：202</w:t>
            </w:r>
            <w:r>
              <w:rPr>
                <w:rFonts w:hint="eastAsia" w:ascii="宋体" w:hAnsi="宋体" w:cs="宋体"/>
                <w:i w:val="0"/>
                <w:iCs w:val="0"/>
                <w:color w:val="000000"/>
                <w:kern w:val="0"/>
                <w:sz w:val="20"/>
                <w:szCs w:val="20"/>
                <w:u w:val="none"/>
                <w:lang w:val="en-US" w:eastAsia="zh-CN" w:bidi="ar"/>
              </w:rPr>
              <w:t>5</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367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w:t>
            </w:r>
          </w:p>
        </w:tc>
        <w:tc>
          <w:tcPr>
            <w:tcW w:w="881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一般公共预</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算财政拨款</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政府性基金</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预算财政拨款</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国有资本经营</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一、一般公共预算拨款</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0"/>
                <w:szCs w:val="20"/>
                <w:u w:val="none"/>
                <w:lang w:val="en-US"/>
              </w:rPr>
            </w:pPr>
            <w:r>
              <w:rPr>
                <w:rFonts w:hint="default" w:ascii="Calibri" w:hAnsi="Calibri" w:eastAsia="宋体" w:cs="Calibri"/>
                <w:i w:val="0"/>
                <w:iCs w:val="0"/>
                <w:color w:val="000000"/>
                <w:kern w:val="0"/>
                <w:sz w:val="22"/>
                <w:szCs w:val="22"/>
                <w:u w:val="none"/>
                <w:lang w:val="en-US" w:eastAsia="zh-CN" w:bidi="ar"/>
              </w:rPr>
              <w:t>1610.03</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一、一般公共服务支出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二、政府性基金预算拨款</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二、外交支出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三、国有资本经营预算拨款</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三、国防支出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四、公共安全支出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五、教育支出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六、科学技术支出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七、文化旅游体育与传媒支出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八、社会保障和就业支出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九、社会保险基金支出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十、卫生健康支出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十一、节能环保支出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十二、城乡社区支出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0"/>
                <w:szCs w:val="20"/>
                <w:u w:val="none"/>
                <w:lang w:val="en-US"/>
              </w:rPr>
            </w:pPr>
            <w:r>
              <w:rPr>
                <w:rFonts w:hint="default" w:ascii="Calibri" w:hAnsi="Calibri" w:eastAsia="宋体" w:cs="Calibri"/>
                <w:i w:val="0"/>
                <w:iCs w:val="0"/>
                <w:color w:val="000000"/>
                <w:kern w:val="0"/>
                <w:sz w:val="22"/>
                <w:szCs w:val="22"/>
                <w:u w:val="none"/>
                <w:lang w:val="en-US" w:eastAsia="zh-CN" w:bidi="ar"/>
              </w:rPr>
              <w:t>1610.03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0"/>
                <w:szCs w:val="20"/>
                <w:u w:val="none"/>
                <w:lang w:val="en-US"/>
              </w:rPr>
            </w:pPr>
            <w:r>
              <w:rPr>
                <w:rFonts w:hint="default" w:ascii="Calibri" w:hAnsi="Calibri" w:eastAsia="宋体" w:cs="Calibri"/>
                <w:i w:val="0"/>
                <w:iCs w:val="0"/>
                <w:color w:val="000000"/>
                <w:kern w:val="0"/>
                <w:sz w:val="22"/>
                <w:szCs w:val="22"/>
                <w:u w:val="none"/>
                <w:lang w:val="en-US" w:eastAsia="zh-CN" w:bidi="ar"/>
              </w:rPr>
              <w:t>1610.03</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十三、农林水支出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十四、交通运输支出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十五、资源勘探工业信息等支出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十六、商业服务业等支出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十七、金融支出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十八、援助其他地区支出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19</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十九、自然资源海洋气象等支出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二十、住房保障支出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二十一、粮油物资储备支出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二十二、国有资本经营预算支出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二十三、灾害防治及应急管理支出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二十四、预备费</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二十五、其他支出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二十六、转移性支出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27</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二十七、债务还本支出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28</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二十八、债务付息支出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二十九、债务发行费用支出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30</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三十、抗疫特别国债安排的支出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eastAsia" w:ascii="宋体" w:hAnsi="宋体" w:eastAsia="宋体" w:cs="宋体"/>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lang w:val="en-US"/>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三十一、人行科目</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lang w:val="en-US"/>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lang w:val="en-US"/>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本年收入合计</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1610.03</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本年支出合计</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1610.03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1610.03</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年初财政拨款结转和结余</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年末财政拨款结转和结余</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一、一般公共预算拨款</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二、政府性基金预算拨款</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三、国有资本经营预算拨款</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lang w:val="en-US"/>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eastAsia" w:ascii="宋体" w:hAnsi="宋体" w:eastAsia="宋体" w:cs="宋体"/>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lang w:val="en-US"/>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lang w:val="en-US"/>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0"/>
                <w:szCs w:val="20"/>
                <w:u w:val="none"/>
              </w:rPr>
            </w:pPr>
          </w:p>
        </w:tc>
      </w:tr>
    </w:tbl>
    <w:p/>
    <w:p/>
    <w:p/>
    <w:p/>
    <w:p/>
    <w:p/>
    <w:p/>
    <w:p/>
    <w:p/>
    <w:p/>
    <w:p/>
    <w:tbl>
      <w:tblPr>
        <w:tblStyle w:val="8"/>
        <w:tblW w:w="1360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1096"/>
        <w:gridCol w:w="3906"/>
        <w:gridCol w:w="1305"/>
        <w:gridCol w:w="1185"/>
        <w:gridCol w:w="1620"/>
        <w:gridCol w:w="1785"/>
        <w:gridCol w:w="20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608"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预算一般公共预算财政拨款支出表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76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w:t>
            </w:r>
            <w:r>
              <w:rPr>
                <w:rFonts w:hint="eastAsia" w:ascii="宋体" w:hAnsi="宋体" w:cs="宋体"/>
                <w:i w:val="0"/>
                <w:iCs w:val="0"/>
                <w:color w:val="000000"/>
                <w:kern w:val="0"/>
                <w:sz w:val="22"/>
                <w:szCs w:val="22"/>
                <w:u w:val="none"/>
                <w:lang w:val="en-US" w:eastAsia="zh-CN" w:bidi="ar"/>
              </w:rPr>
              <w:t>5</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00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3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5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1610.03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596.07</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342.97</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253.10</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1013.96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2</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城乡社区支出</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1610.03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596.07</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342.97</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253.10</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1013.96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3</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城乡社区管理事务</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1610.03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596.07</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342.97</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253.10</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1013.96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4</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2120104</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城管执法</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1610.03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596.07</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342.97</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253.10</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1013.96</w:t>
            </w:r>
          </w:p>
        </w:tc>
      </w:tr>
    </w:tbl>
    <w:p/>
    <w:p/>
    <w:p/>
    <w:p/>
    <w:p/>
    <w:p/>
    <w:p/>
    <w:p/>
    <w:p/>
    <w:p/>
    <w:p/>
    <w:p/>
    <w:p/>
    <w:p/>
    <w:p/>
    <w:tbl>
      <w:tblPr>
        <w:tblStyle w:val="8"/>
        <w:tblW w:w="132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7"/>
        <w:gridCol w:w="1365"/>
        <w:gridCol w:w="4401"/>
        <w:gridCol w:w="1659"/>
        <w:gridCol w:w="2751"/>
        <w:gridCol w:w="22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3218"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预算一般公共预算财政拨款基本支出表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26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w:t>
            </w:r>
            <w:r>
              <w:rPr>
                <w:rFonts w:hint="eastAsia" w:ascii="宋体" w:hAnsi="宋体" w:cs="宋体"/>
                <w:i w:val="0"/>
                <w:iCs w:val="0"/>
                <w:color w:val="000000"/>
                <w:kern w:val="0"/>
                <w:sz w:val="22"/>
                <w:szCs w:val="22"/>
                <w:u w:val="none"/>
                <w:lang w:val="en-US" w:eastAsia="zh-CN" w:bidi="ar"/>
              </w:rPr>
              <w:t>5</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7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支出部门经济分类科目</w:t>
            </w:r>
          </w:p>
        </w:tc>
        <w:tc>
          <w:tcPr>
            <w:tcW w:w="6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596.07</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342.97</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253.10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工资福利支出</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342.97</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342.97</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基本工资</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337.72</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337.72</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30107</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Calibri" w:hAnsi="Calibri" w:eastAsia="宋体" w:cs="Calibri"/>
                <w:i w:val="0"/>
                <w:iCs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绩效工资</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5.25</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5.25</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商品和服务支出</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253.10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253.10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6</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办公费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7.70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lang w:val="en-US"/>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7.70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7</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30207</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邮电费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8</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30208</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取暖费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10.17</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10.17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9</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差旅费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3.50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10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30226</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劳务费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215.64</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215.64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11</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30228</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工会经费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2.74</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r>
              <w:rPr>
                <w:rFonts w:hint="eastAsia" w:ascii="Calibri" w:hAnsi="Calibri" w:eastAsia="宋体" w:cs="Calibri"/>
                <w:i w:val="0"/>
                <w:iCs w:val="0"/>
                <w:color w:val="000000"/>
                <w:kern w:val="0"/>
                <w:sz w:val="22"/>
                <w:szCs w:val="22"/>
                <w:u w:val="none"/>
                <w:lang w:val="en-US" w:eastAsia="zh-CN" w:bidi="ar"/>
              </w:rPr>
              <w:t>2</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30229</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福利费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4.99</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4.99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r>
              <w:rPr>
                <w:rFonts w:hint="eastAsia" w:ascii="Calibri" w:hAnsi="Calibri" w:eastAsia="宋体" w:cs="Calibri"/>
                <w:i w:val="0"/>
                <w:iCs w:val="0"/>
                <w:color w:val="000000"/>
                <w:kern w:val="0"/>
                <w:sz w:val="22"/>
                <w:szCs w:val="22"/>
                <w:u w:val="none"/>
                <w:lang w:val="en-US" w:eastAsia="zh-CN" w:bidi="ar"/>
              </w:rPr>
              <w:t>3</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公务用车运行维护费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r>
    </w:tbl>
    <w:p/>
    <w:p/>
    <w:p/>
    <w:p/>
    <w:tbl>
      <w:tblPr>
        <w:tblStyle w:val="8"/>
        <w:tblW w:w="130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7"/>
        <w:gridCol w:w="3255"/>
        <w:gridCol w:w="1935"/>
        <w:gridCol w:w="1506"/>
        <w:gridCol w:w="2559"/>
        <w:gridCol w:w="29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038"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预算政府基金预算财政拨款支出表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50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2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w:t>
            </w:r>
            <w:r>
              <w:rPr>
                <w:rFonts w:hint="eastAsia" w:ascii="宋体" w:hAnsi="宋体" w:cs="宋体"/>
                <w:i w:val="0"/>
                <w:iCs w:val="0"/>
                <w:color w:val="000000"/>
                <w:kern w:val="0"/>
                <w:sz w:val="22"/>
                <w:szCs w:val="22"/>
                <w:u w:val="none"/>
                <w:lang w:val="en-US" w:eastAsia="zh-CN" w:bidi="ar"/>
              </w:rPr>
              <w:t>5</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1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5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bl>
    <w:p>
      <w:pPr>
        <w:rPr>
          <w:rFonts w:hint="default" w:eastAsiaTheme="minorEastAsia"/>
          <w:lang w:val="en-US" w:eastAsia="zh-CN"/>
        </w:rPr>
      </w:pPr>
      <w:r>
        <w:rPr>
          <w:rFonts w:hint="eastAsia"/>
          <w:lang w:val="en-US" w:eastAsia="zh-CN"/>
        </w:rPr>
        <w:t xml:space="preserve">      注：无政府基金预算财政拨款预算，空表列示。</w:t>
      </w:r>
    </w:p>
    <w:p/>
    <w:p/>
    <w:p/>
    <w:p/>
    <w:p/>
    <w:p/>
    <w:p/>
    <w:p/>
    <w:tbl>
      <w:tblPr>
        <w:tblStyle w:val="8"/>
        <w:tblW w:w="138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3479"/>
        <w:gridCol w:w="4025"/>
        <w:gridCol w:w="943"/>
        <w:gridCol w:w="1963"/>
        <w:gridCol w:w="26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3818"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预算国有资本经营预算财政拨款支出表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09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1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w:t>
            </w:r>
            <w:r>
              <w:rPr>
                <w:rFonts w:hint="eastAsia" w:ascii="宋体" w:hAnsi="宋体" w:cs="宋体"/>
                <w:i w:val="0"/>
                <w:iCs w:val="0"/>
                <w:color w:val="000000"/>
                <w:kern w:val="0"/>
                <w:sz w:val="22"/>
                <w:szCs w:val="22"/>
                <w:u w:val="none"/>
                <w:lang w:val="en-US" w:eastAsia="zh-CN" w:bidi="ar"/>
              </w:rPr>
              <w:t>5</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76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4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center"/>
              <w:rPr>
                <w:rFonts w:hint="eastAsia" w:ascii="Calibri" w:hAnsi="Calibri" w:eastAsia="宋体" w:cs="Calibri"/>
                <w:i w:val="0"/>
                <w:iCs w:val="0"/>
                <w:color w:val="000000"/>
                <w:sz w:val="22"/>
                <w:szCs w:val="22"/>
                <w:u w:val="none"/>
              </w:rPr>
            </w:pP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left"/>
              <w:rPr>
                <w:rFonts w:hint="default" w:ascii="Calibri" w:hAnsi="Calibri" w:eastAsia="宋体" w:cs="Calibri"/>
                <w:i w:val="0"/>
                <w:iCs w:val="0"/>
                <w:color w:val="000000"/>
                <w:sz w:val="22"/>
                <w:szCs w:val="22"/>
                <w:u w:val="none"/>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left"/>
              <w:rPr>
                <w:rFonts w:hint="default" w:ascii="Calibri" w:hAnsi="Calibri" w:eastAsia="宋体" w:cs="Calibri"/>
                <w:i w:val="0"/>
                <w:iCs w:val="0"/>
                <w:color w:val="000000"/>
                <w:sz w:val="22"/>
                <w:szCs w:val="22"/>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198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r>
    </w:tbl>
    <w:p>
      <w:pPr>
        <w:rPr>
          <w:rFonts w:hint="default" w:eastAsiaTheme="minorEastAsia"/>
          <w:lang w:val="en-US" w:eastAsia="zh-CN"/>
        </w:rPr>
      </w:pPr>
      <w:r>
        <w:rPr>
          <w:rFonts w:hint="eastAsia"/>
          <w:lang w:val="en-US" w:eastAsia="zh-CN"/>
        </w:rPr>
        <w:t xml:space="preserve">       注：无国有资本经营预算财政拨款预算，空表列示。</w:t>
      </w:r>
    </w:p>
    <w:p/>
    <w:p/>
    <w:tbl>
      <w:tblPr>
        <w:tblStyle w:val="8"/>
        <w:tblW w:w="1387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0"/>
        <w:gridCol w:w="4558"/>
        <w:gridCol w:w="970"/>
        <w:gridCol w:w="2370"/>
        <w:gridCol w:w="2504"/>
        <w:gridCol w:w="27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872"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预算财政拨款“三公”经费支出表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7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w:t>
            </w:r>
            <w:r>
              <w:rPr>
                <w:rFonts w:hint="eastAsia" w:ascii="宋体" w:hAnsi="宋体" w:cs="宋体"/>
                <w:i w:val="0"/>
                <w:iCs w:val="0"/>
                <w:color w:val="000000"/>
                <w:kern w:val="0"/>
                <w:sz w:val="22"/>
                <w:szCs w:val="22"/>
                <w:u w:val="none"/>
                <w:lang w:val="en-US" w:eastAsia="zh-CN" w:bidi="ar"/>
              </w:rPr>
              <w:t>5</w:t>
            </w: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55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6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资金性质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5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政府性基金财政拨款</w:t>
            </w: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“三公”经费小计</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一、因公出国（境）费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其中：教学科研人员因公出国（境）费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其他因公出国（境）费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二、公务用车购置及运维费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center"/>
              <w:rPr>
                <w:rFonts w:hint="default" w:ascii="Calibri" w:hAnsi="Calibri" w:eastAsia="宋体" w:cs="Calibri"/>
                <w:i w:val="0"/>
                <w:iCs w:val="0"/>
                <w:color w:val="000000"/>
                <w:sz w:val="22"/>
                <w:szCs w:val="22"/>
                <w:u w:val="none"/>
                <w:lang w:val="en-US" w:eastAsia="zh-CN"/>
              </w:rPr>
            </w:pPr>
            <w:r>
              <w:rPr>
                <w:rFonts w:hint="eastAsia" w:ascii="Calibri" w:hAnsi="Calibri" w:cs="Calibri"/>
                <w:i w:val="0"/>
                <w:iCs w:val="0"/>
                <w:color w:val="000000"/>
                <w:sz w:val="22"/>
                <w:szCs w:val="22"/>
                <w:u w:val="none"/>
                <w:lang w:val="en-US" w:eastAsia="zh-CN"/>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center"/>
              <w:rPr>
                <w:rFonts w:hint="default" w:ascii="Calibri" w:hAnsi="Calibri" w:eastAsia="宋体" w:cs="Calibri"/>
                <w:i w:val="0"/>
                <w:iCs w:val="0"/>
                <w:color w:val="000000"/>
                <w:sz w:val="22"/>
                <w:szCs w:val="22"/>
                <w:u w:val="none"/>
                <w:lang w:val="en-US" w:eastAsia="zh-CN"/>
              </w:rPr>
            </w:pPr>
            <w:r>
              <w:rPr>
                <w:rFonts w:hint="eastAsia" w:ascii="Calibri" w:hAnsi="Calibri" w:cs="Calibri"/>
                <w:i w:val="0"/>
                <w:iCs w:val="0"/>
                <w:color w:val="000000"/>
                <w:sz w:val="22"/>
                <w:szCs w:val="22"/>
                <w:u w:val="none"/>
                <w:lang w:val="en-US" w:eastAsia="zh-CN"/>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其中：公务用车购置费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公务用车运行维护费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三、公务接待费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四、会议费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五、培训费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jc w:val="right"/>
              <w:rPr>
                <w:rFonts w:hint="default" w:ascii="Calibri" w:hAnsi="Calibri" w:eastAsia="宋体" w:cs="Calibri"/>
                <w:i w:val="0"/>
                <w:iCs w:val="0"/>
                <w:color w:val="000000"/>
                <w:sz w:val="22"/>
                <w:szCs w:val="22"/>
                <w:u w:val="none"/>
              </w:rPr>
            </w:pPr>
          </w:p>
        </w:tc>
      </w:tr>
    </w:tbl>
    <w:p/>
    <w:p/>
    <w:p/>
    <w:p/>
    <w:p/>
    <w:p>
      <w:pPr>
        <w:pStyle w:val="2"/>
      </w:pPr>
    </w:p>
    <w:p/>
    <w:p>
      <w:pPr>
        <w:pStyle w:val="2"/>
      </w:pPr>
    </w:p>
    <w:p/>
    <w:p/>
    <w:p>
      <w:pPr>
        <w:jc w:val="center"/>
        <w:rPr>
          <w:rFonts w:hint="eastAsia" w:ascii="宋体" w:hAnsi="宋体" w:eastAsia="宋体" w:cs="宋体"/>
          <w:b/>
          <w:bCs/>
          <w:sz w:val="44"/>
          <w:szCs w:val="44"/>
          <w:lang w:eastAsia="zh-CN"/>
        </w:rPr>
      </w:pPr>
      <w:r>
        <w:rPr>
          <w:rFonts w:hint="eastAsia" w:ascii="宋体" w:hAnsi="宋体" w:eastAsia="宋体" w:cs="宋体"/>
          <w:b/>
          <w:bCs/>
          <w:sz w:val="44"/>
          <w:szCs w:val="44"/>
        </w:rPr>
        <w:t>涞水县城市管理综合执法</w:t>
      </w:r>
      <w:r>
        <w:rPr>
          <w:rFonts w:hint="eastAsia" w:ascii="宋体" w:hAnsi="宋体" w:eastAsia="宋体" w:cs="宋体"/>
          <w:b/>
          <w:bCs/>
          <w:sz w:val="44"/>
          <w:szCs w:val="44"/>
          <w:lang w:val="en-US" w:eastAsia="zh-CN"/>
        </w:rPr>
        <w:t>队</w:t>
      </w:r>
    </w:p>
    <w:p>
      <w:pPr>
        <w:jc w:val="center"/>
        <w:rPr>
          <w:rFonts w:hint="eastAsia" w:ascii="宋体" w:hAnsi="宋体" w:eastAsia="宋体" w:cs="宋体"/>
          <w:b/>
          <w:bCs/>
          <w:sz w:val="44"/>
          <w:szCs w:val="44"/>
        </w:rPr>
      </w:pPr>
      <w:r>
        <w:rPr>
          <w:rFonts w:hint="eastAsia" w:ascii="宋体" w:hAnsi="宋体" w:eastAsia="宋体" w:cs="宋体"/>
          <w:b/>
          <w:bCs/>
          <w:sz w:val="44"/>
          <w:szCs w:val="44"/>
        </w:rPr>
        <w:t>202</w:t>
      </w:r>
      <w:r>
        <w:rPr>
          <w:rFonts w:hint="eastAsia" w:ascii="宋体" w:hAnsi="宋体" w:cs="宋体"/>
          <w:b/>
          <w:bCs/>
          <w:sz w:val="44"/>
          <w:szCs w:val="44"/>
          <w:lang w:val="en-US" w:eastAsia="zh-CN"/>
        </w:rPr>
        <w:t>5</w:t>
      </w:r>
      <w:r>
        <w:rPr>
          <w:rFonts w:hint="eastAsia" w:ascii="宋体" w:hAnsi="宋体" w:eastAsia="宋体" w:cs="宋体"/>
          <w:b/>
          <w:bCs/>
          <w:sz w:val="44"/>
          <w:szCs w:val="44"/>
        </w:rPr>
        <w:t>年</w:t>
      </w:r>
      <w:r>
        <w:rPr>
          <w:rFonts w:hint="eastAsia" w:ascii="宋体" w:hAnsi="宋体" w:cs="宋体"/>
          <w:b/>
          <w:bCs/>
          <w:sz w:val="44"/>
          <w:szCs w:val="44"/>
          <w:lang w:eastAsia="zh-CN"/>
        </w:rPr>
        <w:t>单位</w:t>
      </w:r>
      <w:r>
        <w:rPr>
          <w:rFonts w:hint="eastAsia" w:ascii="宋体" w:hAnsi="宋体" w:eastAsia="宋体" w:cs="宋体"/>
          <w:b/>
          <w:bCs/>
          <w:sz w:val="44"/>
          <w:szCs w:val="44"/>
        </w:rPr>
        <w:t>预算</w:t>
      </w:r>
      <w:r>
        <w:rPr>
          <w:rFonts w:hint="eastAsia" w:ascii="宋体" w:hAnsi="宋体" w:eastAsia="宋体" w:cs="宋体"/>
          <w:b/>
          <w:bCs/>
          <w:sz w:val="44"/>
          <w:szCs w:val="44"/>
          <w:lang w:eastAsia="zh-CN"/>
        </w:rPr>
        <w:t>信息公开情况</w:t>
      </w:r>
      <w:r>
        <w:rPr>
          <w:rFonts w:hint="eastAsia" w:ascii="宋体" w:hAnsi="宋体" w:eastAsia="宋体" w:cs="宋体"/>
          <w:b/>
          <w:bCs/>
          <w:sz w:val="44"/>
          <w:szCs w:val="44"/>
        </w:rPr>
        <w:t>说明</w:t>
      </w:r>
    </w:p>
    <w:p>
      <w:pPr>
        <w:ind w:firstLine="640" w:firstLineChars="200"/>
        <w:rPr>
          <w:rFonts w:hint="eastAsia" w:ascii="宋体" w:hAnsi="宋体" w:eastAsia="宋体" w:cs="宋体"/>
          <w:b/>
          <w:bCs/>
          <w:sz w:val="44"/>
          <w:szCs w:val="44"/>
        </w:rPr>
      </w:pPr>
      <w:r>
        <w:rPr>
          <w:rFonts w:hint="eastAsia" w:ascii="仿宋_GB2312" w:hAnsi="仿宋_GB2312" w:eastAsia="仿宋_GB2312" w:cs="仿宋_GB2312"/>
          <w:sz w:val="32"/>
          <w:szCs w:val="32"/>
          <w:lang w:eastAsia="zh-CN"/>
        </w:rPr>
        <w:t>按照《中华人民共和国预算法》、《地方预决算公开操作规程》和《河北省省级预算公开办法》规定，现将涞水县城市管理综合执法队</w:t>
      </w:r>
      <w:r>
        <w:rPr>
          <w:rFonts w:hint="eastAsia" w:ascii="仿宋_GB2312" w:hAnsi="仿宋_GB2312" w:eastAsia="仿宋_GB2312" w:cs="仿宋_GB2312"/>
          <w:sz w:val="32"/>
          <w:szCs w:val="32"/>
          <w:lang w:val="en-US" w:eastAsia="zh-CN"/>
        </w:rPr>
        <w:t>2025年单位预算公开如下：</w:t>
      </w:r>
    </w:p>
    <w:p>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一、</w:t>
      </w:r>
      <w:r>
        <w:rPr>
          <w:rFonts w:hint="eastAsia" w:ascii="黑体" w:hAnsi="黑体" w:eastAsia="黑体" w:cs="黑体"/>
          <w:b w:val="0"/>
          <w:bCs w:val="0"/>
          <w:sz w:val="32"/>
          <w:szCs w:val="32"/>
          <w:lang w:eastAsia="zh-CN"/>
        </w:rPr>
        <w:t>单位</w:t>
      </w:r>
      <w:r>
        <w:rPr>
          <w:rFonts w:hint="eastAsia" w:ascii="黑体" w:hAnsi="黑体" w:eastAsia="黑体" w:cs="黑体"/>
          <w:b w:val="0"/>
          <w:bCs w:val="0"/>
          <w:sz w:val="32"/>
          <w:szCs w:val="32"/>
        </w:rPr>
        <w:t>职责及机构设置情况</w:t>
      </w:r>
    </w:p>
    <w:p>
      <w:pPr>
        <w:numPr>
          <w:ilvl w:val="0"/>
          <w:numId w:val="0"/>
        </w:numPr>
        <w:snapToGrid w:val="0"/>
        <w:spacing w:line="560" w:lineRule="exact"/>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基本职责</w:t>
      </w:r>
    </w:p>
    <w:p>
      <w:pPr>
        <w:numPr>
          <w:ilvl w:val="0"/>
          <w:numId w:val="0"/>
        </w:numPr>
        <w:snapToGrid w:val="0"/>
        <w:spacing w:line="560" w:lineRule="exact"/>
        <w:ind w:left="0" w:leftChars="0" w:firstLine="838" w:firstLineChars="262"/>
        <w:rPr>
          <w:rFonts w:ascii="仿宋_GB2312" w:hAnsi="仿宋_GB2312" w:eastAsia="仿宋_GB2312" w:cs="仿宋_GB2312"/>
          <w:sz w:val="32"/>
          <w:szCs w:val="32"/>
        </w:rPr>
      </w:pPr>
      <w:r>
        <w:rPr>
          <w:rFonts w:hint="eastAsia" w:ascii="楷体" w:hAnsi="楷体" w:eastAsia="楷体" w:cs="楷体"/>
          <w:sz w:val="32"/>
          <w:szCs w:val="32"/>
          <w:lang w:val="en-US" w:eastAsia="zh-CN"/>
        </w:rPr>
        <w:t>(一)</w:t>
      </w:r>
      <w:r>
        <w:rPr>
          <w:rFonts w:hint="eastAsia" w:ascii="仿宋_GB2312" w:hAnsi="仿宋_GB2312" w:eastAsia="仿宋_GB2312" w:cs="仿宋_GB2312"/>
          <w:sz w:val="32"/>
          <w:szCs w:val="32"/>
        </w:rPr>
        <w:t>行使市容环境卫生管理方面法律、法规、规章制度的行政处罚权。强制拆除不符合城市容貌标准、环境卫生标准的建筑物或设施；</w:t>
      </w:r>
    </w:p>
    <w:p>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（二）</w:t>
      </w:r>
      <w:r>
        <w:rPr>
          <w:rFonts w:hint="eastAsia" w:ascii="仿宋_GB2312" w:hAnsi="仿宋_GB2312" w:eastAsia="仿宋_GB2312" w:cs="仿宋_GB2312"/>
          <w:sz w:val="32"/>
          <w:szCs w:val="32"/>
        </w:rPr>
        <w:t>行使城市绿化管理方面法律、法规、规章规定的行政处罚权；</w:t>
      </w:r>
    </w:p>
    <w:p>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（三）</w:t>
      </w:r>
      <w:r>
        <w:rPr>
          <w:rFonts w:hint="eastAsia" w:ascii="仿宋_GB2312" w:hAnsi="仿宋_GB2312" w:eastAsia="仿宋_GB2312" w:cs="仿宋_GB2312"/>
          <w:sz w:val="32"/>
          <w:szCs w:val="32"/>
        </w:rPr>
        <w:t>城市城建界内，符合办理建设工程规划许可证条件，而未办理建设工程规划许可证进行建设的法律、法规、规章规定的行政处罚权；</w:t>
      </w:r>
    </w:p>
    <w:p>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（四）</w:t>
      </w:r>
      <w:r>
        <w:rPr>
          <w:rFonts w:hint="eastAsia" w:ascii="仿宋_GB2312" w:hAnsi="仿宋_GB2312" w:eastAsia="仿宋_GB2312" w:cs="仿宋_GB2312"/>
          <w:sz w:val="32"/>
          <w:szCs w:val="32"/>
        </w:rPr>
        <w:t>城市城建界内未取得施工许可证或者开工报告未经批准擅自施工的法律、法规、规章规定的行政处罚权；</w:t>
      </w:r>
    </w:p>
    <w:p>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（五）</w:t>
      </w:r>
      <w:r>
        <w:rPr>
          <w:rFonts w:hint="eastAsia" w:ascii="仿宋_GB2312" w:hAnsi="仿宋_GB2312" w:eastAsia="仿宋_GB2312" w:cs="仿宋_GB2312"/>
          <w:sz w:val="32"/>
          <w:szCs w:val="32"/>
        </w:rPr>
        <w:t>行使环境保护管理方面的城市城建界内社会生活噪声污染、建筑施工噪声污染、占道加工、露天烧烤污染等行为法律、法规、规章规定的行政处罚权；</w:t>
      </w:r>
    </w:p>
    <w:p>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（六）</w:t>
      </w:r>
      <w:r>
        <w:rPr>
          <w:rFonts w:hint="eastAsia" w:ascii="仿宋_GB2312" w:hAnsi="仿宋_GB2312" w:eastAsia="仿宋_GB2312" w:cs="仿宋_GB2312"/>
          <w:sz w:val="32"/>
          <w:szCs w:val="32"/>
        </w:rPr>
        <w:t>市场监管方面城市城建界内户外公共场所经营的无证、无照经营、违规设置户外广告行为法律、法规、规章规定的行政处罚权；</w:t>
      </w:r>
    </w:p>
    <w:p>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七</w:t>
      </w:r>
      <w:r>
        <w:rPr>
          <w:rFonts w:hint="eastAsia" w:ascii="楷体" w:hAnsi="楷体" w:eastAsia="楷体" w:cs="楷体"/>
          <w:sz w:val="32"/>
          <w:szCs w:val="32"/>
          <w:lang w:eastAsia="zh-CN"/>
        </w:rPr>
        <w:t>）</w:t>
      </w:r>
      <w:r>
        <w:rPr>
          <w:rFonts w:hint="eastAsia" w:ascii="仿宋_GB2312" w:hAnsi="仿宋_GB2312" w:eastAsia="仿宋_GB2312" w:cs="仿宋_GB2312"/>
          <w:sz w:val="32"/>
          <w:szCs w:val="32"/>
        </w:rPr>
        <w:t>行使公安交通管理方面在公园、广场等公共场所内违反机动车停放、临时停车规定侵占城市道路行为法律、法规、规章规定的行政处罚权。</w:t>
      </w:r>
    </w:p>
    <w:p>
      <w:pPr>
        <w:snapToGrid w:val="0"/>
        <w:spacing w:line="560" w:lineRule="exact"/>
        <w:ind w:firstLine="640" w:firstLineChars="200"/>
        <w:rPr>
          <w:rFonts w:hint="eastAsia" w:ascii="仿宋_GB2312" w:hAnsi="仿宋_GB2312" w:eastAsia="仿宋_GB2312" w:cs="仿宋_GB2312"/>
          <w:sz w:val="32"/>
          <w:szCs w:val="32"/>
          <w:lang w:eastAsia="zh-CN"/>
        </w:rPr>
      </w:pPr>
      <w:r>
        <w:rPr>
          <w:rFonts w:hint="eastAsia" w:ascii="楷体" w:hAnsi="楷体" w:eastAsia="楷体" w:cs="楷体"/>
          <w:sz w:val="32"/>
          <w:szCs w:val="32"/>
          <w:lang w:eastAsia="zh-CN"/>
        </w:rPr>
        <w:t>（八）</w:t>
      </w:r>
      <w:r>
        <w:rPr>
          <w:rFonts w:hint="eastAsia" w:ascii="仿宋_GB2312" w:hAnsi="仿宋_GB2312" w:eastAsia="仿宋_GB2312" w:cs="仿宋_GB2312"/>
          <w:sz w:val="32"/>
          <w:szCs w:val="32"/>
        </w:rPr>
        <w:t>行使省政府决定调整的城市管理领域的其他行政处罚权。</w:t>
      </w:r>
    </w:p>
    <w:p>
      <w:pPr>
        <w:snapToGrid w:val="0"/>
        <w:spacing w:line="560" w:lineRule="exact"/>
        <w:ind w:firstLine="640" w:firstLineChars="200"/>
        <w:rPr>
          <w:rFonts w:hint="eastAsia" w:ascii="黑体" w:hAnsi="黑体" w:eastAsia="黑体" w:cs="黑体"/>
          <w:b/>
          <w:bCs/>
          <w:sz w:val="32"/>
          <w:szCs w:val="32"/>
        </w:rPr>
      </w:pPr>
      <w:r>
        <w:rPr>
          <w:rFonts w:hint="eastAsia" w:ascii="仿宋_GB2312" w:hAnsi="宋体" w:eastAsia="仿宋_GB2312"/>
          <w:sz w:val="32"/>
          <w:szCs w:val="32"/>
        </w:rPr>
        <w:t xml:space="preserve">   </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rPr>
        <w:t>机构设置</w:t>
      </w:r>
    </w:p>
    <w:p>
      <w:pPr>
        <w:spacing w:line="560" w:lineRule="exact"/>
        <w:ind w:firstLine="640" w:firstLineChars="200"/>
        <w:rPr>
          <w:rFonts w:ascii="仿宋_GB2312" w:hAnsi="仿宋_GB2312" w:eastAsia="仿宋_GB2312" w:cs="仿宋_GB2312"/>
          <w:sz w:val="32"/>
          <w:szCs w:val="32"/>
        </w:rPr>
      </w:pPr>
      <w:r>
        <w:rPr>
          <w:rFonts w:hint="eastAsia" w:ascii="仿宋_GB2312" w:hAnsi="仿宋" w:eastAsia="仿宋_GB2312"/>
          <w:sz w:val="32"/>
          <w:szCs w:val="32"/>
          <w:lang w:val="en-US" w:eastAsia="zh-CN"/>
        </w:rPr>
        <w:t>涞水县城市管理综合行政执法局下设办公室、计划财务股、市容执法队、规划执法队、政策法规股、环境卫生管理股、餐饮油烟监管股、数字化指挥中心八个股室</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职责如下：</w:t>
      </w:r>
    </w:p>
    <w:p>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（一）</w:t>
      </w:r>
      <w:r>
        <w:rPr>
          <w:rFonts w:hint="eastAsia" w:ascii="楷体" w:hAnsi="楷体" w:eastAsia="楷体" w:cs="楷体"/>
          <w:sz w:val="32"/>
          <w:szCs w:val="32"/>
        </w:rPr>
        <w:t>办公室</w:t>
      </w:r>
    </w:p>
    <w:p>
      <w:pPr>
        <w:spacing w:line="560" w:lineRule="exact"/>
        <w:rPr>
          <w:rFonts w:ascii="仿宋_GB2312" w:eastAsia="仿宋_GB2312"/>
          <w:sz w:val="32"/>
          <w:szCs w:val="32"/>
        </w:rPr>
      </w:pPr>
      <w:r>
        <w:rPr>
          <w:rFonts w:hint="eastAsia" w:ascii="仿宋_GB2312" w:eastAsia="仿宋_GB2312"/>
          <w:sz w:val="32"/>
          <w:szCs w:val="32"/>
        </w:rPr>
        <w:t xml:space="preserve">    职责：</w:t>
      </w:r>
      <w:r>
        <w:rPr>
          <w:rFonts w:hint="eastAsia" w:ascii="仿宋_GB2312" w:eastAsia="仿宋_GB2312"/>
          <w:b/>
          <w:bCs/>
          <w:sz w:val="32"/>
          <w:szCs w:val="32"/>
        </w:rPr>
        <w:t>1、</w:t>
      </w:r>
      <w:r>
        <w:rPr>
          <w:rFonts w:hint="eastAsia" w:ascii="仿宋_GB2312" w:eastAsia="仿宋_GB2312"/>
          <w:sz w:val="32"/>
          <w:szCs w:val="32"/>
        </w:rPr>
        <w:t>负责协调日常工作；负责各类信息的上传下达，做好来文来电的收发、登记、传递、交办等工作；负责组织好信息上报。</w:t>
      </w:r>
      <w:r>
        <w:rPr>
          <w:rFonts w:hint="eastAsia" w:ascii="仿宋_GB2312" w:eastAsia="仿宋_GB2312"/>
          <w:b/>
          <w:bCs/>
          <w:sz w:val="32"/>
          <w:szCs w:val="32"/>
        </w:rPr>
        <w:t>2、</w:t>
      </w:r>
      <w:r>
        <w:rPr>
          <w:rFonts w:hint="eastAsia" w:ascii="仿宋_GB2312" w:eastAsia="仿宋_GB2312"/>
          <w:sz w:val="32"/>
          <w:szCs w:val="32"/>
        </w:rPr>
        <w:t>负责组织职工学习和各种会议，准备学习资料，做好会议工作和考勤。</w:t>
      </w:r>
    </w:p>
    <w:p>
      <w:pPr>
        <w:numPr>
          <w:ilvl w:val="0"/>
          <w:numId w:val="0"/>
        </w:numPr>
        <w:spacing w:line="560" w:lineRule="exact"/>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eastAsia="zh-CN"/>
        </w:rPr>
        <w:t>（二）计划</w:t>
      </w:r>
      <w:r>
        <w:rPr>
          <w:rFonts w:hint="eastAsia" w:ascii="楷体" w:hAnsi="楷体" w:eastAsia="楷体" w:cs="楷体"/>
          <w:sz w:val="32"/>
          <w:szCs w:val="32"/>
        </w:rPr>
        <w:t>财务</w:t>
      </w:r>
      <w:r>
        <w:rPr>
          <w:rFonts w:hint="eastAsia" w:ascii="楷体" w:hAnsi="楷体" w:eastAsia="楷体" w:cs="楷体"/>
          <w:sz w:val="32"/>
          <w:szCs w:val="32"/>
          <w:lang w:eastAsia="zh-CN"/>
        </w:rPr>
        <w:t>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职责：</w:t>
      </w:r>
      <w:r>
        <w:rPr>
          <w:rFonts w:hint="eastAsia" w:ascii="仿宋_GB2312" w:eastAsia="仿宋_GB2312"/>
          <w:b/>
          <w:bCs/>
          <w:sz w:val="32"/>
          <w:szCs w:val="32"/>
        </w:rPr>
        <w:t>1、</w:t>
      </w:r>
      <w:r>
        <w:rPr>
          <w:rFonts w:hint="eastAsia" w:ascii="仿宋_GB2312" w:eastAsia="仿宋_GB2312"/>
          <w:sz w:val="32"/>
          <w:szCs w:val="32"/>
        </w:rPr>
        <w:t>认真执行《</w:t>
      </w:r>
      <w:r>
        <w:rPr>
          <w:rFonts w:hint="eastAsia" w:ascii="仿宋_GB2312" w:eastAsia="仿宋_GB2312"/>
          <w:sz w:val="32"/>
          <w:szCs w:val="32"/>
          <w:lang w:eastAsia="zh-CN"/>
        </w:rPr>
        <w:t>中华人民共和国</w:t>
      </w:r>
      <w:r>
        <w:rPr>
          <w:rFonts w:hint="eastAsia" w:ascii="仿宋_GB2312" w:eastAsia="仿宋_GB2312"/>
          <w:sz w:val="32"/>
          <w:szCs w:val="32"/>
        </w:rPr>
        <w:t>会计法》，遵守财经纪律，管好用好各项资金。</w:t>
      </w:r>
      <w:r>
        <w:rPr>
          <w:rFonts w:hint="eastAsia" w:ascii="仿宋_GB2312" w:eastAsia="仿宋_GB2312"/>
          <w:b/>
          <w:bCs/>
          <w:sz w:val="32"/>
          <w:szCs w:val="32"/>
        </w:rPr>
        <w:t>2、</w:t>
      </w:r>
      <w:r>
        <w:rPr>
          <w:rFonts w:hint="eastAsia" w:ascii="仿宋_GB2312" w:eastAsia="仿宋_GB2312"/>
          <w:sz w:val="32"/>
          <w:szCs w:val="32"/>
        </w:rPr>
        <w:t>做好日常财务处理工作，加强财务核算，认真搞好财务分析为领导提供有效依据。</w:t>
      </w:r>
    </w:p>
    <w:p>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val="en-US" w:eastAsia="zh-CN"/>
        </w:rPr>
        <w:t>（三）市容</w:t>
      </w:r>
      <w:r>
        <w:rPr>
          <w:rFonts w:hint="eastAsia" w:ascii="楷体" w:hAnsi="楷体" w:eastAsia="楷体" w:cs="楷体"/>
          <w:sz w:val="32"/>
          <w:szCs w:val="32"/>
        </w:rPr>
        <w:t>执法队</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职责：</w:t>
      </w:r>
      <w:r>
        <w:rPr>
          <w:rFonts w:hint="eastAsia" w:ascii="仿宋_GB2312" w:eastAsia="仿宋_GB2312"/>
          <w:b/>
          <w:bCs/>
          <w:sz w:val="32"/>
          <w:szCs w:val="32"/>
        </w:rPr>
        <w:t>1、</w:t>
      </w:r>
      <w:r>
        <w:rPr>
          <w:rFonts w:hint="eastAsia" w:ascii="仿宋_GB2312" w:eastAsia="仿宋_GB2312"/>
          <w:sz w:val="32"/>
          <w:szCs w:val="32"/>
        </w:rPr>
        <w:t>行使市容环境卫生管理方面法律、法规、规章规定的行政处罚权，强制拆除不符合城市市容标准、环境卫生标准的建筑物或设施。</w:t>
      </w:r>
      <w:r>
        <w:rPr>
          <w:rFonts w:hint="eastAsia" w:ascii="仿宋_GB2312" w:eastAsia="仿宋_GB2312"/>
          <w:b/>
          <w:bCs/>
          <w:sz w:val="32"/>
          <w:szCs w:val="32"/>
        </w:rPr>
        <w:t>2、</w:t>
      </w:r>
      <w:r>
        <w:rPr>
          <w:rFonts w:hint="eastAsia" w:ascii="仿宋_GB2312" w:eastAsia="仿宋_GB2312"/>
          <w:sz w:val="32"/>
          <w:szCs w:val="32"/>
        </w:rPr>
        <w:t>行使市政公用设施管理方面法律、法规、规章规定的行政处罚权。</w:t>
      </w:r>
      <w:r>
        <w:rPr>
          <w:rFonts w:hint="eastAsia" w:ascii="仿宋_GB2312" w:eastAsia="仿宋_GB2312"/>
          <w:b/>
          <w:bCs/>
          <w:sz w:val="32"/>
          <w:szCs w:val="32"/>
        </w:rPr>
        <w:t>3、</w:t>
      </w:r>
      <w:r>
        <w:rPr>
          <w:rFonts w:hint="eastAsia" w:ascii="仿宋_GB2312" w:eastAsia="仿宋_GB2312"/>
          <w:sz w:val="32"/>
          <w:szCs w:val="32"/>
        </w:rPr>
        <w:t>行使环境保护管理方面法律、法规、规章规定的对产生社会噪声污染，建筑施工噪声污染行为的行政处罚权；对向城市建成区范围内排水管网、河道、水面排污、倾倒工业废渣、城市垃圾和其他废弃物的行政处罚权。</w:t>
      </w:r>
      <w:r>
        <w:rPr>
          <w:rFonts w:hint="eastAsia" w:ascii="仿宋_GB2312" w:eastAsia="仿宋_GB2312"/>
          <w:b/>
          <w:bCs/>
          <w:sz w:val="32"/>
          <w:szCs w:val="32"/>
        </w:rPr>
        <w:t>4、</w:t>
      </w:r>
      <w:r>
        <w:rPr>
          <w:rFonts w:hint="eastAsia" w:ascii="仿宋_GB2312" w:eastAsia="仿宋_GB2312"/>
          <w:sz w:val="32"/>
          <w:szCs w:val="32"/>
        </w:rPr>
        <w:t>行使工商行政管理方面法律、法规、规章规定的对城区范围内店外或专业市场外经营、无照商贩的行政处罚权。</w:t>
      </w:r>
    </w:p>
    <w:p>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（四）</w:t>
      </w:r>
      <w:r>
        <w:rPr>
          <w:rFonts w:hint="eastAsia" w:ascii="楷体" w:hAnsi="楷体" w:eastAsia="楷体" w:cs="楷体"/>
          <w:sz w:val="32"/>
          <w:szCs w:val="32"/>
        </w:rPr>
        <w:t>规划执法队</w:t>
      </w:r>
    </w:p>
    <w:p>
      <w:pPr>
        <w:spacing w:line="560" w:lineRule="exact"/>
        <w:rPr>
          <w:rFonts w:hint="eastAsia" w:ascii="楷体" w:hAnsi="楷体" w:eastAsia="楷体" w:cs="楷体"/>
          <w:sz w:val="32"/>
          <w:szCs w:val="32"/>
          <w:lang w:eastAsia="zh-CN"/>
        </w:rPr>
      </w:pPr>
      <w:r>
        <w:rPr>
          <w:rFonts w:hint="eastAsia" w:ascii="仿宋_GB2312" w:eastAsia="仿宋_GB2312"/>
          <w:sz w:val="32"/>
          <w:szCs w:val="32"/>
        </w:rPr>
        <w:t xml:space="preserve">    职责：</w:t>
      </w:r>
      <w:r>
        <w:rPr>
          <w:rFonts w:hint="eastAsia" w:ascii="仿宋_GB2312" w:eastAsia="仿宋_GB2312"/>
          <w:b/>
          <w:bCs/>
          <w:sz w:val="32"/>
          <w:szCs w:val="32"/>
        </w:rPr>
        <w:t>1、</w:t>
      </w:r>
      <w:r>
        <w:rPr>
          <w:rFonts w:hint="eastAsia" w:ascii="仿宋_GB2312" w:eastAsia="仿宋_GB2312"/>
          <w:sz w:val="32"/>
          <w:szCs w:val="32"/>
        </w:rPr>
        <w:t>行使城市规划管理方面法律、法规、规章规定的行政处罚权，对未取得《建设工程规划许可证》或者违反《建设工程规划许可证》规定进行建设，严重影响城市规划行为的行政处罚权。</w:t>
      </w:r>
      <w:r>
        <w:rPr>
          <w:rFonts w:hint="eastAsia" w:ascii="仿宋_GB2312" w:eastAsia="仿宋_GB2312"/>
          <w:b/>
          <w:bCs/>
          <w:sz w:val="32"/>
          <w:szCs w:val="32"/>
        </w:rPr>
        <w:t>2、</w:t>
      </w:r>
      <w:r>
        <w:rPr>
          <w:rFonts w:hint="eastAsia" w:ascii="仿宋_GB2312" w:eastAsia="仿宋_GB2312"/>
          <w:sz w:val="32"/>
          <w:szCs w:val="32"/>
        </w:rPr>
        <w:t>行使城市绿化管理方面法律、法规、规章规定的行政处罚权。</w:t>
      </w:r>
    </w:p>
    <w:p>
      <w:pPr>
        <w:numPr>
          <w:ilvl w:val="0"/>
          <w:numId w:val="0"/>
        </w:numPr>
        <w:snapToGrid w:val="0"/>
        <w:spacing w:line="520" w:lineRule="exact"/>
        <w:ind w:leftChars="0" w:firstLine="640" w:firstLineChars="200"/>
        <w:rPr>
          <w:rFonts w:hint="eastAsia" w:ascii="仿宋_GB2312" w:hAnsi="仿宋" w:eastAsia="仿宋_GB2312"/>
          <w:sz w:val="32"/>
          <w:szCs w:val="32"/>
          <w:lang w:val="en-US" w:eastAsia="zh-CN"/>
        </w:rPr>
      </w:pPr>
      <w:r>
        <w:rPr>
          <w:rFonts w:hint="eastAsia" w:ascii="楷体" w:hAnsi="楷体" w:eastAsia="楷体" w:cs="楷体"/>
          <w:sz w:val="32"/>
          <w:szCs w:val="32"/>
          <w:lang w:eastAsia="zh-CN"/>
        </w:rPr>
        <w:t>（五）</w:t>
      </w:r>
      <w:r>
        <w:rPr>
          <w:rFonts w:hint="eastAsia" w:ascii="仿宋_GB2312" w:hAnsi="仿宋" w:eastAsia="仿宋_GB2312"/>
          <w:sz w:val="32"/>
          <w:szCs w:val="32"/>
          <w:lang w:val="en-US" w:eastAsia="zh-CN"/>
        </w:rPr>
        <w:t>政策法规股</w:t>
      </w:r>
    </w:p>
    <w:p>
      <w:pPr>
        <w:pStyle w:val="2"/>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职责：负责行政执法人员的业务、法律培训工作。</w:t>
      </w:r>
    </w:p>
    <w:p>
      <w:pPr>
        <w:numPr>
          <w:ilvl w:val="0"/>
          <w:numId w:val="0"/>
        </w:numPr>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（六）环境卫生管理股</w:t>
      </w:r>
    </w:p>
    <w:p>
      <w:pPr>
        <w:pStyle w:val="2"/>
        <w:numPr>
          <w:ilvl w:val="0"/>
          <w:numId w:val="0"/>
        </w:numPr>
        <w:rPr>
          <w:rFonts w:hint="eastAsia" w:ascii="仿宋_GB2312" w:hAnsi="仿宋" w:eastAsia="仿宋_GB2312" w:cs="Times New Roman"/>
          <w:sz w:val="32"/>
          <w:szCs w:val="32"/>
          <w:lang w:val="en-US" w:eastAsia="zh-CN"/>
        </w:rPr>
      </w:pPr>
      <w:r>
        <w:rPr>
          <w:rFonts w:hint="eastAsia"/>
          <w:lang w:val="en-US" w:eastAsia="zh-CN"/>
        </w:rPr>
        <w:t xml:space="preserve">  </w:t>
      </w:r>
      <w:r>
        <w:rPr>
          <w:rFonts w:hint="eastAsia" w:ascii="仿宋_GB2312" w:hAnsi="仿宋" w:eastAsia="仿宋_GB2312" w:cs="Times New Roman"/>
          <w:sz w:val="32"/>
          <w:szCs w:val="32"/>
          <w:lang w:val="en-US" w:eastAsia="zh-CN"/>
        </w:rPr>
        <w:t xml:space="preserve">  职责：县城道路广场城中村清扫保洁作业的监督和考核；县城道路广场城中村无物业小区生活垃圾收集和运输作业的监督和考核；农村公共区域的清扫保洁作业的监督和考核；农村生活垃圾收集和运输作业的监督和考核；城东垃圾填埋场运营和维护作业的监督和考核。</w:t>
      </w:r>
    </w:p>
    <w:p>
      <w:pPr>
        <w:numPr>
          <w:ilvl w:val="0"/>
          <w:numId w:val="0"/>
        </w:num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cs="Times New Roman"/>
          <w:sz w:val="32"/>
          <w:szCs w:val="32"/>
          <w:lang w:val="en-US" w:eastAsia="zh-CN"/>
        </w:rPr>
        <w:t>（七）</w:t>
      </w:r>
      <w:r>
        <w:rPr>
          <w:rFonts w:hint="eastAsia" w:ascii="仿宋_GB2312" w:hAnsi="仿宋" w:eastAsia="仿宋_GB2312"/>
          <w:sz w:val="32"/>
          <w:szCs w:val="32"/>
          <w:lang w:val="en-US" w:eastAsia="zh-CN"/>
        </w:rPr>
        <w:t>餐饮油烟监管股</w:t>
      </w:r>
    </w:p>
    <w:p>
      <w:pPr>
        <w:pStyle w:val="2"/>
        <w:numPr>
          <w:ilvl w:val="0"/>
          <w:numId w:val="0"/>
        </w:numPr>
        <w:rPr>
          <w:rFonts w:hint="default"/>
          <w:lang w:val="en-US" w:eastAsia="zh-CN"/>
        </w:rPr>
      </w:pPr>
      <w:r>
        <w:rPr>
          <w:rFonts w:hint="eastAsia"/>
          <w:lang w:val="en-US" w:eastAsia="zh-CN"/>
        </w:rPr>
        <w:t xml:space="preserve">  </w:t>
      </w:r>
      <w:r>
        <w:rPr>
          <w:rFonts w:hint="eastAsia" w:ascii="仿宋_GB2312" w:hAnsi="仿宋" w:eastAsia="仿宋_GB2312" w:cs="Times New Roman"/>
          <w:sz w:val="32"/>
          <w:szCs w:val="32"/>
          <w:lang w:val="en-US" w:eastAsia="zh-CN"/>
        </w:rPr>
        <w:t xml:space="preserve">   职责：负责宣传贯彻国家、省、市有关餐饮法律法规；负责对重点区域内的餐饮企业进行排查，督导餐饮企业和非经营性企事业单位职工食堂保持餐饮油烟净化器稳定运行，并定期对餐饮油烟净化设施进行清洗维护台账；负责对清洗维护台账进行经常性检查，加强对餐饮油烟污染的监管力度；负责查处餐饮油烟违法违规排放行为；负责有关城市管道排水事项的监督管理。</w:t>
      </w:r>
    </w:p>
    <w:p>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（八）</w:t>
      </w:r>
      <w:r>
        <w:rPr>
          <w:rFonts w:hint="eastAsia" w:ascii="楷体" w:hAnsi="楷体" w:eastAsia="楷体" w:cs="楷体"/>
          <w:sz w:val="32"/>
          <w:szCs w:val="32"/>
        </w:rPr>
        <w:t>数字化指挥中心</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职责：</w:t>
      </w:r>
      <w:r>
        <w:rPr>
          <w:rFonts w:hint="eastAsia" w:ascii="仿宋_GB2312" w:eastAsia="仿宋_GB2312"/>
          <w:b/>
          <w:bCs/>
          <w:sz w:val="32"/>
          <w:szCs w:val="32"/>
        </w:rPr>
        <w:t>1、</w:t>
      </w:r>
      <w:r>
        <w:rPr>
          <w:rFonts w:hint="eastAsia" w:ascii="仿宋_GB2312" w:eastAsia="仿宋_GB2312"/>
          <w:sz w:val="32"/>
          <w:szCs w:val="32"/>
        </w:rPr>
        <w:t>认真</w:t>
      </w:r>
      <w:r>
        <w:rPr>
          <w:rFonts w:hint="eastAsia" w:ascii="仿宋_GB2312" w:hAnsi="宋体" w:eastAsia="仿宋_GB2312"/>
          <w:sz w:val="32"/>
          <w:szCs w:val="32"/>
        </w:rPr>
        <w:t>贯彻</w:t>
      </w:r>
      <w:r>
        <w:rPr>
          <w:rFonts w:hint="eastAsia" w:ascii="仿宋_GB2312" w:eastAsia="仿宋_GB2312"/>
          <w:sz w:val="32"/>
          <w:szCs w:val="32"/>
        </w:rPr>
        <w:t>国家和省市有关数字化城市管理的法律规章、行业标准、建设管理模式规范，认真执行涞水县网络数字化城市管理工作实施方案和有关政策。</w:t>
      </w:r>
      <w:r>
        <w:rPr>
          <w:rFonts w:hint="eastAsia" w:ascii="仿宋_GB2312" w:eastAsia="仿宋_GB2312"/>
          <w:b/>
          <w:bCs/>
          <w:sz w:val="32"/>
          <w:szCs w:val="32"/>
        </w:rPr>
        <w:t>2、</w:t>
      </w:r>
      <w:r>
        <w:rPr>
          <w:rFonts w:hint="eastAsia" w:ascii="仿宋_GB2312" w:eastAsia="仿宋_GB2312"/>
          <w:sz w:val="32"/>
          <w:szCs w:val="32"/>
        </w:rPr>
        <w:t>负责制定和完善数字化城市管理服务中心运行规范和规章制度。</w:t>
      </w:r>
      <w:r>
        <w:rPr>
          <w:rFonts w:hint="eastAsia" w:ascii="仿宋_GB2312" w:eastAsia="仿宋_GB2312"/>
          <w:b/>
          <w:bCs/>
          <w:sz w:val="32"/>
          <w:szCs w:val="32"/>
        </w:rPr>
        <w:t>3、</w:t>
      </w:r>
      <w:r>
        <w:rPr>
          <w:rFonts w:hint="eastAsia" w:ascii="仿宋_GB2312" w:eastAsia="仿宋_GB2312"/>
          <w:sz w:val="32"/>
          <w:szCs w:val="32"/>
        </w:rPr>
        <w:t>负责做好数字化城市管理服务中心安全防范信息安全和设备管理维护等工作。</w:t>
      </w:r>
    </w:p>
    <w:p>
      <w:pPr>
        <w:spacing w:line="560" w:lineRule="exact"/>
        <w:rPr>
          <w:rFonts w:hint="eastAsia" w:ascii="黑体" w:hAnsi="黑体" w:eastAsia="黑体" w:cs="黑体"/>
          <w:b/>
          <w:bCs/>
          <w:sz w:val="32"/>
          <w:szCs w:val="32"/>
          <w:lang w:eastAsia="zh-CN"/>
        </w:rPr>
      </w:pPr>
    </w:p>
    <w:p>
      <w:pPr>
        <w:spacing w:line="560" w:lineRule="exact"/>
        <w:ind w:firstLine="643" w:firstLineChars="200"/>
        <w:rPr>
          <w:rFonts w:hint="eastAsia" w:ascii="黑体" w:hAnsi="黑体" w:eastAsia="黑体" w:cs="黑体"/>
          <w:b/>
          <w:bCs/>
          <w:sz w:val="32"/>
          <w:szCs w:val="32"/>
        </w:rPr>
      </w:pPr>
      <w:r>
        <w:rPr>
          <w:rFonts w:hint="eastAsia" w:ascii="黑体" w:hAnsi="黑体" w:eastAsia="黑体" w:cs="黑体"/>
          <w:b/>
          <w:bCs/>
          <w:sz w:val="32"/>
          <w:szCs w:val="32"/>
          <w:lang w:eastAsia="zh-CN"/>
        </w:rPr>
        <w:t>单位</w:t>
      </w:r>
      <w:r>
        <w:rPr>
          <w:rFonts w:hint="eastAsia" w:ascii="黑体" w:hAnsi="黑体" w:eastAsia="黑体" w:cs="黑体"/>
          <w:b/>
          <w:bCs/>
          <w:sz w:val="32"/>
          <w:szCs w:val="32"/>
        </w:rPr>
        <w:t>编制情况</w:t>
      </w:r>
    </w:p>
    <w:p>
      <w:pPr>
        <w:spacing w:line="560" w:lineRule="exact"/>
        <w:ind w:firstLine="576"/>
        <w:rPr>
          <w:rFonts w:hint="eastAsia" w:ascii="仿宋_GB2312" w:hAnsi="宋体" w:eastAsia="仿宋_GB2312"/>
          <w:sz w:val="32"/>
          <w:szCs w:val="32"/>
        </w:rPr>
      </w:pPr>
      <w:r>
        <w:rPr>
          <w:rFonts w:hint="eastAsia" w:ascii="仿宋_GB2312" w:hAnsi="宋体" w:eastAsia="仿宋_GB2312"/>
          <w:sz w:val="32"/>
          <w:szCs w:val="32"/>
        </w:rPr>
        <w:t>我</w:t>
      </w:r>
      <w:r>
        <w:rPr>
          <w:rFonts w:hint="eastAsia" w:ascii="仿宋_GB2312" w:hAnsi="宋体" w:eastAsia="仿宋_GB2312"/>
          <w:sz w:val="32"/>
          <w:szCs w:val="32"/>
          <w:lang w:eastAsia="zh-CN"/>
        </w:rPr>
        <w:t>单位</w:t>
      </w:r>
      <w:r>
        <w:rPr>
          <w:rFonts w:hint="eastAsia" w:ascii="仿宋_GB2312" w:hAnsi="宋体" w:eastAsia="仿宋_GB2312"/>
          <w:sz w:val="32"/>
          <w:szCs w:val="32"/>
        </w:rPr>
        <w:t>编制人数 3</w:t>
      </w:r>
      <w:r>
        <w:rPr>
          <w:rFonts w:hint="eastAsia" w:ascii="仿宋_GB2312" w:hAnsi="宋体" w:eastAsia="仿宋_GB2312"/>
          <w:sz w:val="32"/>
          <w:szCs w:val="32"/>
          <w:lang w:val="en-US" w:eastAsia="zh-CN"/>
        </w:rPr>
        <w:t>4</w:t>
      </w:r>
      <w:r>
        <w:rPr>
          <w:rFonts w:hint="eastAsia" w:ascii="仿宋_GB2312" w:hAnsi="宋体" w:eastAsia="仿宋_GB2312"/>
          <w:sz w:val="32"/>
          <w:szCs w:val="32"/>
        </w:rPr>
        <w:t>个，行政编制数0 个，事业编制数 3</w:t>
      </w:r>
      <w:r>
        <w:rPr>
          <w:rFonts w:hint="eastAsia" w:ascii="仿宋_GB2312" w:hAnsi="宋体" w:eastAsia="仿宋_GB2312"/>
          <w:sz w:val="32"/>
          <w:szCs w:val="32"/>
          <w:lang w:val="en-US" w:eastAsia="zh-CN"/>
        </w:rPr>
        <w:t>4</w:t>
      </w:r>
      <w:r>
        <w:rPr>
          <w:rFonts w:hint="eastAsia" w:ascii="仿宋_GB2312" w:hAnsi="宋体" w:eastAsia="仿宋_GB2312"/>
          <w:sz w:val="32"/>
          <w:szCs w:val="32"/>
        </w:rPr>
        <w:t xml:space="preserve">个。实有在职人员 </w:t>
      </w:r>
      <w:r>
        <w:rPr>
          <w:rFonts w:hint="eastAsia" w:ascii="仿宋_GB2312" w:hAnsi="宋体" w:eastAsia="仿宋_GB2312"/>
          <w:sz w:val="32"/>
          <w:szCs w:val="32"/>
          <w:lang w:val="en-US" w:eastAsia="zh-CN"/>
        </w:rPr>
        <w:t>35</w:t>
      </w:r>
      <w:r>
        <w:rPr>
          <w:rFonts w:hint="eastAsia" w:ascii="仿宋_GB2312" w:hAnsi="宋体" w:eastAsia="仿宋_GB2312"/>
          <w:sz w:val="32"/>
          <w:szCs w:val="32"/>
        </w:rPr>
        <w:t xml:space="preserve"> 人，退休人员 </w:t>
      </w:r>
      <w:r>
        <w:rPr>
          <w:rFonts w:hint="eastAsia" w:ascii="仿宋_GB2312" w:hAnsi="宋体" w:eastAsia="仿宋_GB2312"/>
          <w:sz w:val="32"/>
          <w:szCs w:val="32"/>
          <w:lang w:val="en-US" w:eastAsia="zh-CN"/>
        </w:rPr>
        <w:t>22</w:t>
      </w:r>
      <w:r>
        <w:rPr>
          <w:rFonts w:hint="eastAsia" w:ascii="仿宋_GB2312" w:hAnsi="宋体" w:eastAsia="仿宋_GB2312"/>
          <w:sz w:val="32"/>
          <w:szCs w:val="32"/>
        </w:rPr>
        <w:t>人。</w:t>
      </w:r>
    </w:p>
    <w:p>
      <w:pPr>
        <w:spacing w:line="560" w:lineRule="exact"/>
        <w:ind w:firstLine="576"/>
        <w:rPr>
          <w:rFonts w:hint="eastAsia" w:ascii="仿宋_GB2312" w:hAnsi="宋体" w:eastAsia="仿宋_GB2312"/>
          <w:sz w:val="32"/>
          <w:szCs w:val="32"/>
        </w:rPr>
      </w:pPr>
    </w:p>
    <w:p>
      <w:pPr>
        <w:rPr>
          <w:rFonts w:hint="eastAsia"/>
        </w:rPr>
      </w:pPr>
    </w:p>
    <w:tbl>
      <w:tblPr>
        <w:tblStyle w:val="8"/>
        <w:tblpPr w:leftFromText="180" w:rightFromText="180" w:vertAnchor="text" w:horzAnchor="page" w:tblpX="2356" w:tblpY="328"/>
        <w:tblOverlap w:val="never"/>
        <w:tblW w:w="11940" w:type="dxa"/>
        <w:tblInd w:w="0" w:type="dxa"/>
        <w:tblLayout w:type="fixed"/>
        <w:tblCellMar>
          <w:top w:w="0" w:type="dxa"/>
          <w:left w:w="108" w:type="dxa"/>
          <w:bottom w:w="0" w:type="dxa"/>
          <w:right w:w="108" w:type="dxa"/>
        </w:tblCellMar>
      </w:tblPr>
      <w:tblGrid>
        <w:gridCol w:w="1080"/>
        <w:gridCol w:w="5025"/>
        <w:gridCol w:w="1275"/>
        <w:gridCol w:w="1770"/>
        <w:gridCol w:w="2790"/>
      </w:tblGrid>
      <w:tr>
        <w:tblPrEx>
          <w:tblCellMar>
            <w:top w:w="0" w:type="dxa"/>
            <w:left w:w="108" w:type="dxa"/>
            <w:bottom w:w="0" w:type="dxa"/>
            <w:right w:w="108" w:type="dxa"/>
          </w:tblCellMar>
        </w:tblPrEx>
        <w:trPr>
          <w:trHeight w:val="810" w:hRule="atLeast"/>
        </w:trPr>
        <w:tc>
          <w:tcPr>
            <w:tcW w:w="11940" w:type="dxa"/>
            <w:gridSpan w:val="5"/>
            <w:tcBorders>
              <w:top w:val="nil"/>
              <w:left w:val="nil"/>
              <w:bottom w:val="single" w:color="auto" w:sz="4" w:space="0"/>
              <w:right w:val="nil"/>
            </w:tcBorders>
            <w:noWrap w:val="0"/>
            <w:vAlign w:val="center"/>
          </w:tcPr>
          <w:p>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单位</w:t>
            </w:r>
            <w:r>
              <w:rPr>
                <w:rFonts w:hint="eastAsia" w:ascii="仿宋" w:hAnsi="仿宋" w:eastAsia="仿宋" w:cs="仿宋"/>
                <w:color w:val="000000"/>
                <w:kern w:val="0"/>
                <w:sz w:val="32"/>
                <w:szCs w:val="32"/>
              </w:rPr>
              <w:t>基本情况表</w:t>
            </w:r>
          </w:p>
        </w:tc>
      </w:tr>
      <w:tr>
        <w:tblPrEx>
          <w:tblCellMar>
            <w:top w:w="0" w:type="dxa"/>
            <w:left w:w="108" w:type="dxa"/>
            <w:bottom w:w="0" w:type="dxa"/>
            <w:right w:w="108" w:type="dxa"/>
          </w:tblCellMar>
        </w:tblPrEx>
        <w:trPr>
          <w:trHeight w:val="720" w:hRule="atLeast"/>
        </w:trPr>
        <w:tc>
          <w:tcPr>
            <w:tcW w:w="1080"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序号</w:t>
            </w:r>
          </w:p>
        </w:tc>
        <w:tc>
          <w:tcPr>
            <w:tcW w:w="5025"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单位名称</w:t>
            </w:r>
          </w:p>
        </w:tc>
        <w:tc>
          <w:tcPr>
            <w:tcW w:w="1275"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单位性质</w:t>
            </w:r>
          </w:p>
        </w:tc>
        <w:tc>
          <w:tcPr>
            <w:tcW w:w="1770"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单位规格</w:t>
            </w:r>
          </w:p>
        </w:tc>
        <w:tc>
          <w:tcPr>
            <w:tcW w:w="2790"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经费保障形式</w:t>
            </w:r>
          </w:p>
        </w:tc>
      </w:tr>
      <w:tr>
        <w:tblPrEx>
          <w:tblCellMar>
            <w:top w:w="0" w:type="dxa"/>
            <w:left w:w="108" w:type="dxa"/>
            <w:bottom w:w="0" w:type="dxa"/>
            <w:right w:w="108" w:type="dxa"/>
          </w:tblCellMar>
        </w:tblPrEx>
        <w:trPr>
          <w:trHeight w:val="624" w:hRule="atLeast"/>
        </w:trPr>
        <w:tc>
          <w:tcPr>
            <w:tcW w:w="1080"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 w:hAnsi="仿宋" w:eastAsia="仿宋" w:cs="仿宋"/>
                <w:color w:val="000000"/>
                <w:kern w:val="0"/>
                <w:sz w:val="32"/>
                <w:szCs w:val="32"/>
              </w:rPr>
            </w:pPr>
          </w:p>
        </w:tc>
        <w:tc>
          <w:tcPr>
            <w:tcW w:w="5025"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 w:hAnsi="仿宋" w:eastAsia="仿宋" w:cs="仿宋"/>
                <w:color w:val="000000"/>
                <w:kern w:val="0"/>
                <w:sz w:val="32"/>
                <w:szCs w:val="32"/>
              </w:rPr>
            </w:pPr>
          </w:p>
        </w:tc>
        <w:tc>
          <w:tcPr>
            <w:tcW w:w="1275"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 w:hAnsi="仿宋" w:eastAsia="仿宋" w:cs="仿宋"/>
                <w:color w:val="000000"/>
                <w:kern w:val="0"/>
                <w:sz w:val="32"/>
                <w:szCs w:val="32"/>
              </w:rPr>
            </w:pPr>
          </w:p>
        </w:tc>
        <w:tc>
          <w:tcPr>
            <w:tcW w:w="1770"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 w:hAnsi="仿宋" w:eastAsia="仿宋" w:cs="仿宋"/>
                <w:color w:val="000000"/>
                <w:kern w:val="0"/>
                <w:sz w:val="32"/>
                <w:szCs w:val="32"/>
              </w:rPr>
            </w:pPr>
          </w:p>
        </w:tc>
        <w:tc>
          <w:tcPr>
            <w:tcW w:w="2790"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 w:hAnsi="仿宋" w:eastAsia="仿宋" w:cs="仿宋"/>
                <w:color w:val="000000"/>
                <w:kern w:val="0"/>
                <w:sz w:val="32"/>
                <w:szCs w:val="32"/>
              </w:rPr>
            </w:pPr>
          </w:p>
        </w:tc>
      </w:tr>
      <w:tr>
        <w:tblPrEx>
          <w:tblCellMar>
            <w:top w:w="0" w:type="dxa"/>
            <w:left w:w="108" w:type="dxa"/>
            <w:bottom w:w="0" w:type="dxa"/>
            <w:right w:w="108" w:type="dxa"/>
          </w:tblCellMar>
        </w:tblPrEx>
        <w:trPr>
          <w:trHeight w:val="720" w:hRule="atLeast"/>
        </w:trPr>
        <w:tc>
          <w:tcPr>
            <w:tcW w:w="1080" w:type="dxa"/>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1</w:t>
            </w:r>
          </w:p>
        </w:tc>
        <w:tc>
          <w:tcPr>
            <w:tcW w:w="5025"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涞水县城市管理综合</w:t>
            </w:r>
            <w:r>
              <w:rPr>
                <w:rFonts w:hint="eastAsia" w:ascii="仿宋" w:hAnsi="仿宋" w:eastAsia="仿宋" w:cs="仿宋"/>
                <w:color w:val="000000"/>
                <w:kern w:val="0"/>
                <w:sz w:val="32"/>
                <w:szCs w:val="32"/>
                <w:lang w:eastAsia="zh-CN"/>
              </w:rPr>
              <w:t>执法队本级</w:t>
            </w:r>
          </w:p>
        </w:tc>
        <w:tc>
          <w:tcPr>
            <w:tcW w:w="1275" w:type="dxa"/>
            <w:tcBorders>
              <w:top w:val="nil"/>
              <w:left w:val="nil"/>
              <w:bottom w:val="single" w:color="auto" w:sz="4" w:space="0"/>
              <w:right w:val="single" w:color="auto" w:sz="4" w:space="0"/>
            </w:tcBorders>
            <w:noWrap w:val="0"/>
            <w:vAlign w:val="center"/>
          </w:tcPr>
          <w:p>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事业</w:t>
            </w:r>
          </w:p>
        </w:tc>
        <w:tc>
          <w:tcPr>
            <w:tcW w:w="1770" w:type="dxa"/>
            <w:tcBorders>
              <w:top w:val="nil"/>
              <w:left w:val="nil"/>
              <w:bottom w:val="single" w:color="auto" w:sz="4" w:space="0"/>
              <w:right w:val="single" w:color="auto" w:sz="4" w:space="0"/>
            </w:tcBorders>
            <w:noWrap w:val="0"/>
            <w:vAlign w:val="center"/>
          </w:tcPr>
          <w:p>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副</w:t>
            </w:r>
            <w:r>
              <w:rPr>
                <w:rFonts w:hint="eastAsia" w:ascii="仿宋" w:hAnsi="仿宋" w:eastAsia="仿宋" w:cs="仿宋"/>
                <w:color w:val="000000"/>
                <w:kern w:val="0"/>
                <w:sz w:val="32"/>
                <w:szCs w:val="32"/>
              </w:rPr>
              <w:t>科级</w:t>
            </w:r>
          </w:p>
        </w:tc>
        <w:tc>
          <w:tcPr>
            <w:tcW w:w="2790"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eastAsia="zh-CN"/>
              </w:rPr>
              <w:t>自收自支</w:t>
            </w:r>
          </w:p>
        </w:tc>
      </w:tr>
    </w:tbl>
    <w:p>
      <w:pPr>
        <w:spacing w:line="560" w:lineRule="exact"/>
        <w:ind w:firstLine="576"/>
        <w:rPr>
          <w:rFonts w:hint="eastAsia" w:ascii="仿宋_GB2312" w:hAnsi="宋体" w:eastAsia="仿宋_GB2312"/>
          <w:sz w:val="32"/>
          <w:szCs w:val="32"/>
        </w:rPr>
      </w:pPr>
    </w:p>
    <w:p>
      <w:pPr>
        <w:spacing w:line="560" w:lineRule="exact"/>
        <w:ind w:firstLine="576"/>
        <w:rPr>
          <w:rFonts w:hint="eastAsia" w:ascii="仿宋_GB2312" w:hAnsi="宋体" w:eastAsia="仿宋_GB2312"/>
          <w:sz w:val="32"/>
          <w:szCs w:val="32"/>
        </w:rPr>
      </w:pPr>
    </w:p>
    <w:p>
      <w:pPr>
        <w:spacing w:line="560" w:lineRule="exact"/>
        <w:rPr>
          <w:rFonts w:hint="eastAsia" w:ascii="仿宋_GB2312" w:hAnsi="宋体" w:eastAsia="仿宋_GB2312"/>
          <w:sz w:val="32"/>
          <w:szCs w:val="32"/>
        </w:rPr>
      </w:pPr>
    </w:p>
    <w:p>
      <w:pPr>
        <w:spacing w:line="560" w:lineRule="exact"/>
        <w:rPr>
          <w:rFonts w:hint="eastAsia" w:ascii="仿宋_GB2312" w:hAnsi="宋体" w:eastAsia="仿宋_GB2312"/>
          <w:sz w:val="32"/>
          <w:szCs w:val="32"/>
        </w:rPr>
      </w:pPr>
    </w:p>
    <w:p>
      <w:pPr>
        <w:spacing w:line="560" w:lineRule="exact"/>
        <w:rPr>
          <w:rFonts w:ascii="仿宋_GB2312" w:hAnsi="仿宋_GB2312" w:eastAsia="仿宋_GB2312" w:cs="仿宋_GB2312"/>
          <w:b/>
          <w:bCs/>
          <w:sz w:val="32"/>
          <w:szCs w:val="32"/>
        </w:rPr>
      </w:pPr>
    </w:p>
    <w:p>
      <w:pPr>
        <w:spacing w:line="520" w:lineRule="exact"/>
        <w:ind w:firstLine="627" w:firstLineChars="196"/>
        <w:rPr>
          <w:rFonts w:hint="eastAsia" w:ascii="黑体" w:hAnsi="黑体" w:eastAsia="黑体" w:cs="黑体"/>
          <w:b w:val="0"/>
          <w:bCs w:val="0"/>
          <w:sz w:val="32"/>
          <w:szCs w:val="32"/>
        </w:rPr>
      </w:pPr>
    </w:p>
    <w:p>
      <w:pPr>
        <w:spacing w:line="520" w:lineRule="exact"/>
        <w:rPr>
          <w:rFonts w:hint="eastAsia" w:ascii="黑体" w:hAnsi="黑体" w:eastAsia="黑体" w:cs="黑体"/>
          <w:b w:val="0"/>
          <w:bCs w:val="0"/>
          <w:sz w:val="32"/>
          <w:szCs w:val="32"/>
        </w:rPr>
      </w:pPr>
    </w:p>
    <w:p>
      <w:pPr>
        <w:spacing w:line="520" w:lineRule="exact"/>
        <w:ind w:firstLine="627" w:firstLineChars="196"/>
        <w:rPr>
          <w:rFonts w:hint="eastAsia" w:ascii="黑体" w:hAnsi="黑体" w:eastAsia="黑体" w:cs="黑体"/>
          <w:b w:val="0"/>
          <w:bCs w:val="0"/>
          <w:sz w:val="32"/>
          <w:szCs w:val="32"/>
        </w:rPr>
      </w:pPr>
      <w:r>
        <w:rPr>
          <w:rFonts w:hint="eastAsia" w:ascii="黑体" w:hAnsi="黑体" w:eastAsia="黑体" w:cs="黑体"/>
          <w:b w:val="0"/>
          <w:bCs w:val="0"/>
          <w:sz w:val="32"/>
          <w:szCs w:val="32"/>
        </w:rPr>
        <w:t>二、</w:t>
      </w:r>
      <w:r>
        <w:rPr>
          <w:rFonts w:hint="eastAsia" w:ascii="黑体" w:hAnsi="黑体" w:eastAsia="黑体" w:cs="黑体"/>
          <w:b w:val="0"/>
          <w:bCs w:val="0"/>
          <w:sz w:val="32"/>
          <w:szCs w:val="32"/>
          <w:lang w:eastAsia="zh-CN"/>
        </w:rPr>
        <w:t>单位</w:t>
      </w:r>
      <w:r>
        <w:rPr>
          <w:rFonts w:hint="eastAsia" w:ascii="黑体" w:hAnsi="黑体" w:eastAsia="黑体" w:cs="黑体"/>
          <w:b w:val="0"/>
          <w:bCs w:val="0"/>
          <w:sz w:val="32"/>
          <w:szCs w:val="32"/>
        </w:rPr>
        <w:t>预算安排的总体情况</w:t>
      </w:r>
    </w:p>
    <w:p>
      <w:pPr>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1、收入情况</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反映本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当年全部收入。202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年预算收入总额</w:t>
      </w:r>
      <w:r>
        <w:rPr>
          <w:rFonts w:hint="eastAsia" w:ascii="仿宋_GB2312" w:hAnsi="仿宋_GB2312" w:eastAsia="仿宋_GB2312" w:cs="仿宋_GB2312"/>
          <w:sz w:val="32"/>
          <w:szCs w:val="32"/>
          <w:lang w:val="en-US" w:eastAsia="zh-CN"/>
        </w:rPr>
        <w:t>1610.03</w:t>
      </w:r>
      <w:r>
        <w:rPr>
          <w:rFonts w:hint="eastAsia" w:ascii="仿宋_GB2312" w:hAnsi="仿宋_GB2312" w:eastAsia="仿宋_GB2312" w:cs="仿宋_GB2312"/>
          <w:sz w:val="32"/>
          <w:szCs w:val="32"/>
        </w:rPr>
        <w:t>万元，均为一般公共预算拨款，其中财政拨款收入</w:t>
      </w:r>
      <w:r>
        <w:rPr>
          <w:rFonts w:hint="eastAsia" w:ascii="仿宋_GB2312" w:hAnsi="仿宋_GB2312" w:eastAsia="仿宋_GB2312" w:cs="仿宋_GB2312"/>
          <w:sz w:val="32"/>
          <w:szCs w:val="32"/>
          <w:lang w:val="en-US" w:eastAsia="zh-CN"/>
        </w:rPr>
        <w:t>1610.03</w:t>
      </w:r>
      <w:r>
        <w:rPr>
          <w:rFonts w:hint="eastAsia" w:ascii="仿宋_GB2312" w:hAnsi="仿宋_GB2312" w:eastAsia="仿宋_GB2312" w:cs="仿宋_GB2312"/>
          <w:sz w:val="32"/>
          <w:szCs w:val="32"/>
        </w:rPr>
        <w:t>万元。</w:t>
      </w:r>
    </w:p>
    <w:p>
      <w:pPr>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2、支出情况</w:t>
      </w:r>
    </w:p>
    <w:p>
      <w:pPr>
        <w:spacing w:line="520" w:lineRule="exact"/>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收支预算总表支出栏、基本支出表、项目支出表按经济分类和支出功能分类科目编制，反映我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预算中支出预算的总体情况。202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年预算支出总额</w:t>
      </w:r>
      <w:r>
        <w:rPr>
          <w:rFonts w:hint="eastAsia" w:ascii="仿宋_GB2312" w:hAnsi="仿宋_GB2312" w:eastAsia="仿宋_GB2312" w:cs="仿宋_GB2312"/>
          <w:sz w:val="32"/>
          <w:szCs w:val="32"/>
          <w:lang w:val="en-US" w:eastAsia="zh-CN"/>
        </w:rPr>
        <w:t>1610.03</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596.07</w:t>
      </w:r>
      <w:r>
        <w:rPr>
          <w:rFonts w:hint="eastAsia" w:ascii="仿宋_GB2312" w:hAnsi="仿宋_GB2312" w:eastAsia="仿宋_GB2312" w:cs="仿宋_GB2312"/>
          <w:sz w:val="32"/>
          <w:szCs w:val="32"/>
        </w:rPr>
        <w:t>万元，包含人员经费支出</w:t>
      </w:r>
      <w:r>
        <w:rPr>
          <w:rFonts w:hint="eastAsia" w:ascii="仿宋_GB2312" w:hAnsi="仿宋_GB2312" w:eastAsia="仿宋_GB2312" w:cs="仿宋_GB2312"/>
          <w:sz w:val="32"/>
          <w:szCs w:val="32"/>
          <w:lang w:val="en-US" w:eastAsia="zh-CN"/>
        </w:rPr>
        <w:t>342.97</w:t>
      </w:r>
      <w:r>
        <w:rPr>
          <w:rFonts w:hint="eastAsia" w:ascii="仿宋_GB2312" w:hAnsi="仿宋_GB2312" w:eastAsia="仿宋_GB2312" w:cs="仿宋_GB2312"/>
          <w:sz w:val="32"/>
          <w:szCs w:val="32"/>
        </w:rPr>
        <w:t>万元、日常公用经费支出</w:t>
      </w:r>
      <w:r>
        <w:rPr>
          <w:rFonts w:hint="eastAsia" w:ascii="仿宋_GB2312" w:hAnsi="仿宋_GB2312" w:eastAsia="仿宋_GB2312" w:cs="仿宋_GB2312"/>
          <w:sz w:val="32"/>
          <w:szCs w:val="32"/>
          <w:lang w:val="en-US" w:eastAsia="zh-CN"/>
        </w:rPr>
        <w:t>253.10</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1013.96</w:t>
      </w:r>
      <w:r>
        <w:rPr>
          <w:rFonts w:hint="eastAsia" w:ascii="仿宋_GB2312" w:hAnsi="仿宋_GB2312" w:eastAsia="仿宋_GB2312" w:cs="仿宋_GB2312"/>
          <w:sz w:val="32"/>
          <w:szCs w:val="32"/>
        </w:rPr>
        <w:t>万元。</w:t>
      </w:r>
    </w:p>
    <w:p>
      <w:pPr>
        <w:numPr>
          <w:ilvl w:val="0"/>
          <w:numId w:val="1"/>
        </w:numPr>
        <w:spacing w:line="520" w:lineRule="exact"/>
        <w:ind w:left="800" w:leftChars="0" w:firstLine="0" w:firstLineChars="0"/>
        <w:rPr>
          <w:rFonts w:hint="eastAsia" w:ascii="仿宋" w:hAnsi="仿宋" w:eastAsia="仿宋" w:cs="仿宋"/>
          <w:b/>
          <w:bCs/>
          <w:sz w:val="32"/>
          <w:szCs w:val="32"/>
        </w:rPr>
      </w:pPr>
      <w:r>
        <w:rPr>
          <w:rFonts w:hint="eastAsia" w:ascii="仿宋" w:hAnsi="仿宋" w:eastAsia="仿宋" w:cs="仿宋"/>
          <w:b/>
          <w:bCs/>
          <w:sz w:val="32"/>
          <w:szCs w:val="32"/>
        </w:rPr>
        <w:t>比上年增减情况</w:t>
      </w:r>
    </w:p>
    <w:p>
      <w:pPr>
        <w:spacing w:line="560" w:lineRule="exact"/>
        <w:ind w:firstLine="960" w:firstLineChars="3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本年度预算收支安排</w:t>
      </w:r>
      <w:r>
        <w:rPr>
          <w:rFonts w:hint="eastAsia" w:ascii="仿宋_GB2312" w:hAnsi="仿宋_GB2312" w:eastAsia="仿宋_GB2312" w:cs="仿宋_GB2312"/>
          <w:sz w:val="32"/>
          <w:szCs w:val="32"/>
          <w:lang w:val="en-US" w:eastAsia="zh-CN"/>
        </w:rPr>
        <w:t>1610.03</w:t>
      </w:r>
      <w:r>
        <w:rPr>
          <w:rFonts w:hint="eastAsia" w:ascii="仿宋_GB2312" w:hAnsi="仿宋_GB2312" w:eastAsia="仿宋_GB2312" w:cs="仿宋_GB2312"/>
          <w:sz w:val="32"/>
          <w:szCs w:val="32"/>
        </w:rPr>
        <w:t>万元，较上年</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960.63</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19.23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人员经费比上年减少</w:t>
      </w:r>
      <w:r>
        <w:rPr>
          <w:rFonts w:hint="eastAsia" w:ascii="仿宋_GB2312" w:hAnsi="仿宋_GB2312" w:eastAsia="仿宋_GB2312" w:cs="仿宋_GB2312"/>
          <w:sz w:val="32"/>
          <w:szCs w:val="32"/>
          <w:lang w:val="en-US" w:eastAsia="zh-CN"/>
        </w:rPr>
        <w:t>25.45万元，原因是有3人退休</w:t>
      </w:r>
      <w:r>
        <w:rPr>
          <w:rFonts w:hint="eastAsia" w:ascii="仿宋_GB2312" w:hAnsi="仿宋_GB2312" w:eastAsia="仿宋_GB2312" w:cs="仿宋_GB2312"/>
          <w:sz w:val="32"/>
          <w:szCs w:val="32"/>
          <w:lang w:eastAsia="zh-CN"/>
        </w:rPr>
        <w:t>；日常公用经费增加</w:t>
      </w:r>
      <w:r>
        <w:rPr>
          <w:rFonts w:hint="eastAsia" w:ascii="仿宋_GB2312" w:hAnsi="仿宋_GB2312" w:eastAsia="仿宋_GB2312" w:cs="仿宋_GB2312"/>
          <w:sz w:val="32"/>
          <w:szCs w:val="32"/>
          <w:lang w:val="en-US" w:eastAsia="zh-CN"/>
        </w:rPr>
        <w:t>6.22万元，</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劳务费；</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979.86</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增加环卫工工资项目。</w:t>
      </w:r>
    </w:p>
    <w:p>
      <w:pPr>
        <w:spacing w:line="52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三、机关运行经费安排情况</w:t>
      </w:r>
    </w:p>
    <w:p>
      <w:pPr>
        <w:spacing w:line="520" w:lineRule="exact"/>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安排财政拨款支出主要用于保障机构正常运转、完成日常工作任务。日常公用经费</w:t>
      </w:r>
      <w:r>
        <w:rPr>
          <w:rFonts w:hint="eastAsia" w:ascii="仿宋_GB2312" w:hAnsi="仿宋_GB2312" w:eastAsia="仿宋_GB2312" w:cs="仿宋_GB2312"/>
          <w:sz w:val="32"/>
          <w:szCs w:val="32"/>
          <w:lang w:val="en-US" w:eastAsia="zh-CN"/>
        </w:rPr>
        <w:t>253.10</w:t>
      </w:r>
      <w:r>
        <w:rPr>
          <w:rFonts w:hint="eastAsia" w:ascii="仿宋_GB2312" w:hAnsi="仿宋_GB2312" w:eastAsia="仿宋_GB2312" w:cs="仿宋_GB2312"/>
          <w:sz w:val="32"/>
          <w:szCs w:val="32"/>
        </w:rPr>
        <w:t>万元，其中：办公费</w:t>
      </w:r>
      <w:r>
        <w:rPr>
          <w:rFonts w:hint="eastAsia" w:ascii="仿宋_GB2312" w:hAnsi="仿宋_GB2312" w:eastAsia="仿宋_GB2312" w:cs="仿宋_GB2312"/>
          <w:sz w:val="32"/>
          <w:szCs w:val="32"/>
          <w:lang w:val="en-US" w:eastAsia="zh-CN"/>
        </w:rPr>
        <w:t>7.70</w:t>
      </w:r>
      <w:r>
        <w:rPr>
          <w:rFonts w:hint="eastAsia" w:ascii="仿宋_GB2312" w:hAnsi="仿宋_GB2312" w:eastAsia="仿宋_GB2312" w:cs="仿宋_GB2312"/>
          <w:sz w:val="32"/>
          <w:szCs w:val="32"/>
        </w:rPr>
        <w:t>万元，邮电费0.36万元，取暖费</w:t>
      </w:r>
      <w:r>
        <w:rPr>
          <w:rFonts w:hint="eastAsia" w:ascii="仿宋_GB2312" w:hAnsi="仿宋_GB2312" w:eastAsia="仿宋_GB2312" w:cs="仿宋_GB2312"/>
          <w:sz w:val="32"/>
          <w:szCs w:val="32"/>
          <w:lang w:val="en-US" w:eastAsia="zh-CN"/>
        </w:rPr>
        <w:t>10.17</w:t>
      </w:r>
      <w:r>
        <w:rPr>
          <w:rFonts w:hint="eastAsia" w:ascii="仿宋_GB2312" w:hAnsi="仿宋_GB2312" w:eastAsia="仿宋_GB2312" w:cs="仿宋_GB2312"/>
          <w:sz w:val="32"/>
          <w:szCs w:val="32"/>
        </w:rPr>
        <w:t>万元，差旅费</w:t>
      </w:r>
      <w:r>
        <w:rPr>
          <w:rFonts w:hint="eastAsia" w:ascii="仿宋_GB2312" w:hAnsi="仿宋_GB2312" w:eastAsia="仿宋_GB2312" w:cs="仿宋_GB2312"/>
          <w:sz w:val="32"/>
          <w:szCs w:val="32"/>
          <w:lang w:val="en-US" w:eastAsia="zh-CN"/>
        </w:rPr>
        <w:t>3.50</w:t>
      </w:r>
      <w:r>
        <w:rPr>
          <w:rFonts w:hint="eastAsia" w:ascii="仿宋_GB2312" w:hAnsi="仿宋_GB2312" w:eastAsia="仿宋_GB2312" w:cs="仿宋_GB2312"/>
          <w:sz w:val="32"/>
          <w:szCs w:val="32"/>
        </w:rPr>
        <w:t>万元，劳务费</w:t>
      </w:r>
      <w:r>
        <w:rPr>
          <w:rFonts w:hint="eastAsia" w:ascii="仿宋_GB2312" w:hAnsi="仿宋_GB2312" w:eastAsia="仿宋_GB2312" w:cs="仿宋_GB2312"/>
          <w:sz w:val="32"/>
          <w:szCs w:val="32"/>
          <w:lang w:val="en-US" w:eastAsia="zh-CN"/>
        </w:rPr>
        <w:t>215.64万元</w:t>
      </w:r>
      <w:r>
        <w:rPr>
          <w:rFonts w:hint="eastAsia" w:ascii="仿宋_GB2312" w:hAnsi="仿宋_GB2312" w:eastAsia="仿宋_GB2312" w:cs="仿宋_GB2312"/>
          <w:sz w:val="32"/>
          <w:szCs w:val="32"/>
        </w:rPr>
        <w:t>，工会经费</w:t>
      </w:r>
      <w:r>
        <w:rPr>
          <w:rFonts w:hint="eastAsia" w:ascii="仿宋_GB2312" w:hAnsi="仿宋_GB2312" w:eastAsia="仿宋_GB2312" w:cs="仿宋_GB2312"/>
          <w:sz w:val="32"/>
          <w:szCs w:val="32"/>
          <w:lang w:val="en-US" w:eastAsia="zh-CN"/>
        </w:rPr>
        <w:t>2.74</w:t>
      </w:r>
      <w:r>
        <w:rPr>
          <w:rFonts w:hint="eastAsia" w:ascii="仿宋_GB2312" w:hAnsi="仿宋_GB2312" w:eastAsia="仿宋_GB2312" w:cs="仿宋_GB2312"/>
          <w:sz w:val="32"/>
          <w:szCs w:val="32"/>
        </w:rPr>
        <w:t>万元，职工福利费</w:t>
      </w:r>
      <w:r>
        <w:rPr>
          <w:rFonts w:hint="eastAsia" w:ascii="仿宋_GB2312" w:hAnsi="仿宋_GB2312" w:eastAsia="仿宋_GB2312" w:cs="仿宋_GB2312"/>
          <w:sz w:val="32"/>
          <w:szCs w:val="32"/>
          <w:lang w:val="en-US" w:eastAsia="zh-CN"/>
        </w:rPr>
        <w:t>4.99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，公务用车运行维护费</w:t>
      </w:r>
      <w:r>
        <w:rPr>
          <w:rFonts w:hint="eastAsia" w:ascii="仿宋_GB2312" w:hAnsi="仿宋_GB2312" w:eastAsia="仿宋_GB2312" w:cs="仿宋_GB2312"/>
          <w:sz w:val="32"/>
          <w:szCs w:val="32"/>
          <w:lang w:val="en-US" w:eastAsia="zh-CN"/>
        </w:rPr>
        <w:t>8.00万元</w:t>
      </w:r>
      <w:r>
        <w:rPr>
          <w:rFonts w:hint="eastAsia" w:ascii="仿宋_GB2312" w:hAnsi="仿宋_GB2312" w:eastAsia="仿宋_GB2312" w:cs="仿宋_GB2312"/>
          <w:sz w:val="32"/>
          <w:szCs w:val="32"/>
        </w:rPr>
        <w:t>。</w:t>
      </w:r>
    </w:p>
    <w:p>
      <w:pPr>
        <w:numPr>
          <w:ilvl w:val="0"/>
          <w:numId w:val="2"/>
        </w:numPr>
        <w:tabs>
          <w:tab w:val="left" w:pos="490"/>
        </w:tabs>
        <w:spacing w:line="52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财政拨款“三公”经费预算情况及增减</w:t>
      </w:r>
      <w:r>
        <w:rPr>
          <w:rFonts w:hint="eastAsia" w:ascii="黑体" w:hAnsi="黑体" w:eastAsia="黑体" w:cs="黑体"/>
          <w:b w:val="0"/>
          <w:bCs w:val="0"/>
          <w:sz w:val="32"/>
          <w:szCs w:val="32"/>
          <w:lang w:eastAsia="zh-CN"/>
        </w:rPr>
        <w:t>变化情况</w:t>
      </w:r>
    </w:p>
    <w:tbl>
      <w:tblPr>
        <w:tblStyle w:val="8"/>
        <w:tblpPr w:leftFromText="180" w:rightFromText="180" w:vertAnchor="text" w:horzAnchor="page" w:tblpX="1816" w:tblpY="518"/>
        <w:tblOverlap w:val="never"/>
        <w:tblW w:w="12764" w:type="dxa"/>
        <w:tblInd w:w="0" w:type="dxa"/>
        <w:tblLayout w:type="fixed"/>
        <w:tblCellMar>
          <w:top w:w="0" w:type="dxa"/>
          <w:left w:w="108" w:type="dxa"/>
          <w:bottom w:w="0" w:type="dxa"/>
          <w:right w:w="108" w:type="dxa"/>
        </w:tblCellMar>
      </w:tblPr>
      <w:tblGrid>
        <w:gridCol w:w="3149"/>
        <w:gridCol w:w="2070"/>
        <w:gridCol w:w="2100"/>
        <w:gridCol w:w="1500"/>
        <w:gridCol w:w="3945"/>
      </w:tblGrid>
      <w:tr>
        <w:tblPrEx>
          <w:tblCellMar>
            <w:top w:w="0" w:type="dxa"/>
            <w:left w:w="108" w:type="dxa"/>
            <w:bottom w:w="0" w:type="dxa"/>
            <w:right w:w="108" w:type="dxa"/>
          </w:tblCellMar>
        </w:tblPrEx>
        <w:trPr>
          <w:trHeight w:val="405" w:hRule="atLeast"/>
        </w:trPr>
        <w:tc>
          <w:tcPr>
            <w:tcW w:w="12764" w:type="dxa"/>
            <w:gridSpan w:val="5"/>
            <w:tcBorders>
              <w:top w:val="nil"/>
              <w:left w:val="nil"/>
              <w:bottom w:val="nil"/>
              <w:right w:val="nil"/>
            </w:tcBorders>
            <w:noWrap w:val="0"/>
            <w:vAlign w:val="center"/>
          </w:tcPr>
          <w:p>
            <w:pPr>
              <w:widowControl/>
              <w:spacing w:line="520" w:lineRule="exact"/>
              <w:jc w:val="center"/>
              <w:rPr>
                <w:rFonts w:hint="eastAsia" w:ascii="仿宋" w:hAnsi="仿宋" w:eastAsia="仿宋" w:cs="仿宋"/>
                <w:kern w:val="0"/>
                <w:sz w:val="24"/>
                <w:szCs w:val="24"/>
                <w:lang w:eastAsia="zh-CN"/>
              </w:rPr>
            </w:pPr>
            <w:r>
              <w:rPr>
                <w:rFonts w:hint="eastAsia" w:ascii="仿宋" w:hAnsi="仿宋" w:eastAsia="仿宋" w:cs="仿宋"/>
                <w:b/>
                <w:bCs/>
                <w:sz w:val="28"/>
                <w:szCs w:val="28"/>
              </w:rPr>
              <w:t>“三公”经费预算情况及增减</w:t>
            </w:r>
            <w:r>
              <w:rPr>
                <w:rFonts w:hint="eastAsia" w:ascii="仿宋" w:hAnsi="仿宋" w:eastAsia="仿宋" w:cs="仿宋"/>
                <w:b/>
                <w:bCs/>
                <w:sz w:val="28"/>
                <w:szCs w:val="28"/>
                <w:lang w:eastAsia="zh-CN"/>
              </w:rPr>
              <w:t>变化情况</w:t>
            </w:r>
          </w:p>
        </w:tc>
      </w:tr>
      <w:tr>
        <w:tblPrEx>
          <w:tblCellMar>
            <w:top w:w="0" w:type="dxa"/>
            <w:left w:w="108" w:type="dxa"/>
            <w:bottom w:w="0" w:type="dxa"/>
            <w:right w:w="108" w:type="dxa"/>
          </w:tblCellMar>
        </w:tblPrEx>
        <w:trPr>
          <w:trHeight w:val="221" w:hRule="atLeast"/>
        </w:trPr>
        <w:tc>
          <w:tcPr>
            <w:tcW w:w="3149"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c>
          <w:tcPr>
            <w:tcW w:w="2070"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c>
          <w:tcPr>
            <w:tcW w:w="2100"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c>
          <w:tcPr>
            <w:tcW w:w="1500"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c>
          <w:tcPr>
            <w:tcW w:w="3945" w:type="dxa"/>
            <w:tcBorders>
              <w:top w:val="nil"/>
              <w:left w:val="nil"/>
              <w:bottom w:val="nil"/>
              <w:right w:val="nil"/>
            </w:tcBorders>
            <w:noWrap w:val="0"/>
            <w:vAlign w:val="center"/>
          </w:tcPr>
          <w:p>
            <w:pPr>
              <w:widowControl/>
              <w:jc w:val="right"/>
              <w:rPr>
                <w:rFonts w:ascii="仿宋" w:hAnsi="仿宋" w:eastAsia="仿宋" w:cs="仿宋"/>
                <w:kern w:val="0"/>
                <w:sz w:val="24"/>
                <w:szCs w:val="24"/>
              </w:rPr>
            </w:pPr>
            <w:r>
              <w:rPr>
                <w:rFonts w:hint="eastAsia" w:ascii="仿宋" w:hAnsi="仿宋" w:eastAsia="仿宋" w:cs="仿宋"/>
                <w:kern w:val="0"/>
                <w:sz w:val="24"/>
                <w:szCs w:val="24"/>
              </w:rPr>
              <w:t>单位：万元</w:t>
            </w:r>
          </w:p>
        </w:tc>
      </w:tr>
      <w:tr>
        <w:tblPrEx>
          <w:tblCellMar>
            <w:top w:w="0" w:type="dxa"/>
            <w:left w:w="108" w:type="dxa"/>
            <w:bottom w:w="0" w:type="dxa"/>
            <w:right w:w="108" w:type="dxa"/>
          </w:tblCellMar>
        </w:tblPrEx>
        <w:trPr>
          <w:trHeight w:val="566" w:hRule="atLeast"/>
        </w:trPr>
        <w:tc>
          <w:tcPr>
            <w:tcW w:w="31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仿宋"/>
                <w:kern w:val="0"/>
                <w:sz w:val="24"/>
                <w:szCs w:val="24"/>
              </w:rPr>
            </w:pPr>
            <w:r>
              <w:rPr>
                <w:rFonts w:hint="eastAsia" w:ascii="仿宋" w:hAnsi="仿宋" w:eastAsia="仿宋" w:cs="仿宋"/>
                <w:kern w:val="0"/>
                <w:sz w:val="24"/>
                <w:szCs w:val="24"/>
              </w:rPr>
              <w:t>项目名称</w:t>
            </w:r>
          </w:p>
        </w:tc>
        <w:tc>
          <w:tcPr>
            <w:tcW w:w="2070"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仿宋"/>
                <w:kern w:val="0"/>
                <w:sz w:val="24"/>
                <w:szCs w:val="24"/>
              </w:rPr>
            </w:pPr>
            <w:r>
              <w:rPr>
                <w:rFonts w:hint="eastAsia" w:ascii="仿宋" w:hAnsi="仿宋" w:eastAsia="仿宋" w:cs="仿宋"/>
                <w:kern w:val="0"/>
                <w:sz w:val="24"/>
                <w:szCs w:val="24"/>
              </w:rPr>
              <w:t>20</w:t>
            </w:r>
            <w:r>
              <w:rPr>
                <w:rFonts w:hint="eastAsia" w:ascii="仿宋" w:hAnsi="仿宋" w:eastAsia="仿宋" w:cs="仿宋"/>
                <w:kern w:val="0"/>
                <w:sz w:val="24"/>
                <w:szCs w:val="24"/>
                <w:lang w:val="en-US" w:eastAsia="zh-CN"/>
              </w:rPr>
              <w:t>24</w:t>
            </w:r>
            <w:r>
              <w:rPr>
                <w:rFonts w:hint="eastAsia" w:ascii="仿宋" w:hAnsi="仿宋" w:eastAsia="仿宋" w:cs="仿宋"/>
                <w:kern w:val="0"/>
                <w:sz w:val="24"/>
                <w:szCs w:val="24"/>
              </w:rPr>
              <w:t>年度预算</w:t>
            </w:r>
          </w:p>
        </w:tc>
        <w:tc>
          <w:tcPr>
            <w:tcW w:w="2100"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仿宋"/>
                <w:kern w:val="0"/>
                <w:sz w:val="24"/>
                <w:szCs w:val="24"/>
              </w:rPr>
            </w:pPr>
            <w:r>
              <w:rPr>
                <w:rFonts w:hint="eastAsia" w:ascii="仿宋" w:hAnsi="仿宋" w:eastAsia="仿宋" w:cs="仿宋"/>
                <w:kern w:val="0"/>
                <w:sz w:val="24"/>
                <w:szCs w:val="24"/>
              </w:rPr>
              <w:t>202</w:t>
            </w:r>
            <w:r>
              <w:rPr>
                <w:rFonts w:hint="eastAsia" w:ascii="仿宋" w:hAnsi="仿宋" w:eastAsia="仿宋" w:cs="仿宋"/>
                <w:kern w:val="0"/>
                <w:sz w:val="24"/>
                <w:szCs w:val="24"/>
                <w:lang w:val="en-US" w:eastAsia="zh-CN"/>
              </w:rPr>
              <w:t>5</w:t>
            </w:r>
            <w:r>
              <w:rPr>
                <w:rFonts w:hint="eastAsia" w:ascii="仿宋" w:hAnsi="仿宋" w:eastAsia="仿宋" w:cs="仿宋"/>
                <w:kern w:val="0"/>
                <w:sz w:val="24"/>
                <w:szCs w:val="24"/>
              </w:rPr>
              <w:t>年度预算</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仿宋"/>
                <w:kern w:val="0"/>
                <w:sz w:val="24"/>
                <w:szCs w:val="24"/>
              </w:rPr>
            </w:pPr>
            <w:r>
              <w:rPr>
                <w:rFonts w:hint="eastAsia" w:ascii="仿宋" w:hAnsi="仿宋" w:eastAsia="仿宋" w:cs="仿宋"/>
                <w:kern w:val="0"/>
                <w:sz w:val="24"/>
                <w:szCs w:val="24"/>
              </w:rPr>
              <w:t>增减金额</w:t>
            </w:r>
          </w:p>
        </w:tc>
        <w:tc>
          <w:tcPr>
            <w:tcW w:w="394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变化情况</w:t>
            </w:r>
          </w:p>
        </w:tc>
      </w:tr>
      <w:tr>
        <w:tblPrEx>
          <w:tblCellMar>
            <w:top w:w="0" w:type="dxa"/>
            <w:left w:w="108" w:type="dxa"/>
            <w:bottom w:w="0" w:type="dxa"/>
            <w:right w:w="108" w:type="dxa"/>
          </w:tblCellMar>
        </w:tblPrEx>
        <w:trPr>
          <w:trHeight w:val="387" w:hRule="atLeast"/>
        </w:trPr>
        <w:tc>
          <w:tcPr>
            <w:tcW w:w="3149" w:type="dxa"/>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仿宋"/>
                <w:kern w:val="0"/>
                <w:sz w:val="24"/>
                <w:szCs w:val="24"/>
              </w:rPr>
            </w:pPr>
            <w:r>
              <w:rPr>
                <w:rFonts w:hint="eastAsia" w:ascii="仿宋" w:hAnsi="仿宋" w:eastAsia="仿宋" w:cs="仿宋"/>
                <w:kern w:val="0"/>
                <w:sz w:val="24"/>
                <w:szCs w:val="24"/>
              </w:rPr>
              <w:t>因公出国经费</w:t>
            </w:r>
          </w:p>
        </w:tc>
        <w:tc>
          <w:tcPr>
            <w:tcW w:w="2070"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2100"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1500"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pPr>
              <w:widowControl/>
              <w:jc w:val="center"/>
              <w:rPr>
                <w:rFonts w:ascii="仿宋" w:hAnsi="仿宋" w:eastAsia="仿宋" w:cs="仿宋"/>
                <w:kern w:val="0"/>
                <w:sz w:val="24"/>
                <w:szCs w:val="24"/>
              </w:rPr>
            </w:pPr>
            <w:r>
              <w:rPr>
                <w:rFonts w:hint="eastAsia" w:ascii="仿宋" w:hAnsi="仿宋" w:eastAsia="仿宋" w:cs="仿宋"/>
                <w:kern w:val="0"/>
                <w:sz w:val="24"/>
                <w:szCs w:val="24"/>
              </w:rPr>
              <w:t>无增减变化</w:t>
            </w:r>
          </w:p>
        </w:tc>
      </w:tr>
      <w:tr>
        <w:tblPrEx>
          <w:tblCellMar>
            <w:top w:w="0" w:type="dxa"/>
            <w:left w:w="108" w:type="dxa"/>
            <w:bottom w:w="0" w:type="dxa"/>
            <w:right w:w="108" w:type="dxa"/>
          </w:tblCellMar>
        </w:tblPrEx>
        <w:trPr>
          <w:trHeight w:val="285" w:hRule="atLeast"/>
        </w:trPr>
        <w:tc>
          <w:tcPr>
            <w:tcW w:w="3149" w:type="dxa"/>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仿宋"/>
                <w:kern w:val="0"/>
                <w:sz w:val="24"/>
                <w:szCs w:val="24"/>
              </w:rPr>
            </w:pPr>
            <w:r>
              <w:rPr>
                <w:rFonts w:hint="eastAsia" w:ascii="仿宋" w:hAnsi="仿宋" w:eastAsia="仿宋" w:cs="仿宋"/>
                <w:kern w:val="0"/>
                <w:sz w:val="24"/>
                <w:szCs w:val="24"/>
              </w:rPr>
              <w:t>公务用车购置经费</w:t>
            </w:r>
          </w:p>
        </w:tc>
        <w:tc>
          <w:tcPr>
            <w:tcW w:w="2070"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2100"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1500"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pPr>
              <w:widowControl/>
              <w:jc w:val="center"/>
              <w:rPr>
                <w:rFonts w:ascii="仿宋" w:hAnsi="仿宋" w:eastAsia="仿宋" w:cs="仿宋"/>
                <w:kern w:val="0"/>
                <w:sz w:val="24"/>
                <w:szCs w:val="24"/>
              </w:rPr>
            </w:pPr>
            <w:r>
              <w:rPr>
                <w:rFonts w:hint="eastAsia" w:ascii="仿宋" w:hAnsi="仿宋" w:eastAsia="仿宋" w:cs="仿宋"/>
                <w:kern w:val="0"/>
                <w:sz w:val="24"/>
                <w:szCs w:val="24"/>
              </w:rPr>
              <w:t>无增减变化</w:t>
            </w:r>
          </w:p>
        </w:tc>
      </w:tr>
      <w:tr>
        <w:tblPrEx>
          <w:tblCellMar>
            <w:top w:w="0" w:type="dxa"/>
            <w:left w:w="108" w:type="dxa"/>
            <w:bottom w:w="0" w:type="dxa"/>
            <w:right w:w="108" w:type="dxa"/>
          </w:tblCellMar>
        </w:tblPrEx>
        <w:trPr>
          <w:trHeight w:val="570" w:hRule="atLeast"/>
        </w:trPr>
        <w:tc>
          <w:tcPr>
            <w:tcW w:w="3149" w:type="dxa"/>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仿宋"/>
                <w:kern w:val="0"/>
                <w:sz w:val="24"/>
                <w:szCs w:val="24"/>
              </w:rPr>
            </w:pPr>
            <w:r>
              <w:rPr>
                <w:rFonts w:hint="eastAsia" w:ascii="仿宋" w:hAnsi="仿宋" w:eastAsia="仿宋" w:cs="仿宋"/>
                <w:kern w:val="0"/>
                <w:sz w:val="24"/>
                <w:szCs w:val="24"/>
              </w:rPr>
              <w:t>公务用车运行经费</w:t>
            </w:r>
          </w:p>
        </w:tc>
        <w:tc>
          <w:tcPr>
            <w:tcW w:w="2070" w:type="dxa"/>
            <w:tcBorders>
              <w:top w:val="nil"/>
              <w:left w:val="nil"/>
              <w:bottom w:val="single" w:color="auto" w:sz="4" w:space="0"/>
              <w:right w:val="single" w:color="auto" w:sz="4" w:space="0"/>
            </w:tcBorders>
            <w:noWrap w:val="0"/>
            <w:vAlign w:val="center"/>
          </w:tcPr>
          <w:p>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8</w:t>
            </w:r>
          </w:p>
        </w:tc>
        <w:tc>
          <w:tcPr>
            <w:tcW w:w="21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仿宋"/>
                <w:kern w:val="0"/>
                <w:sz w:val="24"/>
                <w:szCs w:val="24"/>
              </w:rPr>
            </w:pPr>
            <w:r>
              <w:rPr>
                <w:rFonts w:hint="eastAsia" w:ascii="仿宋" w:hAnsi="仿宋" w:eastAsia="仿宋" w:cs="仿宋"/>
                <w:kern w:val="0"/>
                <w:sz w:val="24"/>
                <w:szCs w:val="24"/>
                <w:lang w:val="en-US" w:eastAsia="zh-CN"/>
              </w:rPr>
              <w:t>8</w:t>
            </w:r>
          </w:p>
        </w:tc>
        <w:tc>
          <w:tcPr>
            <w:tcW w:w="1500" w:type="dxa"/>
            <w:tcBorders>
              <w:top w:val="nil"/>
              <w:left w:val="nil"/>
              <w:bottom w:val="single" w:color="auto" w:sz="4" w:space="0"/>
              <w:right w:val="single" w:color="auto" w:sz="4" w:space="0"/>
            </w:tcBorders>
            <w:noWrap w:val="0"/>
            <w:vAlign w:val="center"/>
          </w:tcPr>
          <w:p>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rPr>
              <w:t>无增减变化</w:t>
            </w:r>
          </w:p>
        </w:tc>
      </w:tr>
      <w:tr>
        <w:tblPrEx>
          <w:tblCellMar>
            <w:top w:w="0" w:type="dxa"/>
            <w:left w:w="108" w:type="dxa"/>
            <w:bottom w:w="0" w:type="dxa"/>
            <w:right w:w="108" w:type="dxa"/>
          </w:tblCellMar>
        </w:tblPrEx>
        <w:trPr>
          <w:trHeight w:val="392" w:hRule="atLeast"/>
        </w:trPr>
        <w:tc>
          <w:tcPr>
            <w:tcW w:w="3149" w:type="dxa"/>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仿宋"/>
                <w:kern w:val="0"/>
                <w:sz w:val="24"/>
                <w:szCs w:val="24"/>
              </w:rPr>
            </w:pPr>
            <w:r>
              <w:rPr>
                <w:rFonts w:hint="eastAsia" w:ascii="仿宋" w:hAnsi="仿宋" w:eastAsia="仿宋" w:cs="仿宋"/>
                <w:kern w:val="0"/>
                <w:sz w:val="24"/>
                <w:szCs w:val="24"/>
              </w:rPr>
              <w:t>公务接待费支出</w:t>
            </w:r>
          </w:p>
        </w:tc>
        <w:tc>
          <w:tcPr>
            <w:tcW w:w="2070"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2100"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1500"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pPr>
              <w:widowControl/>
              <w:jc w:val="center"/>
              <w:rPr>
                <w:rFonts w:ascii="仿宋" w:hAnsi="仿宋" w:eastAsia="仿宋" w:cs="仿宋"/>
                <w:kern w:val="0"/>
                <w:sz w:val="24"/>
                <w:szCs w:val="24"/>
              </w:rPr>
            </w:pPr>
            <w:r>
              <w:rPr>
                <w:rFonts w:hint="eastAsia" w:ascii="仿宋" w:hAnsi="仿宋" w:eastAsia="仿宋" w:cs="仿宋"/>
                <w:kern w:val="0"/>
                <w:sz w:val="24"/>
                <w:szCs w:val="24"/>
              </w:rPr>
              <w:t>无增减变化</w:t>
            </w:r>
          </w:p>
        </w:tc>
      </w:tr>
      <w:tr>
        <w:tblPrEx>
          <w:tblCellMar>
            <w:top w:w="0" w:type="dxa"/>
            <w:left w:w="108" w:type="dxa"/>
            <w:bottom w:w="0" w:type="dxa"/>
            <w:right w:w="108" w:type="dxa"/>
          </w:tblCellMar>
        </w:tblPrEx>
        <w:trPr>
          <w:trHeight w:val="432" w:hRule="atLeast"/>
        </w:trPr>
        <w:tc>
          <w:tcPr>
            <w:tcW w:w="3149" w:type="dxa"/>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仿宋"/>
                <w:kern w:val="0"/>
                <w:sz w:val="24"/>
                <w:szCs w:val="24"/>
              </w:rPr>
            </w:pPr>
            <w:r>
              <w:rPr>
                <w:rFonts w:hint="eastAsia" w:ascii="仿宋" w:hAnsi="仿宋" w:eastAsia="仿宋" w:cs="仿宋"/>
                <w:kern w:val="0"/>
                <w:sz w:val="24"/>
                <w:szCs w:val="24"/>
              </w:rPr>
              <w:t>合计</w:t>
            </w:r>
          </w:p>
        </w:tc>
        <w:tc>
          <w:tcPr>
            <w:tcW w:w="2070" w:type="dxa"/>
            <w:tcBorders>
              <w:top w:val="nil"/>
              <w:left w:val="nil"/>
              <w:bottom w:val="single" w:color="auto" w:sz="4" w:space="0"/>
              <w:right w:val="single" w:color="auto" w:sz="4" w:space="0"/>
            </w:tcBorders>
            <w:noWrap w:val="0"/>
            <w:vAlign w:val="center"/>
          </w:tcPr>
          <w:p>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8</w:t>
            </w:r>
          </w:p>
        </w:tc>
        <w:tc>
          <w:tcPr>
            <w:tcW w:w="2100" w:type="dxa"/>
            <w:tcBorders>
              <w:top w:val="nil"/>
              <w:left w:val="nil"/>
              <w:bottom w:val="single" w:color="auto" w:sz="4" w:space="0"/>
              <w:right w:val="single" w:color="auto" w:sz="4" w:space="0"/>
            </w:tcBorders>
            <w:noWrap w:val="0"/>
            <w:vAlign w:val="center"/>
          </w:tcPr>
          <w:p>
            <w:pPr>
              <w:widowControl/>
              <w:jc w:val="center"/>
              <w:rPr>
                <w:rFonts w:ascii="仿宋" w:hAnsi="仿宋" w:eastAsia="仿宋" w:cs="仿宋"/>
                <w:kern w:val="0"/>
                <w:sz w:val="24"/>
                <w:szCs w:val="24"/>
              </w:rPr>
            </w:pPr>
            <w:r>
              <w:rPr>
                <w:rFonts w:hint="eastAsia" w:ascii="仿宋" w:hAnsi="仿宋" w:eastAsia="仿宋" w:cs="仿宋"/>
                <w:kern w:val="0"/>
                <w:sz w:val="24"/>
                <w:szCs w:val="24"/>
                <w:lang w:val="en-US" w:eastAsia="zh-CN"/>
              </w:rPr>
              <w:t>8</w:t>
            </w:r>
          </w:p>
        </w:tc>
        <w:tc>
          <w:tcPr>
            <w:tcW w:w="1500" w:type="dxa"/>
            <w:tcBorders>
              <w:top w:val="nil"/>
              <w:left w:val="nil"/>
              <w:bottom w:val="single" w:color="auto" w:sz="4" w:space="0"/>
              <w:right w:val="single" w:color="auto" w:sz="4" w:space="0"/>
            </w:tcBorders>
            <w:noWrap w:val="0"/>
            <w:vAlign w:val="center"/>
          </w:tcPr>
          <w:p>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rPr>
              <w:t>无增减变化</w:t>
            </w:r>
          </w:p>
        </w:tc>
      </w:tr>
      <w:tr>
        <w:tblPrEx>
          <w:tblCellMar>
            <w:top w:w="0" w:type="dxa"/>
            <w:left w:w="108" w:type="dxa"/>
            <w:bottom w:w="0" w:type="dxa"/>
            <w:right w:w="108" w:type="dxa"/>
          </w:tblCellMar>
        </w:tblPrEx>
        <w:trPr>
          <w:trHeight w:val="285" w:hRule="atLeast"/>
        </w:trPr>
        <w:tc>
          <w:tcPr>
            <w:tcW w:w="3149"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c>
          <w:tcPr>
            <w:tcW w:w="2070"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c>
          <w:tcPr>
            <w:tcW w:w="2100"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c>
          <w:tcPr>
            <w:tcW w:w="1500"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c>
          <w:tcPr>
            <w:tcW w:w="3945"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r>
    </w:tbl>
    <w:p>
      <w:pPr>
        <w:widowControl w:val="0"/>
        <w:numPr>
          <w:ilvl w:val="0"/>
          <w:numId w:val="0"/>
        </w:numPr>
        <w:tabs>
          <w:tab w:val="left" w:pos="490"/>
        </w:tabs>
        <w:spacing w:line="520" w:lineRule="exact"/>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 </w:t>
      </w:r>
    </w:p>
    <w:p>
      <w:pPr>
        <w:spacing w:line="560" w:lineRule="exact"/>
        <w:rPr>
          <w:rFonts w:ascii="仿宋_GB2312" w:hAnsi="仿宋_GB2312" w:eastAsia="仿宋_GB2312" w:cs="仿宋_GB2312"/>
          <w:bCs/>
          <w:sz w:val="32"/>
          <w:szCs w:val="32"/>
        </w:rPr>
      </w:pPr>
    </w:p>
    <w:p>
      <w:pPr>
        <w:spacing w:line="560" w:lineRule="exact"/>
        <w:ind w:firstLine="640"/>
        <w:rPr>
          <w:rFonts w:hint="eastAsia" w:ascii="仿宋_GB2312" w:hAnsi="仿宋_GB2312" w:eastAsia="仿宋_GB2312" w:cs="仿宋_GB2312"/>
          <w:sz w:val="32"/>
          <w:szCs w:val="32"/>
        </w:rPr>
      </w:pPr>
    </w:p>
    <w:p>
      <w:pPr>
        <w:spacing w:line="560" w:lineRule="exact"/>
        <w:ind w:firstLine="640"/>
        <w:rPr>
          <w:rFonts w:hint="eastAsia" w:ascii="仿宋_GB2312" w:hAnsi="仿宋_GB2312" w:eastAsia="仿宋_GB2312" w:cs="仿宋_GB2312"/>
          <w:sz w:val="32"/>
          <w:szCs w:val="32"/>
        </w:rPr>
      </w:pPr>
    </w:p>
    <w:p>
      <w:pPr>
        <w:spacing w:line="560" w:lineRule="exact"/>
        <w:ind w:firstLine="640"/>
        <w:rPr>
          <w:rFonts w:hint="eastAsia" w:ascii="仿宋_GB2312" w:hAnsi="仿宋_GB2312" w:eastAsia="仿宋_GB2312" w:cs="仿宋_GB2312"/>
          <w:sz w:val="32"/>
          <w:szCs w:val="32"/>
        </w:rPr>
      </w:pPr>
    </w:p>
    <w:p>
      <w:pPr>
        <w:spacing w:line="560" w:lineRule="exact"/>
        <w:ind w:firstLine="640"/>
        <w:rPr>
          <w:rFonts w:hint="eastAsia" w:ascii="仿宋_GB2312" w:hAnsi="仿宋_GB2312" w:eastAsia="仿宋_GB2312" w:cs="仿宋_GB2312"/>
          <w:sz w:val="32"/>
          <w:szCs w:val="32"/>
        </w:rPr>
      </w:pPr>
    </w:p>
    <w:p>
      <w:pPr>
        <w:spacing w:line="560" w:lineRule="exact"/>
        <w:ind w:firstLine="640"/>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ind w:firstLine="640"/>
        <w:rPr>
          <w:rFonts w:hint="eastAsia" w:ascii="黑体" w:hAnsi="黑体" w:eastAsia="黑体" w:cs="黑体"/>
          <w:b w:val="0"/>
          <w:bCs/>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 “三公”经费支出</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万元，其中：公车运行维护费</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万元，公务接待费0万元，因公出国出境0万元。20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年预算安排“三公”经费支出</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万元，其中：公车运行维护费</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万元，公务接待费0万元，因公出国出境0万元，与20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color w:val="000000"/>
          <w:sz w:val="32"/>
          <w:szCs w:val="32"/>
        </w:rPr>
        <w:t>。</w:t>
      </w:r>
    </w:p>
    <w:p>
      <w:pPr>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五、绩效预算信息情况</w:t>
      </w:r>
    </w:p>
    <w:p>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 xml:space="preserve">第一部分 </w:t>
      </w:r>
      <w:r>
        <w:rPr>
          <w:rFonts w:hint="eastAsia" w:ascii="黑体" w:hAnsi="黑体" w:eastAsia="黑体" w:cs="黑体"/>
          <w:sz w:val="32"/>
          <w:szCs w:val="32"/>
          <w:lang w:eastAsia="zh-CN"/>
        </w:rPr>
        <w:t>单位</w:t>
      </w:r>
      <w:r>
        <w:rPr>
          <w:rFonts w:hint="eastAsia" w:ascii="黑体" w:hAnsi="黑体" w:eastAsia="黑体" w:cs="黑体"/>
          <w:sz w:val="32"/>
          <w:szCs w:val="32"/>
        </w:rPr>
        <w:t>整体绩效目标</w:t>
      </w:r>
    </w:p>
    <w:p>
      <w:pPr>
        <w:spacing w:line="560" w:lineRule="exact"/>
        <w:ind w:firstLine="640" w:firstLineChars="200"/>
        <w:jc w:val="left"/>
        <w:rPr>
          <w:rFonts w:hint="eastAsia" w:ascii="仿宋_GB2312" w:hAnsi="仿宋_GB2312" w:eastAsia="仿宋_GB2312" w:cs="仿宋_GB2312"/>
          <w:sz w:val="32"/>
          <w:szCs w:val="32"/>
        </w:rPr>
      </w:pPr>
      <w:r>
        <w:rPr>
          <w:rFonts w:hint="eastAsia" w:ascii="楷体" w:hAnsi="楷体" w:eastAsia="楷体" w:cs="楷体"/>
          <w:sz w:val="32"/>
          <w:szCs w:val="32"/>
        </w:rPr>
        <w:t>（一）</w:t>
      </w:r>
      <w:r>
        <w:rPr>
          <w:rFonts w:hint="eastAsia" w:ascii="仿宋_GB2312" w:hAnsi="仿宋_GB2312" w:eastAsia="仿宋_GB2312" w:cs="仿宋_GB2312"/>
          <w:sz w:val="32"/>
          <w:szCs w:val="32"/>
        </w:rPr>
        <w:t>总体绩效目标</w:t>
      </w:r>
    </w:p>
    <w:p>
      <w:pPr>
        <w:pStyle w:val="24"/>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uk-UA" w:bidi="ar-SA"/>
        </w:rPr>
        <w:t>2025年是“十四五”规划收官之年，也是“十五五”规划开局之年，做好城市管理领域各项工作，为全县经济社会发展提供良好的城市环境，责任重大、意义重大。按照县委、县政府工作部署，2025年涞水县执法局以“执法规范化、管理精细化、项目科学化、治理常态化”为工作方针，促进执法管理水平、市容环境面貌、环卫设施功能、城市安全韧性全面提升，努力为我县经济社会发展持续贡献城管力量</w:t>
      </w:r>
      <w:r>
        <w:rPr>
          <w:rFonts w:hint="eastAsia" w:ascii="楷体" w:hAnsi="楷体" w:eastAsia="楷体" w:cs="楷体"/>
          <w:sz w:val="32"/>
          <w:szCs w:val="32"/>
          <w:lang w:val="en-US" w:eastAsia="uk-UA" w:bidi="ar-SA"/>
        </w:rPr>
        <w:t>。</w:t>
      </w:r>
    </w:p>
    <w:p>
      <w:pPr>
        <w:spacing w:line="560" w:lineRule="exact"/>
        <w:ind w:firstLine="640" w:firstLineChars="200"/>
        <w:jc w:val="left"/>
        <w:rPr>
          <w:rFonts w:hint="eastAsia" w:ascii="仿宋_GB2312" w:hAnsi="仿宋_GB2312" w:eastAsia="仿宋_GB2312" w:cs="仿宋_GB2312"/>
          <w:sz w:val="32"/>
          <w:szCs w:val="32"/>
        </w:rPr>
      </w:pPr>
      <w:r>
        <w:rPr>
          <w:rFonts w:hint="eastAsia" w:ascii="楷体" w:hAnsi="楷体" w:eastAsia="楷体" w:cs="楷体"/>
          <w:sz w:val="32"/>
          <w:szCs w:val="32"/>
        </w:rPr>
        <w:t>（二）</w:t>
      </w:r>
      <w:r>
        <w:rPr>
          <w:rFonts w:hint="eastAsia" w:ascii="仿宋_GB2312" w:hAnsi="仿宋_GB2312" w:eastAsia="仿宋_GB2312" w:cs="仿宋_GB2312"/>
          <w:sz w:val="32"/>
          <w:szCs w:val="32"/>
        </w:rPr>
        <w:t>分项绩效目标</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制定工作标准、规定和管理办法。贯彻落实国家和省、市有关城市管理的政策和法规，制定完善市容市貌、环境卫生、广告牌匾等有关工作标准、规定和管理办法。</w:t>
      </w:r>
    </w:p>
    <w:p>
      <w:pPr>
        <w:spacing w:line="560" w:lineRule="exact"/>
        <w:ind w:firstLine="643" w:firstLineChars="200"/>
        <w:jc w:val="left"/>
        <w:rPr>
          <w:rFonts w:hint="eastAsia" w:ascii="仿宋_GB2312" w:hAnsi="仿宋_GB2312" w:eastAsia="仿宋_GB2312" w:cs="仿宋_GB2312"/>
          <w:sz w:val="32"/>
          <w:szCs w:val="32"/>
        </w:rPr>
      </w:pPr>
      <w:r>
        <w:rPr>
          <w:rFonts w:hint="eastAsia" w:ascii="仿宋" w:hAnsi="仿宋" w:eastAsia="仿宋" w:cs="仿宋"/>
          <w:b/>
          <w:bCs/>
          <w:sz w:val="32"/>
          <w:szCs w:val="32"/>
        </w:rPr>
        <w:t xml:space="preserve"> </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1</w:t>
      </w:r>
      <w:r>
        <w:rPr>
          <w:rFonts w:hint="eastAsia" w:ascii="仿宋" w:hAnsi="仿宋" w:eastAsia="仿宋" w:cs="仿宋"/>
          <w:b/>
          <w:bCs/>
          <w:sz w:val="32"/>
          <w:szCs w:val="32"/>
          <w:lang w:eastAsia="zh-CN"/>
        </w:rPr>
        <w:t>、</w:t>
      </w:r>
      <w:r>
        <w:rPr>
          <w:rFonts w:hint="eastAsia" w:ascii="仿宋_GB2312" w:hAnsi="仿宋_GB2312" w:eastAsia="仿宋_GB2312" w:cs="仿宋_GB2312"/>
          <w:sz w:val="32"/>
          <w:szCs w:val="32"/>
        </w:rPr>
        <w:t>城市管理</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绩效目标：加强管理，提高城市承载能力和宜居度。</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绩效指标：加强城区建设，改善城区人居环境，实现城乡统筹发展。居民满意度达到95%以上。</w:t>
      </w:r>
    </w:p>
    <w:p>
      <w:pPr>
        <w:spacing w:line="560" w:lineRule="exact"/>
        <w:ind w:firstLine="964" w:firstLineChars="3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市容环境卫生综合整治</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绩效目标：负责环境卫生管理，对环境卫生工作进行监督检查。</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绩效指标：对城建界垃圾清运过程中造成的扬撒遗漏现象进行监督检查；对环境卫生工作进行考核。机械化清扫率达到</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%以上。</w:t>
      </w:r>
    </w:p>
    <w:p>
      <w:pPr>
        <w:spacing w:line="560" w:lineRule="exact"/>
        <w:ind w:firstLine="964" w:firstLineChars="3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数字化城市管理信息平台的管理</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绩效目标：建立数字化城市管理的有效监管体系</w:t>
      </w:r>
    </w:p>
    <w:p>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绩效指标：对城市管理问题进行巡查、信息采集。解决城市管理案件。对日常数据进行统计分析，为科学管理、核拨作业费用和领导决策提供数据依据。管理对象的精确率达到95%以上。实现视频抓拍问题的上报，核对案件的核实核查，案件处理率达到</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以上。</w:t>
      </w:r>
    </w:p>
    <w:p>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城市政务管理</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绩效目标：加强全县城管综合执法人才队伍建设，提高人才业务素质，行业水平。提升机关及行业信息化水平，保障各类业务系统安全稳定运行。</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绩效指标：推进政务公开，增加服务意识，提高工作效率。综合业务管理工作完成</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以上</w:t>
      </w:r>
      <w:r>
        <w:rPr>
          <w:rFonts w:hint="eastAsia" w:ascii="仿宋_GB2312" w:hAnsi="仿宋_GB2312" w:eastAsia="仿宋_GB2312" w:cs="仿宋_GB2312"/>
          <w:sz w:val="32"/>
          <w:szCs w:val="32"/>
        </w:rPr>
        <w:t>。</w:t>
      </w:r>
    </w:p>
    <w:p>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楷体" w:hAnsi="楷体" w:eastAsia="楷体" w:cs="楷体"/>
          <w:sz w:val="32"/>
          <w:szCs w:val="32"/>
        </w:rPr>
        <w:t>（三）</w:t>
      </w:r>
      <w:r>
        <w:rPr>
          <w:rFonts w:hint="eastAsia" w:ascii="仿宋_GB2312" w:hAnsi="仿宋_GB2312" w:eastAsia="仿宋_GB2312" w:cs="仿宋_GB2312"/>
          <w:sz w:val="32"/>
          <w:szCs w:val="32"/>
        </w:rPr>
        <w:t>工作保障措施</w:t>
      </w:r>
      <w:r>
        <w:rPr>
          <w:rFonts w:hint="eastAsia" w:ascii="仿宋_GB2312" w:hAnsi="仿宋_GB2312" w:eastAsia="仿宋_GB2312" w:cs="仿宋_GB2312"/>
          <w:sz w:val="32"/>
          <w:szCs w:val="32"/>
          <w:lang w:val="en-US" w:eastAsia="zh-CN"/>
        </w:rPr>
        <w:t xml:space="preserve"> </w:t>
      </w:r>
    </w:p>
    <w:p>
      <w:pPr>
        <w:spacing w:line="560" w:lineRule="exact"/>
        <w:ind w:firstLine="964" w:firstLineChars="3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rPr>
        <w:t>加强组织领导。成立领导小组，建立统筹协调、分工协作、密切配合、合力推进的工作体系。将事前评估、目标管理、运行监控、绩效评估、结果应用等各项改革措施，有效融入预算管理的全过程环节，建立健全绩效管理的长效机制。</w:t>
      </w:r>
    </w:p>
    <w:p>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rPr>
        <w:t>完善制度建设。以构建权责清晰、服务优先、管理优先、执法规范、安全有序的城市管理体制为目标，加快形成城市管理综合执法新机制，进一步提高城市管理执法水平。</w:t>
      </w:r>
    </w:p>
    <w:p>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加强支出管理。通过优化支出结构、编细编实预算、按规定及时下达资金等多种措施，确保支出进度达标。</w:t>
      </w:r>
    </w:p>
    <w:p>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加强绩效运行监控。开展绩效运行监控，发现问题及时采取措施，确保绩效目标如期保质实现。</w:t>
      </w:r>
    </w:p>
    <w:p>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做好绩效自评。及时开展上年度部门预算绩效自评和重点评价工作，对评价中发现的问题及时整改，调整优化支出结构，提高财政资金使用效益。</w:t>
      </w:r>
    </w:p>
    <w:p>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sz w:val="32"/>
          <w:szCs w:val="32"/>
        </w:rPr>
        <w:t>规范财务资产管理。完善财务管理制度，严格审批程序，按照事业单位收支管理内部控制制度，做到收入支出合理，物尽其用。</w:t>
      </w:r>
    </w:p>
    <w:p>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加强内部监督。加强内部监督制度建设，对绩效运行情况、重大支出决策和执行进行督导，确保财政资金安全有效。</w:t>
      </w:r>
    </w:p>
    <w:p>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sz w:val="32"/>
          <w:szCs w:val="32"/>
        </w:rPr>
        <w:t>加强宣传培训调研等。加强城市管理综合执法人才队伍建设，提高人才业务素质，提高行业水平。提升机关及行业信息化水平，保障各类业务系统安全稳定运行。</w:t>
      </w:r>
    </w:p>
    <w:p>
      <w:pPr>
        <w:bidi w:val="0"/>
        <w:rPr>
          <w:rFonts w:hint="eastAsia" w:ascii="黑体" w:hAnsi="黑体" w:eastAsia="黑体" w:cs="黑体"/>
          <w:sz w:val="32"/>
          <w:szCs w:val="32"/>
        </w:rPr>
      </w:pPr>
    </w:p>
    <w:p>
      <w:pPr>
        <w:pStyle w:val="2"/>
        <w:rPr>
          <w:rFonts w:hint="eastAsia" w:ascii="黑体" w:hAnsi="黑体" w:eastAsia="黑体" w:cs="黑体"/>
          <w:sz w:val="32"/>
          <w:szCs w:val="32"/>
        </w:rPr>
      </w:pPr>
    </w:p>
    <w:p>
      <w:pPr>
        <w:rPr>
          <w:rFonts w:hint="eastAsia" w:ascii="黑体" w:hAnsi="黑体" w:eastAsia="黑体" w:cs="黑体"/>
          <w:sz w:val="32"/>
          <w:szCs w:val="32"/>
        </w:rPr>
      </w:pPr>
    </w:p>
    <w:p>
      <w:pPr>
        <w:pStyle w:val="2"/>
        <w:rPr>
          <w:rFonts w:hint="eastAsia"/>
        </w:rPr>
      </w:pPr>
    </w:p>
    <w:p>
      <w:pPr>
        <w:bidi w:val="0"/>
        <w:ind w:firstLine="960" w:firstLineChars="300"/>
        <w:rPr>
          <w:rFonts w:hint="eastAsia" w:ascii="黑体" w:hAnsi="黑体" w:eastAsia="黑体" w:cs="黑体"/>
          <w:sz w:val="32"/>
          <w:szCs w:val="32"/>
        </w:rPr>
      </w:pPr>
      <w:r>
        <w:rPr>
          <w:rFonts w:hint="eastAsia" w:ascii="黑体" w:hAnsi="黑体" w:eastAsia="黑体" w:cs="黑体"/>
          <w:sz w:val="32"/>
          <w:szCs w:val="32"/>
        </w:rPr>
        <w:t>第二部分 预算项目绩效目标</w:t>
      </w:r>
    </w:p>
    <w:p>
      <w:pPr>
        <w:bidi w:val="0"/>
        <w:rPr>
          <w:rFonts w:hint="eastAsia"/>
        </w:rPr>
        <w:sectPr>
          <w:footerReference r:id="rId3" w:type="default"/>
          <w:pgSz w:w="16839" w:h="11907" w:orient="landscape"/>
          <w:pgMar w:top="1304" w:right="1984" w:bottom="1304" w:left="1134" w:header="851" w:footer="992" w:gutter="0"/>
          <w:pgNumType w:start="1"/>
          <w:cols w:space="720" w:num="1"/>
          <w:docGrid w:type="lines" w:linePitch="312" w:charSpace="0"/>
        </w:sectPr>
      </w:pPr>
    </w:p>
    <w:p>
      <w:pPr>
        <w:spacing w:before="0" w:after="0"/>
        <w:ind w:firstLine="1769" w:firstLineChars="632"/>
        <w:jc w:val="left"/>
        <w:outlineLvl w:val="3"/>
      </w:pPr>
      <w:bookmarkStart w:id="0" w:name="_Toc_4_4_0000000004"/>
      <w:r>
        <w:rPr>
          <w:rFonts w:ascii="方正仿宋_GBK" w:hAnsi="方正仿宋_GBK" w:eastAsia="方正仿宋_GBK" w:cs="方正仿宋_GBK"/>
          <w:color w:val="000000"/>
          <w:sz w:val="28"/>
        </w:rPr>
        <w:t>1.保安费用绩效目标表</w:t>
      </w:r>
      <w:bookmarkEnd w:id="0"/>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5"/>
            </w:pPr>
            <w:r>
              <w:t>565001涞水县城市管理综合执法队本级</w:t>
            </w:r>
          </w:p>
        </w:tc>
        <w:tc>
          <w:tcPr>
            <w:tcW w:w="1843" w:type="dxa"/>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项目编码</w:t>
            </w:r>
          </w:p>
        </w:tc>
        <w:tc>
          <w:tcPr>
            <w:tcW w:w="2608" w:type="dxa"/>
            <w:gridSpan w:val="2"/>
            <w:vAlign w:val="center"/>
          </w:tcPr>
          <w:p>
            <w:pPr>
              <w:pStyle w:val="18"/>
            </w:pPr>
            <w:r>
              <w:t>13062325P00898310825C</w:t>
            </w:r>
          </w:p>
        </w:tc>
        <w:tc>
          <w:tcPr>
            <w:tcW w:w="1587" w:type="dxa"/>
            <w:vAlign w:val="center"/>
          </w:tcPr>
          <w:p>
            <w:pPr>
              <w:pStyle w:val="17"/>
            </w:pPr>
            <w:r>
              <w:t>项目名称</w:t>
            </w:r>
          </w:p>
        </w:tc>
        <w:tc>
          <w:tcPr>
            <w:tcW w:w="4423" w:type="dxa"/>
            <w:gridSpan w:val="3"/>
            <w:vAlign w:val="center"/>
          </w:tcPr>
          <w:p>
            <w:pPr>
              <w:pStyle w:val="18"/>
            </w:pPr>
            <w:r>
              <w:t>保安费用</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预算规模及资金用途</w:t>
            </w:r>
          </w:p>
        </w:tc>
        <w:tc>
          <w:tcPr>
            <w:tcW w:w="1276" w:type="dxa"/>
            <w:vAlign w:val="center"/>
          </w:tcPr>
          <w:p>
            <w:pPr>
              <w:pStyle w:val="17"/>
            </w:pPr>
            <w:r>
              <w:t>预算数</w:t>
            </w:r>
          </w:p>
        </w:tc>
        <w:tc>
          <w:tcPr>
            <w:tcW w:w="1332" w:type="dxa"/>
            <w:vAlign w:val="center"/>
          </w:tcPr>
          <w:p>
            <w:pPr>
              <w:pStyle w:val="18"/>
            </w:pPr>
            <w:r>
              <w:t>4.80</w:t>
            </w:r>
          </w:p>
        </w:tc>
        <w:tc>
          <w:tcPr>
            <w:tcW w:w="1587" w:type="dxa"/>
            <w:vAlign w:val="center"/>
          </w:tcPr>
          <w:p>
            <w:pPr>
              <w:pStyle w:val="17"/>
            </w:pPr>
            <w:r>
              <w:t>其中：财政    资金</w:t>
            </w:r>
          </w:p>
        </w:tc>
        <w:tc>
          <w:tcPr>
            <w:tcW w:w="1304" w:type="dxa"/>
            <w:vAlign w:val="center"/>
          </w:tcPr>
          <w:p>
            <w:pPr>
              <w:pStyle w:val="18"/>
            </w:pPr>
            <w:r>
              <w:t>4.80</w:t>
            </w:r>
          </w:p>
        </w:tc>
        <w:tc>
          <w:tcPr>
            <w:tcW w:w="1276" w:type="dxa"/>
            <w:vAlign w:val="center"/>
          </w:tcPr>
          <w:p>
            <w:pPr>
              <w:pStyle w:val="17"/>
            </w:pPr>
            <w:r>
              <w:t>其他资金</w:t>
            </w:r>
          </w:p>
        </w:tc>
        <w:tc>
          <w:tcPr>
            <w:tcW w:w="1843" w:type="dxa"/>
            <w:vAlign w:val="center"/>
          </w:tcPr>
          <w:p>
            <w:pPr>
              <w:pStyle w:val="18"/>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8"/>
            </w:pPr>
            <w:r>
              <w:t>用于单位两名保安人员经费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资金支出计划（%）</w:t>
            </w:r>
          </w:p>
        </w:tc>
        <w:tc>
          <w:tcPr>
            <w:tcW w:w="2608" w:type="dxa"/>
            <w:gridSpan w:val="2"/>
            <w:vAlign w:val="center"/>
          </w:tcPr>
          <w:p>
            <w:pPr>
              <w:pStyle w:val="17"/>
            </w:pPr>
            <w:r>
              <w:t>3月底</w:t>
            </w:r>
          </w:p>
        </w:tc>
        <w:tc>
          <w:tcPr>
            <w:tcW w:w="1587" w:type="dxa"/>
            <w:vAlign w:val="center"/>
          </w:tcPr>
          <w:p>
            <w:pPr>
              <w:pStyle w:val="17"/>
            </w:pPr>
            <w:r>
              <w:t>6月底</w:t>
            </w:r>
          </w:p>
        </w:tc>
        <w:tc>
          <w:tcPr>
            <w:tcW w:w="1304" w:type="dxa"/>
            <w:vAlign w:val="center"/>
          </w:tcPr>
          <w:p>
            <w:pPr>
              <w:pStyle w:val="17"/>
            </w:pPr>
            <w:r>
              <w:t>10月底</w:t>
            </w:r>
          </w:p>
        </w:tc>
        <w:tc>
          <w:tcPr>
            <w:tcW w:w="3119" w:type="dxa"/>
            <w:gridSpan w:val="2"/>
            <w:vAlign w:val="center"/>
          </w:tcPr>
          <w:p>
            <w:pPr>
              <w:pStyle w:val="17"/>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9"/>
              <w:rPr>
                <w:rFonts w:hint="default" w:eastAsia="方正书宋_GBK"/>
                <w:lang w:val="en-US" w:eastAsia="zh-CN"/>
              </w:rPr>
            </w:pPr>
            <w:r>
              <w:rPr>
                <w:rFonts w:hint="eastAsia"/>
                <w:lang w:val="en-US" w:eastAsia="zh-CN"/>
              </w:rPr>
              <w:t>25</w:t>
            </w:r>
          </w:p>
        </w:tc>
        <w:tc>
          <w:tcPr>
            <w:tcW w:w="1587" w:type="dxa"/>
            <w:vAlign w:val="center"/>
          </w:tcPr>
          <w:p>
            <w:pPr>
              <w:pStyle w:val="19"/>
              <w:rPr>
                <w:rFonts w:hint="default" w:eastAsia="方正书宋_GBK"/>
                <w:lang w:val="en-US" w:eastAsia="zh-CN"/>
              </w:rPr>
            </w:pPr>
            <w:r>
              <w:rPr>
                <w:rFonts w:hint="eastAsia"/>
                <w:lang w:val="en-US" w:eastAsia="zh-CN"/>
              </w:rPr>
              <w:t>50</w:t>
            </w:r>
          </w:p>
        </w:tc>
        <w:tc>
          <w:tcPr>
            <w:tcW w:w="1304" w:type="dxa"/>
            <w:vAlign w:val="center"/>
          </w:tcPr>
          <w:p>
            <w:pPr>
              <w:pStyle w:val="19"/>
              <w:rPr>
                <w:rFonts w:hint="default" w:eastAsia="方正书宋_GBK"/>
                <w:lang w:val="en-US" w:eastAsia="zh-CN"/>
              </w:rPr>
            </w:pPr>
            <w:r>
              <w:rPr>
                <w:rFonts w:hint="eastAsia"/>
                <w:lang w:val="en-US" w:eastAsia="zh-CN"/>
              </w:rPr>
              <w:t>75</w:t>
            </w:r>
          </w:p>
        </w:tc>
        <w:tc>
          <w:tcPr>
            <w:tcW w:w="3119" w:type="dxa"/>
            <w:gridSpan w:val="2"/>
            <w:vAlign w:val="center"/>
          </w:tcPr>
          <w:p>
            <w:pPr>
              <w:pStyle w:val="19"/>
            </w:pPr>
            <w:r>
              <w:rPr>
                <w:rFonts w:hint="eastAsia"/>
                <w:lang w:val="en-US" w:eastAsia="zh-CN"/>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绩效目标</w:t>
            </w:r>
          </w:p>
        </w:tc>
        <w:tc>
          <w:tcPr>
            <w:tcW w:w="8618" w:type="dxa"/>
            <w:gridSpan w:val="6"/>
            <w:vAlign w:val="center"/>
          </w:tcPr>
          <w:p>
            <w:pPr>
              <w:pStyle w:val="18"/>
            </w:pPr>
            <w:r>
              <w:t>1.维护单位秩序及财产安全</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7"/>
            </w:pPr>
            <w:r>
              <w:t>一级指标</w:t>
            </w:r>
          </w:p>
        </w:tc>
        <w:tc>
          <w:tcPr>
            <w:tcW w:w="1276" w:type="dxa"/>
            <w:vAlign w:val="center"/>
          </w:tcPr>
          <w:p>
            <w:pPr>
              <w:pStyle w:val="17"/>
            </w:pPr>
            <w:r>
              <w:t>二级指标</w:t>
            </w:r>
          </w:p>
        </w:tc>
        <w:tc>
          <w:tcPr>
            <w:tcW w:w="1332" w:type="dxa"/>
            <w:vAlign w:val="center"/>
          </w:tcPr>
          <w:p>
            <w:pPr>
              <w:pStyle w:val="17"/>
            </w:pPr>
            <w:r>
              <w:t>三级指标</w:t>
            </w:r>
          </w:p>
        </w:tc>
        <w:tc>
          <w:tcPr>
            <w:tcW w:w="2891" w:type="dxa"/>
            <w:vAlign w:val="center"/>
          </w:tcPr>
          <w:p>
            <w:pPr>
              <w:pStyle w:val="17"/>
            </w:pPr>
            <w:r>
              <w:t>绩效指标描述</w:t>
            </w:r>
          </w:p>
        </w:tc>
        <w:tc>
          <w:tcPr>
            <w:tcW w:w="1276" w:type="dxa"/>
            <w:vAlign w:val="center"/>
          </w:tcPr>
          <w:p>
            <w:pPr>
              <w:pStyle w:val="17"/>
            </w:pPr>
            <w:r>
              <w:t>指标值</w:t>
            </w:r>
          </w:p>
        </w:tc>
        <w:tc>
          <w:tcPr>
            <w:tcW w:w="1843" w:type="dxa"/>
            <w:vAlign w:val="center"/>
          </w:tcPr>
          <w:p>
            <w:pPr>
              <w:pStyle w:val="17"/>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产出指标</w:t>
            </w:r>
          </w:p>
        </w:tc>
        <w:tc>
          <w:tcPr>
            <w:tcW w:w="1276" w:type="dxa"/>
            <w:vAlign w:val="center"/>
          </w:tcPr>
          <w:p>
            <w:pPr>
              <w:pStyle w:val="18"/>
            </w:pPr>
            <w:r>
              <w:t>数量指标</w:t>
            </w:r>
          </w:p>
        </w:tc>
        <w:tc>
          <w:tcPr>
            <w:tcW w:w="1332" w:type="dxa"/>
            <w:vAlign w:val="center"/>
          </w:tcPr>
          <w:p>
            <w:pPr>
              <w:pStyle w:val="18"/>
            </w:pPr>
            <w:r>
              <w:t>两名保安</w:t>
            </w:r>
          </w:p>
        </w:tc>
        <w:tc>
          <w:tcPr>
            <w:tcW w:w="2891" w:type="dxa"/>
            <w:vAlign w:val="center"/>
          </w:tcPr>
          <w:p>
            <w:pPr>
              <w:pStyle w:val="18"/>
            </w:pPr>
            <w:r>
              <w:t>两名保安</w:t>
            </w:r>
          </w:p>
        </w:tc>
        <w:tc>
          <w:tcPr>
            <w:tcW w:w="1276" w:type="dxa"/>
            <w:vAlign w:val="center"/>
          </w:tcPr>
          <w:p>
            <w:pPr>
              <w:pStyle w:val="18"/>
            </w:pPr>
            <w:r>
              <w:t>2名</w:t>
            </w:r>
          </w:p>
        </w:tc>
        <w:tc>
          <w:tcPr>
            <w:tcW w:w="1843" w:type="dxa"/>
            <w:vAlign w:val="center"/>
          </w:tcPr>
          <w:p>
            <w:pPr>
              <w:pStyle w:val="18"/>
            </w:pPr>
            <w:r>
              <w:t>根据实际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8"/>
            </w:pPr>
            <w:r>
              <w:t>质量指标</w:t>
            </w:r>
          </w:p>
        </w:tc>
        <w:tc>
          <w:tcPr>
            <w:tcW w:w="1332" w:type="dxa"/>
            <w:vAlign w:val="center"/>
          </w:tcPr>
          <w:p>
            <w:pPr>
              <w:pStyle w:val="18"/>
            </w:pPr>
            <w:r>
              <w:t>24小时有人在岗</w:t>
            </w:r>
          </w:p>
        </w:tc>
        <w:tc>
          <w:tcPr>
            <w:tcW w:w="2891" w:type="dxa"/>
            <w:vAlign w:val="center"/>
          </w:tcPr>
          <w:p>
            <w:pPr>
              <w:pStyle w:val="18"/>
            </w:pPr>
            <w:r>
              <w:t>24小时有人在岗</w:t>
            </w:r>
          </w:p>
        </w:tc>
        <w:tc>
          <w:tcPr>
            <w:tcW w:w="1276" w:type="dxa"/>
            <w:vAlign w:val="center"/>
          </w:tcPr>
          <w:p>
            <w:pPr>
              <w:pStyle w:val="18"/>
            </w:pPr>
            <w:r>
              <w:t>24小时</w:t>
            </w:r>
          </w:p>
        </w:tc>
        <w:tc>
          <w:tcPr>
            <w:tcW w:w="1843" w:type="dxa"/>
            <w:vAlign w:val="center"/>
          </w:tcPr>
          <w:p>
            <w:pPr>
              <w:pStyle w:val="18"/>
            </w:pPr>
            <w:r>
              <w:t>根据实际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8"/>
            </w:pPr>
            <w:r>
              <w:t>时效指标</w:t>
            </w:r>
          </w:p>
        </w:tc>
        <w:tc>
          <w:tcPr>
            <w:tcW w:w="1332" w:type="dxa"/>
            <w:vAlign w:val="center"/>
          </w:tcPr>
          <w:p>
            <w:pPr>
              <w:pStyle w:val="18"/>
            </w:pPr>
            <w:r>
              <w:t>一年</w:t>
            </w:r>
          </w:p>
        </w:tc>
        <w:tc>
          <w:tcPr>
            <w:tcW w:w="2891" w:type="dxa"/>
            <w:vAlign w:val="center"/>
          </w:tcPr>
          <w:p>
            <w:pPr>
              <w:pStyle w:val="18"/>
            </w:pPr>
            <w:r>
              <w:t>一年</w:t>
            </w:r>
          </w:p>
        </w:tc>
        <w:tc>
          <w:tcPr>
            <w:tcW w:w="1276" w:type="dxa"/>
            <w:vAlign w:val="center"/>
          </w:tcPr>
          <w:p>
            <w:pPr>
              <w:pStyle w:val="18"/>
            </w:pPr>
            <w:r>
              <w:t>1年</w:t>
            </w:r>
          </w:p>
        </w:tc>
        <w:tc>
          <w:tcPr>
            <w:tcW w:w="1843" w:type="dxa"/>
            <w:vAlign w:val="center"/>
          </w:tcPr>
          <w:p>
            <w:pPr>
              <w:pStyle w:val="18"/>
            </w:pPr>
            <w:r>
              <w:t>根据实际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8"/>
            </w:pPr>
            <w:r>
              <w:t>成本指标</w:t>
            </w:r>
          </w:p>
        </w:tc>
        <w:tc>
          <w:tcPr>
            <w:tcW w:w="1332" w:type="dxa"/>
            <w:vAlign w:val="center"/>
          </w:tcPr>
          <w:p>
            <w:pPr>
              <w:pStyle w:val="18"/>
            </w:pPr>
            <w:r>
              <w:t>控制在预算成本内</w:t>
            </w:r>
          </w:p>
        </w:tc>
        <w:tc>
          <w:tcPr>
            <w:tcW w:w="2891" w:type="dxa"/>
            <w:vAlign w:val="center"/>
          </w:tcPr>
          <w:p>
            <w:pPr>
              <w:pStyle w:val="18"/>
            </w:pPr>
            <w:r>
              <w:t>控制在预算成本内</w:t>
            </w:r>
          </w:p>
        </w:tc>
        <w:tc>
          <w:tcPr>
            <w:tcW w:w="1276" w:type="dxa"/>
            <w:vAlign w:val="center"/>
          </w:tcPr>
          <w:p>
            <w:pPr>
              <w:pStyle w:val="18"/>
            </w:pPr>
            <w:r>
              <w:t>≤100%</w:t>
            </w:r>
          </w:p>
        </w:tc>
        <w:tc>
          <w:tcPr>
            <w:tcW w:w="1843" w:type="dxa"/>
            <w:vAlign w:val="center"/>
          </w:tcPr>
          <w:p>
            <w:pPr>
              <w:pStyle w:val="18"/>
            </w:pPr>
            <w:r>
              <w:t>根据拨付情况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效益指标</w:t>
            </w:r>
          </w:p>
        </w:tc>
        <w:tc>
          <w:tcPr>
            <w:tcW w:w="1276" w:type="dxa"/>
            <w:vAlign w:val="center"/>
          </w:tcPr>
          <w:p>
            <w:pPr>
              <w:pStyle w:val="18"/>
            </w:pPr>
            <w:r>
              <w:t>社会效益指标</w:t>
            </w:r>
          </w:p>
        </w:tc>
        <w:tc>
          <w:tcPr>
            <w:tcW w:w="1332" w:type="dxa"/>
            <w:vAlign w:val="center"/>
          </w:tcPr>
          <w:p>
            <w:pPr>
              <w:pStyle w:val="18"/>
            </w:pPr>
            <w:r>
              <w:t>保障单位秩序</w:t>
            </w:r>
          </w:p>
        </w:tc>
        <w:tc>
          <w:tcPr>
            <w:tcW w:w="2891" w:type="dxa"/>
            <w:vAlign w:val="center"/>
          </w:tcPr>
          <w:p>
            <w:pPr>
              <w:pStyle w:val="18"/>
            </w:pPr>
            <w:r>
              <w:t>保障单位秩序</w:t>
            </w:r>
          </w:p>
        </w:tc>
        <w:tc>
          <w:tcPr>
            <w:tcW w:w="1276" w:type="dxa"/>
            <w:vAlign w:val="center"/>
          </w:tcPr>
          <w:p>
            <w:pPr>
              <w:pStyle w:val="18"/>
            </w:pPr>
            <w:r>
              <w:t>有效保障单位秩序</w:t>
            </w:r>
          </w:p>
        </w:tc>
        <w:tc>
          <w:tcPr>
            <w:tcW w:w="1843" w:type="dxa"/>
            <w:vAlign w:val="center"/>
          </w:tcPr>
          <w:p>
            <w:pPr>
              <w:pStyle w:val="18"/>
            </w:pPr>
            <w:r>
              <w:t>根据实际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满意度指标</w:t>
            </w:r>
          </w:p>
        </w:tc>
        <w:tc>
          <w:tcPr>
            <w:tcW w:w="1276" w:type="dxa"/>
            <w:vAlign w:val="center"/>
          </w:tcPr>
          <w:p>
            <w:pPr>
              <w:pStyle w:val="18"/>
            </w:pPr>
            <w:r>
              <w:t>服务对象满意度指标</w:t>
            </w:r>
          </w:p>
        </w:tc>
        <w:tc>
          <w:tcPr>
            <w:tcW w:w="1332" w:type="dxa"/>
            <w:vAlign w:val="center"/>
          </w:tcPr>
          <w:p>
            <w:pPr>
              <w:pStyle w:val="18"/>
            </w:pPr>
            <w:r>
              <w:t>满意率</w:t>
            </w:r>
          </w:p>
        </w:tc>
        <w:tc>
          <w:tcPr>
            <w:tcW w:w="2891" w:type="dxa"/>
            <w:vAlign w:val="center"/>
          </w:tcPr>
          <w:p>
            <w:pPr>
              <w:pStyle w:val="18"/>
            </w:pPr>
            <w:r>
              <w:t>满意率</w:t>
            </w:r>
          </w:p>
        </w:tc>
        <w:tc>
          <w:tcPr>
            <w:tcW w:w="1276" w:type="dxa"/>
            <w:vAlign w:val="center"/>
          </w:tcPr>
          <w:p>
            <w:pPr>
              <w:pStyle w:val="18"/>
            </w:pPr>
            <w:r>
              <w:t>使用单位满意率</w:t>
            </w:r>
          </w:p>
        </w:tc>
        <w:tc>
          <w:tcPr>
            <w:tcW w:w="1843" w:type="dxa"/>
            <w:vAlign w:val="center"/>
          </w:tcPr>
          <w:p>
            <w:pPr>
              <w:pStyle w:val="18"/>
            </w:pPr>
            <w:r>
              <w:t>根据单位反馈</w:t>
            </w:r>
          </w:p>
        </w:tc>
      </w:tr>
    </w:tbl>
    <w:p>
      <w:pPr>
        <w:sectPr>
          <w:pgSz w:w="16840" w:h="11900" w:orient="landscape"/>
          <w:pgMar w:top="1304" w:right="1984" w:bottom="1304" w:left="1134" w:header="720" w:footer="720" w:gutter="0"/>
          <w:cols w:space="720" w:num="1"/>
        </w:sectPr>
      </w:pPr>
    </w:p>
    <w:p>
      <w:pPr>
        <w:jc w:val="center"/>
      </w:pPr>
    </w:p>
    <w:p>
      <w:pPr>
        <w:spacing w:before="0" w:after="0"/>
        <w:ind w:firstLine="1769" w:firstLineChars="632"/>
        <w:jc w:val="left"/>
        <w:outlineLvl w:val="3"/>
      </w:pPr>
      <w:bookmarkStart w:id="1" w:name="_Toc_4_4_0000000005"/>
      <w:r>
        <w:rPr>
          <w:rFonts w:ascii="方正仿宋_GBK" w:hAnsi="方正仿宋_GBK" w:eastAsia="方正仿宋_GBK" w:cs="方正仿宋_GBK"/>
          <w:color w:val="000000"/>
          <w:sz w:val="28"/>
        </w:rPr>
        <w:t>2.城乡环卫一体化运行经费绩效目标表</w:t>
      </w:r>
      <w:bookmarkEnd w:id="1"/>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5"/>
            </w:pPr>
            <w:r>
              <w:t>565001涞水县城市管理综合执法队本级</w:t>
            </w:r>
          </w:p>
        </w:tc>
        <w:tc>
          <w:tcPr>
            <w:tcW w:w="1843" w:type="dxa"/>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项目编码</w:t>
            </w:r>
          </w:p>
        </w:tc>
        <w:tc>
          <w:tcPr>
            <w:tcW w:w="2608" w:type="dxa"/>
            <w:gridSpan w:val="2"/>
            <w:vAlign w:val="center"/>
          </w:tcPr>
          <w:p>
            <w:pPr>
              <w:pStyle w:val="18"/>
            </w:pPr>
            <w:r>
              <w:t>13062325P00792710004F</w:t>
            </w:r>
          </w:p>
        </w:tc>
        <w:tc>
          <w:tcPr>
            <w:tcW w:w="1587" w:type="dxa"/>
            <w:vAlign w:val="center"/>
          </w:tcPr>
          <w:p>
            <w:pPr>
              <w:pStyle w:val="17"/>
            </w:pPr>
            <w:r>
              <w:t>项目名称</w:t>
            </w:r>
          </w:p>
        </w:tc>
        <w:tc>
          <w:tcPr>
            <w:tcW w:w="4423" w:type="dxa"/>
            <w:gridSpan w:val="3"/>
            <w:vAlign w:val="center"/>
          </w:tcPr>
          <w:p>
            <w:pPr>
              <w:pStyle w:val="18"/>
            </w:pPr>
            <w:r>
              <w:t>城乡环卫一体化运行经费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预算规模及资金用途</w:t>
            </w:r>
          </w:p>
        </w:tc>
        <w:tc>
          <w:tcPr>
            <w:tcW w:w="1276" w:type="dxa"/>
            <w:vAlign w:val="center"/>
          </w:tcPr>
          <w:p>
            <w:pPr>
              <w:pStyle w:val="17"/>
            </w:pPr>
            <w:r>
              <w:t>预算数</w:t>
            </w:r>
          </w:p>
        </w:tc>
        <w:tc>
          <w:tcPr>
            <w:tcW w:w="1332" w:type="dxa"/>
            <w:vAlign w:val="center"/>
          </w:tcPr>
          <w:p>
            <w:pPr>
              <w:pStyle w:val="18"/>
            </w:pPr>
            <w:r>
              <w:t>1000.00</w:t>
            </w:r>
          </w:p>
        </w:tc>
        <w:tc>
          <w:tcPr>
            <w:tcW w:w="1587" w:type="dxa"/>
            <w:vAlign w:val="center"/>
          </w:tcPr>
          <w:p>
            <w:pPr>
              <w:pStyle w:val="17"/>
            </w:pPr>
            <w:r>
              <w:t>其中：财政    资金</w:t>
            </w:r>
          </w:p>
        </w:tc>
        <w:tc>
          <w:tcPr>
            <w:tcW w:w="1304" w:type="dxa"/>
            <w:vAlign w:val="center"/>
          </w:tcPr>
          <w:p>
            <w:pPr>
              <w:pStyle w:val="18"/>
            </w:pPr>
            <w:r>
              <w:t>1000.00</w:t>
            </w:r>
          </w:p>
        </w:tc>
        <w:tc>
          <w:tcPr>
            <w:tcW w:w="1276" w:type="dxa"/>
            <w:vAlign w:val="center"/>
          </w:tcPr>
          <w:p>
            <w:pPr>
              <w:pStyle w:val="17"/>
            </w:pPr>
            <w:r>
              <w:t>其他资金</w:t>
            </w:r>
          </w:p>
        </w:tc>
        <w:tc>
          <w:tcPr>
            <w:tcW w:w="1843" w:type="dxa"/>
            <w:vAlign w:val="center"/>
          </w:tcPr>
          <w:p>
            <w:pPr>
              <w:pStyle w:val="18"/>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8"/>
            </w:pPr>
            <w:r>
              <w:t>用于城乡环卫工人工资</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资金支出计划（%）</w:t>
            </w:r>
          </w:p>
        </w:tc>
        <w:tc>
          <w:tcPr>
            <w:tcW w:w="2608" w:type="dxa"/>
            <w:gridSpan w:val="2"/>
            <w:vAlign w:val="center"/>
          </w:tcPr>
          <w:p>
            <w:pPr>
              <w:pStyle w:val="17"/>
            </w:pPr>
            <w:r>
              <w:t>3月底</w:t>
            </w:r>
          </w:p>
        </w:tc>
        <w:tc>
          <w:tcPr>
            <w:tcW w:w="1587" w:type="dxa"/>
            <w:vAlign w:val="center"/>
          </w:tcPr>
          <w:p>
            <w:pPr>
              <w:pStyle w:val="17"/>
            </w:pPr>
            <w:r>
              <w:t>6月底</w:t>
            </w:r>
          </w:p>
        </w:tc>
        <w:tc>
          <w:tcPr>
            <w:tcW w:w="1304" w:type="dxa"/>
            <w:vAlign w:val="center"/>
          </w:tcPr>
          <w:p>
            <w:pPr>
              <w:pStyle w:val="17"/>
            </w:pPr>
            <w:r>
              <w:t>10月底</w:t>
            </w:r>
          </w:p>
        </w:tc>
        <w:tc>
          <w:tcPr>
            <w:tcW w:w="3119" w:type="dxa"/>
            <w:gridSpan w:val="2"/>
            <w:vAlign w:val="center"/>
          </w:tcPr>
          <w:p>
            <w:pPr>
              <w:pStyle w:val="17"/>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9"/>
            </w:pPr>
            <w:r>
              <w:t>25</w:t>
            </w:r>
          </w:p>
        </w:tc>
        <w:tc>
          <w:tcPr>
            <w:tcW w:w="1587" w:type="dxa"/>
            <w:vAlign w:val="center"/>
          </w:tcPr>
          <w:p>
            <w:pPr>
              <w:pStyle w:val="19"/>
            </w:pPr>
            <w:r>
              <w:t>50</w:t>
            </w:r>
          </w:p>
        </w:tc>
        <w:tc>
          <w:tcPr>
            <w:tcW w:w="1304" w:type="dxa"/>
            <w:vAlign w:val="center"/>
          </w:tcPr>
          <w:p>
            <w:pPr>
              <w:pStyle w:val="19"/>
            </w:pPr>
            <w:r>
              <w:t>75</w:t>
            </w:r>
          </w:p>
        </w:tc>
        <w:tc>
          <w:tcPr>
            <w:tcW w:w="3119" w:type="dxa"/>
            <w:gridSpan w:val="2"/>
            <w:vAlign w:val="center"/>
          </w:tcPr>
          <w:p>
            <w:pPr>
              <w:pStyle w:val="19"/>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绩效目标</w:t>
            </w:r>
          </w:p>
        </w:tc>
        <w:tc>
          <w:tcPr>
            <w:tcW w:w="8618" w:type="dxa"/>
            <w:gridSpan w:val="6"/>
            <w:vAlign w:val="center"/>
          </w:tcPr>
          <w:p>
            <w:pPr>
              <w:pStyle w:val="18"/>
            </w:pPr>
            <w:r>
              <w:t>1.保障环卫工人的合法权益</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7"/>
            </w:pPr>
            <w:r>
              <w:t>一级指标</w:t>
            </w:r>
          </w:p>
        </w:tc>
        <w:tc>
          <w:tcPr>
            <w:tcW w:w="1276" w:type="dxa"/>
            <w:vAlign w:val="center"/>
          </w:tcPr>
          <w:p>
            <w:pPr>
              <w:pStyle w:val="17"/>
            </w:pPr>
            <w:r>
              <w:t>二级指标</w:t>
            </w:r>
          </w:p>
        </w:tc>
        <w:tc>
          <w:tcPr>
            <w:tcW w:w="1332" w:type="dxa"/>
            <w:vAlign w:val="center"/>
          </w:tcPr>
          <w:p>
            <w:pPr>
              <w:pStyle w:val="17"/>
            </w:pPr>
            <w:r>
              <w:t>三级指标</w:t>
            </w:r>
          </w:p>
        </w:tc>
        <w:tc>
          <w:tcPr>
            <w:tcW w:w="2891" w:type="dxa"/>
            <w:vAlign w:val="center"/>
          </w:tcPr>
          <w:p>
            <w:pPr>
              <w:pStyle w:val="17"/>
            </w:pPr>
            <w:r>
              <w:t>绩效指标描述</w:t>
            </w:r>
          </w:p>
        </w:tc>
        <w:tc>
          <w:tcPr>
            <w:tcW w:w="1276" w:type="dxa"/>
            <w:vAlign w:val="center"/>
          </w:tcPr>
          <w:p>
            <w:pPr>
              <w:pStyle w:val="17"/>
            </w:pPr>
            <w:r>
              <w:t>指标值</w:t>
            </w:r>
          </w:p>
        </w:tc>
        <w:tc>
          <w:tcPr>
            <w:tcW w:w="1843" w:type="dxa"/>
            <w:vAlign w:val="center"/>
          </w:tcPr>
          <w:p>
            <w:pPr>
              <w:pStyle w:val="17"/>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产出指标</w:t>
            </w:r>
          </w:p>
        </w:tc>
        <w:tc>
          <w:tcPr>
            <w:tcW w:w="1276" w:type="dxa"/>
            <w:vAlign w:val="center"/>
          </w:tcPr>
          <w:p>
            <w:pPr>
              <w:pStyle w:val="18"/>
            </w:pPr>
            <w:r>
              <w:t>数量指标</w:t>
            </w:r>
          </w:p>
        </w:tc>
        <w:tc>
          <w:tcPr>
            <w:tcW w:w="1332" w:type="dxa"/>
            <w:vAlign w:val="center"/>
          </w:tcPr>
          <w:p>
            <w:pPr>
              <w:pStyle w:val="18"/>
            </w:pPr>
            <w:r>
              <w:t>全体环卫工人</w:t>
            </w:r>
          </w:p>
        </w:tc>
        <w:tc>
          <w:tcPr>
            <w:tcW w:w="2891" w:type="dxa"/>
            <w:vAlign w:val="center"/>
          </w:tcPr>
          <w:p>
            <w:pPr>
              <w:pStyle w:val="18"/>
            </w:pPr>
            <w:r>
              <w:t>全体环卫工人</w:t>
            </w:r>
          </w:p>
        </w:tc>
        <w:tc>
          <w:tcPr>
            <w:tcW w:w="1276" w:type="dxa"/>
            <w:vAlign w:val="center"/>
          </w:tcPr>
          <w:p>
            <w:pPr>
              <w:pStyle w:val="18"/>
            </w:pPr>
            <w:r>
              <w:t>全体环卫工人</w:t>
            </w:r>
          </w:p>
        </w:tc>
        <w:tc>
          <w:tcPr>
            <w:tcW w:w="1843" w:type="dxa"/>
            <w:vAlign w:val="center"/>
          </w:tcPr>
          <w:p>
            <w:pPr>
              <w:pStyle w:val="18"/>
            </w:pPr>
            <w:r>
              <w:t>根据环卫公司提高名单</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8"/>
            </w:pPr>
            <w:r>
              <w:t>质量指标</w:t>
            </w:r>
          </w:p>
        </w:tc>
        <w:tc>
          <w:tcPr>
            <w:tcW w:w="1332" w:type="dxa"/>
            <w:vAlign w:val="center"/>
          </w:tcPr>
          <w:p>
            <w:pPr>
              <w:pStyle w:val="18"/>
            </w:pPr>
            <w:r>
              <w:t>资金到位率</w:t>
            </w:r>
          </w:p>
        </w:tc>
        <w:tc>
          <w:tcPr>
            <w:tcW w:w="2891" w:type="dxa"/>
            <w:vAlign w:val="center"/>
          </w:tcPr>
          <w:p>
            <w:pPr>
              <w:pStyle w:val="18"/>
            </w:pPr>
            <w:r>
              <w:t>资金到位率</w:t>
            </w:r>
          </w:p>
        </w:tc>
        <w:tc>
          <w:tcPr>
            <w:tcW w:w="1276" w:type="dxa"/>
            <w:vAlign w:val="center"/>
          </w:tcPr>
          <w:p>
            <w:pPr>
              <w:pStyle w:val="18"/>
            </w:pPr>
            <w:r>
              <w:t>≤100%</w:t>
            </w:r>
          </w:p>
        </w:tc>
        <w:tc>
          <w:tcPr>
            <w:tcW w:w="1843" w:type="dxa"/>
            <w:vAlign w:val="center"/>
          </w:tcPr>
          <w:p>
            <w:pPr>
              <w:pStyle w:val="18"/>
            </w:pPr>
            <w:r>
              <w:t>根据拨付</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8"/>
            </w:pPr>
            <w:r>
              <w:t>时效指标</w:t>
            </w:r>
          </w:p>
        </w:tc>
        <w:tc>
          <w:tcPr>
            <w:tcW w:w="1332" w:type="dxa"/>
            <w:vAlign w:val="center"/>
          </w:tcPr>
          <w:p>
            <w:pPr>
              <w:pStyle w:val="18"/>
            </w:pPr>
            <w:r>
              <w:t>支付完成率</w:t>
            </w:r>
          </w:p>
        </w:tc>
        <w:tc>
          <w:tcPr>
            <w:tcW w:w="2891" w:type="dxa"/>
            <w:vAlign w:val="center"/>
          </w:tcPr>
          <w:p>
            <w:pPr>
              <w:pStyle w:val="18"/>
            </w:pPr>
            <w:r>
              <w:t>按时有序支付</w:t>
            </w:r>
          </w:p>
        </w:tc>
        <w:tc>
          <w:tcPr>
            <w:tcW w:w="1276" w:type="dxa"/>
            <w:vAlign w:val="center"/>
          </w:tcPr>
          <w:p>
            <w:pPr>
              <w:pStyle w:val="18"/>
            </w:pPr>
            <w:r>
              <w:t>≤100%</w:t>
            </w:r>
          </w:p>
        </w:tc>
        <w:tc>
          <w:tcPr>
            <w:tcW w:w="1843" w:type="dxa"/>
            <w:vAlign w:val="center"/>
          </w:tcPr>
          <w:p>
            <w:pPr>
              <w:pStyle w:val="18"/>
            </w:pPr>
            <w:r>
              <w:t>根据发放记录</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8"/>
            </w:pPr>
            <w:r>
              <w:t>成本指标</w:t>
            </w:r>
          </w:p>
        </w:tc>
        <w:tc>
          <w:tcPr>
            <w:tcW w:w="1332" w:type="dxa"/>
            <w:vAlign w:val="center"/>
          </w:tcPr>
          <w:p>
            <w:pPr>
              <w:pStyle w:val="18"/>
            </w:pPr>
            <w:r>
              <w:t>预算金额</w:t>
            </w:r>
          </w:p>
        </w:tc>
        <w:tc>
          <w:tcPr>
            <w:tcW w:w="2891" w:type="dxa"/>
            <w:vAlign w:val="center"/>
          </w:tcPr>
          <w:p>
            <w:pPr>
              <w:pStyle w:val="18"/>
            </w:pPr>
            <w:r>
              <w:t>预算金额</w:t>
            </w:r>
          </w:p>
        </w:tc>
        <w:tc>
          <w:tcPr>
            <w:tcW w:w="1276" w:type="dxa"/>
            <w:vAlign w:val="center"/>
          </w:tcPr>
          <w:p>
            <w:pPr>
              <w:pStyle w:val="18"/>
            </w:pPr>
            <w:r>
              <w:t>≤100%</w:t>
            </w:r>
          </w:p>
        </w:tc>
        <w:tc>
          <w:tcPr>
            <w:tcW w:w="1843" w:type="dxa"/>
            <w:vAlign w:val="center"/>
          </w:tcPr>
          <w:p>
            <w:pPr>
              <w:pStyle w:val="18"/>
            </w:pPr>
            <w:r>
              <w:t>根据拨付进度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效益指标</w:t>
            </w:r>
          </w:p>
        </w:tc>
        <w:tc>
          <w:tcPr>
            <w:tcW w:w="1276" w:type="dxa"/>
            <w:vAlign w:val="center"/>
          </w:tcPr>
          <w:p>
            <w:pPr>
              <w:pStyle w:val="18"/>
            </w:pPr>
            <w:r>
              <w:t>社会效益指标</w:t>
            </w:r>
          </w:p>
        </w:tc>
        <w:tc>
          <w:tcPr>
            <w:tcW w:w="1332" w:type="dxa"/>
            <w:vAlign w:val="center"/>
          </w:tcPr>
          <w:p>
            <w:pPr>
              <w:pStyle w:val="18"/>
            </w:pPr>
            <w:r>
              <w:t>业务保障能力</w:t>
            </w:r>
          </w:p>
        </w:tc>
        <w:tc>
          <w:tcPr>
            <w:tcW w:w="2891" w:type="dxa"/>
            <w:vAlign w:val="center"/>
          </w:tcPr>
          <w:p>
            <w:pPr>
              <w:pStyle w:val="18"/>
            </w:pPr>
            <w:r>
              <w:t>业务保障能力</w:t>
            </w:r>
          </w:p>
        </w:tc>
        <w:tc>
          <w:tcPr>
            <w:tcW w:w="1276" w:type="dxa"/>
            <w:vAlign w:val="center"/>
          </w:tcPr>
          <w:p>
            <w:pPr>
              <w:pStyle w:val="18"/>
            </w:pPr>
            <w:r>
              <w:t>保障工人工作积极性</w:t>
            </w:r>
          </w:p>
        </w:tc>
        <w:tc>
          <w:tcPr>
            <w:tcW w:w="1843" w:type="dxa"/>
            <w:vAlign w:val="center"/>
          </w:tcPr>
          <w:p>
            <w:pPr>
              <w:pStyle w:val="18"/>
            </w:pPr>
            <w:r>
              <w:t>根据巡查反馈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满意度指标</w:t>
            </w:r>
          </w:p>
        </w:tc>
        <w:tc>
          <w:tcPr>
            <w:tcW w:w="1276" w:type="dxa"/>
            <w:vAlign w:val="center"/>
          </w:tcPr>
          <w:p>
            <w:pPr>
              <w:pStyle w:val="18"/>
            </w:pPr>
            <w:r>
              <w:t>服务对象满意度指标</w:t>
            </w:r>
          </w:p>
        </w:tc>
        <w:tc>
          <w:tcPr>
            <w:tcW w:w="1332" w:type="dxa"/>
            <w:vAlign w:val="center"/>
          </w:tcPr>
          <w:p>
            <w:pPr>
              <w:pStyle w:val="18"/>
            </w:pPr>
            <w:r>
              <w:t>满意度</w:t>
            </w:r>
          </w:p>
        </w:tc>
        <w:tc>
          <w:tcPr>
            <w:tcW w:w="2891" w:type="dxa"/>
            <w:vAlign w:val="center"/>
          </w:tcPr>
          <w:p>
            <w:pPr>
              <w:pStyle w:val="18"/>
            </w:pPr>
            <w:r>
              <w:t>满意度</w:t>
            </w:r>
          </w:p>
        </w:tc>
        <w:tc>
          <w:tcPr>
            <w:tcW w:w="1276" w:type="dxa"/>
            <w:vAlign w:val="center"/>
          </w:tcPr>
          <w:p>
            <w:pPr>
              <w:pStyle w:val="18"/>
            </w:pPr>
            <w:r>
              <w:t>提高</w:t>
            </w:r>
          </w:p>
        </w:tc>
        <w:tc>
          <w:tcPr>
            <w:tcW w:w="1843" w:type="dxa"/>
            <w:vAlign w:val="center"/>
          </w:tcPr>
          <w:p>
            <w:pPr>
              <w:pStyle w:val="18"/>
            </w:pPr>
            <w:r>
              <w:t>根据环卫公司反馈</w:t>
            </w:r>
          </w:p>
        </w:tc>
      </w:tr>
    </w:tbl>
    <w:p>
      <w:pPr>
        <w:sectPr>
          <w:pgSz w:w="16840" w:h="11900" w:orient="landscape"/>
          <w:pgMar w:top="1304" w:right="1984" w:bottom="1304" w:left="1134" w:header="720" w:footer="720" w:gutter="0"/>
          <w:cols w:space="720" w:num="1"/>
        </w:sectPr>
      </w:pPr>
    </w:p>
    <w:p>
      <w:pPr>
        <w:jc w:val="both"/>
      </w:pPr>
    </w:p>
    <w:p>
      <w:pPr>
        <w:spacing w:before="0" w:after="0"/>
        <w:ind w:firstLine="1769" w:firstLineChars="632"/>
        <w:jc w:val="left"/>
        <w:outlineLvl w:val="3"/>
      </w:pPr>
      <w:bookmarkStart w:id="2" w:name="_Toc_4_4_0000000006"/>
      <w:r>
        <w:rPr>
          <w:rFonts w:ascii="方正仿宋_GBK" w:hAnsi="方正仿宋_GBK" w:eastAsia="方正仿宋_GBK" w:cs="方正仿宋_GBK"/>
          <w:color w:val="000000"/>
          <w:sz w:val="28"/>
        </w:rPr>
        <w:t>3.警务通通信费及技术维护费绩效目标表</w:t>
      </w:r>
      <w:bookmarkEnd w:id="2"/>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5"/>
            </w:pPr>
            <w:r>
              <w:t>565001涞水县城市管理综合执法队本级</w:t>
            </w:r>
          </w:p>
        </w:tc>
        <w:tc>
          <w:tcPr>
            <w:tcW w:w="1843" w:type="dxa"/>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项目编码</w:t>
            </w:r>
          </w:p>
        </w:tc>
        <w:tc>
          <w:tcPr>
            <w:tcW w:w="2608" w:type="dxa"/>
            <w:gridSpan w:val="2"/>
            <w:vAlign w:val="center"/>
          </w:tcPr>
          <w:p>
            <w:pPr>
              <w:pStyle w:val="18"/>
            </w:pPr>
            <w:r>
              <w:t>13062325P00792810012R</w:t>
            </w:r>
          </w:p>
        </w:tc>
        <w:tc>
          <w:tcPr>
            <w:tcW w:w="1587" w:type="dxa"/>
            <w:vAlign w:val="center"/>
          </w:tcPr>
          <w:p>
            <w:pPr>
              <w:pStyle w:val="17"/>
            </w:pPr>
            <w:r>
              <w:t>项目名称</w:t>
            </w:r>
          </w:p>
        </w:tc>
        <w:tc>
          <w:tcPr>
            <w:tcW w:w="4423" w:type="dxa"/>
            <w:gridSpan w:val="3"/>
            <w:vAlign w:val="center"/>
          </w:tcPr>
          <w:p>
            <w:pPr>
              <w:pStyle w:val="18"/>
            </w:pPr>
            <w:r>
              <w:t>警务通通信费及技术维护费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预算规模及资金用途</w:t>
            </w:r>
          </w:p>
        </w:tc>
        <w:tc>
          <w:tcPr>
            <w:tcW w:w="1276" w:type="dxa"/>
            <w:vAlign w:val="center"/>
          </w:tcPr>
          <w:p>
            <w:pPr>
              <w:pStyle w:val="17"/>
            </w:pPr>
            <w:r>
              <w:t>预算数</w:t>
            </w:r>
          </w:p>
        </w:tc>
        <w:tc>
          <w:tcPr>
            <w:tcW w:w="1332" w:type="dxa"/>
            <w:vAlign w:val="center"/>
          </w:tcPr>
          <w:p>
            <w:pPr>
              <w:pStyle w:val="18"/>
            </w:pPr>
            <w:r>
              <w:t>2.72</w:t>
            </w:r>
          </w:p>
        </w:tc>
        <w:tc>
          <w:tcPr>
            <w:tcW w:w="1587" w:type="dxa"/>
            <w:vAlign w:val="center"/>
          </w:tcPr>
          <w:p>
            <w:pPr>
              <w:pStyle w:val="17"/>
            </w:pPr>
            <w:r>
              <w:t>其中：财政    资金</w:t>
            </w:r>
          </w:p>
        </w:tc>
        <w:tc>
          <w:tcPr>
            <w:tcW w:w="1304" w:type="dxa"/>
            <w:vAlign w:val="center"/>
          </w:tcPr>
          <w:p>
            <w:pPr>
              <w:pStyle w:val="18"/>
            </w:pPr>
            <w:r>
              <w:t>2.72</w:t>
            </w:r>
          </w:p>
        </w:tc>
        <w:tc>
          <w:tcPr>
            <w:tcW w:w="1276" w:type="dxa"/>
            <w:vAlign w:val="center"/>
          </w:tcPr>
          <w:p>
            <w:pPr>
              <w:pStyle w:val="17"/>
            </w:pPr>
            <w:r>
              <w:t>其他资金</w:t>
            </w:r>
          </w:p>
        </w:tc>
        <w:tc>
          <w:tcPr>
            <w:tcW w:w="1843" w:type="dxa"/>
            <w:vAlign w:val="center"/>
          </w:tcPr>
          <w:p>
            <w:pPr>
              <w:pStyle w:val="18"/>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8"/>
            </w:pPr>
            <w:r>
              <w:t>用于警务通正常使用</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资金支出计划（%）</w:t>
            </w:r>
          </w:p>
        </w:tc>
        <w:tc>
          <w:tcPr>
            <w:tcW w:w="2608" w:type="dxa"/>
            <w:gridSpan w:val="2"/>
            <w:vAlign w:val="center"/>
          </w:tcPr>
          <w:p>
            <w:pPr>
              <w:pStyle w:val="17"/>
            </w:pPr>
            <w:r>
              <w:t>3月底</w:t>
            </w:r>
          </w:p>
        </w:tc>
        <w:tc>
          <w:tcPr>
            <w:tcW w:w="1587" w:type="dxa"/>
            <w:vAlign w:val="center"/>
          </w:tcPr>
          <w:p>
            <w:pPr>
              <w:pStyle w:val="17"/>
            </w:pPr>
            <w:r>
              <w:t>6月底</w:t>
            </w:r>
          </w:p>
        </w:tc>
        <w:tc>
          <w:tcPr>
            <w:tcW w:w="1304" w:type="dxa"/>
            <w:vAlign w:val="center"/>
          </w:tcPr>
          <w:p>
            <w:pPr>
              <w:pStyle w:val="17"/>
            </w:pPr>
            <w:r>
              <w:t>10月底</w:t>
            </w:r>
          </w:p>
        </w:tc>
        <w:tc>
          <w:tcPr>
            <w:tcW w:w="3119" w:type="dxa"/>
            <w:gridSpan w:val="2"/>
            <w:vAlign w:val="center"/>
          </w:tcPr>
          <w:p>
            <w:pPr>
              <w:pStyle w:val="17"/>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9"/>
            </w:pPr>
            <w:r>
              <w:t xml:space="preserve"> </w:t>
            </w:r>
          </w:p>
        </w:tc>
        <w:tc>
          <w:tcPr>
            <w:tcW w:w="1587" w:type="dxa"/>
            <w:vAlign w:val="center"/>
          </w:tcPr>
          <w:p>
            <w:pPr>
              <w:pStyle w:val="19"/>
            </w:pPr>
            <w:r>
              <w:t xml:space="preserve"> </w:t>
            </w:r>
          </w:p>
        </w:tc>
        <w:tc>
          <w:tcPr>
            <w:tcW w:w="1304" w:type="dxa"/>
            <w:vAlign w:val="center"/>
          </w:tcPr>
          <w:p>
            <w:pPr>
              <w:pStyle w:val="19"/>
            </w:pPr>
            <w:r>
              <w:t xml:space="preserve"> </w:t>
            </w:r>
          </w:p>
        </w:tc>
        <w:tc>
          <w:tcPr>
            <w:tcW w:w="3119" w:type="dxa"/>
            <w:gridSpan w:val="2"/>
            <w:vAlign w:val="center"/>
          </w:tcPr>
          <w:p>
            <w:pPr>
              <w:pStyle w:val="19"/>
              <w:rPr>
                <w:rFonts w:hint="default" w:eastAsia="方正书宋_GBK"/>
                <w:lang w:val="en-US" w:eastAsia="zh-CN"/>
              </w:rPr>
            </w:pPr>
            <w:r>
              <w:rPr>
                <w:rFonts w:hint="eastAsia"/>
                <w:lang w:val="en-US" w:eastAsia="zh-CN"/>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绩效目标</w:t>
            </w:r>
          </w:p>
        </w:tc>
        <w:tc>
          <w:tcPr>
            <w:tcW w:w="8618" w:type="dxa"/>
            <w:gridSpan w:val="6"/>
            <w:vAlign w:val="center"/>
          </w:tcPr>
          <w:p>
            <w:pPr>
              <w:pStyle w:val="18"/>
            </w:pPr>
            <w:r>
              <w:t>1.维护便道的通行秩序，保障行人权益。</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7"/>
            </w:pPr>
            <w:r>
              <w:t>一级指标</w:t>
            </w:r>
          </w:p>
        </w:tc>
        <w:tc>
          <w:tcPr>
            <w:tcW w:w="1276" w:type="dxa"/>
            <w:vAlign w:val="center"/>
          </w:tcPr>
          <w:p>
            <w:pPr>
              <w:pStyle w:val="17"/>
            </w:pPr>
            <w:r>
              <w:t>二级指标</w:t>
            </w:r>
          </w:p>
        </w:tc>
        <w:tc>
          <w:tcPr>
            <w:tcW w:w="1332" w:type="dxa"/>
            <w:vAlign w:val="center"/>
          </w:tcPr>
          <w:p>
            <w:pPr>
              <w:pStyle w:val="17"/>
            </w:pPr>
            <w:r>
              <w:t>三级指标</w:t>
            </w:r>
          </w:p>
        </w:tc>
        <w:tc>
          <w:tcPr>
            <w:tcW w:w="2891" w:type="dxa"/>
            <w:vAlign w:val="center"/>
          </w:tcPr>
          <w:p>
            <w:pPr>
              <w:pStyle w:val="17"/>
            </w:pPr>
            <w:r>
              <w:t>绩效指标描述</w:t>
            </w:r>
          </w:p>
        </w:tc>
        <w:tc>
          <w:tcPr>
            <w:tcW w:w="1276" w:type="dxa"/>
            <w:vAlign w:val="center"/>
          </w:tcPr>
          <w:p>
            <w:pPr>
              <w:pStyle w:val="17"/>
            </w:pPr>
            <w:r>
              <w:t>指标值</w:t>
            </w:r>
          </w:p>
        </w:tc>
        <w:tc>
          <w:tcPr>
            <w:tcW w:w="1843" w:type="dxa"/>
            <w:vAlign w:val="center"/>
          </w:tcPr>
          <w:p>
            <w:pPr>
              <w:pStyle w:val="17"/>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产出指标</w:t>
            </w:r>
          </w:p>
        </w:tc>
        <w:tc>
          <w:tcPr>
            <w:tcW w:w="1276" w:type="dxa"/>
            <w:vAlign w:val="center"/>
          </w:tcPr>
          <w:p>
            <w:pPr>
              <w:pStyle w:val="18"/>
            </w:pPr>
            <w:r>
              <w:t>数量指标</w:t>
            </w:r>
          </w:p>
        </w:tc>
        <w:tc>
          <w:tcPr>
            <w:tcW w:w="1332" w:type="dxa"/>
            <w:vAlign w:val="center"/>
          </w:tcPr>
          <w:p>
            <w:pPr>
              <w:pStyle w:val="18"/>
            </w:pPr>
            <w:r>
              <w:t>设备正常率</w:t>
            </w:r>
          </w:p>
        </w:tc>
        <w:tc>
          <w:tcPr>
            <w:tcW w:w="2891" w:type="dxa"/>
            <w:vAlign w:val="center"/>
          </w:tcPr>
          <w:p>
            <w:pPr>
              <w:pStyle w:val="18"/>
            </w:pPr>
            <w:r>
              <w:t>设备正常率</w:t>
            </w:r>
          </w:p>
        </w:tc>
        <w:tc>
          <w:tcPr>
            <w:tcW w:w="1276" w:type="dxa"/>
            <w:vAlign w:val="center"/>
          </w:tcPr>
          <w:p>
            <w:pPr>
              <w:pStyle w:val="18"/>
            </w:pPr>
            <w:r>
              <w:t>≥90%</w:t>
            </w:r>
          </w:p>
        </w:tc>
        <w:tc>
          <w:tcPr>
            <w:tcW w:w="1843" w:type="dxa"/>
            <w:vAlign w:val="center"/>
          </w:tcPr>
          <w:p>
            <w:pPr>
              <w:pStyle w:val="18"/>
            </w:pPr>
            <w:r>
              <w:t>根据日常使用结果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8"/>
            </w:pPr>
            <w:r>
              <w:t>质量指标</w:t>
            </w:r>
          </w:p>
        </w:tc>
        <w:tc>
          <w:tcPr>
            <w:tcW w:w="1332" w:type="dxa"/>
            <w:vAlign w:val="center"/>
          </w:tcPr>
          <w:p>
            <w:pPr>
              <w:pStyle w:val="18"/>
            </w:pPr>
            <w:r>
              <w:t>资金到位率</w:t>
            </w:r>
          </w:p>
        </w:tc>
        <w:tc>
          <w:tcPr>
            <w:tcW w:w="2891" w:type="dxa"/>
            <w:vAlign w:val="center"/>
          </w:tcPr>
          <w:p>
            <w:pPr>
              <w:pStyle w:val="18"/>
            </w:pPr>
            <w:r>
              <w:t>资金到位率</w:t>
            </w:r>
          </w:p>
        </w:tc>
        <w:tc>
          <w:tcPr>
            <w:tcW w:w="1276" w:type="dxa"/>
            <w:vAlign w:val="center"/>
          </w:tcPr>
          <w:p>
            <w:pPr>
              <w:pStyle w:val="18"/>
            </w:pPr>
            <w:r>
              <w:t>≥100%</w:t>
            </w:r>
          </w:p>
        </w:tc>
        <w:tc>
          <w:tcPr>
            <w:tcW w:w="1843" w:type="dxa"/>
            <w:vAlign w:val="center"/>
          </w:tcPr>
          <w:p>
            <w:pPr>
              <w:pStyle w:val="18"/>
            </w:pPr>
            <w:r>
              <w:t>根据资金拨付结果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8"/>
            </w:pPr>
            <w:r>
              <w:t>时效指标</w:t>
            </w:r>
          </w:p>
        </w:tc>
        <w:tc>
          <w:tcPr>
            <w:tcW w:w="1332" w:type="dxa"/>
            <w:vAlign w:val="center"/>
          </w:tcPr>
          <w:p>
            <w:pPr>
              <w:pStyle w:val="18"/>
            </w:pPr>
            <w:r>
              <w:t>下达资金时间</w:t>
            </w:r>
          </w:p>
        </w:tc>
        <w:tc>
          <w:tcPr>
            <w:tcW w:w="2891" w:type="dxa"/>
            <w:vAlign w:val="center"/>
          </w:tcPr>
          <w:p>
            <w:pPr>
              <w:pStyle w:val="18"/>
            </w:pPr>
            <w:r>
              <w:t>下达资金时间</w:t>
            </w:r>
          </w:p>
        </w:tc>
        <w:tc>
          <w:tcPr>
            <w:tcW w:w="1276" w:type="dxa"/>
            <w:vAlign w:val="center"/>
          </w:tcPr>
          <w:p>
            <w:pPr>
              <w:pStyle w:val="18"/>
            </w:pPr>
            <w:r>
              <w:t>合同到期前</w:t>
            </w:r>
          </w:p>
        </w:tc>
        <w:tc>
          <w:tcPr>
            <w:tcW w:w="1843" w:type="dxa"/>
            <w:vAlign w:val="center"/>
          </w:tcPr>
          <w:p>
            <w:pPr>
              <w:pStyle w:val="18"/>
            </w:pPr>
            <w:r>
              <w:t>根据资金拨付日期</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8"/>
            </w:pPr>
            <w:r>
              <w:t>成本指标</w:t>
            </w:r>
          </w:p>
        </w:tc>
        <w:tc>
          <w:tcPr>
            <w:tcW w:w="1332" w:type="dxa"/>
            <w:vAlign w:val="center"/>
          </w:tcPr>
          <w:p>
            <w:pPr>
              <w:pStyle w:val="18"/>
            </w:pPr>
            <w:r>
              <w:t>项目预算控制数</w:t>
            </w:r>
          </w:p>
        </w:tc>
        <w:tc>
          <w:tcPr>
            <w:tcW w:w="2891" w:type="dxa"/>
            <w:vAlign w:val="center"/>
          </w:tcPr>
          <w:p>
            <w:pPr>
              <w:pStyle w:val="18"/>
            </w:pPr>
            <w:r>
              <w:t>项目预算控制数</w:t>
            </w:r>
          </w:p>
        </w:tc>
        <w:tc>
          <w:tcPr>
            <w:tcW w:w="1276" w:type="dxa"/>
            <w:vAlign w:val="center"/>
          </w:tcPr>
          <w:p>
            <w:pPr>
              <w:pStyle w:val="18"/>
            </w:pPr>
            <w:r>
              <w:t>≤100%</w:t>
            </w:r>
          </w:p>
        </w:tc>
        <w:tc>
          <w:tcPr>
            <w:tcW w:w="1843" w:type="dxa"/>
            <w:vAlign w:val="center"/>
          </w:tcPr>
          <w:p>
            <w:pPr>
              <w:pStyle w:val="18"/>
            </w:pPr>
            <w:r>
              <w:t>根据支付金额</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效益指标</w:t>
            </w:r>
          </w:p>
        </w:tc>
        <w:tc>
          <w:tcPr>
            <w:tcW w:w="1276" w:type="dxa"/>
            <w:vAlign w:val="center"/>
          </w:tcPr>
          <w:p>
            <w:pPr>
              <w:pStyle w:val="18"/>
            </w:pPr>
            <w:r>
              <w:t>社会效益指标</w:t>
            </w:r>
          </w:p>
        </w:tc>
        <w:tc>
          <w:tcPr>
            <w:tcW w:w="1332" w:type="dxa"/>
            <w:vAlign w:val="center"/>
          </w:tcPr>
          <w:p>
            <w:pPr>
              <w:pStyle w:val="18"/>
            </w:pPr>
            <w:r>
              <w:t>便道停车秩序</w:t>
            </w:r>
          </w:p>
        </w:tc>
        <w:tc>
          <w:tcPr>
            <w:tcW w:w="2891" w:type="dxa"/>
            <w:vAlign w:val="center"/>
          </w:tcPr>
          <w:p>
            <w:pPr>
              <w:pStyle w:val="18"/>
            </w:pPr>
            <w:r>
              <w:t>便道停车秩序</w:t>
            </w:r>
          </w:p>
        </w:tc>
        <w:tc>
          <w:tcPr>
            <w:tcW w:w="1276" w:type="dxa"/>
            <w:vAlign w:val="center"/>
          </w:tcPr>
          <w:p>
            <w:pPr>
              <w:pStyle w:val="18"/>
            </w:pPr>
            <w:r>
              <w:t>提升</w:t>
            </w:r>
          </w:p>
        </w:tc>
        <w:tc>
          <w:tcPr>
            <w:tcW w:w="1843" w:type="dxa"/>
            <w:vAlign w:val="center"/>
          </w:tcPr>
          <w:p>
            <w:pPr>
              <w:pStyle w:val="18"/>
            </w:pPr>
            <w:r>
              <w:t>根据平台采集量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满意度指标</w:t>
            </w:r>
          </w:p>
        </w:tc>
        <w:tc>
          <w:tcPr>
            <w:tcW w:w="1276" w:type="dxa"/>
            <w:vAlign w:val="center"/>
          </w:tcPr>
          <w:p>
            <w:pPr>
              <w:pStyle w:val="18"/>
            </w:pPr>
            <w:r>
              <w:t>服务对象满意度指标</w:t>
            </w:r>
          </w:p>
        </w:tc>
        <w:tc>
          <w:tcPr>
            <w:tcW w:w="1332" w:type="dxa"/>
            <w:vAlign w:val="center"/>
          </w:tcPr>
          <w:p>
            <w:pPr>
              <w:pStyle w:val="18"/>
            </w:pPr>
            <w:r>
              <w:t>使用人员满意度（%）</w:t>
            </w:r>
          </w:p>
        </w:tc>
        <w:tc>
          <w:tcPr>
            <w:tcW w:w="2891" w:type="dxa"/>
            <w:vAlign w:val="center"/>
          </w:tcPr>
          <w:p>
            <w:pPr>
              <w:pStyle w:val="18"/>
            </w:pPr>
            <w:r>
              <w:t>使用人员满意度（%）</w:t>
            </w:r>
          </w:p>
        </w:tc>
        <w:tc>
          <w:tcPr>
            <w:tcW w:w="1276" w:type="dxa"/>
            <w:vAlign w:val="center"/>
          </w:tcPr>
          <w:p>
            <w:pPr>
              <w:pStyle w:val="18"/>
            </w:pPr>
            <w:r>
              <w:t>≥95%</w:t>
            </w:r>
          </w:p>
        </w:tc>
        <w:tc>
          <w:tcPr>
            <w:tcW w:w="1843" w:type="dxa"/>
            <w:vAlign w:val="center"/>
          </w:tcPr>
          <w:p>
            <w:pPr>
              <w:pStyle w:val="18"/>
            </w:pPr>
            <w:r>
              <w:t>根据设备使用人员反馈</w:t>
            </w:r>
          </w:p>
        </w:tc>
      </w:tr>
    </w:tbl>
    <w:p>
      <w:pPr>
        <w:sectPr>
          <w:pgSz w:w="16840" w:h="11900" w:orient="landscape"/>
          <w:pgMar w:top="1304" w:right="1984" w:bottom="1304" w:left="1134" w:header="720" w:footer="720" w:gutter="0"/>
          <w:cols w:space="720" w:num="1"/>
        </w:sectPr>
      </w:pPr>
    </w:p>
    <w:p>
      <w:pPr>
        <w:jc w:val="both"/>
      </w:pPr>
    </w:p>
    <w:p>
      <w:pPr>
        <w:spacing w:before="0" w:after="0"/>
        <w:ind w:firstLine="1769" w:firstLineChars="632"/>
        <w:jc w:val="left"/>
        <w:outlineLvl w:val="3"/>
      </w:pPr>
      <w:bookmarkStart w:id="3" w:name="_Toc_4_4_0000000007"/>
      <w:r>
        <w:rPr>
          <w:rFonts w:ascii="方正仿宋_GBK" w:hAnsi="方正仿宋_GBK" w:eastAsia="方正仿宋_GBK" w:cs="方正仿宋_GBK"/>
          <w:color w:val="000000"/>
          <w:sz w:val="28"/>
        </w:rPr>
        <w:t>4.巡逻车经费绩效目标表</w:t>
      </w:r>
      <w:bookmarkEnd w:id="3"/>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5"/>
            </w:pPr>
            <w:r>
              <w:t>565001涞水县城市管理综合执法队本级</w:t>
            </w:r>
          </w:p>
        </w:tc>
        <w:tc>
          <w:tcPr>
            <w:tcW w:w="1843" w:type="dxa"/>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项目编码</w:t>
            </w:r>
          </w:p>
        </w:tc>
        <w:tc>
          <w:tcPr>
            <w:tcW w:w="2608" w:type="dxa"/>
            <w:gridSpan w:val="2"/>
            <w:vAlign w:val="center"/>
          </w:tcPr>
          <w:p>
            <w:pPr>
              <w:pStyle w:val="18"/>
            </w:pPr>
            <w:r>
              <w:t>13062325P00898310824Q</w:t>
            </w:r>
          </w:p>
        </w:tc>
        <w:tc>
          <w:tcPr>
            <w:tcW w:w="1587" w:type="dxa"/>
            <w:vAlign w:val="center"/>
          </w:tcPr>
          <w:p>
            <w:pPr>
              <w:pStyle w:val="17"/>
            </w:pPr>
            <w:r>
              <w:t>项目名称</w:t>
            </w:r>
          </w:p>
        </w:tc>
        <w:tc>
          <w:tcPr>
            <w:tcW w:w="4423" w:type="dxa"/>
            <w:gridSpan w:val="3"/>
            <w:vAlign w:val="center"/>
          </w:tcPr>
          <w:p>
            <w:pPr>
              <w:pStyle w:val="18"/>
            </w:pPr>
            <w:r>
              <w:t>巡逻车经费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预算规模及资金用途</w:t>
            </w:r>
          </w:p>
        </w:tc>
        <w:tc>
          <w:tcPr>
            <w:tcW w:w="1276" w:type="dxa"/>
            <w:vAlign w:val="center"/>
          </w:tcPr>
          <w:p>
            <w:pPr>
              <w:pStyle w:val="17"/>
            </w:pPr>
            <w:r>
              <w:t>预算数</w:t>
            </w:r>
          </w:p>
        </w:tc>
        <w:tc>
          <w:tcPr>
            <w:tcW w:w="1332" w:type="dxa"/>
            <w:vAlign w:val="center"/>
          </w:tcPr>
          <w:p>
            <w:pPr>
              <w:pStyle w:val="18"/>
            </w:pPr>
            <w:r>
              <w:t>5.00</w:t>
            </w:r>
          </w:p>
        </w:tc>
        <w:tc>
          <w:tcPr>
            <w:tcW w:w="1587" w:type="dxa"/>
            <w:vAlign w:val="center"/>
          </w:tcPr>
          <w:p>
            <w:pPr>
              <w:pStyle w:val="17"/>
            </w:pPr>
            <w:r>
              <w:t>其中：财政    资金</w:t>
            </w:r>
          </w:p>
        </w:tc>
        <w:tc>
          <w:tcPr>
            <w:tcW w:w="1304" w:type="dxa"/>
            <w:vAlign w:val="center"/>
          </w:tcPr>
          <w:p>
            <w:pPr>
              <w:pStyle w:val="18"/>
            </w:pPr>
            <w:r>
              <w:t>5.00</w:t>
            </w:r>
          </w:p>
        </w:tc>
        <w:tc>
          <w:tcPr>
            <w:tcW w:w="1276" w:type="dxa"/>
            <w:vAlign w:val="center"/>
          </w:tcPr>
          <w:p>
            <w:pPr>
              <w:pStyle w:val="17"/>
            </w:pPr>
            <w:r>
              <w:t>其他资金</w:t>
            </w:r>
          </w:p>
        </w:tc>
        <w:tc>
          <w:tcPr>
            <w:tcW w:w="1843" w:type="dxa"/>
            <w:vAlign w:val="center"/>
          </w:tcPr>
          <w:p>
            <w:pPr>
              <w:pStyle w:val="18"/>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8"/>
            </w:pPr>
            <w:r>
              <w:t>用于城管巡逻车日常费用</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资金支出计划（%）</w:t>
            </w:r>
          </w:p>
        </w:tc>
        <w:tc>
          <w:tcPr>
            <w:tcW w:w="2608" w:type="dxa"/>
            <w:gridSpan w:val="2"/>
            <w:vAlign w:val="center"/>
          </w:tcPr>
          <w:p>
            <w:pPr>
              <w:pStyle w:val="17"/>
            </w:pPr>
            <w:r>
              <w:t>3月底</w:t>
            </w:r>
          </w:p>
        </w:tc>
        <w:tc>
          <w:tcPr>
            <w:tcW w:w="1587" w:type="dxa"/>
            <w:vAlign w:val="center"/>
          </w:tcPr>
          <w:p>
            <w:pPr>
              <w:pStyle w:val="17"/>
            </w:pPr>
            <w:r>
              <w:t>6月底</w:t>
            </w:r>
          </w:p>
        </w:tc>
        <w:tc>
          <w:tcPr>
            <w:tcW w:w="1304" w:type="dxa"/>
            <w:vAlign w:val="center"/>
          </w:tcPr>
          <w:p>
            <w:pPr>
              <w:pStyle w:val="17"/>
            </w:pPr>
            <w:r>
              <w:t>10月底</w:t>
            </w:r>
          </w:p>
        </w:tc>
        <w:tc>
          <w:tcPr>
            <w:tcW w:w="3119" w:type="dxa"/>
            <w:gridSpan w:val="2"/>
            <w:vAlign w:val="center"/>
          </w:tcPr>
          <w:p>
            <w:pPr>
              <w:pStyle w:val="17"/>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9"/>
            </w:pPr>
            <w:r>
              <w:t xml:space="preserve"> </w:t>
            </w:r>
          </w:p>
        </w:tc>
        <w:tc>
          <w:tcPr>
            <w:tcW w:w="1587" w:type="dxa"/>
            <w:vAlign w:val="center"/>
          </w:tcPr>
          <w:p>
            <w:pPr>
              <w:pStyle w:val="19"/>
            </w:pPr>
            <w:r>
              <w:t xml:space="preserve"> </w:t>
            </w:r>
          </w:p>
        </w:tc>
        <w:tc>
          <w:tcPr>
            <w:tcW w:w="1304" w:type="dxa"/>
            <w:vAlign w:val="center"/>
          </w:tcPr>
          <w:p>
            <w:pPr>
              <w:pStyle w:val="19"/>
            </w:pPr>
            <w:r>
              <w:t xml:space="preserve"> </w:t>
            </w:r>
          </w:p>
        </w:tc>
        <w:tc>
          <w:tcPr>
            <w:tcW w:w="3119" w:type="dxa"/>
            <w:gridSpan w:val="2"/>
            <w:vAlign w:val="center"/>
          </w:tcPr>
          <w:p>
            <w:pPr>
              <w:pStyle w:val="19"/>
              <w:rPr>
                <w:rFonts w:hint="default" w:eastAsia="方正书宋_GBK"/>
                <w:lang w:val="en-US" w:eastAsia="zh-CN"/>
              </w:rPr>
            </w:pPr>
            <w:r>
              <w:rPr>
                <w:rFonts w:hint="eastAsia"/>
                <w:lang w:val="en-US" w:eastAsia="zh-CN"/>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绩效目标</w:t>
            </w:r>
          </w:p>
        </w:tc>
        <w:tc>
          <w:tcPr>
            <w:tcW w:w="8618" w:type="dxa"/>
            <w:gridSpan w:val="6"/>
            <w:vAlign w:val="center"/>
          </w:tcPr>
          <w:p>
            <w:pPr>
              <w:pStyle w:val="18"/>
            </w:pPr>
            <w:r>
              <w:t>1.保障市容监察大队的日常巡逻费用</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7"/>
            </w:pPr>
            <w:r>
              <w:t>一级指标</w:t>
            </w:r>
          </w:p>
        </w:tc>
        <w:tc>
          <w:tcPr>
            <w:tcW w:w="1276" w:type="dxa"/>
            <w:vAlign w:val="center"/>
          </w:tcPr>
          <w:p>
            <w:pPr>
              <w:pStyle w:val="17"/>
            </w:pPr>
            <w:r>
              <w:t>二级指标</w:t>
            </w:r>
          </w:p>
        </w:tc>
        <w:tc>
          <w:tcPr>
            <w:tcW w:w="1332" w:type="dxa"/>
            <w:vAlign w:val="center"/>
          </w:tcPr>
          <w:p>
            <w:pPr>
              <w:pStyle w:val="17"/>
            </w:pPr>
            <w:r>
              <w:t>三级指标</w:t>
            </w:r>
          </w:p>
        </w:tc>
        <w:tc>
          <w:tcPr>
            <w:tcW w:w="2891" w:type="dxa"/>
            <w:vAlign w:val="center"/>
          </w:tcPr>
          <w:p>
            <w:pPr>
              <w:pStyle w:val="17"/>
            </w:pPr>
            <w:r>
              <w:t>绩效指标描述</w:t>
            </w:r>
          </w:p>
        </w:tc>
        <w:tc>
          <w:tcPr>
            <w:tcW w:w="1276" w:type="dxa"/>
            <w:vAlign w:val="center"/>
          </w:tcPr>
          <w:p>
            <w:pPr>
              <w:pStyle w:val="17"/>
            </w:pPr>
            <w:r>
              <w:t>指标值</w:t>
            </w:r>
          </w:p>
        </w:tc>
        <w:tc>
          <w:tcPr>
            <w:tcW w:w="1843" w:type="dxa"/>
            <w:vAlign w:val="center"/>
          </w:tcPr>
          <w:p>
            <w:pPr>
              <w:pStyle w:val="17"/>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产出指标</w:t>
            </w:r>
          </w:p>
        </w:tc>
        <w:tc>
          <w:tcPr>
            <w:tcW w:w="1276" w:type="dxa"/>
            <w:vAlign w:val="center"/>
          </w:tcPr>
          <w:p>
            <w:pPr>
              <w:pStyle w:val="18"/>
            </w:pPr>
            <w:r>
              <w:t>数量指标</w:t>
            </w:r>
          </w:p>
        </w:tc>
        <w:tc>
          <w:tcPr>
            <w:tcW w:w="1332" w:type="dxa"/>
            <w:vAlign w:val="center"/>
          </w:tcPr>
          <w:p>
            <w:pPr>
              <w:pStyle w:val="18"/>
            </w:pPr>
            <w:r>
              <w:t>保障9辆巡逻车的费用</w:t>
            </w:r>
          </w:p>
        </w:tc>
        <w:tc>
          <w:tcPr>
            <w:tcW w:w="2891" w:type="dxa"/>
            <w:vAlign w:val="center"/>
          </w:tcPr>
          <w:p>
            <w:pPr>
              <w:pStyle w:val="18"/>
            </w:pPr>
            <w:r>
              <w:t>保障9辆巡逻车的费用</w:t>
            </w:r>
          </w:p>
        </w:tc>
        <w:tc>
          <w:tcPr>
            <w:tcW w:w="1276" w:type="dxa"/>
            <w:vAlign w:val="center"/>
          </w:tcPr>
          <w:p>
            <w:pPr>
              <w:pStyle w:val="18"/>
            </w:pPr>
            <w:r>
              <w:t>9辆车的运转</w:t>
            </w:r>
          </w:p>
        </w:tc>
        <w:tc>
          <w:tcPr>
            <w:tcW w:w="1843" w:type="dxa"/>
            <w:vAlign w:val="center"/>
          </w:tcPr>
          <w:p>
            <w:pPr>
              <w:pStyle w:val="18"/>
            </w:pPr>
            <w:r>
              <w:t>根据中队反馈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8"/>
            </w:pPr>
            <w:r>
              <w:t>质量指标</w:t>
            </w:r>
          </w:p>
        </w:tc>
        <w:tc>
          <w:tcPr>
            <w:tcW w:w="1332" w:type="dxa"/>
            <w:vAlign w:val="center"/>
          </w:tcPr>
          <w:p>
            <w:pPr>
              <w:pStyle w:val="18"/>
            </w:pPr>
            <w:r>
              <w:t>车辆正常运行</w:t>
            </w:r>
          </w:p>
        </w:tc>
        <w:tc>
          <w:tcPr>
            <w:tcW w:w="2891" w:type="dxa"/>
            <w:vAlign w:val="center"/>
          </w:tcPr>
          <w:p>
            <w:pPr>
              <w:pStyle w:val="18"/>
            </w:pPr>
            <w:r>
              <w:t>车辆正常运行</w:t>
            </w:r>
          </w:p>
        </w:tc>
        <w:tc>
          <w:tcPr>
            <w:tcW w:w="1276" w:type="dxa"/>
            <w:vAlign w:val="center"/>
          </w:tcPr>
          <w:p>
            <w:pPr>
              <w:pStyle w:val="18"/>
            </w:pPr>
            <w:r>
              <w:t>保持车况良好</w:t>
            </w:r>
          </w:p>
        </w:tc>
        <w:tc>
          <w:tcPr>
            <w:tcW w:w="1843" w:type="dxa"/>
            <w:vAlign w:val="center"/>
          </w:tcPr>
          <w:p>
            <w:pPr>
              <w:pStyle w:val="18"/>
            </w:pPr>
            <w:r>
              <w:t>根据中队反馈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8"/>
            </w:pPr>
            <w:r>
              <w:t>时效指标</w:t>
            </w:r>
          </w:p>
        </w:tc>
        <w:tc>
          <w:tcPr>
            <w:tcW w:w="1332" w:type="dxa"/>
            <w:vAlign w:val="center"/>
          </w:tcPr>
          <w:p>
            <w:pPr>
              <w:pStyle w:val="18"/>
            </w:pPr>
            <w:r>
              <w:t>按时拨付</w:t>
            </w:r>
          </w:p>
        </w:tc>
        <w:tc>
          <w:tcPr>
            <w:tcW w:w="2891" w:type="dxa"/>
            <w:vAlign w:val="center"/>
          </w:tcPr>
          <w:p>
            <w:pPr>
              <w:pStyle w:val="18"/>
            </w:pPr>
            <w:r>
              <w:t>按时拨付资金</w:t>
            </w:r>
          </w:p>
        </w:tc>
        <w:tc>
          <w:tcPr>
            <w:tcW w:w="1276" w:type="dxa"/>
            <w:vAlign w:val="center"/>
          </w:tcPr>
          <w:p>
            <w:pPr>
              <w:pStyle w:val="18"/>
            </w:pPr>
            <w:r>
              <w:t>及时拨付</w:t>
            </w:r>
          </w:p>
        </w:tc>
        <w:tc>
          <w:tcPr>
            <w:tcW w:w="1843" w:type="dxa"/>
            <w:vAlign w:val="center"/>
          </w:tcPr>
          <w:p>
            <w:pPr>
              <w:pStyle w:val="18"/>
            </w:pPr>
            <w:r>
              <w:t>根据合同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8"/>
            </w:pPr>
            <w:r>
              <w:t>成本指标</w:t>
            </w:r>
          </w:p>
        </w:tc>
        <w:tc>
          <w:tcPr>
            <w:tcW w:w="1332" w:type="dxa"/>
            <w:vAlign w:val="center"/>
          </w:tcPr>
          <w:p>
            <w:pPr>
              <w:pStyle w:val="18"/>
            </w:pPr>
            <w:r>
              <w:t>预算控制数</w:t>
            </w:r>
          </w:p>
        </w:tc>
        <w:tc>
          <w:tcPr>
            <w:tcW w:w="2891" w:type="dxa"/>
            <w:vAlign w:val="center"/>
          </w:tcPr>
          <w:p>
            <w:pPr>
              <w:pStyle w:val="18"/>
            </w:pPr>
            <w:r>
              <w:t>预算控制数</w:t>
            </w:r>
          </w:p>
        </w:tc>
        <w:tc>
          <w:tcPr>
            <w:tcW w:w="1276" w:type="dxa"/>
            <w:vAlign w:val="center"/>
          </w:tcPr>
          <w:p>
            <w:pPr>
              <w:pStyle w:val="18"/>
            </w:pPr>
            <w:r>
              <w:t>≤100%</w:t>
            </w:r>
          </w:p>
        </w:tc>
        <w:tc>
          <w:tcPr>
            <w:tcW w:w="1843" w:type="dxa"/>
            <w:vAlign w:val="center"/>
          </w:tcPr>
          <w:p>
            <w:pPr>
              <w:pStyle w:val="18"/>
            </w:pPr>
            <w:r>
              <w:t>按照拨付进度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效益指标</w:t>
            </w:r>
          </w:p>
        </w:tc>
        <w:tc>
          <w:tcPr>
            <w:tcW w:w="1276" w:type="dxa"/>
            <w:vAlign w:val="center"/>
          </w:tcPr>
          <w:p>
            <w:pPr>
              <w:pStyle w:val="18"/>
            </w:pPr>
            <w:r>
              <w:t>社会效益指标</w:t>
            </w:r>
          </w:p>
        </w:tc>
        <w:tc>
          <w:tcPr>
            <w:tcW w:w="1332" w:type="dxa"/>
            <w:vAlign w:val="center"/>
          </w:tcPr>
          <w:p>
            <w:pPr>
              <w:pStyle w:val="18"/>
            </w:pPr>
            <w:r>
              <w:t>提升</w:t>
            </w:r>
          </w:p>
        </w:tc>
        <w:tc>
          <w:tcPr>
            <w:tcW w:w="2891" w:type="dxa"/>
            <w:vAlign w:val="center"/>
          </w:tcPr>
          <w:p>
            <w:pPr>
              <w:pStyle w:val="18"/>
            </w:pPr>
            <w:r>
              <w:t>提升</w:t>
            </w:r>
          </w:p>
        </w:tc>
        <w:tc>
          <w:tcPr>
            <w:tcW w:w="1276" w:type="dxa"/>
            <w:vAlign w:val="center"/>
          </w:tcPr>
          <w:p>
            <w:pPr>
              <w:pStyle w:val="18"/>
            </w:pPr>
            <w:r>
              <w:t>提升</w:t>
            </w:r>
          </w:p>
        </w:tc>
        <w:tc>
          <w:tcPr>
            <w:tcW w:w="1843" w:type="dxa"/>
            <w:vAlign w:val="center"/>
          </w:tcPr>
          <w:p>
            <w:pPr>
              <w:pStyle w:val="18"/>
            </w:pPr>
            <w:r>
              <w:t>根据中队反馈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满意度指标</w:t>
            </w:r>
          </w:p>
        </w:tc>
        <w:tc>
          <w:tcPr>
            <w:tcW w:w="1276" w:type="dxa"/>
            <w:vAlign w:val="center"/>
          </w:tcPr>
          <w:p>
            <w:pPr>
              <w:pStyle w:val="18"/>
            </w:pPr>
            <w:r>
              <w:t>服务对象满意度指标</w:t>
            </w:r>
          </w:p>
        </w:tc>
        <w:tc>
          <w:tcPr>
            <w:tcW w:w="1332" w:type="dxa"/>
            <w:vAlign w:val="center"/>
          </w:tcPr>
          <w:p>
            <w:pPr>
              <w:pStyle w:val="18"/>
            </w:pPr>
            <w:r>
              <w:t>用户使用满意度</w:t>
            </w:r>
          </w:p>
        </w:tc>
        <w:tc>
          <w:tcPr>
            <w:tcW w:w="2891" w:type="dxa"/>
            <w:vAlign w:val="center"/>
          </w:tcPr>
          <w:p>
            <w:pPr>
              <w:pStyle w:val="18"/>
            </w:pPr>
            <w:r>
              <w:t>用户使用满意度</w:t>
            </w:r>
          </w:p>
        </w:tc>
        <w:tc>
          <w:tcPr>
            <w:tcW w:w="1276" w:type="dxa"/>
            <w:vAlign w:val="center"/>
          </w:tcPr>
          <w:p>
            <w:pPr>
              <w:pStyle w:val="18"/>
            </w:pPr>
            <w:r>
              <w:t>满意</w:t>
            </w:r>
          </w:p>
        </w:tc>
        <w:tc>
          <w:tcPr>
            <w:tcW w:w="1843" w:type="dxa"/>
            <w:vAlign w:val="center"/>
          </w:tcPr>
          <w:p>
            <w:pPr>
              <w:pStyle w:val="18"/>
            </w:pPr>
            <w:r>
              <w:t>根据中队反馈</w:t>
            </w:r>
          </w:p>
        </w:tc>
      </w:tr>
    </w:tbl>
    <w:p>
      <w:pPr>
        <w:sectPr>
          <w:pgSz w:w="16840" w:h="11900" w:orient="landscape"/>
          <w:pgMar w:top="1304" w:right="1984" w:bottom="1304" w:left="1134" w:header="720" w:footer="720" w:gutter="0"/>
          <w:cols w:space="720" w:num="1"/>
        </w:sectPr>
      </w:pPr>
    </w:p>
    <w:p>
      <w:pPr>
        <w:jc w:val="both"/>
      </w:pPr>
    </w:p>
    <w:p>
      <w:pPr>
        <w:spacing w:before="0" w:after="0"/>
        <w:ind w:firstLine="1769" w:firstLineChars="632"/>
        <w:jc w:val="left"/>
        <w:outlineLvl w:val="3"/>
      </w:pPr>
      <w:bookmarkStart w:id="4" w:name="_Toc_4_4_0000000008"/>
      <w:r>
        <w:rPr>
          <w:rFonts w:ascii="方正仿宋_GBK" w:hAnsi="方正仿宋_GBK" w:eastAsia="方正仿宋_GBK" w:cs="方正仿宋_GBK"/>
          <w:color w:val="000000"/>
          <w:sz w:val="28"/>
        </w:rPr>
        <w:t>5.组建省市住房城乡建设部门视频会议系统网络租赁费绩效目标表</w:t>
      </w:r>
      <w:bookmarkEnd w:id="4"/>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15"/>
            </w:pPr>
            <w:r>
              <w:t>565001涞水县城市管理综合执法队本级</w:t>
            </w:r>
          </w:p>
        </w:tc>
        <w:tc>
          <w:tcPr>
            <w:tcW w:w="1843" w:type="dxa"/>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项目编码</w:t>
            </w:r>
          </w:p>
        </w:tc>
        <w:tc>
          <w:tcPr>
            <w:tcW w:w="2608" w:type="dxa"/>
            <w:gridSpan w:val="2"/>
            <w:vAlign w:val="center"/>
          </w:tcPr>
          <w:p>
            <w:pPr>
              <w:pStyle w:val="18"/>
            </w:pPr>
            <w:r>
              <w:t>13062325P007928100116</w:t>
            </w:r>
          </w:p>
        </w:tc>
        <w:tc>
          <w:tcPr>
            <w:tcW w:w="1587" w:type="dxa"/>
            <w:vAlign w:val="center"/>
          </w:tcPr>
          <w:p>
            <w:pPr>
              <w:pStyle w:val="17"/>
            </w:pPr>
            <w:r>
              <w:t>项目名称</w:t>
            </w:r>
          </w:p>
        </w:tc>
        <w:tc>
          <w:tcPr>
            <w:tcW w:w="4423" w:type="dxa"/>
            <w:gridSpan w:val="3"/>
            <w:vAlign w:val="center"/>
          </w:tcPr>
          <w:p>
            <w:pPr>
              <w:pStyle w:val="18"/>
            </w:pPr>
            <w:r>
              <w:t>组建省市住房城乡建设部门视频会议系统网络租赁费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预算规模及资金用途</w:t>
            </w:r>
          </w:p>
        </w:tc>
        <w:tc>
          <w:tcPr>
            <w:tcW w:w="1276" w:type="dxa"/>
            <w:vAlign w:val="center"/>
          </w:tcPr>
          <w:p>
            <w:pPr>
              <w:pStyle w:val="17"/>
            </w:pPr>
            <w:r>
              <w:t>预算数</w:t>
            </w:r>
          </w:p>
        </w:tc>
        <w:tc>
          <w:tcPr>
            <w:tcW w:w="1332" w:type="dxa"/>
            <w:vAlign w:val="center"/>
          </w:tcPr>
          <w:p>
            <w:pPr>
              <w:pStyle w:val="18"/>
            </w:pPr>
            <w:r>
              <w:t>1.44</w:t>
            </w:r>
          </w:p>
        </w:tc>
        <w:tc>
          <w:tcPr>
            <w:tcW w:w="1587" w:type="dxa"/>
            <w:vAlign w:val="center"/>
          </w:tcPr>
          <w:p>
            <w:pPr>
              <w:pStyle w:val="17"/>
            </w:pPr>
            <w:r>
              <w:t>其中：财政    资金</w:t>
            </w:r>
          </w:p>
        </w:tc>
        <w:tc>
          <w:tcPr>
            <w:tcW w:w="1304" w:type="dxa"/>
            <w:vAlign w:val="center"/>
          </w:tcPr>
          <w:p>
            <w:pPr>
              <w:pStyle w:val="18"/>
            </w:pPr>
            <w:r>
              <w:t>1.44</w:t>
            </w:r>
          </w:p>
        </w:tc>
        <w:tc>
          <w:tcPr>
            <w:tcW w:w="1276" w:type="dxa"/>
            <w:vAlign w:val="center"/>
          </w:tcPr>
          <w:p>
            <w:pPr>
              <w:pStyle w:val="17"/>
            </w:pPr>
            <w:r>
              <w:t>其他资金</w:t>
            </w:r>
          </w:p>
        </w:tc>
        <w:tc>
          <w:tcPr>
            <w:tcW w:w="1843" w:type="dxa"/>
            <w:vAlign w:val="center"/>
          </w:tcPr>
          <w:p>
            <w:pPr>
              <w:pStyle w:val="18"/>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8"/>
            </w:pPr>
            <w:r>
              <w:t>用于视频会议系统能正常使用</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资金支出计划（%）</w:t>
            </w:r>
          </w:p>
        </w:tc>
        <w:tc>
          <w:tcPr>
            <w:tcW w:w="2608" w:type="dxa"/>
            <w:gridSpan w:val="2"/>
            <w:vAlign w:val="center"/>
          </w:tcPr>
          <w:p>
            <w:pPr>
              <w:pStyle w:val="17"/>
            </w:pPr>
            <w:r>
              <w:t>3月底</w:t>
            </w:r>
          </w:p>
        </w:tc>
        <w:tc>
          <w:tcPr>
            <w:tcW w:w="1587" w:type="dxa"/>
            <w:vAlign w:val="center"/>
          </w:tcPr>
          <w:p>
            <w:pPr>
              <w:pStyle w:val="17"/>
            </w:pPr>
            <w:r>
              <w:t>6月底</w:t>
            </w:r>
          </w:p>
        </w:tc>
        <w:tc>
          <w:tcPr>
            <w:tcW w:w="1304" w:type="dxa"/>
            <w:vAlign w:val="center"/>
          </w:tcPr>
          <w:p>
            <w:pPr>
              <w:pStyle w:val="17"/>
            </w:pPr>
            <w:r>
              <w:t>10月底</w:t>
            </w:r>
          </w:p>
        </w:tc>
        <w:tc>
          <w:tcPr>
            <w:tcW w:w="3119" w:type="dxa"/>
            <w:gridSpan w:val="2"/>
            <w:vAlign w:val="center"/>
          </w:tcPr>
          <w:p>
            <w:pPr>
              <w:pStyle w:val="17"/>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9"/>
            </w:pPr>
            <w:r>
              <w:t xml:space="preserve"> </w:t>
            </w:r>
          </w:p>
        </w:tc>
        <w:tc>
          <w:tcPr>
            <w:tcW w:w="1587" w:type="dxa"/>
            <w:vAlign w:val="center"/>
          </w:tcPr>
          <w:p>
            <w:pPr>
              <w:pStyle w:val="19"/>
            </w:pPr>
            <w:r>
              <w:t xml:space="preserve"> </w:t>
            </w:r>
          </w:p>
        </w:tc>
        <w:tc>
          <w:tcPr>
            <w:tcW w:w="1304" w:type="dxa"/>
            <w:vAlign w:val="center"/>
          </w:tcPr>
          <w:p>
            <w:pPr>
              <w:pStyle w:val="19"/>
            </w:pPr>
            <w:r>
              <w:t xml:space="preserve"> </w:t>
            </w:r>
          </w:p>
        </w:tc>
        <w:tc>
          <w:tcPr>
            <w:tcW w:w="3119" w:type="dxa"/>
            <w:gridSpan w:val="2"/>
            <w:vAlign w:val="center"/>
          </w:tcPr>
          <w:p>
            <w:pPr>
              <w:pStyle w:val="19"/>
              <w:rPr>
                <w:rFonts w:hint="default" w:eastAsia="方正书宋_GBK"/>
                <w:lang w:val="en-US" w:eastAsia="zh-CN"/>
              </w:rPr>
            </w:pPr>
            <w:r>
              <w:rPr>
                <w:rFonts w:hint="eastAsia"/>
                <w:lang w:val="en-US" w:eastAsia="zh-CN"/>
              </w:rP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绩效目标</w:t>
            </w:r>
          </w:p>
        </w:tc>
        <w:tc>
          <w:tcPr>
            <w:tcW w:w="8618" w:type="dxa"/>
            <w:gridSpan w:val="6"/>
            <w:vAlign w:val="center"/>
          </w:tcPr>
          <w:p>
            <w:pPr>
              <w:pStyle w:val="18"/>
            </w:pPr>
            <w:r>
              <w:t>1.确保省市组织的视频会议的顺利完成</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7"/>
            </w:pPr>
            <w:r>
              <w:t>一级指标</w:t>
            </w:r>
          </w:p>
        </w:tc>
        <w:tc>
          <w:tcPr>
            <w:tcW w:w="1276" w:type="dxa"/>
            <w:vAlign w:val="center"/>
          </w:tcPr>
          <w:p>
            <w:pPr>
              <w:pStyle w:val="17"/>
            </w:pPr>
            <w:r>
              <w:t>二级指标</w:t>
            </w:r>
          </w:p>
        </w:tc>
        <w:tc>
          <w:tcPr>
            <w:tcW w:w="1332" w:type="dxa"/>
            <w:vAlign w:val="center"/>
          </w:tcPr>
          <w:p>
            <w:pPr>
              <w:pStyle w:val="17"/>
            </w:pPr>
            <w:r>
              <w:t>三级指标</w:t>
            </w:r>
          </w:p>
        </w:tc>
        <w:tc>
          <w:tcPr>
            <w:tcW w:w="2891" w:type="dxa"/>
            <w:vAlign w:val="center"/>
          </w:tcPr>
          <w:p>
            <w:pPr>
              <w:pStyle w:val="17"/>
            </w:pPr>
            <w:r>
              <w:t>绩效指标描述</w:t>
            </w:r>
          </w:p>
        </w:tc>
        <w:tc>
          <w:tcPr>
            <w:tcW w:w="1276" w:type="dxa"/>
            <w:vAlign w:val="center"/>
          </w:tcPr>
          <w:p>
            <w:pPr>
              <w:pStyle w:val="17"/>
            </w:pPr>
            <w:r>
              <w:t>指标值</w:t>
            </w:r>
          </w:p>
        </w:tc>
        <w:tc>
          <w:tcPr>
            <w:tcW w:w="1843" w:type="dxa"/>
            <w:vAlign w:val="center"/>
          </w:tcPr>
          <w:p>
            <w:pPr>
              <w:pStyle w:val="17"/>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9"/>
            </w:pPr>
            <w:r>
              <w:t>产出指标</w:t>
            </w:r>
          </w:p>
        </w:tc>
        <w:tc>
          <w:tcPr>
            <w:tcW w:w="1276" w:type="dxa"/>
            <w:vAlign w:val="center"/>
          </w:tcPr>
          <w:p>
            <w:pPr>
              <w:pStyle w:val="18"/>
            </w:pPr>
            <w:r>
              <w:t>数量指标</w:t>
            </w:r>
          </w:p>
        </w:tc>
        <w:tc>
          <w:tcPr>
            <w:tcW w:w="1332" w:type="dxa"/>
            <w:vAlign w:val="center"/>
          </w:tcPr>
          <w:p>
            <w:pPr>
              <w:pStyle w:val="18"/>
            </w:pPr>
            <w:r>
              <w:t>会议数量</w:t>
            </w:r>
          </w:p>
        </w:tc>
        <w:tc>
          <w:tcPr>
            <w:tcW w:w="2891" w:type="dxa"/>
            <w:vAlign w:val="center"/>
          </w:tcPr>
          <w:p>
            <w:pPr>
              <w:pStyle w:val="18"/>
            </w:pPr>
            <w:r>
              <w:t>会议数量</w:t>
            </w:r>
          </w:p>
        </w:tc>
        <w:tc>
          <w:tcPr>
            <w:tcW w:w="1276" w:type="dxa"/>
            <w:vAlign w:val="center"/>
          </w:tcPr>
          <w:p>
            <w:pPr>
              <w:pStyle w:val="18"/>
            </w:pPr>
            <w:r>
              <w:t>根据实际情况</w:t>
            </w:r>
          </w:p>
        </w:tc>
        <w:tc>
          <w:tcPr>
            <w:tcW w:w="1843" w:type="dxa"/>
            <w:vAlign w:val="center"/>
          </w:tcPr>
          <w:p>
            <w:pPr>
              <w:pStyle w:val="18"/>
            </w:pPr>
            <w:r>
              <w:t>根据完成情况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8"/>
            </w:pPr>
            <w:r>
              <w:t>质量指标</w:t>
            </w:r>
          </w:p>
        </w:tc>
        <w:tc>
          <w:tcPr>
            <w:tcW w:w="1332" w:type="dxa"/>
            <w:vAlign w:val="center"/>
          </w:tcPr>
          <w:p>
            <w:pPr>
              <w:pStyle w:val="18"/>
            </w:pPr>
            <w:r>
              <w:t>年度任务完成率</w:t>
            </w:r>
          </w:p>
        </w:tc>
        <w:tc>
          <w:tcPr>
            <w:tcW w:w="2891" w:type="dxa"/>
            <w:vAlign w:val="center"/>
          </w:tcPr>
          <w:p>
            <w:pPr>
              <w:pStyle w:val="18"/>
            </w:pPr>
            <w:r>
              <w:t>年度任务完成率</w:t>
            </w:r>
          </w:p>
        </w:tc>
        <w:tc>
          <w:tcPr>
            <w:tcW w:w="1276" w:type="dxa"/>
            <w:vAlign w:val="center"/>
          </w:tcPr>
          <w:p>
            <w:pPr>
              <w:pStyle w:val="18"/>
            </w:pPr>
            <w:r>
              <w:t>≥100%</w:t>
            </w:r>
          </w:p>
        </w:tc>
        <w:tc>
          <w:tcPr>
            <w:tcW w:w="1843" w:type="dxa"/>
            <w:vAlign w:val="center"/>
          </w:tcPr>
          <w:p>
            <w:pPr>
              <w:pStyle w:val="18"/>
            </w:pPr>
            <w:r>
              <w:t>根据实际情况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8"/>
            </w:pPr>
            <w:r>
              <w:t>时效指标</w:t>
            </w:r>
          </w:p>
        </w:tc>
        <w:tc>
          <w:tcPr>
            <w:tcW w:w="1332" w:type="dxa"/>
            <w:vAlign w:val="center"/>
          </w:tcPr>
          <w:p>
            <w:pPr>
              <w:pStyle w:val="18"/>
            </w:pPr>
            <w:r>
              <w:t>完成率</w:t>
            </w:r>
          </w:p>
        </w:tc>
        <w:tc>
          <w:tcPr>
            <w:tcW w:w="2891" w:type="dxa"/>
            <w:vAlign w:val="center"/>
          </w:tcPr>
          <w:p>
            <w:pPr>
              <w:pStyle w:val="18"/>
            </w:pPr>
            <w:r>
              <w:t>完成率</w:t>
            </w:r>
          </w:p>
        </w:tc>
        <w:tc>
          <w:tcPr>
            <w:tcW w:w="1276" w:type="dxa"/>
            <w:vAlign w:val="center"/>
          </w:tcPr>
          <w:p>
            <w:pPr>
              <w:pStyle w:val="18"/>
            </w:pPr>
            <w:r>
              <w:t>≥100%</w:t>
            </w:r>
          </w:p>
        </w:tc>
        <w:tc>
          <w:tcPr>
            <w:tcW w:w="1843" w:type="dxa"/>
            <w:vAlign w:val="center"/>
          </w:tcPr>
          <w:p>
            <w:pPr>
              <w:pStyle w:val="18"/>
            </w:pPr>
            <w:r>
              <w:t>根据实际情况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8"/>
            </w:pPr>
            <w:r>
              <w:t>成本指标</w:t>
            </w:r>
          </w:p>
        </w:tc>
        <w:tc>
          <w:tcPr>
            <w:tcW w:w="1332" w:type="dxa"/>
            <w:vAlign w:val="center"/>
          </w:tcPr>
          <w:p>
            <w:pPr>
              <w:pStyle w:val="18"/>
            </w:pPr>
            <w:r>
              <w:t>总成本</w:t>
            </w:r>
          </w:p>
        </w:tc>
        <w:tc>
          <w:tcPr>
            <w:tcW w:w="2891" w:type="dxa"/>
            <w:vAlign w:val="center"/>
          </w:tcPr>
          <w:p>
            <w:pPr>
              <w:pStyle w:val="18"/>
            </w:pPr>
            <w:r>
              <w:t>项目完成总成本</w:t>
            </w:r>
          </w:p>
        </w:tc>
        <w:tc>
          <w:tcPr>
            <w:tcW w:w="1276" w:type="dxa"/>
            <w:vAlign w:val="center"/>
          </w:tcPr>
          <w:p>
            <w:pPr>
              <w:pStyle w:val="18"/>
            </w:pPr>
            <w:r>
              <w:t>≤100%</w:t>
            </w:r>
          </w:p>
        </w:tc>
        <w:tc>
          <w:tcPr>
            <w:tcW w:w="1843" w:type="dxa"/>
            <w:vAlign w:val="center"/>
          </w:tcPr>
          <w:p>
            <w:pPr>
              <w:pStyle w:val="18"/>
            </w:pPr>
            <w:r>
              <w:t>根据拨付情况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效益指标</w:t>
            </w:r>
          </w:p>
        </w:tc>
        <w:tc>
          <w:tcPr>
            <w:tcW w:w="1276" w:type="dxa"/>
            <w:vAlign w:val="center"/>
          </w:tcPr>
          <w:p>
            <w:pPr>
              <w:pStyle w:val="18"/>
            </w:pPr>
            <w:r>
              <w:t>社会效益指标</w:t>
            </w:r>
          </w:p>
        </w:tc>
        <w:tc>
          <w:tcPr>
            <w:tcW w:w="1332" w:type="dxa"/>
            <w:vAlign w:val="center"/>
          </w:tcPr>
          <w:p>
            <w:pPr>
              <w:pStyle w:val="18"/>
            </w:pPr>
            <w:r>
              <w:t>提供优质服务</w:t>
            </w:r>
          </w:p>
        </w:tc>
        <w:tc>
          <w:tcPr>
            <w:tcW w:w="2891" w:type="dxa"/>
            <w:vAlign w:val="center"/>
          </w:tcPr>
          <w:p>
            <w:pPr>
              <w:pStyle w:val="18"/>
            </w:pPr>
            <w:r>
              <w:t>提供优质服务</w:t>
            </w:r>
          </w:p>
        </w:tc>
        <w:tc>
          <w:tcPr>
            <w:tcW w:w="1276" w:type="dxa"/>
            <w:vAlign w:val="center"/>
          </w:tcPr>
          <w:p>
            <w:pPr>
              <w:pStyle w:val="18"/>
            </w:pPr>
            <w:r>
              <w:t>根据使用者反馈</w:t>
            </w:r>
          </w:p>
        </w:tc>
        <w:tc>
          <w:tcPr>
            <w:tcW w:w="1843" w:type="dxa"/>
            <w:vAlign w:val="center"/>
          </w:tcPr>
          <w:p>
            <w:pPr>
              <w:pStyle w:val="18"/>
            </w:pPr>
            <w:r>
              <w:t>根据使用者反馈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9"/>
            </w:pPr>
            <w:r>
              <w:t>满意度指标</w:t>
            </w:r>
          </w:p>
        </w:tc>
        <w:tc>
          <w:tcPr>
            <w:tcW w:w="1276" w:type="dxa"/>
            <w:vAlign w:val="center"/>
          </w:tcPr>
          <w:p>
            <w:pPr>
              <w:pStyle w:val="18"/>
            </w:pPr>
            <w:r>
              <w:t>服务对象满意度指标</w:t>
            </w:r>
          </w:p>
        </w:tc>
        <w:tc>
          <w:tcPr>
            <w:tcW w:w="1332" w:type="dxa"/>
            <w:vAlign w:val="center"/>
          </w:tcPr>
          <w:p>
            <w:pPr>
              <w:pStyle w:val="18"/>
            </w:pPr>
            <w:r>
              <w:t>单位使用人员满意度</w:t>
            </w:r>
          </w:p>
        </w:tc>
        <w:tc>
          <w:tcPr>
            <w:tcW w:w="2891" w:type="dxa"/>
            <w:vAlign w:val="center"/>
          </w:tcPr>
          <w:p>
            <w:pPr>
              <w:pStyle w:val="18"/>
            </w:pPr>
            <w:r>
              <w:t>单位使用人员满意度</w:t>
            </w:r>
          </w:p>
        </w:tc>
        <w:tc>
          <w:tcPr>
            <w:tcW w:w="1276" w:type="dxa"/>
            <w:vAlign w:val="center"/>
          </w:tcPr>
          <w:p>
            <w:pPr>
              <w:pStyle w:val="18"/>
            </w:pPr>
            <w:r>
              <w:t>根据使用者反馈</w:t>
            </w:r>
          </w:p>
        </w:tc>
        <w:tc>
          <w:tcPr>
            <w:tcW w:w="1843" w:type="dxa"/>
            <w:vAlign w:val="center"/>
          </w:tcPr>
          <w:p>
            <w:pPr>
              <w:pStyle w:val="18"/>
            </w:pPr>
            <w:r>
              <w:t>根据使用者反馈</w:t>
            </w:r>
          </w:p>
        </w:tc>
      </w:tr>
    </w:tbl>
    <w:p>
      <w:pPr>
        <w:spacing w:line="560" w:lineRule="exact"/>
        <w:ind w:firstLine="960" w:firstLineChars="300"/>
        <w:rPr>
          <w:rFonts w:hint="eastAsia" w:ascii="黑体" w:hAnsi="黑体" w:eastAsia="黑体" w:cs="黑体"/>
          <w:b w:val="0"/>
          <w:bCs w:val="0"/>
          <w:sz w:val="32"/>
          <w:szCs w:val="32"/>
        </w:rPr>
      </w:pPr>
    </w:p>
    <w:p>
      <w:pPr>
        <w:spacing w:line="560" w:lineRule="exact"/>
        <w:ind w:firstLine="960" w:firstLineChars="300"/>
        <w:rPr>
          <w:rFonts w:hint="eastAsia" w:ascii="黑体" w:hAnsi="黑体" w:eastAsia="黑体" w:cs="黑体"/>
          <w:b w:val="0"/>
          <w:bCs w:val="0"/>
          <w:sz w:val="32"/>
          <w:szCs w:val="32"/>
        </w:rPr>
      </w:pPr>
      <w:r>
        <w:rPr>
          <w:rFonts w:hint="eastAsia" w:ascii="黑体" w:hAnsi="黑体" w:eastAsia="黑体" w:cs="黑体"/>
          <w:b w:val="0"/>
          <w:bCs w:val="0"/>
          <w:sz w:val="32"/>
          <w:szCs w:val="32"/>
        </w:rPr>
        <w:t>六、政府采购预算情况</w:t>
      </w:r>
    </w:p>
    <w:p>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8"/>
        <w:tblW w:w="121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76"/>
        <w:gridCol w:w="687"/>
        <w:gridCol w:w="596"/>
        <w:gridCol w:w="979"/>
        <w:gridCol w:w="480"/>
        <w:gridCol w:w="322"/>
        <w:gridCol w:w="419"/>
        <w:gridCol w:w="542"/>
        <w:gridCol w:w="822"/>
        <w:gridCol w:w="803"/>
        <w:gridCol w:w="1065"/>
        <w:gridCol w:w="930"/>
        <w:gridCol w:w="214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5859" w:type="dxa"/>
            <w:gridSpan w:val="7"/>
            <w:tcBorders>
              <w:top w:val="single" w:color="FFFFFF" w:sz="6" w:space="0"/>
              <w:left w:val="single" w:color="FFFFFF" w:sz="6" w:space="0"/>
              <w:right w:val="single" w:color="FFFFFF" w:sz="6" w:space="0"/>
            </w:tcBorders>
            <w:shd w:val="clear" w:color="auto" w:fill="auto"/>
            <w:vAlign w:val="center"/>
          </w:tcPr>
          <w:p>
            <w:pPr>
              <w:spacing w:line="400" w:lineRule="exact"/>
              <w:jc w:val="left"/>
              <w:rPr>
                <w:rFonts w:asciiTheme="minorEastAsia" w:hAnsiTheme="minorEastAsia" w:cstheme="minorEastAsia"/>
                <w:sz w:val="18"/>
                <w:szCs w:val="18"/>
              </w:rPr>
            </w:pPr>
          </w:p>
        </w:tc>
        <w:tc>
          <w:tcPr>
            <w:tcW w:w="6306" w:type="dxa"/>
            <w:gridSpan w:val="6"/>
            <w:tcBorders>
              <w:top w:val="single" w:color="FFFFFF" w:sz="6" w:space="0"/>
              <w:left w:val="single" w:color="FFFFFF" w:sz="6" w:space="0"/>
              <w:right w:val="single" w:color="FFFFFF" w:sz="6" w:space="0"/>
            </w:tcBorders>
            <w:shd w:val="clear" w:color="auto" w:fill="auto"/>
            <w:vAlign w:val="center"/>
          </w:tcPr>
          <w:p>
            <w:pPr>
              <w:spacing w:line="400" w:lineRule="exact"/>
              <w:jc w:val="right"/>
              <w:rPr>
                <w:rFonts w:asciiTheme="minorEastAsia" w:hAnsiTheme="minorEastAsia" w:cstheme="minorEastAsia"/>
                <w:sz w:val="18"/>
                <w:szCs w:val="18"/>
              </w:rPr>
            </w:pPr>
            <w:r>
              <w:rPr>
                <w:rFonts w:hint="eastAsia" w:asciiTheme="minorEastAsia" w:hAnsiTheme="minorEastAsia" w:cstheme="minorEastAsia"/>
                <w:sz w:val="18"/>
                <w:szCs w:val="18"/>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3063" w:type="dxa"/>
            <w:gridSpan w:val="2"/>
            <w:shd w:val="clear" w:color="auto" w:fill="auto"/>
            <w:vAlign w:val="center"/>
          </w:tcPr>
          <w:p>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政府采购项目来源</w:t>
            </w:r>
          </w:p>
        </w:tc>
        <w:tc>
          <w:tcPr>
            <w:tcW w:w="596" w:type="dxa"/>
            <w:vMerge w:val="restart"/>
            <w:shd w:val="clear" w:color="auto" w:fill="auto"/>
            <w:vAlign w:val="center"/>
          </w:tcPr>
          <w:p>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采购</w:t>
            </w:r>
          </w:p>
          <w:p>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物品</w:t>
            </w:r>
          </w:p>
          <w:p>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名称</w:t>
            </w:r>
          </w:p>
        </w:tc>
        <w:tc>
          <w:tcPr>
            <w:tcW w:w="979" w:type="dxa"/>
            <w:vMerge w:val="restart"/>
            <w:shd w:val="clear" w:color="auto" w:fill="auto"/>
            <w:vAlign w:val="center"/>
          </w:tcPr>
          <w:p>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政府采购</w:t>
            </w:r>
          </w:p>
          <w:p>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目录序号</w:t>
            </w:r>
          </w:p>
        </w:tc>
        <w:tc>
          <w:tcPr>
            <w:tcW w:w="480" w:type="dxa"/>
            <w:vMerge w:val="restart"/>
            <w:shd w:val="clear" w:color="auto" w:fill="auto"/>
            <w:vAlign w:val="center"/>
          </w:tcPr>
          <w:p>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计量  单位</w:t>
            </w:r>
          </w:p>
        </w:tc>
        <w:tc>
          <w:tcPr>
            <w:tcW w:w="322" w:type="dxa"/>
            <w:vMerge w:val="restart"/>
            <w:shd w:val="clear" w:color="auto" w:fill="auto"/>
            <w:vAlign w:val="center"/>
          </w:tcPr>
          <w:p>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数量</w:t>
            </w:r>
          </w:p>
        </w:tc>
        <w:tc>
          <w:tcPr>
            <w:tcW w:w="419" w:type="dxa"/>
            <w:vMerge w:val="restart"/>
            <w:shd w:val="clear" w:color="auto" w:fill="auto"/>
            <w:vAlign w:val="center"/>
          </w:tcPr>
          <w:p>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单价</w:t>
            </w:r>
          </w:p>
        </w:tc>
        <w:tc>
          <w:tcPr>
            <w:tcW w:w="6306" w:type="dxa"/>
            <w:gridSpan w:val="6"/>
            <w:shd w:val="clear" w:color="auto" w:fill="auto"/>
            <w:vAlign w:val="center"/>
          </w:tcPr>
          <w:p>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政府采购金额（当年部门预算安排资金）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2376" w:type="dxa"/>
            <w:shd w:val="clear" w:color="auto" w:fill="auto"/>
            <w:vAlign w:val="center"/>
          </w:tcPr>
          <w:p>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项目</w:t>
            </w:r>
          </w:p>
          <w:p>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名称</w:t>
            </w:r>
          </w:p>
        </w:tc>
        <w:tc>
          <w:tcPr>
            <w:tcW w:w="687" w:type="dxa"/>
            <w:shd w:val="clear" w:color="auto" w:fill="auto"/>
            <w:vAlign w:val="center"/>
          </w:tcPr>
          <w:p>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预算</w:t>
            </w:r>
          </w:p>
          <w:p>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资金</w:t>
            </w:r>
          </w:p>
        </w:tc>
        <w:tc>
          <w:tcPr>
            <w:tcW w:w="596" w:type="dxa"/>
            <w:vMerge w:val="continue"/>
            <w:shd w:val="clear" w:color="auto" w:fill="auto"/>
            <w:vAlign w:val="center"/>
          </w:tcPr>
          <w:p>
            <w:pPr>
              <w:spacing w:line="400" w:lineRule="exact"/>
              <w:jc w:val="left"/>
              <w:outlineLvl w:val="0"/>
              <w:rPr>
                <w:rFonts w:asciiTheme="minorEastAsia" w:hAnsiTheme="minorEastAsia" w:cstheme="minorEastAsia"/>
                <w:sz w:val="18"/>
                <w:szCs w:val="18"/>
              </w:rPr>
            </w:pPr>
          </w:p>
        </w:tc>
        <w:tc>
          <w:tcPr>
            <w:tcW w:w="979" w:type="dxa"/>
            <w:vMerge w:val="continue"/>
            <w:shd w:val="clear" w:color="auto" w:fill="auto"/>
            <w:vAlign w:val="center"/>
          </w:tcPr>
          <w:p>
            <w:pPr>
              <w:spacing w:line="400" w:lineRule="exact"/>
              <w:jc w:val="left"/>
              <w:outlineLvl w:val="0"/>
              <w:rPr>
                <w:rFonts w:asciiTheme="minorEastAsia" w:hAnsiTheme="minorEastAsia" w:cstheme="minorEastAsia"/>
                <w:sz w:val="18"/>
                <w:szCs w:val="18"/>
              </w:rPr>
            </w:pPr>
          </w:p>
        </w:tc>
        <w:tc>
          <w:tcPr>
            <w:tcW w:w="480" w:type="dxa"/>
            <w:vMerge w:val="continue"/>
            <w:shd w:val="clear" w:color="auto" w:fill="auto"/>
            <w:vAlign w:val="center"/>
          </w:tcPr>
          <w:p>
            <w:pPr>
              <w:spacing w:line="400" w:lineRule="exact"/>
              <w:jc w:val="left"/>
              <w:outlineLvl w:val="0"/>
              <w:rPr>
                <w:rFonts w:asciiTheme="minorEastAsia" w:hAnsiTheme="minorEastAsia" w:cstheme="minorEastAsia"/>
                <w:sz w:val="18"/>
                <w:szCs w:val="18"/>
              </w:rPr>
            </w:pPr>
          </w:p>
        </w:tc>
        <w:tc>
          <w:tcPr>
            <w:tcW w:w="322" w:type="dxa"/>
            <w:vMerge w:val="continue"/>
            <w:shd w:val="clear" w:color="auto" w:fill="auto"/>
            <w:vAlign w:val="center"/>
          </w:tcPr>
          <w:p>
            <w:pPr>
              <w:spacing w:line="400" w:lineRule="exact"/>
              <w:jc w:val="left"/>
              <w:outlineLvl w:val="0"/>
              <w:rPr>
                <w:rFonts w:asciiTheme="minorEastAsia" w:hAnsiTheme="minorEastAsia" w:cstheme="minorEastAsia"/>
                <w:sz w:val="18"/>
                <w:szCs w:val="18"/>
              </w:rPr>
            </w:pPr>
          </w:p>
        </w:tc>
        <w:tc>
          <w:tcPr>
            <w:tcW w:w="419" w:type="dxa"/>
            <w:vMerge w:val="continue"/>
            <w:shd w:val="clear" w:color="auto" w:fill="auto"/>
            <w:vAlign w:val="center"/>
          </w:tcPr>
          <w:p>
            <w:pPr>
              <w:spacing w:line="400" w:lineRule="exact"/>
              <w:jc w:val="left"/>
              <w:outlineLvl w:val="0"/>
              <w:rPr>
                <w:rFonts w:asciiTheme="minorEastAsia" w:hAnsiTheme="minorEastAsia" w:cstheme="minorEastAsia"/>
                <w:sz w:val="18"/>
                <w:szCs w:val="18"/>
              </w:rPr>
            </w:pPr>
          </w:p>
        </w:tc>
        <w:tc>
          <w:tcPr>
            <w:tcW w:w="542" w:type="dxa"/>
            <w:shd w:val="clear" w:color="auto" w:fill="auto"/>
            <w:vAlign w:val="center"/>
          </w:tcPr>
          <w:p>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合计</w:t>
            </w:r>
          </w:p>
        </w:tc>
        <w:tc>
          <w:tcPr>
            <w:tcW w:w="822" w:type="dxa"/>
            <w:shd w:val="clear" w:color="auto" w:fill="auto"/>
            <w:vAlign w:val="center"/>
          </w:tcPr>
          <w:p>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一般公共预算拨款</w:t>
            </w:r>
          </w:p>
        </w:tc>
        <w:tc>
          <w:tcPr>
            <w:tcW w:w="803" w:type="dxa"/>
            <w:shd w:val="clear" w:color="auto" w:fill="auto"/>
            <w:vAlign w:val="center"/>
          </w:tcPr>
          <w:p>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基金预算拨款</w:t>
            </w:r>
          </w:p>
        </w:tc>
        <w:tc>
          <w:tcPr>
            <w:tcW w:w="1065" w:type="dxa"/>
            <w:shd w:val="clear" w:color="auto" w:fill="auto"/>
            <w:vAlign w:val="center"/>
          </w:tcPr>
          <w:p>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国有资本经营预算拨款</w:t>
            </w:r>
          </w:p>
        </w:tc>
        <w:tc>
          <w:tcPr>
            <w:tcW w:w="930" w:type="dxa"/>
            <w:shd w:val="clear" w:color="auto" w:fill="auto"/>
            <w:vAlign w:val="center"/>
          </w:tcPr>
          <w:p>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财政专户核拨</w:t>
            </w:r>
          </w:p>
        </w:tc>
        <w:tc>
          <w:tcPr>
            <w:tcW w:w="2144" w:type="dxa"/>
            <w:shd w:val="clear" w:color="auto" w:fill="auto"/>
            <w:vAlign w:val="center"/>
          </w:tcPr>
          <w:p>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其他来源收入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2376" w:type="dxa"/>
            <w:shd w:val="clear" w:color="auto" w:fill="auto"/>
            <w:vAlign w:val="center"/>
          </w:tcPr>
          <w:p>
            <w:pPr>
              <w:spacing w:line="400" w:lineRule="exact"/>
              <w:jc w:val="center"/>
              <w:rPr>
                <w:rFonts w:asciiTheme="minorEastAsia" w:hAnsiTheme="minorEastAsia" w:cstheme="minorEastAsia"/>
                <w:b/>
                <w:sz w:val="18"/>
                <w:szCs w:val="18"/>
              </w:rPr>
            </w:pPr>
          </w:p>
        </w:tc>
        <w:tc>
          <w:tcPr>
            <w:tcW w:w="687" w:type="dxa"/>
            <w:shd w:val="clear" w:color="auto" w:fill="auto"/>
            <w:vAlign w:val="center"/>
          </w:tcPr>
          <w:p>
            <w:pPr>
              <w:spacing w:line="400" w:lineRule="exact"/>
              <w:jc w:val="right"/>
              <w:rPr>
                <w:rFonts w:asciiTheme="minorEastAsia" w:hAnsiTheme="minorEastAsia" w:cstheme="minorEastAsia"/>
                <w:b/>
                <w:sz w:val="18"/>
                <w:szCs w:val="18"/>
              </w:rPr>
            </w:pPr>
          </w:p>
        </w:tc>
        <w:tc>
          <w:tcPr>
            <w:tcW w:w="596" w:type="dxa"/>
            <w:shd w:val="clear" w:color="auto" w:fill="auto"/>
            <w:vAlign w:val="center"/>
          </w:tcPr>
          <w:p>
            <w:pPr>
              <w:spacing w:line="400" w:lineRule="exact"/>
              <w:jc w:val="left"/>
              <w:rPr>
                <w:rFonts w:asciiTheme="minorEastAsia" w:hAnsiTheme="minorEastAsia" w:cstheme="minorEastAsia"/>
                <w:b/>
                <w:sz w:val="18"/>
                <w:szCs w:val="18"/>
              </w:rPr>
            </w:pPr>
          </w:p>
        </w:tc>
        <w:tc>
          <w:tcPr>
            <w:tcW w:w="979" w:type="dxa"/>
            <w:shd w:val="clear" w:color="auto" w:fill="auto"/>
            <w:vAlign w:val="center"/>
          </w:tcPr>
          <w:p>
            <w:pPr>
              <w:spacing w:line="400" w:lineRule="exact"/>
              <w:jc w:val="left"/>
              <w:rPr>
                <w:rFonts w:asciiTheme="minorEastAsia" w:hAnsiTheme="minorEastAsia" w:cstheme="minorEastAsia"/>
                <w:b/>
                <w:sz w:val="18"/>
                <w:szCs w:val="18"/>
              </w:rPr>
            </w:pPr>
          </w:p>
        </w:tc>
        <w:tc>
          <w:tcPr>
            <w:tcW w:w="480" w:type="dxa"/>
            <w:shd w:val="clear" w:color="auto" w:fill="auto"/>
            <w:vAlign w:val="center"/>
          </w:tcPr>
          <w:p>
            <w:pPr>
              <w:spacing w:line="400" w:lineRule="exact"/>
              <w:jc w:val="center"/>
              <w:rPr>
                <w:rFonts w:asciiTheme="minorEastAsia" w:hAnsiTheme="minorEastAsia" w:cstheme="minorEastAsia"/>
                <w:b/>
                <w:sz w:val="18"/>
                <w:szCs w:val="18"/>
              </w:rPr>
            </w:pPr>
          </w:p>
        </w:tc>
        <w:tc>
          <w:tcPr>
            <w:tcW w:w="322" w:type="dxa"/>
            <w:shd w:val="clear" w:color="auto" w:fill="auto"/>
            <w:vAlign w:val="center"/>
          </w:tcPr>
          <w:p>
            <w:pPr>
              <w:spacing w:line="400" w:lineRule="exact"/>
              <w:jc w:val="right"/>
              <w:rPr>
                <w:rFonts w:asciiTheme="minorEastAsia" w:hAnsiTheme="minorEastAsia" w:cstheme="minorEastAsia"/>
                <w:b/>
                <w:sz w:val="18"/>
                <w:szCs w:val="18"/>
              </w:rPr>
            </w:pPr>
          </w:p>
        </w:tc>
        <w:tc>
          <w:tcPr>
            <w:tcW w:w="419" w:type="dxa"/>
            <w:shd w:val="clear" w:color="auto" w:fill="auto"/>
            <w:vAlign w:val="center"/>
          </w:tcPr>
          <w:p>
            <w:pPr>
              <w:spacing w:line="400" w:lineRule="exact"/>
              <w:jc w:val="right"/>
              <w:rPr>
                <w:rFonts w:asciiTheme="minorEastAsia" w:hAnsiTheme="minorEastAsia" w:cstheme="minorEastAsia"/>
                <w:b/>
                <w:sz w:val="18"/>
                <w:szCs w:val="18"/>
              </w:rPr>
            </w:pPr>
          </w:p>
        </w:tc>
        <w:tc>
          <w:tcPr>
            <w:tcW w:w="542" w:type="dxa"/>
            <w:shd w:val="clear" w:color="auto" w:fill="auto"/>
            <w:vAlign w:val="center"/>
          </w:tcPr>
          <w:p>
            <w:pPr>
              <w:spacing w:line="400" w:lineRule="exact"/>
              <w:jc w:val="right"/>
              <w:rPr>
                <w:rFonts w:asciiTheme="minorEastAsia" w:hAnsiTheme="minorEastAsia" w:cstheme="minorEastAsia"/>
                <w:b/>
                <w:sz w:val="18"/>
                <w:szCs w:val="18"/>
              </w:rPr>
            </w:pPr>
          </w:p>
        </w:tc>
        <w:tc>
          <w:tcPr>
            <w:tcW w:w="822" w:type="dxa"/>
            <w:shd w:val="clear" w:color="auto" w:fill="auto"/>
            <w:vAlign w:val="center"/>
          </w:tcPr>
          <w:p>
            <w:pPr>
              <w:spacing w:line="400" w:lineRule="exact"/>
              <w:rPr>
                <w:rFonts w:asciiTheme="minorEastAsia" w:hAnsiTheme="minorEastAsia" w:cstheme="minorEastAsia"/>
                <w:b/>
                <w:sz w:val="18"/>
                <w:szCs w:val="18"/>
              </w:rPr>
            </w:pPr>
          </w:p>
        </w:tc>
        <w:tc>
          <w:tcPr>
            <w:tcW w:w="803" w:type="dxa"/>
            <w:shd w:val="clear" w:color="auto" w:fill="auto"/>
            <w:vAlign w:val="center"/>
          </w:tcPr>
          <w:p>
            <w:pPr>
              <w:spacing w:line="400" w:lineRule="exact"/>
              <w:jc w:val="right"/>
              <w:rPr>
                <w:rFonts w:asciiTheme="minorEastAsia" w:hAnsiTheme="minorEastAsia" w:cstheme="minorEastAsia"/>
                <w:b/>
                <w:sz w:val="18"/>
                <w:szCs w:val="18"/>
              </w:rPr>
            </w:pPr>
          </w:p>
        </w:tc>
        <w:tc>
          <w:tcPr>
            <w:tcW w:w="1065" w:type="dxa"/>
            <w:shd w:val="clear" w:color="auto" w:fill="auto"/>
            <w:vAlign w:val="center"/>
          </w:tcPr>
          <w:p>
            <w:pPr>
              <w:spacing w:line="400" w:lineRule="exact"/>
              <w:jc w:val="right"/>
              <w:rPr>
                <w:rFonts w:asciiTheme="minorEastAsia" w:hAnsiTheme="minorEastAsia" w:cstheme="minorEastAsia"/>
                <w:b/>
                <w:sz w:val="18"/>
                <w:szCs w:val="18"/>
              </w:rPr>
            </w:pPr>
          </w:p>
        </w:tc>
        <w:tc>
          <w:tcPr>
            <w:tcW w:w="930" w:type="dxa"/>
            <w:shd w:val="clear" w:color="auto" w:fill="auto"/>
            <w:vAlign w:val="center"/>
          </w:tcPr>
          <w:p>
            <w:pPr>
              <w:spacing w:line="400" w:lineRule="exact"/>
              <w:jc w:val="right"/>
              <w:rPr>
                <w:rFonts w:asciiTheme="minorEastAsia" w:hAnsiTheme="minorEastAsia" w:cstheme="minorEastAsia"/>
                <w:b/>
                <w:sz w:val="18"/>
                <w:szCs w:val="18"/>
              </w:rPr>
            </w:pPr>
          </w:p>
        </w:tc>
        <w:tc>
          <w:tcPr>
            <w:tcW w:w="2144" w:type="dxa"/>
            <w:shd w:val="clear" w:color="auto" w:fill="auto"/>
            <w:vAlign w:val="center"/>
          </w:tcPr>
          <w:p>
            <w:pPr>
              <w:spacing w:line="400" w:lineRule="exact"/>
              <w:jc w:val="right"/>
              <w:rPr>
                <w:rFonts w:asciiTheme="minorEastAsia" w:hAnsiTheme="minorEastAsia" w:cstheme="minorEastAsia"/>
                <w:b/>
                <w:sz w:val="18"/>
                <w:szCs w:val="18"/>
              </w:rPr>
            </w:pPr>
          </w:p>
        </w:tc>
      </w:tr>
    </w:tbl>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注：2025年我单位没有安排政府采购预算，空表列示。</w:t>
      </w:r>
    </w:p>
    <w:p>
      <w:pPr>
        <w:pStyle w:val="2"/>
        <w:ind w:left="0" w:leftChars="0" w:firstLine="0" w:firstLineChars="0"/>
        <w:rPr>
          <w:rFonts w:hint="default"/>
          <w:lang w:val="en-US" w:eastAsia="zh-CN"/>
        </w:rPr>
      </w:pPr>
    </w:p>
    <w:p>
      <w:pPr>
        <w:rPr>
          <w:rFonts w:hint="default"/>
          <w:lang w:val="en-US" w:eastAsia="zh-CN"/>
        </w:rPr>
      </w:pPr>
    </w:p>
    <w:p>
      <w:pPr>
        <w:spacing w:line="560" w:lineRule="exact"/>
        <w:ind w:firstLine="630"/>
        <w:rPr>
          <w:rFonts w:hint="eastAsia" w:ascii="黑体" w:hAnsi="黑体" w:eastAsia="黑体" w:cs="黑体"/>
          <w:b w:val="0"/>
          <w:bCs w:val="0"/>
          <w:sz w:val="32"/>
          <w:szCs w:val="32"/>
        </w:rPr>
      </w:pPr>
      <w:r>
        <w:rPr>
          <w:rFonts w:hint="eastAsia" w:ascii="黑体" w:hAnsi="黑体" w:eastAsia="黑体" w:cs="黑体"/>
          <w:b w:val="0"/>
          <w:bCs w:val="0"/>
          <w:sz w:val="32"/>
          <w:szCs w:val="32"/>
        </w:rPr>
        <w:t>七、国有资产信息情况</w:t>
      </w:r>
    </w:p>
    <w:p>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年末</w:t>
      </w:r>
      <w:r>
        <w:rPr>
          <w:rFonts w:hint="eastAsia" w:ascii="仿宋_GB2312" w:hAnsi="仿宋_GB2312" w:eastAsia="仿宋_GB2312" w:cs="仿宋_GB2312"/>
          <w:sz w:val="32"/>
          <w:szCs w:val="32"/>
          <w:lang w:eastAsia="zh-CN"/>
        </w:rPr>
        <w:t>涞水县城市管理综合</w:t>
      </w:r>
      <w:r>
        <w:rPr>
          <w:rFonts w:hint="eastAsia" w:ascii="仿宋_GB2312" w:hAnsi="仿宋_GB2312" w:eastAsia="仿宋_GB2312" w:cs="仿宋_GB2312"/>
          <w:sz w:val="32"/>
          <w:szCs w:val="32"/>
        </w:rPr>
        <w:t>执法</w:t>
      </w:r>
      <w:r>
        <w:rPr>
          <w:rFonts w:hint="eastAsia" w:ascii="仿宋_GB2312" w:hAnsi="仿宋_GB2312" w:eastAsia="仿宋_GB2312" w:cs="仿宋_GB2312"/>
          <w:sz w:val="32"/>
          <w:szCs w:val="32"/>
          <w:lang w:val="en-US" w:eastAsia="zh-CN"/>
        </w:rPr>
        <w:t>队</w:t>
      </w:r>
      <w:r>
        <w:rPr>
          <w:rFonts w:hint="eastAsia" w:ascii="仿宋_GB2312" w:hAnsi="仿宋_GB2312" w:eastAsia="仿宋_GB2312" w:cs="仿宋_GB2312"/>
          <w:sz w:val="32"/>
          <w:szCs w:val="32"/>
        </w:rPr>
        <w:t>固定资产总额</w:t>
      </w:r>
      <w:r>
        <w:rPr>
          <w:rFonts w:hint="eastAsia" w:ascii="仿宋_GB2312" w:hAnsi="仿宋_GB2312" w:eastAsia="仿宋_GB2312" w:cs="仿宋_GB2312"/>
          <w:sz w:val="32"/>
          <w:szCs w:val="32"/>
          <w:lang w:val="en-US" w:eastAsia="zh-CN"/>
        </w:rPr>
        <w:t>495.031576</w:t>
      </w:r>
      <w:r>
        <w:rPr>
          <w:rFonts w:hint="eastAsia" w:ascii="仿宋_GB2312" w:hAnsi="仿宋_GB2312" w:eastAsia="仿宋_GB2312" w:cs="仿宋_GB2312"/>
          <w:sz w:val="32"/>
          <w:szCs w:val="32"/>
        </w:rPr>
        <w:t>万元，</w:t>
      </w:r>
      <w:r>
        <w:rPr>
          <w:rFonts w:hint="eastAsia" w:ascii="仿宋_GB2312" w:hAnsi="宋体" w:eastAsia="仿宋_GB2312" w:cs="宋体"/>
          <w:sz w:val="32"/>
          <w:szCs w:val="32"/>
        </w:rPr>
        <w:t xml:space="preserve">主要包括车辆 </w:t>
      </w:r>
      <w:r>
        <w:rPr>
          <w:rFonts w:hint="eastAsia" w:ascii="仿宋_GB2312" w:hAnsi="宋体" w:eastAsia="仿宋_GB2312" w:cs="宋体"/>
          <w:sz w:val="32"/>
          <w:szCs w:val="32"/>
          <w:lang w:val="en-US" w:eastAsia="zh-CN"/>
        </w:rPr>
        <w:t>4</w:t>
      </w:r>
      <w:r>
        <w:rPr>
          <w:rFonts w:hint="eastAsia" w:ascii="仿宋_GB2312" w:hAnsi="宋体" w:eastAsia="仿宋_GB2312" w:cs="宋体"/>
          <w:sz w:val="32"/>
          <w:szCs w:val="32"/>
        </w:rPr>
        <w:t xml:space="preserve">辆价值 </w:t>
      </w:r>
      <w:r>
        <w:rPr>
          <w:rFonts w:hint="eastAsia" w:ascii="仿宋_GB2312" w:hAnsi="宋体" w:eastAsia="仿宋_GB2312" w:cs="宋体"/>
          <w:sz w:val="32"/>
          <w:szCs w:val="32"/>
          <w:lang w:val="en-US" w:eastAsia="zh-CN"/>
        </w:rPr>
        <w:t>30.87</w:t>
      </w:r>
      <w:r>
        <w:rPr>
          <w:rFonts w:hint="eastAsia" w:ascii="仿宋_GB2312" w:hAnsi="宋体" w:eastAsia="仿宋_GB2312" w:cs="宋体"/>
          <w:sz w:val="32"/>
          <w:szCs w:val="32"/>
        </w:rPr>
        <w:t>万元</w:t>
      </w:r>
      <w:r>
        <w:rPr>
          <w:rFonts w:hint="eastAsia" w:ascii="仿宋_GB2312" w:hAnsi="宋体" w:eastAsia="仿宋_GB2312" w:cs="宋体"/>
          <w:sz w:val="32"/>
          <w:szCs w:val="32"/>
          <w:lang w:eastAsia="zh-CN"/>
        </w:rPr>
        <w:t>、单价在</w:t>
      </w:r>
      <w:r>
        <w:rPr>
          <w:rFonts w:hint="eastAsia" w:ascii="仿宋_GB2312" w:hAnsi="宋体" w:eastAsia="仿宋_GB2312" w:cs="宋体"/>
          <w:sz w:val="32"/>
          <w:szCs w:val="32"/>
          <w:lang w:val="en-US" w:eastAsia="zh-CN"/>
        </w:rPr>
        <w:t>20万元以上的设备1台305.86万元</w:t>
      </w:r>
      <w:r>
        <w:rPr>
          <w:rFonts w:hint="eastAsia" w:ascii="仿宋_GB2312" w:hAnsi="宋体" w:eastAsia="仿宋_GB2312" w:cs="宋体"/>
          <w:sz w:val="32"/>
          <w:szCs w:val="32"/>
        </w:rPr>
        <w:t>及其他固定资产</w:t>
      </w:r>
      <w:r>
        <w:rPr>
          <w:rFonts w:hint="eastAsia" w:ascii="仿宋_GB2312" w:hAnsi="宋体" w:eastAsia="仿宋_GB2312" w:cs="宋体"/>
          <w:sz w:val="32"/>
          <w:szCs w:val="32"/>
          <w:lang w:val="en-US" w:eastAsia="zh-CN"/>
        </w:rPr>
        <w:t>158.301576</w:t>
      </w:r>
      <w:r>
        <w:rPr>
          <w:rFonts w:hint="eastAsia" w:ascii="仿宋_GB2312" w:hAnsi="宋体" w:eastAsia="仿宋_GB2312" w:cs="宋体"/>
          <w:sz w:val="32"/>
          <w:szCs w:val="32"/>
        </w:rPr>
        <w:t>万元。</w:t>
      </w:r>
      <w:r>
        <w:rPr>
          <w:rFonts w:hint="eastAsia" w:ascii="仿宋_GB2312" w:hAnsi="宋体" w:eastAsia="仿宋_GB2312" w:cs="宋体"/>
          <w:sz w:val="32"/>
          <w:szCs w:val="32"/>
          <w:lang w:val="en-US" w:eastAsia="zh-CN"/>
        </w:rPr>
        <w:t>2025年我单位无购置固定资产计划。</w:t>
      </w:r>
      <w:r>
        <w:rPr>
          <w:rFonts w:hint="eastAsia" w:ascii="仿宋_GB2312" w:hAnsi="仿宋_GB2312" w:eastAsia="仿宋_GB2312" w:cs="仿宋_GB2312"/>
          <w:sz w:val="32"/>
          <w:szCs w:val="32"/>
          <w:lang w:val="en-US" w:eastAsia="zh-CN"/>
        </w:rPr>
        <w:t xml:space="preserve">   </w:t>
      </w:r>
    </w:p>
    <w:p>
      <w:pPr>
        <w:spacing w:line="560" w:lineRule="exact"/>
        <w:ind w:firstLine="640" w:firstLineChars="200"/>
        <w:jc w:val="left"/>
        <w:rPr>
          <w:rFonts w:hint="eastAsia" w:ascii="仿宋_GB2312" w:hAnsi="仿宋_GB2312" w:eastAsia="仿宋_GB2312" w:cs="仿宋_GB2312"/>
          <w:sz w:val="32"/>
          <w:szCs w:val="32"/>
          <w:lang w:val="en-US" w:eastAsia="zh-CN"/>
        </w:rPr>
      </w:pPr>
    </w:p>
    <w:p>
      <w:pPr>
        <w:spacing w:line="560" w:lineRule="exact"/>
        <w:ind w:firstLine="3855" w:firstLineChars="1200"/>
        <w:jc w:val="left"/>
        <w:rPr>
          <w:rFonts w:hint="eastAsia" w:ascii="仿宋_GB2312" w:hAnsi="仿宋_GB2312" w:eastAsia="仿宋_GB2312" w:cs="仿宋_GB2312"/>
          <w:sz w:val="32"/>
          <w:szCs w:val="32"/>
          <w:lang w:eastAsia="zh-CN"/>
        </w:rPr>
      </w:pPr>
      <w:r>
        <w:rPr>
          <w:rFonts w:hint="eastAsia" w:ascii="方正小标宋简体" w:hAnsi="方正小标宋简体" w:eastAsia="方正小标宋简体" w:cs="方正小标宋简体"/>
          <w:b/>
          <w:bCs/>
          <w:sz w:val="32"/>
          <w:szCs w:val="32"/>
          <w:lang w:val="en-US" w:eastAsia="zh-CN"/>
        </w:rPr>
        <w:t>单位固定资产占用情况表</w:t>
      </w:r>
      <w:r>
        <w:rPr>
          <w:rFonts w:hint="eastAsia" w:ascii="仿宋_GB2312" w:hAnsi="仿宋_GB2312" w:eastAsia="仿宋_GB2312" w:cs="仿宋_GB2312"/>
          <w:sz w:val="32"/>
          <w:szCs w:val="32"/>
          <w:lang w:val="en-US" w:eastAsia="zh-CN"/>
        </w:rPr>
        <w:t xml:space="preserve">                                           </w:t>
      </w:r>
    </w:p>
    <w:p>
      <w:pPr>
        <w:ind w:firstLine="320" w:firstLineChars="1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565001涞水县城市管理综合执法队本级              </w:t>
      </w:r>
      <w:r>
        <w:rPr>
          <w:rFonts w:hint="eastAsia" w:ascii="仿宋_GB2312" w:hAnsi="仿宋_GB2312" w:eastAsia="仿宋_GB2312" w:cs="仿宋_GB2312"/>
          <w:sz w:val="32"/>
          <w:szCs w:val="32"/>
        </w:rPr>
        <w:t>截止时间：20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年12月31</w:t>
      </w:r>
      <w:r>
        <w:rPr>
          <w:rFonts w:hint="eastAsia" w:ascii="仿宋_GB2312" w:hAnsi="仿宋_GB2312" w:eastAsia="仿宋_GB2312" w:cs="仿宋_GB2312"/>
          <w:sz w:val="32"/>
          <w:szCs w:val="32"/>
          <w:lang w:eastAsia="zh-CN"/>
        </w:rPr>
        <w:t>日</w:t>
      </w:r>
    </w:p>
    <w:tbl>
      <w:tblPr>
        <w:tblStyle w:val="9"/>
        <w:tblW w:w="11895" w:type="dxa"/>
        <w:tblInd w:w="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5"/>
        <w:gridCol w:w="1560"/>
        <w:gridCol w:w="5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5" w:type="dxa"/>
            <w:noWrap w:val="0"/>
            <w:vAlign w:val="top"/>
          </w:tcPr>
          <w:p>
            <w:pPr>
              <w:widowControl w:val="0"/>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项   目</w:t>
            </w:r>
          </w:p>
        </w:tc>
        <w:tc>
          <w:tcPr>
            <w:tcW w:w="1560" w:type="dxa"/>
            <w:noWrap w:val="0"/>
            <w:vAlign w:val="top"/>
          </w:tcPr>
          <w:p>
            <w:pPr>
              <w:widowControl w:val="0"/>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数量</w:t>
            </w:r>
          </w:p>
        </w:tc>
        <w:tc>
          <w:tcPr>
            <w:tcW w:w="5040" w:type="dxa"/>
            <w:noWrap w:val="0"/>
            <w:vAlign w:val="top"/>
          </w:tcPr>
          <w:p>
            <w:pPr>
              <w:widowControl w:val="0"/>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价值（单位：万元）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295" w:type="dxa"/>
            <w:noWrap w:val="0"/>
            <w:vAlign w:val="top"/>
          </w:tcPr>
          <w:p>
            <w:pPr>
              <w:widowControl w:val="0"/>
              <w:jc w:val="both"/>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固定资产总额</w:t>
            </w:r>
          </w:p>
        </w:tc>
        <w:tc>
          <w:tcPr>
            <w:tcW w:w="1560" w:type="dxa"/>
            <w:noWrap w:val="0"/>
            <w:vAlign w:val="top"/>
          </w:tcPr>
          <w:p>
            <w:pPr>
              <w:widowControl w:val="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pPr>
              <w:widowControl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495.031576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5295" w:type="dxa"/>
            <w:noWrap w:val="0"/>
            <w:vAlign w:val="top"/>
          </w:tcPr>
          <w:p>
            <w:pPr>
              <w:widowControl w:val="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1、房屋(平方米）</w:t>
            </w:r>
          </w:p>
        </w:tc>
        <w:tc>
          <w:tcPr>
            <w:tcW w:w="1560" w:type="dxa"/>
            <w:noWrap w:val="0"/>
            <w:vAlign w:val="top"/>
          </w:tcPr>
          <w:p>
            <w:pPr>
              <w:widowControl w:val="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pPr>
              <w:widowControl w:val="0"/>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295" w:type="dxa"/>
            <w:noWrap w:val="0"/>
            <w:vAlign w:val="top"/>
          </w:tcPr>
          <w:p>
            <w:pPr>
              <w:widowControl w:val="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其中：办公用房(平方米）</w:t>
            </w:r>
          </w:p>
        </w:tc>
        <w:tc>
          <w:tcPr>
            <w:tcW w:w="1560" w:type="dxa"/>
            <w:noWrap w:val="0"/>
            <w:vAlign w:val="top"/>
          </w:tcPr>
          <w:p>
            <w:pPr>
              <w:widowControl w:val="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pPr>
              <w:widowControl w:val="0"/>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295" w:type="dxa"/>
            <w:noWrap w:val="0"/>
            <w:vAlign w:val="top"/>
          </w:tcPr>
          <w:p>
            <w:pPr>
              <w:widowControl w:val="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2、车辆（台、辆）</w:t>
            </w:r>
          </w:p>
        </w:tc>
        <w:tc>
          <w:tcPr>
            <w:tcW w:w="1560" w:type="dxa"/>
            <w:noWrap w:val="0"/>
            <w:vAlign w:val="top"/>
          </w:tcPr>
          <w:p>
            <w:pPr>
              <w:widowControl w:val="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p>
        </w:tc>
        <w:tc>
          <w:tcPr>
            <w:tcW w:w="5040" w:type="dxa"/>
            <w:noWrap w:val="0"/>
            <w:vAlign w:val="top"/>
          </w:tcPr>
          <w:p>
            <w:pPr>
              <w:widowControl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30.87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295" w:type="dxa"/>
            <w:noWrap w:val="0"/>
            <w:vAlign w:val="top"/>
          </w:tcPr>
          <w:p>
            <w:pPr>
              <w:widowControl w:val="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3、单价在20万元以上的设备</w:t>
            </w:r>
          </w:p>
        </w:tc>
        <w:tc>
          <w:tcPr>
            <w:tcW w:w="1560" w:type="dxa"/>
            <w:noWrap w:val="0"/>
            <w:vAlign w:val="top"/>
          </w:tcPr>
          <w:p>
            <w:pPr>
              <w:widowControl w:val="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p>
        </w:tc>
        <w:tc>
          <w:tcPr>
            <w:tcW w:w="5040" w:type="dxa"/>
            <w:noWrap w:val="0"/>
            <w:vAlign w:val="top"/>
          </w:tcPr>
          <w:p>
            <w:pPr>
              <w:widowControl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305.86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5295" w:type="dxa"/>
            <w:noWrap w:val="0"/>
            <w:vAlign w:val="top"/>
          </w:tcPr>
          <w:p>
            <w:pPr>
              <w:widowControl w:val="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4、其他固定资产</w:t>
            </w:r>
          </w:p>
        </w:tc>
        <w:tc>
          <w:tcPr>
            <w:tcW w:w="1560" w:type="dxa"/>
            <w:noWrap w:val="0"/>
            <w:vAlign w:val="top"/>
          </w:tcPr>
          <w:p>
            <w:pPr>
              <w:widowControl w:val="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pPr>
              <w:widowControl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158.301576</w:t>
            </w:r>
          </w:p>
        </w:tc>
      </w:tr>
    </w:tbl>
    <w:p>
      <w:pPr>
        <w:ind w:firstLine="640" w:firstLineChars="200"/>
        <w:rPr>
          <w:rFonts w:hint="eastAsia" w:ascii="黑体" w:hAnsi="黑体" w:eastAsia="黑体" w:cs="黑体"/>
          <w:b w:val="0"/>
          <w:bCs/>
          <w:sz w:val="32"/>
          <w:szCs w:val="32"/>
        </w:rPr>
      </w:pPr>
      <w:r>
        <w:rPr>
          <w:rFonts w:hint="eastAsia" w:ascii="仿宋_GB2312" w:hAnsi="仿宋_GB2312" w:eastAsia="仿宋_GB2312" w:cs="仿宋_GB2312"/>
          <w:b w:val="0"/>
          <w:bCs/>
          <w:sz w:val="32"/>
          <w:szCs w:val="32"/>
          <w:lang w:eastAsia="zh-CN"/>
        </w:rPr>
        <w:t>其他固定资产主要是电瓶车、电脑、空调、办公桌椅及执法装备等。</w:t>
      </w:r>
    </w:p>
    <w:p>
      <w:pPr>
        <w:spacing w:line="560" w:lineRule="exact"/>
        <w:ind w:firstLine="627" w:firstLineChars="196"/>
        <w:rPr>
          <w:rFonts w:hint="eastAsia" w:ascii="黑体" w:hAnsi="黑体" w:eastAsia="黑体" w:cs="黑体"/>
          <w:b w:val="0"/>
          <w:bCs/>
          <w:sz w:val="32"/>
          <w:szCs w:val="32"/>
        </w:rPr>
      </w:pPr>
      <w:r>
        <w:rPr>
          <w:rFonts w:hint="eastAsia" w:ascii="黑体" w:hAnsi="黑体" w:eastAsia="黑体" w:cs="黑体"/>
          <w:b w:val="0"/>
          <w:bCs/>
          <w:sz w:val="32"/>
          <w:szCs w:val="32"/>
        </w:rPr>
        <w:t>八、名词解释</w:t>
      </w:r>
    </w:p>
    <w:p>
      <w:pPr>
        <w:spacing w:line="560" w:lineRule="exact"/>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w:t>
      </w:r>
      <w:r>
        <w:rPr>
          <w:rFonts w:hint="eastAsia" w:ascii="仿宋_GB2312" w:hAnsi="宋体" w:eastAsia="仿宋_GB2312"/>
          <w:b w:val="0"/>
          <w:bCs w:val="0"/>
          <w:sz w:val="32"/>
          <w:szCs w:val="32"/>
        </w:rPr>
        <w:t>一般公共预算财政拨款收入：</w:t>
      </w:r>
      <w:r>
        <w:rPr>
          <w:rFonts w:hint="eastAsia" w:ascii="仿宋_GB2312" w:hAnsi="宋体" w:eastAsia="仿宋_GB2312"/>
          <w:sz w:val="32"/>
          <w:szCs w:val="32"/>
        </w:rPr>
        <w:t>县级财政当年拨付的资金。</w:t>
      </w:r>
    </w:p>
    <w:p>
      <w:pPr>
        <w:pStyle w:val="7"/>
        <w:widowControl/>
        <w:spacing w:line="560" w:lineRule="exact"/>
        <w:ind w:firstLine="578" w:firstLineChars="180"/>
        <w:rPr>
          <w:rFonts w:ascii="仿宋_GB2312" w:hAnsi="仿宋_GB2312" w:eastAsia="仿宋_GB2312" w:cs="仿宋_GB2312"/>
          <w:sz w:val="32"/>
          <w:szCs w:val="32"/>
          <w:shd w:val="clear" w:color="auto" w:fill="FFFFFF"/>
        </w:rPr>
      </w:pPr>
      <w:r>
        <w:rPr>
          <w:rStyle w:val="11"/>
          <w:rFonts w:ascii="仿宋_GB2312" w:hAnsi="仿宋_GB2312" w:eastAsia="仿宋_GB2312" w:cs="仿宋_GB2312"/>
          <w:sz w:val="32"/>
          <w:szCs w:val="32"/>
          <w:shd w:val="clear" w:color="auto" w:fill="FFFFFF"/>
        </w:rPr>
        <w:t>2</w:t>
      </w:r>
      <w:r>
        <w:rPr>
          <w:rStyle w:val="11"/>
          <w:rFonts w:hint="eastAsia" w:ascii="仿宋_GB2312" w:hAnsi="仿宋_GB2312" w:eastAsia="仿宋_GB2312" w:cs="仿宋_GB2312"/>
          <w:sz w:val="32"/>
          <w:szCs w:val="32"/>
          <w:shd w:val="clear" w:color="auto" w:fill="FFFFFF"/>
        </w:rPr>
        <w:t>、</w:t>
      </w:r>
      <w:r>
        <w:rPr>
          <w:rStyle w:val="11"/>
          <w:rFonts w:hint="eastAsia" w:ascii="仿宋_GB2312" w:hAnsi="仿宋_GB2312" w:eastAsia="仿宋_GB2312" w:cs="仿宋_GB2312"/>
          <w:b w:val="0"/>
          <w:bCs/>
          <w:sz w:val="32"/>
          <w:szCs w:val="32"/>
          <w:shd w:val="clear" w:color="auto" w:fill="FFFFFF"/>
        </w:rPr>
        <w:t>其他收入：</w:t>
      </w:r>
      <w:r>
        <w:rPr>
          <w:rFonts w:hint="eastAsia" w:ascii="仿宋_GB2312" w:hAnsi="仿宋_GB2312" w:eastAsia="仿宋_GB2312" w:cs="仿宋_GB2312"/>
          <w:sz w:val="32"/>
          <w:szCs w:val="32"/>
          <w:shd w:val="clear" w:color="auto" w:fill="FFFFFF"/>
        </w:rPr>
        <w:t>指除上述财政拨款收入以外的收入。主要是存款利息收入。</w:t>
      </w:r>
    </w:p>
    <w:p>
      <w:pPr>
        <w:pStyle w:val="7"/>
        <w:widowControl/>
        <w:spacing w:line="560" w:lineRule="exact"/>
        <w:ind w:firstLine="643" w:firstLineChars="200"/>
        <w:rPr>
          <w:rFonts w:ascii="仿宋_GB2312" w:hAnsi="宋体" w:eastAsia="仿宋_GB2312"/>
          <w:sz w:val="32"/>
          <w:szCs w:val="32"/>
        </w:rPr>
      </w:pPr>
      <w:r>
        <w:rPr>
          <w:rStyle w:val="11"/>
          <w:rFonts w:ascii="仿宋_GB2312" w:hAnsi="仿宋_GB2312" w:eastAsia="仿宋_GB2312" w:cs="仿宋_GB2312"/>
          <w:color w:val="000000"/>
          <w:sz w:val="32"/>
          <w:szCs w:val="32"/>
          <w:shd w:val="clear" w:color="auto" w:fill="FFFFFF"/>
        </w:rPr>
        <w:t>3</w:t>
      </w:r>
      <w:r>
        <w:rPr>
          <w:rFonts w:hint="eastAsia" w:ascii="仿宋_GB2312" w:hAnsi="宋体" w:eastAsia="仿宋_GB2312"/>
          <w:b/>
          <w:bCs/>
          <w:sz w:val="32"/>
          <w:szCs w:val="32"/>
        </w:rPr>
        <w:t>、</w:t>
      </w:r>
      <w:r>
        <w:rPr>
          <w:rFonts w:hint="eastAsia" w:ascii="仿宋_GB2312" w:hAnsi="宋体" w:eastAsia="仿宋_GB2312"/>
          <w:b w:val="0"/>
          <w:bCs w:val="0"/>
          <w:sz w:val="32"/>
          <w:szCs w:val="32"/>
        </w:rPr>
        <w:t>基本支出：</w:t>
      </w:r>
      <w:r>
        <w:rPr>
          <w:rFonts w:hint="eastAsia" w:ascii="仿宋_GB2312" w:hAnsi="宋体" w:eastAsia="仿宋_GB2312"/>
          <w:sz w:val="32"/>
          <w:szCs w:val="32"/>
        </w:rPr>
        <w:t>指为保障机构正常运转、完成日常工作任务而发生的人员支出和公用支出。</w:t>
      </w:r>
    </w:p>
    <w:p>
      <w:pPr>
        <w:pStyle w:val="7"/>
        <w:widowControl/>
        <w:spacing w:line="560" w:lineRule="exact"/>
        <w:ind w:firstLine="630" w:firstLineChars="196"/>
        <w:rPr>
          <w:rFonts w:ascii="仿宋_GB2312" w:hAnsi="宋体" w:eastAsia="仿宋_GB2312"/>
          <w:sz w:val="32"/>
          <w:szCs w:val="32"/>
        </w:rPr>
      </w:pPr>
      <w:r>
        <w:rPr>
          <w:rFonts w:ascii="仿宋_GB2312" w:hAnsi="宋体" w:eastAsia="仿宋_GB2312"/>
          <w:b/>
          <w:bCs/>
          <w:sz w:val="32"/>
          <w:szCs w:val="32"/>
        </w:rPr>
        <w:t>4</w:t>
      </w:r>
      <w:r>
        <w:rPr>
          <w:rFonts w:hint="eastAsia" w:ascii="仿宋_GB2312" w:hAnsi="宋体" w:eastAsia="仿宋_GB2312"/>
          <w:b/>
          <w:bCs/>
          <w:sz w:val="32"/>
          <w:szCs w:val="32"/>
        </w:rPr>
        <w:t>、</w:t>
      </w:r>
      <w:r>
        <w:rPr>
          <w:rFonts w:hint="eastAsia" w:ascii="仿宋_GB2312" w:hAnsi="宋体" w:eastAsia="仿宋_GB2312"/>
          <w:b w:val="0"/>
          <w:bCs w:val="0"/>
          <w:sz w:val="32"/>
          <w:szCs w:val="32"/>
        </w:rPr>
        <w:t>项目支出：</w:t>
      </w:r>
      <w:r>
        <w:rPr>
          <w:rFonts w:hint="eastAsia" w:ascii="仿宋_GB2312" w:hAnsi="宋体" w:eastAsia="仿宋_GB2312"/>
          <w:sz w:val="32"/>
          <w:szCs w:val="32"/>
        </w:rPr>
        <w:t>指在基本支出之外</w:t>
      </w:r>
      <w:bookmarkStart w:id="5" w:name="_GoBack"/>
      <w:bookmarkEnd w:id="5"/>
      <w:r>
        <w:rPr>
          <w:rFonts w:hint="eastAsia" w:ascii="仿宋_GB2312" w:hAnsi="宋体" w:eastAsia="仿宋_GB2312"/>
          <w:sz w:val="32"/>
          <w:szCs w:val="32"/>
        </w:rPr>
        <w:t>为完成特定行政任务和事业发展目标所发生的支出。</w:t>
      </w:r>
    </w:p>
    <w:p>
      <w:pPr>
        <w:pStyle w:val="7"/>
        <w:widowControl/>
        <w:spacing w:line="560" w:lineRule="exact"/>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w:t>
      </w:r>
      <w:r>
        <w:rPr>
          <w:rFonts w:hint="eastAsia" w:ascii="仿宋_GB2312" w:hAnsi="宋体" w:eastAsia="仿宋_GB2312"/>
          <w:b w:val="0"/>
          <w:bCs w:val="0"/>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7"/>
        <w:widowControl/>
        <w:spacing w:line="560" w:lineRule="exact"/>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w:t>
      </w:r>
      <w:r>
        <w:rPr>
          <w:rFonts w:hint="eastAsia" w:ascii="仿宋_GB2312" w:hAnsi="宋体" w:eastAsia="仿宋_GB2312"/>
          <w:b w:val="0"/>
          <w:bCs w:val="0"/>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rPr>
          <w:rFonts w:hint="eastAsia" w:ascii="黑体" w:hAnsi="黑体" w:eastAsia="黑体" w:cs="黑体"/>
          <w:b/>
          <w:sz w:val="32"/>
          <w:szCs w:val="32"/>
        </w:rPr>
      </w:pPr>
      <w:r>
        <w:rPr>
          <w:rFonts w:hint="eastAsia" w:ascii="黑体" w:hAnsi="黑体" w:eastAsia="黑体" w:cs="黑体"/>
          <w:sz w:val="32"/>
          <w:szCs w:val="32"/>
        </w:rPr>
        <w:t xml:space="preserve">   </w:t>
      </w:r>
      <w:r>
        <w:rPr>
          <w:rFonts w:hint="eastAsia" w:ascii="黑体" w:hAnsi="黑体" w:eastAsia="黑体" w:cs="黑体"/>
          <w:b w:val="0"/>
          <w:bCs w:val="0"/>
          <w:sz w:val="32"/>
          <w:szCs w:val="32"/>
        </w:rPr>
        <w:t xml:space="preserve">  九、其他需要说明的事项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无</w:t>
      </w:r>
      <w:r>
        <w:rPr>
          <w:rFonts w:hint="eastAsia" w:ascii="仿宋_GB2312" w:hAnsi="仿宋_GB2312" w:eastAsia="仿宋_GB2312" w:cs="仿宋_GB2312"/>
          <w:sz w:val="32"/>
          <w:szCs w:val="32"/>
          <w:lang w:eastAsia="zh-CN"/>
        </w:rPr>
        <w:t>其他需要说明的事项</w:t>
      </w:r>
      <w:r>
        <w:rPr>
          <w:rFonts w:hint="eastAsia" w:ascii="仿宋_GB2312" w:hAnsi="仿宋_GB2312" w:eastAsia="仿宋_GB2312" w:cs="仿宋_GB2312"/>
          <w:sz w:val="32"/>
          <w:szCs w:val="32"/>
        </w:rPr>
        <w:t>。</w:t>
      </w:r>
    </w:p>
    <w:p>
      <w:pPr>
        <w:spacing w:line="560" w:lineRule="exact"/>
        <w:rPr>
          <w:rFonts w:hint="eastAsia" w:ascii="仿宋_GB2312" w:hAnsi="仿宋_GB2312" w:eastAsia="仿宋_GB2312" w:cs="仿宋_GB2312"/>
          <w:sz w:val="32"/>
          <w:szCs w:val="32"/>
        </w:rPr>
      </w:pPr>
    </w:p>
    <w:p>
      <w:pPr>
        <w:spacing w:line="560" w:lineRule="exact"/>
        <w:ind w:right="640"/>
        <w:rPr>
          <w:rFonts w:hint="eastAsia" w:ascii="仿宋_GB2312" w:hAnsi="仿宋_GB2312" w:eastAsia="仿宋_GB2312" w:cs="仿宋_GB2312"/>
          <w:sz w:val="32"/>
          <w:szCs w:val="32"/>
        </w:rPr>
      </w:pPr>
    </w:p>
    <w:p>
      <w:pPr>
        <w:spacing w:line="560" w:lineRule="exact"/>
        <w:ind w:right="640"/>
        <w:jc w:val="right"/>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日</w:t>
      </w:r>
    </w:p>
    <w:p/>
    <w:p/>
    <w:p/>
    <w:p>
      <w:pPr>
        <w:rPr>
          <w:lang w:val="en-US" w:eastAsia="uk-UA"/>
        </w:rPr>
      </w:pPr>
      <w:r>
        <w:fldChar w:fldCharType="end"/>
      </w:r>
    </w:p>
    <w:sectPr>
      <w:footerReference r:id="rId4" w:type="default"/>
      <w:pgSz w:w="16838" w:h="11906" w:orient="landscape"/>
      <w:pgMar w:top="1463" w:right="1440" w:bottom="1463" w:left="1440" w:header="851" w:footer="992" w:gutter="0"/>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2"/>
      </w:rPr>
    </w:pPr>
    <w:r>
      <w:fldChar w:fldCharType="begin"/>
    </w:r>
    <w:r>
      <w:rPr>
        <w:rStyle w:val="12"/>
      </w:rPr>
      <w:instrText xml:space="preserve">PAGE  </w:instrText>
    </w:r>
    <w:r>
      <w:fldChar w:fldCharType="separate"/>
    </w:r>
    <w:r>
      <w:rPr>
        <w:rStyle w:val="12"/>
      </w:rPr>
      <w:t>3</w:t>
    </w:r>
    <w:r>
      <w:fldChar w:fldCharType="end"/>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2"/>
      </w:rPr>
    </w:pPr>
    <w:r>
      <w:fldChar w:fldCharType="begin"/>
    </w:r>
    <w:r>
      <w:rPr>
        <w:rStyle w:val="12"/>
      </w:rPr>
      <w:instrText xml:space="preserve">PAGE  </w:instrText>
    </w:r>
    <w:r>
      <w:fldChar w:fldCharType="separate"/>
    </w:r>
    <w:r>
      <w:rPr>
        <w:rStyle w:val="12"/>
      </w:rPr>
      <w:t>3</w: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0FFE53"/>
    <w:multiLevelType w:val="singleLevel"/>
    <w:tmpl w:val="9F0FFE53"/>
    <w:lvl w:ilvl="0" w:tentative="0">
      <w:start w:val="3"/>
      <w:numFmt w:val="decimal"/>
      <w:suff w:val="nothing"/>
      <w:lvlText w:val="%1、"/>
      <w:lvlJc w:val="left"/>
      <w:pPr>
        <w:ind w:left="800" w:firstLine="0"/>
      </w:pPr>
    </w:lvl>
  </w:abstractNum>
  <w:abstractNum w:abstractNumId="1">
    <w:nsid w:val="FC81F46E"/>
    <w:multiLevelType w:val="singleLevel"/>
    <w:tmpl w:val="FC81F46E"/>
    <w:lvl w:ilvl="0" w:tentative="0">
      <w:start w:val="4"/>
      <w:numFmt w:val="chineseCounting"/>
      <w:suff w:val="nothing"/>
      <w:lvlText w:val="%1、"/>
      <w:lvlJc w:val="left"/>
      <w:pPr>
        <w:ind w:left="8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5MmY2MmE3MmNlZjg3Yjc3OWZlYTU0ZWUxYTM3NjkifQ=="/>
  </w:docVars>
  <w:rsids>
    <w:rsidRoot w:val="00000000"/>
    <w:rsid w:val="01806516"/>
    <w:rsid w:val="019B4694"/>
    <w:rsid w:val="039842CF"/>
    <w:rsid w:val="04030F36"/>
    <w:rsid w:val="0411355C"/>
    <w:rsid w:val="0559706F"/>
    <w:rsid w:val="06EB43B9"/>
    <w:rsid w:val="07C22B6F"/>
    <w:rsid w:val="0B621D4A"/>
    <w:rsid w:val="0DC708B6"/>
    <w:rsid w:val="0EC15E11"/>
    <w:rsid w:val="0F130469"/>
    <w:rsid w:val="10D7104B"/>
    <w:rsid w:val="12C22271"/>
    <w:rsid w:val="12E82452"/>
    <w:rsid w:val="137E1223"/>
    <w:rsid w:val="14D02E4F"/>
    <w:rsid w:val="1534502B"/>
    <w:rsid w:val="16940461"/>
    <w:rsid w:val="176B36EF"/>
    <w:rsid w:val="183E2785"/>
    <w:rsid w:val="196B3F19"/>
    <w:rsid w:val="1A0D34DE"/>
    <w:rsid w:val="1A7674D3"/>
    <w:rsid w:val="1A82318C"/>
    <w:rsid w:val="1AF210E2"/>
    <w:rsid w:val="1B27244C"/>
    <w:rsid w:val="1F29779B"/>
    <w:rsid w:val="1F336406"/>
    <w:rsid w:val="1F646872"/>
    <w:rsid w:val="211248F8"/>
    <w:rsid w:val="21B41303"/>
    <w:rsid w:val="2224162C"/>
    <w:rsid w:val="222866C7"/>
    <w:rsid w:val="22370CEE"/>
    <w:rsid w:val="23453EE9"/>
    <w:rsid w:val="242012AF"/>
    <w:rsid w:val="2423153B"/>
    <w:rsid w:val="249B7280"/>
    <w:rsid w:val="24FF34E2"/>
    <w:rsid w:val="252437BD"/>
    <w:rsid w:val="26F27776"/>
    <w:rsid w:val="27B16E5E"/>
    <w:rsid w:val="298B799A"/>
    <w:rsid w:val="29997569"/>
    <w:rsid w:val="2E7D4387"/>
    <w:rsid w:val="30021ABE"/>
    <w:rsid w:val="315F5402"/>
    <w:rsid w:val="31ED7142"/>
    <w:rsid w:val="321E49C3"/>
    <w:rsid w:val="32565AEA"/>
    <w:rsid w:val="32F7288B"/>
    <w:rsid w:val="343A4ED5"/>
    <w:rsid w:val="350A36CC"/>
    <w:rsid w:val="35255684"/>
    <w:rsid w:val="36C84DA1"/>
    <w:rsid w:val="36CB4631"/>
    <w:rsid w:val="371C38A7"/>
    <w:rsid w:val="37313B1B"/>
    <w:rsid w:val="382817CA"/>
    <w:rsid w:val="39B369AA"/>
    <w:rsid w:val="39BE7756"/>
    <w:rsid w:val="3BAE2922"/>
    <w:rsid w:val="3BFD221A"/>
    <w:rsid w:val="3D940F14"/>
    <w:rsid w:val="3E7F5DFD"/>
    <w:rsid w:val="3EE07084"/>
    <w:rsid w:val="3F855562"/>
    <w:rsid w:val="403501D5"/>
    <w:rsid w:val="404D4A58"/>
    <w:rsid w:val="41134638"/>
    <w:rsid w:val="41161642"/>
    <w:rsid w:val="414F2C34"/>
    <w:rsid w:val="4174188C"/>
    <w:rsid w:val="423A79FD"/>
    <w:rsid w:val="43F65824"/>
    <w:rsid w:val="445A0ACB"/>
    <w:rsid w:val="454C73D3"/>
    <w:rsid w:val="46495D4E"/>
    <w:rsid w:val="47003A2D"/>
    <w:rsid w:val="49914916"/>
    <w:rsid w:val="49B165E7"/>
    <w:rsid w:val="4A291449"/>
    <w:rsid w:val="4A850390"/>
    <w:rsid w:val="4B3317B5"/>
    <w:rsid w:val="4BBE5256"/>
    <w:rsid w:val="4CB174CC"/>
    <w:rsid w:val="4DA64445"/>
    <w:rsid w:val="50E41A3B"/>
    <w:rsid w:val="526A0757"/>
    <w:rsid w:val="54043ADA"/>
    <w:rsid w:val="5A414152"/>
    <w:rsid w:val="5C871CA0"/>
    <w:rsid w:val="62E915DC"/>
    <w:rsid w:val="65D9682D"/>
    <w:rsid w:val="66DE6E75"/>
    <w:rsid w:val="68DD38C7"/>
    <w:rsid w:val="69447204"/>
    <w:rsid w:val="6C233BA8"/>
    <w:rsid w:val="6D627650"/>
    <w:rsid w:val="6E4B0A38"/>
    <w:rsid w:val="6EF20DBC"/>
    <w:rsid w:val="6F247388"/>
    <w:rsid w:val="6F3A3741"/>
    <w:rsid w:val="703E0C38"/>
    <w:rsid w:val="70B34EA5"/>
    <w:rsid w:val="70EF7491"/>
    <w:rsid w:val="71847BE3"/>
    <w:rsid w:val="74994986"/>
    <w:rsid w:val="754C7937"/>
    <w:rsid w:val="76111EBF"/>
    <w:rsid w:val="77C55280"/>
    <w:rsid w:val="77F02174"/>
    <w:rsid w:val="791A5408"/>
    <w:rsid w:val="7A777060"/>
    <w:rsid w:val="7B407452"/>
    <w:rsid w:val="7D901BD7"/>
    <w:rsid w:val="7E14311B"/>
    <w:rsid w:val="7F581257"/>
    <w:rsid w:val="7FBA0418"/>
    <w:rsid w:val="7FE50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4"/>
      <w:szCs w:val="24"/>
      <w:lang w:val="en-US" w:eastAsia="uk-UA"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39"/>
    <w:pPr>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99"/>
    <w:pPr>
      <w:spacing w:before="120"/>
      <w:ind w:firstLine="560"/>
    </w:pPr>
    <w:rPr>
      <w:rFonts w:eastAsia="方正仿宋_GBK"/>
      <w:color w:val="000000"/>
      <w:sz w:val="28"/>
    </w:rPr>
  </w:style>
  <w:style w:type="paragraph" w:styleId="7">
    <w:name w:val="Normal (Web)"/>
    <w:basedOn w:val="1"/>
    <w:unhideWhenUsed/>
    <w:qFormat/>
    <w:uiPriority w:val="99"/>
    <w:pPr>
      <w:jc w:val="left"/>
    </w:pPr>
    <w:rPr>
      <w:kern w:val="0"/>
      <w:sz w:val="24"/>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22"/>
    <w:rPr>
      <w:b/>
    </w:rPr>
  </w:style>
  <w:style w:type="character" w:styleId="12">
    <w:name w:val="page number"/>
    <w:basedOn w:val="10"/>
    <w:unhideWhenUsed/>
    <w:qFormat/>
    <w:uiPriority w:val="99"/>
  </w:style>
  <w:style w:type="character" w:customStyle="1" w:styleId="13">
    <w:name w:val="font31"/>
    <w:basedOn w:val="10"/>
    <w:qFormat/>
    <w:uiPriority w:val="0"/>
    <w:rPr>
      <w:rFonts w:hint="default" w:ascii="Calibri" w:hAnsi="Calibri" w:cs="Calibri"/>
      <w:color w:val="000000"/>
      <w:sz w:val="22"/>
      <w:szCs w:val="22"/>
      <w:u w:val="none"/>
    </w:rPr>
  </w:style>
  <w:style w:type="character" w:customStyle="1" w:styleId="14">
    <w:name w:val="font11"/>
    <w:basedOn w:val="10"/>
    <w:qFormat/>
    <w:uiPriority w:val="0"/>
    <w:rPr>
      <w:rFonts w:hint="eastAsia" w:ascii="宋体" w:hAnsi="宋体" w:eastAsia="宋体" w:cs="宋体"/>
      <w:color w:val="000000"/>
      <w:sz w:val="22"/>
      <w:szCs w:val="22"/>
      <w:u w:val="none"/>
    </w:rPr>
  </w:style>
  <w:style w:type="paragraph" w:customStyle="1" w:styleId="15">
    <w:name w:val="单元格样式5"/>
    <w:basedOn w:val="1"/>
    <w:qFormat/>
    <w:uiPriority w:val="0"/>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2"/>
    <w:basedOn w:val="1"/>
    <w:qFormat/>
    <w:uiPriority w:val="0"/>
    <w:rPr>
      <w:rFonts w:ascii="方正书宋_GBK" w:hAnsi="方正书宋_GBK" w:eastAsia="方正书宋_GBK" w:cs="方正书宋_GBK"/>
      <w:sz w:val="21"/>
    </w:rPr>
  </w:style>
  <w:style w:type="paragraph" w:customStyle="1" w:styleId="19">
    <w:name w:val="单元格样式3"/>
    <w:basedOn w:val="1"/>
    <w:qFormat/>
    <w:uiPriority w:val="0"/>
    <w:pPr>
      <w:jc w:val="center"/>
    </w:pPr>
    <w:rPr>
      <w:rFonts w:ascii="方正书宋_GBK" w:hAnsi="方正书宋_GBK" w:eastAsia="方正书宋_GBK" w:cs="方正书宋_GBK"/>
      <w:sz w:val="21"/>
    </w:rPr>
  </w:style>
  <w:style w:type="paragraph" w:customStyle="1" w:styleId="20">
    <w:name w:val="单元格样式20"/>
    <w:basedOn w:val="1"/>
    <w:qFormat/>
    <w:uiPriority w:val="0"/>
    <w:rPr>
      <w:rFonts w:ascii="方正小标宋_GBK" w:hAnsi="方正小标宋_GBK" w:eastAsia="方正小标宋_GBK" w:cs="方正小标宋_GBK"/>
    </w:rPr>
  </w:style>
  <w:style w:type="paragraph" w:customStyle="1" w:styleId="21">
    <w:name w:val="单元格样式23"/>
    <w:basedOn w:val="1"/>
    <w:qFormat/>
    <w:uiPriority w:val="0"/>
    <w:pPr>
      <w:jc w:val="right"/>
    </w:pPr>
    <w:rPr>
      <w:rFonts w:ascii="方正书宋_GBK" w:hAnsi="方正书宋_GBK" w:eastAsia="方正书宋_GBK" w:cs="方正书宋_GBK"/>
    </w:rPr>
  </w:style>
  <w:style w:type="paragraph" w:customStyle="1" w:styleId="22">
    <w:name w:val="单元格样式6"/>
    <w:basedOn w:val="1"/>
    <w:qFormat/>
    <w:uiPriority w:val="0"/>
    <w:pPr>
      <w:jc w:val="center"/>
    </w:pPr>
    <w:rPr>
      <w:rFonts w:ascii="方正书宋_GBK" w:hAnsi="方正书宋_GBK" w:eastAsia="方正书宋_GBK" w:cs="方正书宋_GBK"/>
      <w:b/>
      <w:sz w:val="21"/>
    </w:rPr>
  </w:style>
  <w:style w:type="paragraph" w:customStyle="1" w:styleId="23">
    <w:name w:val="单元格样式7"/>
    <w:basedOn w:val="1"/>
    <w:qFormat/>
    <w:uiPriority w:val="0"/>
    <w:pPr>
      <w:jc w:val="right"/>
    </w:pPr>
    <w:rPr>
      <w:rFonts w:ascii="方正书宋_GBK" w:hAnsi="方正书宋_GBK" w:eastAsia="方正书宋_GBK" w:cs="方正书宋_GBK"/>
      <w:b/>
      <w:sz w:val="21"/>
    </w:rPr>
  </w:style>
  <w:style w:type="paragraph" w:customStyle="1" w:styleId="24">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8416</Words>
  <Characters>9552</Characters>
  <Lines>0</Lines>
  <Paragraphs>0</Paragraphs>
  <TotalTime>24</TotalTime>
  <ScaleCrop>false</ScaleCrop>
  <LinksUpToDate>false</LinksUpToDate>
  <CharactersWithSpaces>9748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2022-06-16T03:23:00Z</dcterms:created>
  <dc:creator>acer</dc:creator>
  <cp:lastModifiedBy>Administrator</cp:lastModifiedBy>
  <dcterms:modified xsi:type="dcterms:W3CDTF">2025-02-06T01:19:32Z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5405CC54EBE44889A6C3EC2029D37FCE</vt:lpwstr>
  </property>
</Properties>
</file>