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7AA99">
      <w:pPr>
        <w:jc w:val="center"/>
        <w:rPr>
          <w:rFonts w:ascii="宋体"/>
          <w:b/>
          <w:sz w:val="44"/>
          <w:szCs w:val="44"/>
        </w:rPr>
      </w:pPr>
      <w:bookmarkStart w:id="2" w:name="_GoBack"/>
      <w:bookmarkEnd w:id="2"/>
      <w:r>
        <w:rPr>
          <w:rFonts w:hint="eastAsia" w:ascii="宋体" w:hAnsi="宋体"/>
          <w:b/>
          <w:sz w:val="44"/>
          <w:szCs w:val="44"/>
        </w:rPr>
        <w:t>涞水县永阳镇人民政府</w:t>
      </w:r>
    </w:p>
    <w:p w14:paraId="10A52329">
      <w:pPr>
        <w:jc w:val="center"/>
        <w:rPr>
          <w:rFonts w:ascii="宋体"/>
          <w:b/>
          <w:sz w:val="44"/>
          <w:szCs w:val="44"/>
        </w:rPr>
      </w:pPr>
      <w:r>
        <w:rPr>
          <w:rFonts w:ascii="宋体" w:hAnsi="宋体"/>
          <w:b/>
          <w:sz w:val="44"/>
          <w:szCs w:val="44"/>
        </w:rPr>
        <w:t>2017</w:t>
      </w:r>
      <w:r>
        <w:rPr>
          <w:rFonts w:hint="eastAsia" w:ascii="宋体" w:hAnsi="宋体"/>
          <w:b/>
          <w:sz w:val="44"/>
          <w:szCs w:val="44"/>
        </w:rPr>
        <w:t>年预算公开有关事项的说明</w:t>
      </w:r>
    </w:p>
    <w:p w14:paraId="4883490E">
      <w:pPr>
        <w:jc w:val="center"/>
        <w:rPr>
          <w:rFonts w:ascii="宋体"/>
          <w:sz w:val="28"/>
          <w:szCs w:val="28"/>
        </w:rPr>
      </w:pPr>
    </w:p>
    <w:p w14:paraId="7885EE48">
      <w:pPr>
        <w:rPr>
          <w:rFonts w:ascii="宋体"/>
          <w:b/>
          <w:bCs/>
          <w:sz w:val="28"/>
          <w:szCs w:val="28"/>
        </w:rPr>
      </w:pPr>
      <w:r>
        <w:rPr>
          <w:rFonts w:hint="eastAsia" w:ascii="宋体" w:hAnsi="宋体"/>
          <w:b/>
          <w:bCs/>
          <w:sz w:val="28"/>
          <w:szCs w:val="28"/>
        </w:rPr>
        <w:t>一、部门职责及机构设置情况</w:t>
      </w:r>
    </w:p>
    <w:p w14:paraId="6281A495">
      <w:pPr>
        <w:rPr>
          <w:rFonts w:ascii="宋体"/>
          <w:sz w:val="28"/>
          <w:szCs w:val="28"/>
        </w:rPr>
      </w:pPr>
      <w:r>
        <w:rPr>
          <w:rFonts w:ascii="宋体" w:hAnsi="宋体"/>
          <w:sz w:val="28"/>
          <w:szCs w:val="28"/>
        </w:rPr>
        <w:t xml:space="preserve">    </w:t>
      </w:r>
      <w:r>
        <w:rPr>
          <w:rFonts w:hint="eastAsia" w:ascii="宋体" w:hAnsi="宋体"/>
          <w:sz w:val="28"/>
          <w:szCs w:val="28"/>
        </w:rPr>
        <w:t>我单位行政编制</w:t>
      </w:r>
      <w:r>
        <w:rPr>
          <w:rFonts w:ascii="宋体" w:hAnsi="宋体"/>
          <w:sz w:val="28"/>
          <w:szCs w:val="28"/>
        </w:rPr>
        <w:t>24</w:t>
      </w:r>
      <w:r>
        <w:rPr>
          <w:rFonts w:hint="eastAsia" w:ascii="宋体" w:hAnsi="宋体"/>
          <w:sz w:val="28"/>
          <w:szCs w:val="28"/>
        </w:rPr>
        <w:t>人，事业编制</w:t>
      </w:r>
      <w:r>
        <w:rPr>
          <w:rFonts w:ascii="宋体" w:hAnsi="宋体"/>
          <w:sz w:val="28"/>
          <w:szCs w:val="28"/>
        </w:rPr>
        <w:t>2</w:t>
      </w:r>
      <w:r>
        <w:rPr>
          <w:rFonts w:hint="eastAsia" w:ascii="宋体" w:hAnsi="宋体"/>
          <w:sz w:val="28"/>
          <w:szCs w:val="28"/>
        </w:rPr>
        <w:t>人。实有在职人员</w:t>
      </w:r>
      <w:r>
        <w:rPr>
          <w:rFonts w:ascii="宋体" w:hAnsi="宋体"/>
          <w:sz w:val="28"/>
          <w:szCs w:val="28"/>
        </w:rPr>
        <w:t>22</w:t>
      </w:r>
      <w:r>
        <w:rPr>
          <w:rFonts w:hint="eastAsia" w:ascii="宋体" w:hAnsi="宋体"/>
          <w:sz w:val="28"/>
          <w:szCs w:val="28"/>
        </w:rPr>
        <w:t>人，退休人员</w:t>
      </w:r>
      <w:r>
        <w:rPr>
          <w:rFonts w:ascii="宋体" w:hAnsi="宋体"/>
          <w:sz w:val="28"/>
          <w:szCs w:val="28"/>
        </w:rPr>
        <w:t>12</w:t>
      </w:r>
      <w:r>
        <w:rPr>
          <w:rFonts w:hint="eastAsia" w:ascii="宋体" w:hAnsi="宋体"/>
          <w:sz w:val="28"/>
          <w:szCs w:val="28"/>
        </w:rPr>
        <w:t>人。</w:t>
      </w:r>
    </w:p>
    <w:p w14:paraId="18AC7C35">
      <w:pPr>
        <w:rPr>
          <w:rFonts w:hint="eastAsia" w:asciiTheme="minorEastAsia" w:hAnsiTheme="minorEastAsia" w:eastAsiaTheme="minorEastAsia" w:cstheme="minorEastAsia"/>
          <w:w w:val="80"/>
          <w:sz w:val="28"/>
          <w:szCs w:val="28"/>
        </w:rPr>
      </w:pPr>
      <w:r>
        <w:rPr>
          <w:rFonts w:ascii="宋体" w:hAnsi="宋体"/>
          <w:sz w:val="28"/>
          <w:szCs w:val="28"/>
        </w:rPr>
        <w:t xml:space="preserve">   </w:t>
      </w:r>
      <w:r>
        <w:rPr>
          <w:rFonts w:ascii="仿宋" w:hAnsi="仿宋" w:eastAsia="仿宋" w:cs="仿宋"/>
          <w:w w:val="80"/>
          <w:sz w:val="32"/>
          <w:szCs w:val="32"/>
        </w:rPr>
        <w:t xml:space="preserve">  </w:t>
      </w:r>
      <w:r>
        <w:rPr>
          <w:rFonts w:hint="eastAsia" w:asciiTheme="minorEastAsia" w:hAnsiTheme="minorEastAsia" w:eastAsiaTheme="minorEastAsia" w:cstheme="minorEastAsia"/>
          <w:w w:val="80"/>
          <w:sz w:val="28"/>
          <w:szCs w:val="28"/>
          <w:lang w:eastAsia="zh-CN"/>
        </w:rPr>
        <w:t>永阳</w:t>
      </w:r>
      <w:r>
        <w:rPr>
          <w:rFonts w:hint="eastAsia" w:asciiTheme="minorEastAsia" w:hAnsiTheme="minorEastAsia" w:eastAsiaTheme="minorEastAsia" w:cstheme="minorEastAsia"/>
          <w:w w:val="80"/>
          <w:sz w:val="28"/>
          <w:szCs w:val="28"/>
        </w:rPr>
        <w:t>镇人民政府部门职责如下：</w:t>
      </w:r>
    </w:p>
    <w:p w14:paraId="1A1FE208">
      <w:pPr>
        <w:widowControl/>
        <w:shd w:val="clear" w:color="auto" w:fill="FFFFFF"/>
        <w:spacing w:line="560" w:lineRule="atLeast"/>
        <w:ind w:firstLine="448" w:firstLineChars="200"/>
        <w:jc w:val="left"/>
        <w:rPr>
          <w:rFonts w:ascii="宋体" w:cs="宋体"/>
          <w:color w:val="000000"/>
          <w:kern w:val="0"/>
          <w:sz w:val="28"/>
          <w:szCs w:val="28"/>
        </w:rPr>
      </w:pPr>
      <w:r>
        <w:rPr>
          <w:rFonts w:hint="eastAsia" w:asciiTheme="minorEastAsia" w:hAnsiTheme="minorEastAsia" w:eastAsiaTheme="minorEastAsia" w:cstheme="minorEastAsia"/>
          <w:color w:val="000000"/>
          <w:w w:val="80"/>
          <w:kern w:val="0"/>
          <w:sz w:val="28"/>
          <w:szCs w:val="28"/>
        </w:rPr>
        <w:t>1，执行党的各项方针政策，制定本地经济和社会发展规划，并逐一落实；2，抓好项目落实，疏通融资渠道；3，做好信息的上报下达，完成上级交派的各项任务；   4，处理人民群众来信、来访； 5，保证乡镇稳定工作进行，做好对重点人员的监控  工作，防止其违法犯罪</w:t>
      </w:r>
      <w:r>
        <w:rPr>
          <w:rFonts w:hint="eastAsia" w:asciiTheme="minorEastAsia" w:hAnsiTheme="minorEastAsia" w:eastAsiaTheme="minorEastAsia" w:cstheme="minorEastAsia"/>
          <w:color w:val="000000"/>
          <w:w w:val="80"/>
          <w:kern w:val="0"/>
          <w:sz w:val="28"/>
          <w:szCs w:val="28"/>
        </w:rPr>
        <w:br w:type="textWrapping"/>
      </w:r>
    </w:p>
    <w:p w14:paraId="5F146DA1">
      <w:pPr>
        <w:widowControl/>
        <w:shd w:val="clear" w:color="auto" w:fill="FFFFFF"/>
        <w:spacing w:line="560" w:lineRule="atLeast"/>
        <w:ind w:firstLine="560" w:firstLineChars="200"/>
        <w:jc w:val="left"/>
        <w:rPr>
          <w:rFonts w:ascii="宋体" w:cs="宋体"/>
          <w:color w:val="000000"/>
          <w:kern w:val="0"/>
          <w:sz w:val="28"/>
          <w:szCs w:val="28"/>
        </w:rPr>
      </w:pPr>
      <w:r>
        <w:rPr>
          <w:rFonts w:hint="eastAsia" w:ascii="宋体" w:hAnsi="宋体" w:cs="宋体"/>
          <w:color w:val="000000"/>
          <w:kern w:val="0"/>
          <w:sz w:val="28"/>
          <w:szCs w:val="28"/>
        </w:rPr>
        <w:t>机构设置</w:t>
      </w:r>
    </w:p>
    <w:tbl>
      <w:tblPr>
        <w:tblStyle w:val="6"/>
        <w:tblW w:w="9796" w:type="dxa"/>
        <w:tblInd w:w="93" w:type="dxa"/>
        <w:tblLayout w:type="fixed"/>
        <w:tblCellMar>
          <w:top w:w="0" w:type="dxa"/>
          <w:left w:w="108" w:type="dxa"/>
          <w:bottom w:w="0" w:type="dxa"/>
          <w:right w:w="108" w:type="dxa"/>
        </w:tblCellMar>
      </w:tblPr>
      <w:tblGrid>
        <w:gridCol w:w="1080"/>
        <w:gridCol w:w="2320"/>
        <w:gridCol w:w="2120"/>
        <w:gridCol w:w="1900"/>
        <w:gridCol w:w="2376"/>
      </w:tblGrid>
      <w:tr w14:paraId="3C86ADD0">
        <w:tblPrEx>
          <w:tblCellMar>
            <w:top w:w="0" w:type="dxa"/>
            <w:left w:w="108" w:type="dxa"/>
            <w:bottom w:w="0" w:type="dxa"/>
            <w:right w:w="108" w:type="dxa"/>
          </w:tblCellMar>
        </w:tblPrEx>
        <w:trPr>
          <w:trHeight w:val="810" w:hRule="atLeast"/>
        </w:trPr>
        <w:tc>
          <w:tcPr>
            <w:tcW w:w="9796" w:type="dxa"/>
            <w:gridSpan w:val="5"/>
            <w:tcBorders>
              <w:top w:val="nil"/>
              <w:left w:val="nil"/>
              <w:bottom w:val="single" w:color="auto" w:sz="4" w:space="0"/>
              <w:right w:val="nil"/>
            </w:tcBorders>
            <w:vAlign w:val="center"/>
          </w:tcPr>
          <w:p w14:paraId="53B5DDA8">
            <w:pPr>
              <w:widowControl/>
              <w:jc w:val="center"/>
              <w:rPr>
                <w:rFonts w:ascii="宋体" w:cs="宋体"/>
                <w:color w:val="000000"/>
                <w:kern w:val="0"/>
                <w:sz w:val="28"/>
                <w:szCs w:val="28"/>
              </w:rPr>
            </w:pPr>
            <w:r>
              <w:rPr>
                <w:rFonts w:hint="eastAsia" w:ascii="宋体" w:hAnsi="宋体" w:cs="宋体"/>
                <w:color w:val="000000"/>
                <w:kern w:val="0"/>
                <w:sz w:val="28"/>
                <w:szCs w:val="28"/>
              </w:rPr>
              <w:t>部门机构设置情况</w:t>
            </w:r>
          </w:p>
        </w:tc>
      </w:tr>
      <w:tr w14:paraId="2D2EBC44">
        <w:tblPrEx>
          <w:tblCellMar>
            <w:top w:w="0" w:type="dxa"/>
            <w:left w:w="108" w:type="dxa"/>
            <w:bottom w:w="0" w:type="dxa"/>
            <w:right w:w="108" w:type="dxa"/>
          </w:tblCellMar>
        </w:tblPrEx>
        <w:trPr>
          <w:trHeight w:val="720" w:hRule="atLeast"/>
        </w:trPr>
        <w:tc>
          <w:tcPr>
            <w:tcW w:w="1080" w:type="dxa"/>
            <w:vMerge w:val="restart"/>
            <w:tcBorders>
              <w:top w:val="nil"/>
              <w:left w:val="single" w:color="auto" w:sz="4" w:space="0"/>
              <w:bottom w:val="single" w:color="000000" w:sz="4" w:space="0"/>
              <w:right w:val="single" w:color="auto" w:sz="4" w:space="0"/>
            </w:tcBorders>
            <w:vAlign w:val="center"/>
          </w:tcPr>
          <w:p w14:paraId="4F9EC210">
            <w:pPr>
              <w:widowControl/>
              <w:jc w:val="center"/>
              <w:rPr>
                <w:rFonts w:ascii="宋体" w:cs="宋体"/>
                <w:color w:val="000000"/>
                <w:kern w:val="0"/>
                <w:sz w:val="28"/>
                <w:szCs w:val="28"/>
              </w:rPr>
            </w:pPr>
            <w:r>
              <w:rPr>
                <w:rFonts w:hint="eastAsia" w:ascii="宋体" w:hAnsi="宋体" w:cs="宋体"/>
                <w:color w:val="000000"/>
                <w:kern w:val="0"/>
                <w:sz w:val="28"/>
                <w:szCs w:val="28"/>
              </w:rPr>
              <w:t>序号</w:t>
            </w:r>
          </w:p>
        </w:tc>
        <w:tc>
          <w:tcPr>
            <w:tcW w:w="2320" w:type="dxa"/>
            <w:vMerge w:val="restart"/>
            <w:tcBorders>
              <w:top w:val="nil"/>
              <w:left w:val="single" w:color="auto" w:sz="4" w:space="0"/>
              <w:bottom w:val="single" w:color="000000" w:sz="4" w:space="0"/>
              <w:right w:val="single" w:color="auto" w:sz="4" w:space="0"/>
            </w:tcBorders>
            <w:vAlign w:val="center"/>
          </w:tcPr>
          <w:p w14:paraId="02FB9042">
            <w:pPr>
              <w:widowControl/>
              <w:jc w:val="center"/>
              <w:rPr>
                <w:rFonts w:ascii="宋体" w:cs="宋体"/>
                <w:color w:val="000000"/>
                <w:kern w:val="0"/>
                <w:sz w:val="28"/>
                <w:szCs w:val="28"/>
              </w:rPr>
            </w:pPr>
            <w:r>
              <w:rPr>
                <w:rFonts w:hint="eastAsia" w:ascii="宋体" w:hAnsi="宋体" w:cs="宋体"/>
                <w:color w:val="000000"/>
                <w:kern w:val="0"/>
                <w:sz w:val="28"/>
                <w:szCs w:val="28"/>
              </w:rPr>
              <w:t>单位名称</w:t>
            </w:r>
          </w:p>
        </w:tc>
        <w:tc>
          <w:tcPr>
            <w:tcW w:w="2120" w:type="dxa"/>
            <w:vMerge w:val="restart"/>
            <w:tcBorders>
              <w:top w:val="nil"/>
              <w:left w:val="single" w:color="auto" w:sz="4" w:space="0"/>
              <w:bottom w:val="single" w:color="000000" w:sz="4" w:space="0"/>
              <w:right w:val="single" w:color="auto" w:sz="4" w:space="0"/>
            </w:tcBorders>
            <w:vAlign w:val="center"/>
          </w:tcPr>
          <w:p w14:paraId="1F1BE74E">
            <w:pPr>
              <w:widowControl/>
              <w:jc w:val="center"/>
              <w:rPr>
                <w:rFonts w:ascii="宋体" w:cs="宋体"/>
                <w:color w:val="000000"/>
                <w:kern w:val="0"/>
                <w:sz w:val="28"/>
                <w:szCs w:val="28"/>
              </w:rPr>
            </w:pPr>
            <w:r>
              <w:rPr>
                <w:rFonts w:hint="eastAsia" w:ascii="宋体" w:hAnsi="宋体" w:cs="宋体"/>
                <w:color w:val="000000"/>
                <w:kern w:val="0"/>
                <w:sz w:val="28"/>
                <w:szCs w:val="28"/>
              </w:rPr>
              <w:t>单位性质</w:t>
            </w:r>
          </w:p>
        </w:tc>
        <w:tc>
          <w:tcPr>
            <w:tcW w:w="1900" w:type="dxa"/>
            <w:vMerge w:val="restart"/>
            <w:tcBorders>
              <w:top w:val="nil"/>
              <w:left w:val="single" w:color="auto" w:sz="4" w:space="0"/>
              <w:bottom w:val="single" w:color="000000" w:sz="4" w:space="0"/>
              <w:right w:val="single" w:color="auto" w:sz="4" w:space="0"/>
            </w:tcBorders>
            <w:vAlign w:val="center"/>
          </w:tcPr>
          <w:p w14:paraId="00ADE420">
            <w:pPr>
              <w:widowControl/>
              <w:jc w:val="center"/>
              <w:rPr>
                <w:rFonts w:ascii="宋体" w:cs="宋体"/>
                <w:color w:val="000000"/>
                <w:kern w:val="0"/>
                <w:sz w:val="28"/>
                <w:szCs w:val="28"/>
              </w:rPr>
            </w:pPr>
            <w:r>
              <w:rPr>
                <w:rFonts w:hint="eastAsia" w:ascii="宋体" w:hAnsi="宋体" w:cs="宋体"/>
                <w:color w:val="000000"/>
                <w:kern w:val="0"/>
                <w:sz w:val="28"/>
                <w:szCs w:val="28"/>
              </w:rPr>
              <w:t>单位规格</w:t>
            </w:r>
          </w:p>
        </w:tc>
        <w:tc>
          <w:tcPr>
            <w:tcW w:w="2376" w:type="dxa"/>
            <w:vMerge w:val="restart"/>
            <w:tcBorders>
              <w:top w:val="nil"/>
              <w:left w:val="single" w:color="auto" w:sz="4" w:space="0"/>
              <w:bottom w:val="single" w:color="000000" w:sz="4" w:space="0"/>
              <w:right w:val="single" w:color="auto" w:sz="4" w:space="0"/>
            </w:tcBorders>
            <w:vAlign w:val="center"/>
          </w:tcPr>
          <w:p w14:paraId="49FB13C4">
            <w:pPr>
              <w:widowControl/>
              <w:jc w:val="center"/>
              <w:rPr>
                <w:rFonts w:ascii="宋体" w:cs="宋体"/>
                <w:color w:val="000000"/>
                <w:kern w:val="0"/>
                <w:sz w:val="28"/>
                <w:szCs w:val="28"/>
              </w:rPr>
            </w:pPr>
            <w:r>
              <w:rPr>
                <w:rFonts w:hint="eastAsia" w:ascii="宋体" w:hAnsi="宋体" w:cs="宋体"/>
                <w:color w:val="000000"/>
                <w:kern w:val="0"/>
                <w:sz w:val="28"/>
                <w:szCs w:val="28"/>
              </w:rPr>
              <w:t>经费保障形式</w:t>
            </w:r>
          </w:p>
        </w:tc>
      </w:tr>
      <w:tr w14:paraId="4AC2D338">
        <w:tblPrEx>
          <w:tblCellMar>
            <w:top w:w="0" w:type="dxa"/>
            <w:left w:w="108" w:type="dxa"/>
            <w:bottom w:w="0" w:type="dxa"/>
            <w:right w:w="108" w:type="dxa"/>
          </w:tblCellMar>
        </w:tblPrEx>
        <w:trPr>
          <w:trHeight w:val="624" w:hRule="atLeast"/>
        </w:trPr>
        <w:tc>
          <w:tcPr>
            <w:tcW w:w="1080" w:type="dxa"/>
            <w:vMerge w:val="continue"/>
            <w:tcBorders>
              <w:top w:val="nil"/>
              <w:left w:val="single" w:color="auto" w:sz="4" w:space="0"/>
              <w:bottom w:val="single" w:color="000000" w:sz="4" w:space="0"/>
              <w:right w:val="single" w:color="auto" w:sz="4" w:space="0"/>
            </w:tcBorders>
            <w:vAlign w:val="center"/>
          </w:tcPr>
          <w:p w14:paraId="540B3978">
            <w:pPr>
              <w:widowControl/>
              <w:jc w:val="left"/>
              <w:rPr>
                <w:rFonts w:ascii="宋体" w:cs="宋体"/>
                <w:color w:val="000000"/>
                <w:kern w:val="0"/>
                <w:sz w:val="28"/>
                <w:szCs w:val="28"/>
              </w:rPr>
            </w:pPr>
          </w:p>
        </w:tc>
        <w:tc>
          <w:tcPr>
            <w:tcW w:w="2320" w:type="dxa"/>
            <w:vMerge w:val="continue"/>
            <w:tcBorders>
              <w:top w:val="nil"/>
              <w:left w:val="single" w:color="auto" w:sz="4" w:space="0"/>
              <w:bottom w:val="single" w:color="000000" w:sz="4" w:space="0"/>
              <w:right w:val="single" w:color="auto" w:sz="4" w:space="0"/>
            </w:tcBorders>
            <w:vAlign w:val="center"/>
          </w:tcPr>
          <w:p w14:paraId="71B68E3B">
            <w:pPr>
              <w:widowControl/>
              <w:jc w:val="left"/>
              <w:rPr>
                <w:rFonts w:ascii="宋体" w:cs="宋体"/>
                <w:color w:val="000000"/>
                <w:kern w:val="0"/>
                <w:sz w:val="28"/>
                <w:szCs w:val="28"/>
              </w:rPr>
            </w:pPr>
          </w:p>
        </w:tc>
        <w:tc>
          <w:tcPr>
            <w:tcW w:w="2120" w:type="dxa"/>
            <w:vMerge w:val="continue"/>
            <w:tcBorders>
              <w:top w:val="nil"/>
              <w:left w:val="single" w:color="auto" w:sz="4" w:space="0"/>
              <w:bottom w:val="single" w:color="000000" w:sz="4" w:space="0"/>
              <w:right w:val="single" w:color="auto" w:sz="4" w:space="0"/>
            </w:tcBorders>
            <w:vAlign w:val="center"/>
          </w:tcPr>
          <w:p w14:paraId="7B2EC02B">
            <w:pPr>
              <w:widowControl/>
              <w:jc w:val="left"/>
              <w:rPr>
                <w:rFonts w:ascii="宋体" w:cs="宋体"/>
                <w:color w:val="000000"/>
                <w:kern w:val="0"/>
                <w:sz w:val="28"/>
                <w:szCs w:val="28"/>
              </w:rPr>
            </w:pPr>
          </w:p>
        </w:tc>
        <w:tc>
          <w:tcPr>
            <w:tcW w:w="1900" w:type="dxa"/>
            <w:vMerge w:val="continue"/>
            <w:tcBorders>
              <w:top w:val="nil"/>
              <w:left w:val="single" w:color="auto" w:sz="4" w:space="0"/>
              <w:bottom w:val="single" w:color="000000" w:sz="4" w:space="0"/>
              <w:right w:val="single" w:color="auto" w:sz="4" w:space="0"/>
            </w:tcBorders>
            <w:vAlign w:val="center"/>
          </w:tcPr>
          <w:p w14:paraId="5A804ED2">
            <w:pPr>
              <w:widowControl/>
              <w:jc w:val="left"/>
              <w:rPr>
                <w:rFonts w:ascii="宋体" w:cs="宋体"/>
                <w:color w:val="000000"/>
                <w:kern w:val="0"/>
                <w:sz w:val="28"/>
                <w:szCs w:val="28"/>
              </w:rPr>
            </w:pPr>
          </w:p>
        </w:tc>
        <w:tc>
          <w:tcPr>
            <w:tcW w:w="2376" w:type="dxa"/>
            <w:vMerge w:val="continue"/>
            <w:tcBorders>
              <w:top w:val="nil"/>
              <w:left w:val="single" w:color="auto" w:sz="4" w:space="0"/>
              <w:bottom w:val="single" w:color="000000" w:sz="4" w:space="0"/>
              <w:right w:val="single" w:color="auto" w:sz="4" w:space="0"/>
            </w:tcBorders>
            <w:vAlign w:val="center"/>
          </w:tcPr>
          <w:p w14:paraId="4FCC8CCA">
            <w:pPr>
              <w:widowControl/>
              <w:jc w:val="left"/>
              <w:rPr>
                <w:rFonts w:ascii="宋体" w:cs="宋体"/>
                <w:color w:val="000000"/>
                <w:kern w:val="0"/>
                <w:sz w:val="28"/>
                <w:szCs w:val="28"/>
              </w:rPr>
            </w:pPr>
          </w:p>
        </w:tc>
      </w:tr>
      <w:tr w14:paraId="5274F131">
        <w:tblPrEx>
          <w:tblCellMar>
            <w:top w:w="0" w:type="dxa"/>
            <w:left w:w="108" w:type="dxa"/>
            <w:bottom w:w="0" w:type="dxa"/>
            <w:right w:w="108" w:type="dxa"/>
          </w:tblCellMar>
        </w:tblPrEx>
        <w:trPr>
          <w:trHeight w:val="720" w:hRule="atLeast"/>
        </w:trPr>
        <w:tc>
          <w:tcPr>
            <w:tcW w:w="1080" w:type="dxa"/>
            <w:tcBorders>
              <w:top w:val="nil"/>
              <w:left w:val="single" w:color="auto" w:sz="4" w:space="0"/>
              <w:bottom w:val="single" w:color="auto" w:sz="4" w:space="0"/>
              <w:right w:val="single" w:color="auto" w:sz="4" w:space="0"/>
            </w:tcBorders>
            <w:vAlign w:val="center"/>
          </w:tcPr>
          <w:p w14:paraId="6FC06001">
            <w:pPr>
              <w:widowControl/>
              <w:jc w:val="center"/>
              <w:rPr>
                <w:rFonts w:ascii="宋体" w:hAnsi="宋体" w:cs="宋体"/>
                <w:color w:val="000000"/>
                <w:kern w:val="0"/>
                <w:sz w:val="28"/>
                <w:szCs w:val="28"/>
              </w:rPr>
            </w:pPr>
            <w:r>
              <w:rPr>
                <w:rFonts w:ascii="宋体" w:hAnsi="宋体" w:cs="宋体"/>
                <w:color w:val="000000"/>
                <w:kern w:val="0"/>
                <w:sz w:val="28"/>
                <w:szCs w:val="28"/>
              </w:rPr>
              <w:t>1</w:t>
            </w:r>
          </w:p>
        </w:tc>
        <w:tc>
          <w:tcPr>
            <w:tcW w:w="2320" w:type="dxa"/>
            <w:tcBorders>
              <w:top w:val="nil"/>
              <w:left w:val="nil"/>
              <w:bottom w:val="single" w:color="auto" w:sz="4" w:space="0"/>
              <w:right w:val="single" w:color="auto" w:sz="4" w:space="0"/>
            </w:tcBorders>
            <w:vAlign w:val="center"/>
          </w:tcPr>
          <w:p w14:paraId="5BB0999B">
            <w:pPr>
              <w:widowControl/>
              <w:jc w:val="center"/>
              <w:rPr>
                <w:rFonts w:ascii="宋体" w:cs="宋体"/>
                <w:color w:val="000000"/>
                <w:kern w:val="0"/>
                <w:sz w:val="28"/>
                <w:szCs w:val="28"/>
              </w:rPr>
            </w:pPr>
            <w:r>
              <w:rPr>
                <w:rFonts w:hint="eastAsia" w:ascii="宋体" w:hAnsi="宋体" w:cs="宋体"/>
                <w:color w:val="000000"/>
                <w:kern w:val="0"/>
                <w:sz w:val="28"/>
                <w:szCs w:val="28"/>
              </w:rPr>
              <w:t>涞水县永阳镇人民政府</w:t>
            </w:r>
          </w:p>
        </w:tc>
        <w:tc>
          <w:tcPr>
            <w:tcW w:w="2120" w:type="dxa"/>
            <w:tcBorders>
              <w:top w:val="nil"/>
              <w:left w:val="nil"/>
              <w:bottom w:val="single" w:color="auto" w:sz="4" w:space="0"/>
              <w:right w:val="single" w:color="auto" w:sz="4" w:space="0"/>
            </w:tcBorders>
            <w:vAlign w:val="center"/>
          </w:tcPr>
          <w:p w14:paraId="61833654">
            <w:pPr>
              <w:widowControl/>
              <w:jc w:val="center"/>
              <w:rPr>
                <w:rFonts w:ascii="宋体" w:cs="宋体"/>
                <w:color w:val="000000"/>
                <w:kern w:val="0"/>
                <w:sz w:val="28"/>
                <w:szCs w:val="28"/>
              </w:rPr>
            </w:pPr>
            <w:r>
              <w:rPr>
                <w:rFonts w:hint="eastAsia" w:ascii="宋体" w:hAnsi="宋体" w:cs="宋体"/>
                <w:color w:val="000000"/>
                <w:kern w:val="0"/>
                <w:sz w:val="28"/>
                <w:szCs w:val="28"/>
              </w:rPr>
              <w:t>行政</w:t>
            </w:r>
          </w:p>
        </w:tc>
        <w:tc>
          <w:tcPr>
            <w:tcW w:w="1900" w:type="dxa"/>
            <w:tcBorders>
              <w:top w:val="nil"/>
              <w:left w:val="nil"/>
              <w:bottom w:val="single" w:color="auto" w:sz="4" w:space="0"/>
              <w:right w:val="single" w:color="auto" w:sz="4" w:space="0"/>
            </w:tcBorders>
            <w:vAlign w:val="center"/>
          </w:tcPr>
          <w:p w14:paraId="7C1C9481">
            <w:pPr>
              <w:widowControl/>
              <w:jc w:val="center"/>
              <w:rPr>
                <w:rFonts w:ascii="宋体" w:cs="宋体"/>
                <w:color w:val="000000"/>
                <w:kern w:val="0"/>
                <w:sz w:val="28"/>
                <w:szCs w:val="28"/>
              </w:rPr>
            </w:pPr>
            <w:r>
              <w:rPr>
                <w:rFonts w:hint="eastAsia" w:ascii="宋体" w:hAnsi="宋体" w:cs="宋体"/>
                <w:color w:val="000000"/>
                <w:kern w:val="0"/>
                <w:sz w:val="28"/>
                <w:szCs w:val="28"/>
              </w:rPr>
              <w:t>正科级</w:t>
            </w:r>
          </w:p>
        </w:tc>
        <w:tc>
          <w:tcPr>
            <w:tcW w:w="2376" w:type="dxa"/>
            <w:tcBorders>
              <w:top w:val="nil"/>
              <w:left w:val="nil"/>
              <w:bottom w:val="single" w:color="auto" w:sz="4" w:space="0"/>
              <w:right w:val="single" w:color="auto" w:sz="4" w:space="0"/>
            </w:tcBorders>
            <w:vAlign w:val="center"/>
          </w:tcPr>
          <w:p w14:paraId="55946932">
            <w:pPr>
              <w:widowControl/>
              <w:jc w:val="center"/>
              <w:rPr>
                <w:rFonts w:ascii="宋体" w:cs="宋体"/>
                <w:color w:val="000000"/>
                <w:kern w:val="0"/>
                <w:sz w:val="28"/>
                <w:szCs w:val="28"/>
              </w:rPr>
            </w:pPr>
            <w:r>
              <w:rPr>
                <w:rFonts w:hint="eastAsia" w:ascii="宋体" w:hAnsi="宋体" w:cs="宋体"/>
                <w:color w:val="000000"/>
                <w:kern w:val="0"/>
                <w:sz w:val="28"/>
                <w:szCs w:val="28"/>
              </w:rPr>
              <w:t>财政拨款</w:t>
            </w:r>
          </w:p>
        </w:tc>
      </w:tr>
    </w:tbl>
    <w:p w14:paraId="2FEA30A4">
      <w:pPr>
        <w:widowControl/>
        <w:shd w:val="clear" w:color="auto" w:fill="FFFFFF"/>
        <w:spacing w:line="560" w:lineRule="atLeast"/>
        <w:jc w:val="left"/>
        <w:rPr>
          <w:rFonts w:ascii="宋体" w:cs="宋体"/>
          <w:color w:val="000000"/>
          <w:kern w:val="0"/>
          <w:sz w:val="28"/>
          <w:szCs w:val="28"/>
        </w:rPr>
      </w:pPr>
    </w:p>
    <w:p w14:paraId="6F37306A">
      <w:pPr>
        <w:numPr>
          <w:ilvl w:val="0"/>
          <w:numId w:val="1"/>
        </w:numPr>
        <w:rPr>
          <w:rFonts w:ascii="宋体"/>
          <w:b/>
          <w:bCs/>
          <w:sz w:val="28"/>
          <w:szCs w:val="28"/>
        </w:rPr>
      </w:pPr>
      <w:r>
        <w:rPr>
          <w:rFonts w:hint="eastAsia" w:ascii="宋体" w:hAnsi="宋体"/>
          <w:b/>
          <w:bCs/>
          <w:sz w:val="28"/>
          <w:szCs w:val="28"/>
        </w:rPr>
        <w:t>部门预算安排总体情况</w:t>
      </w:r>
    </w:p>
    <w:p w14:paraId="2B963B33">
      <w:pPr>
        <w:rPr>
          <w:rFonts w:hint="eastAsia" w:ascii="宋体"/>
          <w:bCs/>
          <w:sz w:val="28"/>
          <w:szCs w:val="28"/>
        </w:rPr>
      </w:pPr>
      <w:r>
        <w:rPr>
          <w:rFonts w:ascii="宋体" w:hAnsi="宋体"/>
          <w:bCs/>
          <w:sz w:val="28"/>
          <w:szCs w:val="28"/>
        </w:rPr>
        <w:t>1</w:t>
      </w:r>
      <w:r>
        <w:rPr>
          <w:rFonts w:hint="eastAsia" w:ascii="宋体" w:hAnsi="宋体"/>
          <w:bCs/>
          <w:sz w:val="28"/>
          <w:szCs w:val="28"/>
        </w:rPr>
        <w:t>、</w:t>
      </w:r>
      <w:r>
        <w:rPr>
          <w:rFonts w:ascii="宋体" w:hAnsi="宋体"/>
          <w:bCs/>
          <w:sz w:val="28"/>
          <w:szCs w:val="28"/>
        </w:rPr>
        <w:t>收支</w:t>
      </w:r>
      <w:r>
        <w:rPr>
          <w:rFonts w:hint="eastAsia" w:ascii="宋体" w:hAnsi="宋体"/>
          <w:bCs/>
          <w:sz w:val="28"/>
          <w:szCs w:val="28"/>
        </w:rPr>
        <w:t>情况</w:t>
      </w:r>
    </w:p>
    <w:p w14:paraId="179C0149">
      <w:pPr>
        <w:spacing w:line="540" w:lineRule="exact"/>
        <w:ind w:firstLine="560" w:firstLineChars="200"/>
        <w:rPr>
          <w:rFonts w:ascii="宋体"/>
          <w:sz w:val="28"/>
          <w:szCs w:val="28"/>
        </w:rPr>
      </w:pPr>
      <w:r>
        <w:rPr>
          <w:rFonts w:hint="eastAsia" w:ascii="宋体" w:hAnsi="宋体"/>
          <w:sz w:val="28"/>
          <w:szCs w:val="28"/>
        </w:rPr>
        <w:t>我单位一般公共预算拨款收入</w:t>
      </w:r>
      <w:r>
        <w:rPr>
          <w:rFonts w:ascii="宋体" w:hAnsi="宋体"/>
          <w:sz w:val="28"/>
          <w:szCs w:val="28"/>
        </w:rPr>
        <w:t>226.54</w:t>
      </w:r>
      <w:r>
        <w:rPr>
          <w:rFonts w:hint="eastAsia" w:ascii="宋体" w:hAnsi="宋体"/>
          <w:sz w:val="28"/>
          <w:szCs w:val="28"/>
        </w:rPr>
        <w:t>万元，其中非限额补助</w:t>
      </w:r>
      <w:r>
        <w:rPr>
          <w:rFonts w:ascii="宋体" w:hAnsi="宋体"/>
          <w:sz w:val="28"/>
          <w:szCs w:val="28"/>
        </w:rPr>
        <w:t>226.54</w:t>
      </w:r>
      <w:r>
        <w:rPr>
          <w:rFonts w:hint="eastAsia" w:ascii="宋体" w:hAnsi="宋体"/>
          <w:sz w:val="28"/>
          <w:szCs w:val="28"/>
        </w:rPr>
        <w:t>万元。部门预算支出</w:t>
      </w:r>
      <w:r>
        <w:rPr>
          <w:rFonts w:ascii="宋体" w:hAnsi="宋体"/>
          <w:sz w:val="28"/>
          <w:szCs w:val="28"/>
        </w:rPr>
        <w:t>226.54</w:t>
      </w:r>
      <w:r>
        <w:rPr>
          <w:rFonts w:hint="eastAsia" w:ascii="宋体" w:hAnsi="宋体"/>
          <w:sz w:val="28"/>
          <w:szCs w:val="28"/>
        </w:rPr>
        <w:t>万元，其中，基本支出</w:t>
      </w:r>
      <w:r>
        <w:rPr>
          <w:rFonts w:ascii="宋体" w:hAnsi="宋体"/>
          <w:sz w:val="28"/>
          <w:szCs w:val="28"/>
        </w:rPr>
        <w:t>193.7</w:t>
      </w:r>
      <w:r>
        <w:rPr>
          <w:rFonts w:hint="eastAsia" w:ascii="宋体" w:hAnsi="宋体"/>
          <w:sz w:val="28"/>
          <w:szCs w:val="28"/>
        </w:rPr>
        <w:t>万元，包含人员经费</w:t>
      </w:r>
      <w:r>
        <w:rPr>
          <w:rFonts w:ascii="宋体" w:hAnsi="宋体"/>
          <w:sz w:val="28"/>
          <w:szCs w:val="28"/>
        </w:rPr>
        <w:t>97.04</w:t>
      </w:r>
      <w:r>
        <w:rPr>
          <w:rFonts w:hint="eastAsia" w:ascii="宋体" w:hAnsi="宋体"/>
          <w:sz w:val="28"/>
          <w:szCs w:val="28"/>
        </w:rPr>
        <w:t>万元</w:t>
      </w:r>
      <w:r>
        <w:rPr>
          <w:rFonts w:ascii="宋体" w:hAnsi="宋体"/>
          <w:sz w:val="28"/>
          <w:szCs w:val="28"/>
        </w:rPr>
        <w:t>,</w:t>
      </w:r>
      <w:r>
        <w:rPr>
          <w:rFonts w:hint="eastAsia" w:ascii="宋体" w:hAnsi="宋体"/>
          <w:sz w:val="28"/>
          <w:szCs w:val="28"/>
        </w:rPr>
        <w:t>，日常公用经费</w:t>
      </w:r>
      <w:r>
        <w:rPr>
          <w:rFonts w:ascii="宋体" w:hAnsi="宋体"/>
          <w:sz w:val="28"/>
          <w:szCs w:val="28"/>
        </w:rPr>
        <w:t>28.4</w:t>
      </w:r>
      <w:r>
        <w:rPr>
          <w:rFonts w:hint="eastAsia" w:ascii="宋体" w:hAnsi="宋体"/>
          <w:sz w:val="28"/>
          <w:szCs w:val="28"/>
        </w:rPr>
        <w:t>万元；项目支出</w:t>
      </w:r>
      <w:r>
        <w:rPr>
          <w:rFonts w:ascii="宋体" w:hAnsi="宋体"/>
          <w:sz w:val="28"/>
          <w:szCs w:val="28"/>
        </w:rPr>
        <w:t>32.84</w:t>
      </w:r>
      <w:r>
        <w:rPr>
          <w:rFonts w:hint="eastAsia" w:ascii="宋体" w:hAnsi="宋体"/>
          <w:sz w:val="28"/>
          <w:szCs w:val="28"/>
        </w:rPr>
        <w:t>万元。</w:t>
      </w:r>
    </w:p>
    <w:p w14:paraId="132DF650">
      <w:pPr>
        <w:spacing w:line="540" w:lineRule="exact"/>
        <w:ind w:firstLine="560" w:firstLineChars="200"/>
        <w:rPr>
          <w:rFonts w:ascii="宋体" w:cs="仿宋"/>
          <w:color w:val="000000"/>
          <w:kern w:val="0"/>
          <w:sz w:val="28"/>
          <w:szCs w:val="28"/>
        </w:rPr>
      </w:pPr>
      <w:r>
        <w:rPr>
          <w:rFonts w:ascii="宋体" w:hAnsi="宋体" w:cs="仿宋"/>
          <w:color w:val="000000"/>
          <w:kern w:val="0"/>
          <w:sz w:val="28"/>
          <w:szCs w:val="28"/>
        </w:rPr>
        <w:t>2</w:t>
      </w:r>
      <w:r>
        <w:rPr>
          <w:rFonts w:hint="eastAsia" w:ascii="宋体" w:hAnsi="宋体" w:cs="仿宋"/>
          <w:color w:val="000000"/>
          <w:kern w:val="0"/>
          <w:sz w:val="28"/>
          <w:szCs w:val="28"/>
        </w:rPr>
        <w:t>、比上年增减情况</w:t>
      </w:r>
    </w:p>
    <w:p w14:paraId="697CEFE5">
      <w:pPr>
        <w:spacing w:line="540" w:lineRule="exact"/>
        <w:ind w:firstLine="560" w:firstLineChars="200"/>
        <w:rPr>
          <w:rFonts w:ascii="宋体" w:cs="仿宋"/>
          <w:color w:val="000000"/>
          <w:kern w:val="0"/>
          <w:sz w:val="28"/>
          <w:szCs w:val="28"/>
        </w:rPr>
      </w:pPr>
      <w:r>
        <w:rPr>
          <w:rFonts w:hint="eastAsia" w:ascii="宋体" w:hAnsi="宋体" w:cs="仿宋"/>
          <w:color w:val="000000"/>
          <w:kern w:val="0"/>
          <w:sz w:val="28"/>
          <w:szCs w:val="28"/>
        </w:rPr>
        <w:t>本年度预算收支安排</w:t>
      </w:r>
      <w:r>
        <w:rPr>
          <w:rFonts w:ascii="宋体" w:hAnsi="宋体" w:cs="仿宋"/>
          <w:color w:val="000000"/>
          <w:kern w:val="0"/>
          <w:sz w:val="28"/>
          <w:szCs w:val="28"/>
        </w:rPr>
        <w:t>226.54</w:t>
      </w:r>
      <w:r>
        <w:rPr>
          <w:rFonts w:hint="eastAsia" w:ascii="宋体" w:hAnsi="宋体" w:cs="仿宋"/>
          <w:color w:val="000000"/>
          <w:kern w:val="0"/>
          <w:sz w:val="28"/>
          <w:szCs w:val="28"/>
        </w:rPr>
        <w:t>万元，较上年增加减少</w:t>
      </w:r>
      <w:r>
        <w:rPr>
          <w:rFonts w:ascii="宋体" w:hAnsi="宋体" w:cs="仿宋"/>
          <w:color w:val="000000"/>
          <w:kern w:val="0"/>
          <w:sz w:val="28"/>
          <w:szCs w:val="28"/>
        </w:rPr>
        <w:t>135.54</w:t>
      </w:r>
      <w:r>
        <w:rPr>
          <w:rFonts w:hint="eastAsia" w:ascii="宋体" w:hAnsi="宋体" w:cs="仿宋"/>
          <w:color w:val="000000"/>
          <w:kern w:val="0"/>
          <w:sz w:val="28"/>
          <w:szCs w:val="28"/>
        </w:rPr>
        <w:t>万元。其中</w:t>
      </w:r>
      <w:r>
        <w:rPr>
          <w:rFonts w:ascii="宋体" w:hAnsi="宋体" w:cs="仿宋"/>
          <w:color w:val="000000"/>
          <w:kern w:val="0"/>
          <w:sz w:val="28"/>
          <w:szCs w:val="28"/>
        </w:rPr>
        <w:t>:</w:t>
      </w:r>
      <w:r>
        <w:rPr>
          <w:rFonts w:hint="eastAsia" w:ascii="宋体" w:hAnsi="宋体" w:cs="仿宋"/>
          <w:color w:val="000000"/>
          <w:kern w:val="0"/>
          <w:sz w:val="28"/>
          <w:szCs w:val="28"/>
        </w:rPr>
        <w:t>基本支出减少</w:t>
      </w:r>
      <w:r>
        <w:rPr>
          <w:rFonts w:ascii="宋体" w:hAnsi="宋体" w:cs="仿宋"/>
          <w:color w:val="000000"/>
          <w:kern w:val="0"/>
          <w:sz w:val="28"/>
          <w:szCs w:val="28"/>
        </w:rPr>
        <w:t>97.84</w:t>
      </w:r>
      <w:r>
        <w:rPr>
          <w:rFonts w:hint="eastAsia" w:ascii="宋体" w:hAnsi="宋体" w:cs="仿宋"/>
          <w:color w:val="000000"/>
          <w:kern w:val="0"/>
          <w:sz w:val="28"/>
          <w:szCs w:val="28"/>
        </w:rPr>
        <w:t>万元，主要减少退休人员工资，</w:t>
      </w:r>
      <w:r>
        <w:rPr>
          <w:rFonts w:ascii="宋体" w:hAnsi="宋体" w:cs="仿宋"/>
          <w:color w:val="000000"/>
          <w:kern w:val="0"/>
          <w:sz w:val="28"/>
          <w:szCs w:val="28"/>
        </w:rPr>
        <w:t>由</w:t>
      </w:r>
      <w:r>
        <w:rPr>
          <w:rFonts w:hint="eastAsia" w:ascii="宋体" w:hAnsi="宋体" w:cs="仿宋"/>
          <w:color w:val="000000"/>
          <w:kern w:val="0"/>
          <w:sz w:val="28"/>
          <w:szCs w:val="28"/>
        </w:rPr>
        <w:t>社保统一列支；项目支出增加</w:t>
      </w:r>
      <w:r>
        <w:rPr>
          <w:rFonts w:ascii="宋体" w:hAnsi="宋体" w:cs="仿宋"/>
          <w:color w:val="000000"/>
          <w:kern w:val="0"/>
          <w:sz w:val="28"/>
          <w:szCs w:val="28"/>
        </w:rPr>
        <w:t>37.7</w:t>
      </w:r>
      <w:r>
        <w:rPr>
          <w:rFonts w:hint="eastAsia" w:ascii="宋体" w:hAnsi="宋体" w:cs="仿宋"/>
          <w:color w:val="000000"/>
          <w:kern w:val="0"/>
          <w:sz w:val="28"/>
          <w:szCs w:val="28"/>
        </w:rPr>
        <w:t>万元，主要增加了维稳经费和纪检经费的支出。</w:t>
      </w:r>
    </w:p>
    <w:p w14:paraId="4A6C9127">
      <w:pPr>
        <w:rPr>
          <w:rFonts w:ascii="宋体"/>
          <w:sz w:val="28"/>
          <w:szCs w:val="28"/>
        </w:rPr>
      </w:pPr>
    </w:p>
    <w:p w14:paraId="2FB0233F">
      <w:pPr>
        <w:numPr>
          <w:ilvl w:val="0"/>
          <w:numId w:val="1"/>
        </w:numPr>
        <w:rPr>
          <w:rFonts w:ascii="宋体"/>
          <w:b/>
          <w:bCs/>
          <w:sz w:val="28"/>
          <w:szCs w:val="28"/>
        </w:rPr>
      </w:pPr>
      <w:r>
        <w:rPr>
          <w:rFonts w:hint="eastAsia" w:ascii="宋体" w:hAnsi="宋体"/>
          <w:b/>
          <w:bCs/>
          <w:sz w:val="28"/>
          <w:szCs w:val="28"/>
        </w:rPr>
        <w:t>机关运行经费安排情况</w:t>
      </w:r>
    </w:p>
    <w:p w14:paraId="45942D1A">
      <w:pPr>
        <w:ind w:firstLine="560"/>
        <w:rPr>
          <w:rFonts w:ascii="宋体"/>
          <w:sz w:val="28"/>
          <w:szCs w:val="28"/>
        </w:rPr>
      </w:pPr>
      <w:r>
        <w:rPr>
          <w:rFonts w:hint="eastAsia" w:ascii="宋体" w:hAnsi="宋体"/>
          <w:sz w:val="28"/>
          <w:szCs w:val="28"/>
        </w:rPr>
        <w:t>我单位日常公用经费预算支出</w:t>
      </w:r>
      <w:r>
        <w:rPr>
          <w:rFonts w:ascii="宋体" w:hAnsi="宋体"/>
          <w:sz w:val="28"/>
          <w:szCs w:val="28"/>
        </w:rPr>
        <w:t>28.4</w:t>
      </w:r>
      <w:r>
        <w:rPr>
          <w:rFonts w:hint="eastAsia" w:ascii="宋体" w:hAnsi="宋体"/>
          <w:sz w:val="28"/>
          <w:szCs w:val="28"/>
        </w:rPr>
        <w:t>万元，包含办公费</w:t>
      </w:r>
      <w:r>
        <w:rPr>
          <w:rFonts w:ascii="宋体" w:hAnsi="宋体"/>
          <w:sz w:val="28"/>
          <w:szCs w:val="28"/>
        </w:rPr>
        <w:t>11.59</w:t>
      </w:r>
      <w:r>
        <w:rPr>
          <w:rFonts w:hint="eastAsia" w:ascii="宋体" w:hAnsi="宋体"/>
          <w:sz w:val="28"/>
          <w:szCs w:val="28"/>
        </w:rPr>
        <w:t>万元，邮电费</w:t>
      </w:r>
      <w:r>
        <w:rPr>
          <w:rFonts w:ascii="宋体" w:hAnsi="宋体"/>
          <w:sz w:val="28"/>
          <w:szCs w:val="28"/>
        </w:rPr>
        <w:t>0.96</w:t>
      </w:r>
      <w:r>
        <w:rPr>
          <w:rFonts w:hint="eastAsia" w:ascii="宋体" w:hAnsi="宋体"/>
          <w:sz w:val="28"/>
          <w:szCs w:val="28"/>
        </w:rPr>
        <w:t>万元，取暖费</w:t>
      </w:r>
      <w:r>
        <w:rPr>
          <w:rFonts w:ascii="宋体" w:hAnsi="宋体"/>
          <w:sz w:val="28"/>
          <w:szCs w:val="28"/>
        </w:rPr>
        <w:t>5</w:t>
      </w:r>
      <w:r>
        <w:rPr>
          <w:rFonts w:hint="eastAsia" w:ascii="宋体" w:hAnsi="宋体"/>
          <w:sz w:val="28"/>
          <w:szCs w:val="28"/>
        </w:rPr>
        <w:t>万元，公务用车运行维护费</w:t>
      </w:r>
      <w:r>
        <w:rPr>
          <w:rFonts w:ascii="宋体" w:hAnsi="宋体"/>
          <w:sz w:val="28"/>
          <w:szCs w:val="28"/>
        </w:rPr>
        <w:t>7</w:t>
      </w:r>
      <w:r>
        <w:rPr>
          <w:rFonts w:hint="eastAsia" w:ascii="宋体" w:hAnsi="宋体"/>
          <w:sz w:val="28"/>
          <w:szCs w:val="28"/>
        </w:rPr>
        <w:t>万元，工会经费</w:t>
      </w:r>
      <w:r>
        <w:rPr>
          <w:rFonts w:ascii="宋体" w:hAnsi="宋体"/>
          <w:sz w:val="28"/>
          <w:szCs w:val="28"/>
        </w:rPr>
        <w:t>1.31</w:t>
      </w:r>
      <w:r>
        <w:rPr>
          <w:rFonts w:hint="eastAsia" w:ascii="宋体" w:hAnsi="宋体"/>
          <w:sz w:val="28"/>
          <w:szCs w:val="28"/>
        </w:rPr>
        <w:t>万元，职工福利费</w:t>
      </w:r>
      <w:r>
        <w:rPr>
          <w:rFonts w:ascii="宋体" w:hAnsi="宋体"/>
          <w:sz w:val="28"/>
          <w:szCs w:val="28"/>
        </w:rPr>
        <w:t>2.54</w:t>
      </w:r>
      <w:r>
        <w:rPr>
          <w:rFonts w:hint="eastAsia" w:ascii="宋体" w:hAnsi="宋体"/>
          <w:sz w:val="28"/>
          <w:szCs w:val="28"/>
        </w:rPr>
        <w:t>万元。</w:t>
      </w:r>
    </w:p>
    <w:p w14:paraId="231164BF">
      <w:pPr>
        <w:numPr>
          <w:ilvl w:val="0"/>
          <w:numId w:val="1"/>
        </w:numPr>
        <w:rPr>
          <w:rFonts w:ascii="宋体"/>
          <w:b/>
          <w:bCs/>
          <w:sz w:val="28"/>
          <w:szCs w:val="28"/>
        </w:rPr>
      </w:pPr>
      <w:r>
        <w:rPr>
          <w:rFonts w:hint="eastAsia" w:ascii="宋体" w:hAnsi="宋体"/>
          <w:b/>
          <w:bCs/>
          <w:sz w:val="28"/>
          <w:szCs w:val="28"/>
        </w:rPr>
        <w:t>财政拨款“三公”经费预算情况</w:t>
      </w:r>
    </w:p>
    <w:p w14:paraId="216E101E">
      <w:pPr>
        <w:ind w:firstLine="560"/>
        <w:rPr>
          <w:rFonts w:ascii="宋体"/>
          <w:sz w:val="28"/>
          <w:szCs w:val="28"/>
        </w:rPr>
      </w:pPr>
      <w:r>
        <w:rPr>
          <w:rFonts w:hint="eastAsia" w:ascii="宋体" w:hAnsi="宋体"/>
          <w:sz w:val="28"/>
          <w:szCs w:val="28"/>
        </w:rPr>
        <w:t>我单位</w:t>
      </w:r>
      <w:r>
        <w:rPr>
          <w:rFonts w:ascii="宋体" w:hAnsi="宋体"/>
          <w:sz w:val="28"/>
          <w:szCs w:val="28"/>
        </w:rPr>
        <w:t>2017</w:t>
      </w:r>
      <w:r>
        <w:rPr>
          <w:rFonts w:hint="eastAsia" w:ascii="宋体" w:hAnsi="宋体"/>
          <w:sz w:val="28"/>
          <w:szCs w:val="28"/>
        </w:rPr>
        <w:t>年</w:t>
      </w:r>
      <w:r>
        <w:rPr>
          <w:rFonts w:hint="eastAsia" w:ascii="宋体" w:hAnsi="宋体"/>
          <w:sz w:val="28"/>
          <w:szCs w:val="28"/>
          <w:lang w:eastAsia="zh-CN"/>
        </w:rPr>
        <w:t>“三公”经费</w:t>
      </w:r>
      <w:r>
        <w:rPr>
          <w:rFonts w:hint="eastAsia" w:ascii="宋体" w:hAnsi="宋体"/>
          <w:sz w:val="28"/>
          <w:szCs w:val="28"/>
        </w:rPr>
        <w:t>预算拨款</w:t>
      </w:r>
      <w:r>
        <w:rPr>
          <w:rFonts w:ascii="宋体" w:hAnsi="宋体"/>
          <w:sz w:val="28"/>
          <w:szCs w:val="28"/>
        </w:rPr>
        <w:t>16</w:t>
      </w:r>
      <w:r>
        <w:rPr>
          <w:rFonts w:hint="eastAsia" w:ascii="宋体" w:hAnsi="宋体"/>
          <w:sz w:val="28"/>
          <w:szCs w:val="28"/>
        </w:rPr>
        <w:t>万元，其中公务车运行维护费</w:t>
      </w:r>
      <w:r>
        <w:rPr>
          <w:rFonts w:ascii="宋体" w:hAnsi="宋体"/>
          <w:sz w:val="28"/>
          <w:szCs w:val="28"/>
        </w:rPr>
        <w:t>9</w:t>
      </w:r>
      <w:r>
        <w:rPr>
          <w:rFonts w:hint="eastAsia" w:ascii="宋体" w:hAnsi="宋体"/>
          <w:sz w:val="28"/>
          <w:szCs w:val="28"/>
        </w:rPr>
        <w:t>万元，公务接待费</w:t>
      </w:r>
      <w:r>
        <w:rPr>
          <w:rFonts w:ascii="宋体" w:hAnsi="宋体"/>
          <w:sz w:val="28"/>
          <w:szCs w:val="28"/>
        </w:rPr>
        <w:t>7</w:t>
      </w:r>
      <w:r>
        <w:rPr>
          <w:rFonts w:hint="eastAsia" w:ascii="宋体" w:hAnsi="宋体"/>
          <w:sz w:val="28"/>
          <w:szCs w:val="28"/>
        </w:rPr>
        <w:t>万元，</w:t>
      </w:r>
      <w:r>
        <w:rPr>
          <w:rFonts w:hint="eastAsia" w:ascii="宋体" w:hAnsi="宋体" w:cs="宋体"/>
          <w:sz w:val="28"/>
          <w:szCs w:val="28"/>
        </w:rPr>
        <w:t>无因公出国（境）费</w:t>
      </w:r>
      <w:r>
        <w:rPr>
          <w:rFonts w:hint="eastAsia" w:ascii="宋体" w:hAnsi="宋体"/>
          <w:sz w:val="28"/>
          <w:szCs w:val="28"/>
        </w:rPr>
        <w:t>。</w:t>
      </w:r>
    </w:p>
    <w:p w14:paraId="0D6C0FA8">
      <w:pPr>
        <w:ind w:firstLine="560" w:firstLineChars="200"/>
        <w:rPr>
          <w:rFonts w:ascii="宋体" w:cs="宋体"/>
          <w:sz w:val="28"/>
          <w:szCs w:val="28"/>
        </w:rPr>
      </w:pPr>
      <w:r>
        <w:rPr>
          <w:rFonts w:ascii="宋体" w:hAnsi="宋体" w:cs="宋体"/>
          <w:sz w:val="28"/>
          <w:szCs w:val="28"/>
        </w:rPr>
        <w:t xml:space="preserve">    </w:t>
      </w:r>
      <w:r>
        <w:rPr>
          <w:rFonts w:hint="eastAsia" w:ascii="宋体" w:hAnsi="宋体" w:cs="宋体"/>
          <w:sz w:val="28"/>
          <w:szCs w:val="28"/>
        </w:rPr>
        <w:t>我单位</w:t>
      </w:r>
      <w:r>
        <w:rPr>
          <w:rFonts w:ascii="宋体" w:hAnsi="宋体" w:cs="宋体"/>
          <w:sz w:val="28"/>
          <w:szCs w:val="28"/>
        </w:rPr>
        <w:t>2016</w:t>
      </w:r>
      <w:r>
        <w:rPr>
          <w:rFonts w:hint="eastAsia" w:ascii="宋体" w:hAnsi="宋体" w:cs="宋体"/>
          <w:sz w:val="28"/>
          <w:szCs w:val="28"/>
        </w:rPr>
        <w:t>年</w:t>
      </w:r>
      <w:r>
        <w:rPr>
          <w:rFonts w:hint="eastAsia" w:ascii="宋体" w:hAnsi="宋体" w:cs="宋体"/>
          <w:sz w:val="28"/>
          <w:szCs w:val="28"/>
          <w:lang w:eastAsia="zh-CN"/>
        </w:rPr>
        <w:t>“三公”经费</w:t>
      </w:r>
      <w:r>
        <w:rPr>
          <w:rFonts w:hint="eastAsia" w:ascii="宋体" w:hAnsi="宋体" w:cs="宋体"/>
          <w:sz w:val="28"/>
          <w:szCs w:val="28"/>
        </w:rPr>
        <w:t>合计</w:t>
      </w:r>
      <w:r>
        <w:rPr>
          <w:rFonts w:ascii="宋体" w:hAnsi="宋体" w:cs="宋体"/>
          <w:sz w:val="28"/>
          <w:szCs w:val="28"/>
        </w:rPr>
        <w:t>16</w:t>
      </w:r>
      <w:r>
        <w:rPr>
          <w:rFonts w:hint="eastAsia" w:ascii="宋体" w:hAnsi="宋体" w:cs="宋体"/>
          <w:sz w:val="28"/>
          <w:szCs w:val="28"/>
        </w:rPr>
        <w:t>万元，其中公务用车运行维护费</w:t>
      </w:r>
      <w:r>
        <w:rPr>
          <w:rFonts w:ascii="宋体" w:hAnsi="宋体" w:cs="宋体"/>
          <w:sz w:val="28"/>
          <w:szCs w:val="28"/>
        </w:rPr>
        <w:t>9</w:t>
      </w:r>
      <w:r>
        <w:rPr>
          <w:rFonts w:hint="eastAsia" w:ascii="宋体" w:hAnsi="宋体" w:cs="宋体"/>
          <w:sz w:val="28"/>
          <w:szCs w:val="28"/>
        </w:rPr>
        <w:t>万元，公务接待费</w:t>
      </w:r>
      <w:r>
        <w:rPr>
          <w:rFonts w:ascii="宋体" w:hAnsi="宋体" w:cs="宋体"/>
          <w:sz w:val="28"/>
          <w:szCs w:val="28"/>
        </w:rPr>
        <w:t>7</w:t>
      </w:r>
      <w:r>
        <w:rPr>
          <w:rFonts w:hint="eastAsia" w:ascii="宋体" w:hAnsi="宋体" w:cs="宋体"/>
          <w:sz w:val="28"/>
          <w:szCs w:val="28"/>
        </w:rPr>
        <w:t>万元，预计接待批次221次，预计接待人数2217人。无因公出国（境）费。</w:t>
      </w:r>
    </w:p>
    <w:p w14:paraId="37F45588">
      <w:pPr>
        <w:ind w:firstLine="560"/>
        <w:jc w:val="left"/>
        <w:rPr>
          <w:rFonts w:ascii="宋体" w:cs="宋体"/>
          <w:color w:val="000000"/>
          <w:kern w:val="0"/>
          <w:sz w:val="28"/>
          <w:szCs w:val="28"/>
        </w:rPr>
      </w:pPr>
      <w:r>
        <w:rPr>
          <w:rFonts w:ascii="宋体" w:hAnsi="宋体" w:cs="宋体"/>
          <w:sz w:val="28"/>
          <w:szCs w:val="28"/>
        </w:rPr>
        <w:t>2017</w:t>
      </w:r>
      <w:r>
        <w:rPr>
          <w:rFonts w:hint="eastAsia" w:ascii="宋体" w:hAnsi="宋体" w:cs="宋体"/>
          <w:sz w:val="28"/>
          <w:szCs w:val="28"/>
        </w:rPr>
        <w:t>年我单位计划对公车加强管理、控制车辆使用，对公车日常养护、加油实行定点专人管理，因此公务用车运行维护费比</w:t>
      </w:r>
      <w:r>
        <w:rPr>
          <w:rFonts w:ascii="宋体" w:hAnsi="宋体" w:cs="宋体"/>
          <w:sz w:val="28"/>
          <w:szCs w:val="28"/>
        </w:rPr>
        <w:t>2016</w:t>
      </w:r>
      <w:r>
        <w:rPr>
          <w:rFonts w:hint="eastAsia" w:ascii="宋体" w:hAnsi="宋体" w:cs="宋体"/>
          <w:sz w:val="28"/>
          <w:szCs w:val="28"/>
        </w:rPr>
        <w:t>年减少。我单位</w:t>
      </w:r>
      <w:r>
        <w:rPr>
          <w:rFonts w:ascii="宋体" w:hAnsi="宋体" w:cs="宋体"/>
          <w:sz w:val="28"/>
          <w:szCs w:val="28"/>
        </w:rPr>
        <w:t>2017</w:t>
      </w:r>
      <w:r>
        <w:rPr>
          <w:rFonts w:hint="eastAsia" w:ascii="宋体" w:hAnsi="宋体" w:cs="宋体"/>
          <w:sz w:val="28"/>
          <w:szCs w:val="28"/>
        </w:rPr>
        <w:t>年计划对公务接待的次数和人数进行缩减，严格控制公务接待的规模，深入贯彻落实《党政机关厉行节约反对浪费条例》，因此</w:t>
      </w:r>
      <w:r>
        <w:rPr>
          <w:rFonts w:hint="eastAsia" w:ascii="宋体" w:hAnsi="宋体" w:cs="宋体"/>
          <w:color w:val="000000"/>
          <w:kern w:val="0"/>
          <w:sz w:val="28"/>
          <w:szCs w:val="28"/>
        </w:rPr>
        <w:t>比</w:t>
      </w:r>
      <w:r>
        <w:rPr>
          <w:rFonts w:ascii="宋体" w:hAnsi="宋体" w:cs="宋体"/>
          <w:color w:val="000000"/>
          <w:kern w:val="0"/>
          <w:sz w:val="28"/>
          <w:szCs w:val="28"/>
        </w:rPr>
        <w:t>2016</w:t>
      </w:r>
      <w:r>
        <w:rPr>
          <w:rFonts w:hint="eastAsia" w:ascii="宋体" w:hAnsi="宋体" w:cs="宋体"/>
          <w:color w:val="000000"/>
          <w:kern w:val="0"/>
          <w:sz w:val="28"/>
          <w:szCs w:val="28"/>
        </w:rPr>
        <w:t>年减少。</w:t>
      </w:r>
    </w:p>
    <w:p w14:paraId="4DE7A617">
      <w:pPr>
        <w:ind w:firstLine="560"/>
        <w:jc w:val="left"/>
        <w:rPr>
          <w:rFonts w:ascii="宋体" w:cs="宋体"/>
          <w:color w:val="000000"/>
          <w:kern w:val="0"/>
          <w:sz w:val="28"/>
          <w:szCs w:val="28"/>
        </w:rPr>
      </w:pPr>
    </w:p>
    <w:p w14:paraId="223CAB07">
      <w:pPr>
        <w:ind w:firstLine="560"/>
        <w:jc w:val="left"/>
        <w:rPr>
          <w:rFonts w:ascii="宋体" w:cs="宋体"/>
          <w:color w:val="000000"/>
          <w:kern w:val="0"/>
          <w:sz w:val="28"/>
          <w:szCs w:val="28"/>
        </w:rPr>
      </w:pPr>
    </w:p>
    <w:p w14:paraId="404CA01E">
      <w:pPr>
        <w:ind w:firstLine="560"/>
        <w:jc w:val="left"/>
        <w:rPr>
          <w:rFonts w:ascii="宋体" w:cs="宋体"/>
          <w:color w:val="000000"/>
          <w:kern w:val="0"/>
          <w:sz w:val="28"/>
          <w:szCs w:val="28"/>
        </w:rPr>
      </w:pPr>
    </w:p>
    <w:tbl>
      <w:tblPr>
        <w:tblStyle w:val="6"/>
        <w:tblW w:w="8522" w:type="dxa"/>
        <w:tblInd w:w="0" w:type="dxa"/>
        <w:tblLayout w:type="fixed"/>
        <w:tblCellMar>
          <w:top w:w="0" w:type="dxa"/>
          <w:left w:w="108" w:type="dxa"/>
          <w:bottom w:w="0" w:type="dxa"/>
          <w:right w:w="108" w:type="dxa"/>
        </w:tblCellMar>
      </w:tblPr>
      <w:tblGrid>
        <w:gridCol w:w="1896"/>
        <w:gridCol w:w="1529"/>
        <w:gridCol w:w="1529"/>
        <w:gridCol w:w="1056"/>
        <w:gridCol w:w="2512"/>
      </w:tblGrid>
      <w:tr w14:paraId="5528F848">
        <w:tblPrEx>
          <w:tblCellMar>
            <w:top w:w="0" w:type="dxa"/>
            <w:left w:w="108" w:type="dxa"/>
            <w:bottom w:w="0" w:type="dxa"/>
            <w:right w:w="108" w:type="dxa"/>
          </w:tblCellMar>
        </w:tblPrEx>
        <w:trPr>
          <w:trHeight w:val="405" w:hRule="atLeast"/>
        </w:trPr>
        <w:tc>
          <w:tcPr>
            <w:tcW w:w="8522" w:type="dxa"/>
            <w:gridSpan w:val="5"/>
            <w:tcBorders>
              <w:top w:val="nil"/>
              <w:left w:val="nil"/>
              <w:bottom w:val="nil"/>
              <w:right w:val="nil"/>
            </w:tcBorders>
            <w:vAlign w:val="center"/>
          </w:tcPr>
          <w:p w14:paraId="7E27EB52">
            <w:pPr>
              <w:widowControl/>
              <w:spacing w:line="52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p>
          <w:p w14:paraId="610EFCF5">
            <w:pPr>
              <w:widowControl/>
              <w:spacing w:line="520" w:lineRule="exact"/>
              <w:jc w:val="center"/>
              <w:rPr>
                <w:rFonts w:hint="eastAsia" w:cs="宋体" w:asciiTheme="minorEastAsia" w:hAnsiTheme="minorEastAsia" w:eastAsiaTheme="minorEastAsia"/>
                <w:kern w:val="0"/>
                <w:szCs w:val="21"/>
                <w:lang w:eastAsia="zh-CN"/>
              </w:rPr>
            </w:pPr>
            <w:r>
              <w:rPr>
                <w:rFonts w:hint="eastAsia" w:asciiTheme="minorEastAsia" w:hAnsiTheme="minorEastAsia" w:eastAsiaTheme="minorEastAsia"/>
                <w:szCs w:val="21"/>
              </w:rPr>
              <w:t>三公”经费预算情况及增减</w:t>
            </w:r>
            <w:r>
              <w:rPr>
                <w:rFonts w:hint="eastAsia" w:asciiTheme="minorEastAsia" w:hAnsiTheme="minorEastAsia" w:eastAsiaTheme="minorEastAsia"/>
                <w:szCs w:val="21"/>
                <w:lang w:eastAsia="zh-CN"/>
              </w:rPr>
              <w:t>变化情况</w:t>
            </w:r>
          </w:p>
        </w:tc>
      </w:tr>
      <w:tr w14:paraId="0FA179F3">
        <w:tblPrEx>
          <w:tblCellMar>
            <w:top w:w="0" w:type="dxa"/>
            <w:left w:w="108" w:type="dxa"/>
            <w:bottom w:w="0" w:type="dxa"/>
            <w:right w:w="108" w:type="dxa"/>
          </w:tblCellMar>
        </w:tblPrEx>
        <w:trPr>
          <w:trHeight w:val="221" w:hRule="atLeast"/>
        </w:trPr>
        <w:tc>
          <w:tcPr>
            <w:tcW w:w="1896" w:type="dxa"/>
            <w:tcBorders>
              <w:top w:val="nil"/>
              <w:left w:val="nil"/>
              <w:bottom w:val="nil"/>
              <w:right w:val="nil"/>
            </w:tcBorders>
            <w:vAlign w:val="center"/>
          </w:tcPr>
          <w:p w14:paraId="1835D0E4">
            <w:pPr>
              <w:widowControl/>
              <w:jc w:val="left"/>
              <w:rPr>
                <w:rFonts w:cs="宋体" w:asciiTheme="minorEastAsia" w:hAnsiTheme="minorEastAsia" w:eastAsiaTheme="minorEastAsia"/>
                <w:kern w:val="0"/>
                <w:szCs w:val="21"/>
              </w:rPr>
            </w:pPr>
          </w:p>
        </w:tc>
        <w:tc>
          <w:tcPr>
            <w:tcW w:w="1529" w:type="dxa"/>
            <w:tcBorders>
              <w:top w:val="nil"/>
              <w:left w:val="nil"/>
              <w:bottom w:val="nil"/>
              <w:right w:val="nil"/>
            </w:tcBorders>
            <w:vAlign w:val="center"/>
          </w:tcPr>
          <w:p w14:paraId="3051C5DE">
            <w:pPr>
              <w:widowControl/>
              <w:jc w:val="left"/>
              <w:rPr>
                <w:rFonts w:cs="宋体" w:asciiTheme="minorEastAsia" w:hAnsiTheme="minorEastAsia" w:eastAsiaTheme="minorEastAsia"/>
                <w:kern w:val="0"/>
                <w:szCs w:val="21"/>
              </w:rPr>
            </w:pPr>
          </w:p>
        </w:tc>
        <w:tc>
          <w:tcPr>
            <w:tcW w:w="1529" w:type="dxa"/>
            <w:tcBorders>
              <w:top w:val="nil"/>
              <w:left w:val="nil"/>
              <w:bottom w:val="nil"/>
              <w:right w:val="nil"/>
            </w:tcBorders>
            <w:vAlign w:val="center"/>
          </w:tcPr>
          <w:p w14:paraId="4D05BA68">
            <w:pPr>
              <w:widowControl/>
              <w:jc w:val="left"/>
              <w:rPr>
                <w:rFonts w:cs="宋体" w:asciiTheme="minorEastAsia" w:hAnsiTheme="minorEastAsia" w:eastAsiaTheme="minorEastAsia"/>
                <w:kern w:val="0"/>
                <w:szCs w:val="21"/>
              </w:rPr>
            </w:pPr>
          </w:p>
        </w:tc>
        <w:tc>
          <w:tcPr>
            <w:tcW w:w="1056" w:type="dxa"/>
            <w:tcBorders>
              <w:top w:val="nil"/>
              <w:left w:val="nil"/>
              <w:bottom w:val="nil"/>
              <w:right w:val="nil"/>
            </w:tcBorders>
            <w:vAlign w:val="center"/>
          </w:tcPr>
          <w:p w14:paraId="03E437DC">
            <w:pPr>
              <w:widowControl/>
              <w:jc w:val="left"/>
              <w:rPr>
                <w:rFonts w:cs="宋体" w:asciiTheme="minorEastAsia" w:hAnsiTheme="minorEastAsia" w:eastAsiaTheme="minorEastAsia"/>
                <w:kern w:val="0"/>
                <w:szCs w:val="21"/>
              </w:rPr>
            </w:pPr>
          </w:p>
        </w:tc>
        <w:tc>
          <w:tcPr>
            <w:tcW w:w="2512" w:type="dxa"/>
            <w:tcBorders>
              <w:top w:val="nil"/>
              <w:left w:val="nil"/>
              <w:bottom w:val="nil"/>
              <w:right w:val="nil"/>
            </w:tcBorders>
            <w:vAlign w:val="center"/>
          </w:tcPr>
          <w:p w14:paraId="0CCB5713">
            <w:pPr>
              <w:widowControl/>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单位：万元</w:t>
            </w:r>
          </w:p>
        </w:tc>
      </w:tr>
      <w:tr w14:paraId="15157FC5">
        <w:tblPrEx>
          <w:tblCellMar>
            <w:top w:w="0" w:type="dxa"/>
            <w:left w:w="108" w:type="dxa"/>
            <w:bottom w:w="0" w:type="dxa"/>
            <w:right w:w="108" w:type="dxa"/>
          </w:tblCellMar>
        </w:tblPrEx>
        <w:trPr>
          <w:trHeight w:val="285" w:hRule="atLeast"/>
        </w:trPr>
        <w:tc>
          <w:tcPr>
            <w:tcW w:w="1896" w:type="dxa"/>
            <w:tcBorders>
              <w:top w:val="single" w:color="auto" w:sz="4" w:space="0"/>
              <w:left w:val="single" w:color="auto" w:sz="4" w:space="0"/>
              <w:bottom w:val="single" w:color="auto" w:sz="4" w:space="0"/>
              <w:right w:val="single" w:color="auto" w:sz="4" w:space="0"/>
            </w:tcBorders>
            <w:vAlign w:val="center"/>
          </w:tcPr>
          <w:p w14:paraId="1B72D47F">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项目名称</w:t>
            </w:r>
          </w:p>
        </w:tc>
        <w:tc>
          <w:tcPr>
            <w:tcW w:w="1529" w:type="dxa"/>
            <w:tcBorders>
              <w:top w:val="single" w:color="auto" w:sz="4" w:space="0"/>
              <w:left w:val="nil"/>
              <w:bottom w:val="single" w:color="auto" w:sz="4" w:space="0"/>
              <w:right w:val="single" w:color="auto" w:sz="4" w:space="0"/>
            </w:tcBorders>
            <w:vAlign w:val="center"/>
          </w:tcPr>
          <w:p w14:paraId="569EACE8">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2016</w:t>
            </w:r>
            <w:r>
              <w:rPr>
                <w:rFonts w:hint="eastAsia" w:cs="宋体" w:asciiTheme="minorEastAsia" w:hAnsiTheme="minorEastAsia" w:eastAsiaTheme="minorEastAsia"/>
                <w:kern w:val="0"/>
                <w:szCs w:val="21"/>
              </w:rPr>
              <w:t>年度预算</w:t>
            </w:r>
          </w:p>
        </w:tc>
        <w:tc>
          <w:tcPr>
            <w:tcW w:w="1529" w:type="dxa"/>
            <w:tcBorders>
              <w:top w:val="single" w:color="auto" w:sz="4" w:space="0"/>
              <w:left w:val="nil"/>
              <w:bottom w:val="single" w:color="auto" w:sz="4" w:space="0"/>
              <w:right w:val="single" w:color="auto" w:sz="4" w:space="0"/>
            </w:tcBorders>
            <w:vAlign w:val="center"/>
          </w:tcPr>
          <w:p w14:paraId="6FA099E5">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2017</w:t>
            </w:r>
            <w:r>
              <w:rPr>
                <w:rFonts w:hint="eastAsia" w:cs="宋体" w:asciiTheme="minorEastAsia" w:hAnsiTheme="minorEastAsia" w:eastAsiaTheme="minorEastAsia"/>
                <w:kern w:val="0"/>
                <w:szCs w:val="21"/>
              </w:rPr>
              <w:t>年度预算</w:t>
            </w:r>
          </w:p>
        </w:tc>
        <w:tc>
          <w:tcPr>
            <w:tcW w:w="1056" w:type="dxa"/>
            <w:tcBorders>
              <w:top w:val="single" w:color="auto" w:sz="4" w:space="0"/>
              <w:left w:val="nil"/>
              <w:bottom w:val="single" w:color="auto" w:sz="4" w:space="0"/>
              <w:right w:val="single" w:color="auto" w:sz="4" w:space="0"/>
            </w:tcBorders>
            <w:vAlign w:val="center"/>
          </w:tcPr>
          <w:p w14:paraId="18458468">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增减金额</w:t>
            </w:r>
          </w:p>
        </w:tc>
        <w:tc>
          <w:tcPr>
            <w:tcW w:w="2512" w:type="dxa"/>
            <w:tcBorders>
              <w:top w:val="single" w:color="auto" w:sz="4" w:space="0"/>
              <w:left w:val="nil"/>
              <w:bottom w:val="single" w:color="auto" w:sz="4" w:space="0"/>
              <w:right w:val="single" w:color="auto" w:sz="4" w:space="0"/>
            </w:tcBorders>
            <w:vAlign w:val="center"/>
          </w:tcPr>
          <w:p w14:paraId="251CC4E3">
            <w:pPr>
              <w:widowControl/>
              <w:jc w:val="center"/>
              <w:rPr>
                <w:rFonts w:hint="eastAsia" w:cs="宋体" w:asciiTheme="minorEastAsia" w:hAnsiTheme="minorEastAsia" w:eastAsiaTheme="minorEastAsia"/>
                <w:kern w:val="0"/>
                <w:szCs w:val="21"/>
                <w:lang w:eastAsia="zh-CN"/>
              </w:rPr>
            </w:pPr>
            <w:r>
              <w:rPr>
                <w:rFonts w:hint="eastAsia" w:cs="宋体" w:asciiTheme="minorEastAsia" w:hAnsiTheme="minorEastAsia" w:eastAsiaTheme="minorEastAsia"/>
                <w:kern w:val="0"/>
                <w:szCs w:val="21"/>
                <w:lang w:eastAsia="zh-CN"/>
              </w:rPr>
              <w:t>变化情况</w:t>
            </w:r>
          </w:p>
        </w:tc>
      </w:tr>
      <w:tr w14:paraId="4ED9A3D3">
        <w:tblPrEx>
          <w:tblCellMar>
            <w:top w:w="0" w:type="dxa"/>
            <w:left w:w="108" w:type="dxa"/>
            <w:bottom w:w="0" w:type="dxa"/>
            <w:right w:w="108" w:type="dxa"/>
          </w:tblCellMar>
        </w:tblPrEx>
        <w:trPr>
          <w:trHeight w:val="285" w:hRule="atLeast"/>
        </w:trPr>
        <w:tc>
          <w:tcPr>
            <w:tcW w:w="1896" w:type="dxa"/>
            <w:tcBorders>
              <w:top w:val="nil"/>
              <w:left w:val="single" w:color="auto" w:sz="4" w:space="0"/>
              <w:bottom w:val="single" w:color="auto" w:sz="4" w:space="0"/>
              <w:right w:val="single" w:color="auto" w:sz="4" w:space="0"/>
            </w:tcBorders>
            <w:vAlign w:val="center"/>
          </w:tcPr>
          <w:p w14:paraId="42E6D6A2">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因公出国经费</w:t>
            </w:r>
          </w:p>
        </w:tc>
        <w:tc>
          <w:tcPr>
            <w:tcW w:w="1529" w:type="dxa"/>
            <w:tcBorders>
              <w:top w:val="nil"/>
              <w:left w:val="nil"/>
              <w:bottom w:val="single" w:color="auto" w:sz="4" w:space="0"/>
              <w:right w:val="single" w:color="auto" w:sz="4" w:space="0"/>
            </w:tcBorders>
            <w:vAlign w:val="center"/>
          </w:tcPr>
          <w:p w14:paraId="34A36E28">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0</w:t>
            </w:r>
          </w:p>
        </w:tc>
        <w:tc>
          <w:tcPr>
            <w:tcW w:w="1529" w:type="dxa"/>
            <w:tcBorders>
              <w:top w:val="nil"/>
              <w:left w:val="nil"/>
              <w:bottom w:val="single" w:color="auto" w:sz="4" w:space="0"/>
              <w:right w:val="single" w:color="auto" w:sz="4" w:space="0"/>
            </w:tcBorders>
            <w:vAlign w:val="center"/>
          </w:tcPr>
          <w:p w14:paraId="77D46069">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0</w:t>
            </w:r>
          </w:p>
        </w:tc>
        <w:tc>
          <w:tcPr>
            <w:tcW w:w="1056" w:type="dxa"/>
            <w:tcBorders>
              <w:top w:val="nil"/>
              <w:left w:val="nil"/>
              <w:bottom w:val="single" w:color="auto" w:sz="4" w:space="0"/>
              <w:right w:val="single" w:color="auto" w:sz="4" w:space="0"/>
            </w:tcBorders>
            <w:vAlign w:val="center"/>
          </w:tcPr>
          <w:p w14:paraId="7765E516">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0</w:t>
            </w:r>
          </w:p>
        </w:tc>
        <w:tc>
          <w:tcPr>
            <w:tcW w:w="2512" w:type="dxa"/>
            <w:tcBorders>
              <w:top w:val="nil"/>
              <w:left w:val="nil"/>
              <w:bottom w:val="single" w:color="auto" w:sz="4" w:space="0"/>
              <w:right w:val="single" w:color="auto" w:sz="4" w:space="0"/>
            </w:tcBorders>
            <w:vAlign w:val="center"/>
          </w:tcPr>
          <w:p w14:paraId="2201D7A8">
            <w:pPr>
              <w:widowControl/>
              <w:jc w:val="left"/>
              <w:rPr>
                <w:rFonts w:hint="eastAsia" w:cs="宋体" w:asciiTheme="minorEastAsia" w:hAnsiTheme="minorEastAsia" w:eastAsiaTheme="minorEastAsia"/>
                <w:kern w:val="0"/>
                <w:szCs w:val="21"/>
                <w:lang w:eastAsia="zh-CN"/>
              </w:rPr>
            </w:pPr>
            <w:r>
              <w:rPr>
                <w:rFonts w:hint="eastAsia" w:cs="宋体" w:asciiTheme="minorEastAsia" w:hAnsiTheme="minorEastAsia" w:eastAsiaTheme="minorEastAsia"/>
                <w:kern w:val="0"/>
                <w:szCs w:val="21"/>
                <w:lang w:eastAsia="zh-CN"/>
              </w:rPr>
              <w:t>无增减变化</w:t>
            </w:r>
          </w:p>
        </w:tc>
      </w:tr>
      <w:tr w14:paraId="3230F01B">
        <w:tblPrEx>
          <w:tblCellMar>
            <w:top w:w="0" w:type="dxa"/>
            <w:left w:w="108" w:type="dxa"/>
            <w:bottom w:w="0" w:type="dxa"/>
            <w:right w:w="108" w:type="dxa"/>
          </w:tblCellMar>
        </w:tblPrEx>
        <w:trPr>
          <w:trHeight w:val="285" w:hRule="atLeast"/>
        </w:trPr>
        <w:tc>
          <w:tcPr>
            <w:tcW w:w="1896" w:type="dxa"/>
            <w:tcBorders>
              <w:top w:val="nil"/>
              <w:left w:val="single" w:color="auto" w:sz="4" w:space="0"/>
              <w:bottom w:val="single" w:color="auto" w:sz="4" w:space="0"/>
              <w:right w:val="single" w:color="auto" w:sz="4" w:space="0"/>
            </w:tcBorders>
            <w:vAlign w:val="center"/>
          </w:tcPr>
          <w:p w14:paraId="28CBDA02">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公务用车购置经费</w:t>
            </w:r>
          </w:p>
        </w:tc>
        <w:tc>
          <w:tcPr>
            <w:tcW w:w="1529" w:type="dxa"/>
            <w:tcBorders>
              <w:top w:val="nil"/>
              <w:left w:val="nil"/>
              <w:bottom w:val="single" w:color="auto" w:sz="4" w:space="0"/>
              <w:right w:val="single" w:color="auto" w:sz="4" w:space="0"/>
            </w:tcBorders>
            <w:vAlign w:val="center"/>
          </w:tcPr>
          <w:p w14:paraId="60111D39">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0</w:t>
            </w:r>
          </w:p>
        </w:tc>
        <w:tc>
          <w:tcPr>
            <w:tcW w:w="1529" w:type="dxa"/>
            <w:tcBorders>
              <w:top w:val="nil"/>
              <w:left w:val="nil"/>
              <w:bottom w:val="single" w:color="auto" w:sz="4" w:space="0"/>
              <w:right w:val="single" w:color="auto" w:sz="4" w:space="0"/>
            </w:tcBorders>
            <w:vAlign w:val="center"/>
          </w:tcPr>
          <w:p w14:paraId="2FD2F451">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0</w:t>
            </w:r>
          </w:p>
        </w:tc>
        <w:tc>
          <w:tcPr>
            <w:tcW w:w="1056" w:type="dxa"/>
            <w:tcBorders>
              <w:top w:val="nil"/>
              <w:left w:val="nil"/>
              <w:bottom w:val="single" w:color="auto" w:sz="4" w:space="0"/>
              <w:right w:val="single" w:color="auto" w:sz="4" w:space="0"/>
            </w:tcBorders>
            <w:vAlign w:val="center"/>
          </w:tcPr>
          <w:p w14:paraId="59F2185E">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0</w:t>
            </w:r>
          </w:p>
        </w:tc>
        <w:tc>
          <w:tcPr>
            <w:tcW w:w="2512" w:type="dxa"/>
            <w:tcBorders>
              <w:top w:val="nil"/>
              <w:left w:val="nil"/>
              <w:bottom w:val="single" w:color="auto" w:sz="4" w:space="0"/>
              <w:right w:val="single" w:color="auto" w:sz="4" w:space="0"/>
            </w:tcBorders>
            <w:vAlign w:val="center"/>
          </w:tcPr>
          <w:p w14:paraId="1FE24463">
            <w:pPr>
              <w:widowControl/>
              <w:jc w:val="left"/>
              <w:rPr>
                <w:rFonts w:hint="eastAsia" w:cs="宋体" w:asciiTheme="minorEastAsia" w:hAnsiTheme="minorEastAsia" w:eastAsiaTheme="minorEastAsia"/>
                <w:kern w:val="0"/>
                <w:szCs w:val="21"/>
                <w:lang w:eastAsia="zh-CN"/>
              </w:rPr>
            </w:pPr>
            <w:r>
              <w:rPr>
                <w:rFonts w:hint="eastAsia" w:cs="宋体" w:asciiTheme="minorEastAsia" w:hAnsiTheme="minorEastAsia" w:eastAsiaTheme="minorEastAsia"/>
                <w:kern w:val="0"/>
                <w:szCs w:val="21"/>
                <w:lang w:eastAsia="zh-CN"/>
              </w:rPr>
              <w:t>无增减变化</w:t>
            </w:r>
          </w:p>
        </w:tc>
      </w:tr>
      <w:tr w14:paraId="585EB29B">
        <w:tblPrEx>
          <w:tblCellMar>
            <w:top w:w="0" w:type="dxa"/>
            <w:left w:w="108" w:type="dxa"/>
            <w:bottom w:w="0" w:type="dxa"/>
            <w:right w:w="108" w:type="dxa"/>
          </w:tblCellMar>
        </w:tblPrEx>
        <w:trPr>
          <w:trHeight w:val="570" w:hRule="atLeast"/>
        </w:trPr>
        <w:tc>
          <w:tcPr>
            <w:tcW w:w="1896" w:type="dxa"/>
            <w:tcBorders>
              <w:top w:val="nil"/>
              <w:left w:val="single" w:color="auto" w:sz="4" w:space="0"/>
              <w:bottom w:val="single" w:color="auto" w:sz="4" w:space="0"/>
              <w:right w:val="single" w:color="auto" w:sz="4" w:space="0"/>
            </w:tcBorders>
            <w:vAlign w:val="center"/>
          </w:tcPr>
          <w:p w14:paraId="688CA3CD">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公务用车运行经费</w:t>
            </w:r>
          </w:p>
        </w:tc>
        <w:tc>
          <w:tcPr>
            <w:tcW w:w="1529" w:type="dxa"/>
            <w:tcBorders>
              <w:top w:val="nil"/>
              <w:left w:val="nil"/>
              <w:bottom w:val="single" w:color="auto" w:sz="4" w:space="0"/>
              <w:right w:val="single" w:color="auto" w:sz="4" w:space="0"/>
            </w:tcBorders>
            <w:vAlign w:val="center"/>
          </w:tcPr>
          <w:p w14:paraId="67FC4ACD">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9</w:t>
            </w:r>
          </w:p>
        </w:tc>
        <w:tc>
          <w:tcPr>
            <w:tcW w:w="1529" w:type="dxa"/>
            <w:tcBorders>
              <w:top w:val="nil"/>
              <w:left w:val="nil"/>
              <w:bottom w:val="single" w:color="auto" w:sz="4" w:space="0"/>
              <w:right w:val="single" w:color="auto" w:sz="4" w:space="0"/>
            </w:tcBorders>
            <w:vAlign w:val="center"/>
          </w:tcPr>
          <w:p w14:paraId="2028510E">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9</w:t>
            </w:r>
          </w:p>
        </w:tc>
        <w:tc>
          <w:tcPr>
            <w:tcW w:w="1056" w:type="dxa"/>
            <w:tcBorders>
              <w:top w:val="nil"/>
              <w:left w:val="nil"/>
              <w:bottom w:val="single" w:color="auto" w:sz="4" w:space="0"/>
              <w:right w:val="single" w:color="auto" w:sz="4" w:space="0"/>
            </w:tcBorders>
            <w:vAlign w:val="center"/>
          </w:tcPr>
          <w:p w14:paraId="2F2062BD">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0</w:t>
            </w:r>
          </w:p>
        </w:tc>
        <w:tc>
          <w:tcPr>
            <w:tcW w:w="2512" w:type="dxa"/>
            <w:tcBorders>
              <w:top w:val="nil"/>
              <w:left w:val="nil"/>
              <w:bottom w:val="single" w:color="auto" w:sz="4" w:space="0"/>
              <w:right w:val="single" w:color="auto" w:sz="4" w:space="0"/>
            </w:tcBorders>
            <w:vAlign w:val="center"/>
          </w:tcPr>
          <w:p w14:paraId="4CD2D667">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与上年度持平</w:t>
            </w:r>
          </w:p>
        </w:tc>
      </w:tr>
      <w:tr w14:paraId="1E866164">
        <w:tblPrEx>
          <w:tblCellMar>
            <w:top w:w="0" w:type="dxa"/>
            <w:left w:w="108" w:type="dxa"/>
            <w:bottom w:w="0" w:type="dxa"/>
            <w:right w:w="108" w:type="dxa"/>
          </w:tblCellMar>
        </w:tblPrEx>
        <w:trPr>
          <w:trHeight w:val="855" w:hRule="atLeast"/>
        </w:trPr>
        <w:tc>
          <w:tcPr>
            <w:tcW w:w="1896" w:type="dxa"/>
            <w:tcBorders>
              <w:top w:val="nil"/>
              <w:left w:val="single" w:color="auto" w:sz="4" w:space="0"/>
              <w:bottom w:val="single" w:color="auto" w:sz="4" w:space="0"/>
              <w:right w:val="single" w:color="auto" w:sz="4" w:space="0"/>
            </w:tcBorders>
            <w:vAlign w:val="center"/>
          </w:tcPr>
          <w:p w14:paraId="33FB75B6">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公务接待费支出</w:t>
            </w:r>
          </w:p>
        </w:tc>
        <w:tc>
          <w:tcPr>
            <w:tcW w:w="1529" w:type="dxa"/>
            <w:tcBorders>
              <w:top w:val="nil"/>
              <w:left w:val="nil"/>
              <w:bottom w:val="single" w:color="auto" w:sz="4" w:space="0"/>
              <w:right w:val="single" w:color="auto" w:sz="4" w:space="0"/>
            </w:tcBorders>
            <w:vAlign w:val="center"/>
          </w:tcPr>
          <w:p w14:paraId="73A30141">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7</w:t>
            </w:r>
          </w:p>
        </w:tc>
        <w:tc>
          <w:tcPr>
            <w:tcW w:w="1529" w:type="dxa"/>
            <w:tcBorders>
              <w:top w:val="nil"/>
              <w:left w:val="nil"/>
              <w:bottom w:val="single" w:color="auto" w:sz="4" w:space="0"/>
              <w:right w:val="single" w:color="auto" w:sz="4" w:space="0"/>
            </w:tcBorders>
            <w:vAlign w:val="center"/>
          </w:tcPr>
          <w:p w14:paraId="11CB8F74">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7</w:t>
            </w:r>
          </w:p>
        </w:tc>
        <w:tc>
          <w:tcPr>
            <w:tcW w:w="1056" w:type="dxa"/>
            <w:tcBorders>
              <w:top w:val="nil"/>
              <w:left w:val="nil"/>
              <w:bottom w:val="single" w:color="auto" w:sz="4" w:space="0"/>
              <w:right w:val="single" w:color="auto" w:sz="4" w:space="0"/>
            </w:tcBorders>
            <w:vAlign w:val="center"/>
          </w:tcPr>
          <w:p w14:paraId="4E98D5B2">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0</w:t>
            </w:r>
          </w:p>
        </w:tc>
        <w:tc>
          <w:tcPr>
            <w:tcW w:w="2512" w:type="dxa"/>
            <w:tcBorders>
              <w:top w:val="nil"/>
              <w:left w:val="nil"/>
              <w:bottom w:val="single" w:color="auto" w:sz="4" w:space="0"/>
              <w:right w:val="single" w:color="auto" w:sz="4" w:space="0"/>
            </w:tcBorders>
            <w:vAlign w:val="center"/>
          </w:tcPr>
          <w:p w14:paraId="2F234034">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与上年度持平</w:t>
            </w:r>
          </w:p>
        </w:tc>
      </w:tr>
      <w:tr w14:paraId="071542B4">
        <w:tblPrEx>
          <w:tblCellMar>
            <w:top w:w="0" w:type="dxa"/>
            <w:left w:w="108" w:type="dxa"/>
            <w:bottom w:w="0" w:type="dxa"/>
            <w:right w:w="108" w:type="dxa"/>
          </w:tblCellMar>
        </w:tblPrEx>
        <w:trPr>
          <w:trHeight w:val="1140" w:hRule="atLeast"/>
        </w:trPr>
        <w:tc>
          <w:tcPr>
            <w:tcW w:w="1896" w:type="dxa"/>
            <w:tcBorders>
              <w:top w:val="nil"/>
              <w:left w:val="single" w:color="auto" w:sz="4" w:space="0"/>
              <w:bottom w:val="single" w:color="auto" w:sz="4" w:space="0"/>
              <w:right w:val="single" w:color="auto" w:sz="4" w:space="0"/>
            </w:tcBorders>
            <w:vAlign w:val="center"/>
          </w:tcPr>
          <w:p w14:paraId="7C259598">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合计</w:t>
            </w:r>
          </w:p>
        </w:tc>
        <w:tc>
          <w:tcPr>
            <w:tcW w:w="1529" w:type="dxa"/>
            <w:tcBorders>
              <w:top w:val="nil"/>
              <w:left w:val="nil"/>
              <w:bottom w:val="single" w:color="auto" w:sz="4" w:space="0"/>
              <w:right w:val="single" w:color="auto" w:sz="4" w:space="0"/>
            </w:tcBorders>
            <w:vAlign w:val="center"/>
          </w:tcPr>
          <w:p w14:paraId="1BD6721B">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16</w:t>
            </w:r>
          </w:p>
        </w:tc>
        <w:tc>
          <w:tcPr>
            <w:tcW w:w="1529" w:type="dxa"/>
            <w:tcBorders>
              <w:top w:val="nil"/>
              <w:left w:val="nil"/>
              <w:bottom w:val="single" w:color="auto" w:sz="4" w:space="0"/>
              <w:right w:val="single" w:color="auto" w:sz="4" w:space="0"/>
            </w:tcBorders>
            <w:vAlign w:val="center"/>
          </w:tcPr>
          <w:p w14:paraId="14D503E8">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16</w:t>
            </w:r>
          </w:p>
        </w:tc>
        <w:tc>
          <w:tcPr>
            <w:tcW w:w="1056" w:type="dxa"/>
            <w:tcBorders>
              <w:top w:val="nil"/>
              <w:left w:val="nil"/>
              <w:bottom w:val="single" w:color="auto" w:sz="4" w:space="0"/>
              <w:right w:val="single" w:color="auto" w:sz="4" w:space="0"/>
            </w:tcBorders>
            <w:vAlign w:val="center"/>
          </w:tcPr>
          <w:p w14:paraId="1F1C71D1">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0</w:t>
            </w:r>
          </w:p>
        </w:tc>
        <w:tc>
          <w:tcPr>
            <w:tcW w:w="2512" w:type="dxa"/>
            <w:tcBorders>
              <w:top w:val="nil"/>
              <w:left w:val="nil"/>
              <w:bottom w:val="single" w:color="auto" w:sz="4" w:space="0"/>
              <w:right w:val="single" w:color="auto" w:sz="4" w:space="0"/>
            </w:tcBorders>
            <w:vAlign w:val="center"/>
          </w:tcPr>
          <w:p w14:paraId="1EDD183F">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与上年度持平</w:t>
            </w:r>
          </w:p>
        </w:tc>
      </w:tr>
      <w:tr w14:paraId="2AAB930F">
        <w:tblPrEx>
          <w:tblCellMar>
            <w:top w:w="0" w:type="dxa"/>
            <w:left w:w="108" w:type="dxa"/>
            <w:bottom w:w="0" w:type="dxa"/>
            <w:right w:w="108" w:type="dxa"/>
          </w:tblCellMar>
        </w:tblPrEx>
        <w:trPr>
          <w:trHeight w:val="285" w:hRule="atLeast"/>
        </w:trPr>
        <w:tc>
          <w:tcPr>
            <w:tcW w:w="1896" w:type="dxa"/>
            <w:tcBorders>
              <w:top w:val="nil"/>
              <w:left w:val="nil"/>
              <w:bottom w:val="nil"/>
              <w:right w:val="nil"/>
            </w:tcBorders>
            <w:vAlign w:val="center"/>
          </w:tcPr>
          <w:p w14:paraId="69080A15">
            <w:pPr>
              <w:widowControl/>
              <w:jc w:val="left"/>
              <w:rPr>
                <w:rFonts w:hint="eastAsia" w:cs="宋体" w:asciiTheme="minorEastAsia" w:hAnsiTheme="minorEastAsia" w:eastAsiaTheme="minorEastAsia"/>
                <w:kern w:val="0"/>
                <w:szCs w:val="21"/>
              </w:rPr>
            </w:pPr>
          </w:p>
        </w:tc>
        <w:tc>
          <w:tcPr>
            <w:tcW w:w="1529" w:type="dxa"/>
            <w:tcBorders>
              <w:top w:val="nil"/>
              <w:left w:val="nil"/>
              <w:bottom w:val="nil"/>
              <w:right w:val="nil"/>
            </w:tcBorders>
            <w:vAlign w:val="center"/>
          </w:tcPr>
          <w:p w14:paraId="7F8A35A4">
            <w:pPr>
              <w:widowControl/>
              <w:jc w:val="left"/>
              <w:rPr>
                <w:rFonts w:cs="宋体" w:asciiTheme="minorEastAsia" w:hAnsiTheme="minorEastAsia" w:eastAsiaTheme="minorEastAsia"/>
                <w:kern w:val="0"/>
                <w:szCs w:val="21"/>
              </w:rPr>
            </w:pPr>
          </w:p>
        </w:tc>
        <w:tc>
          <w:tcPr>
            <w:tcW w:w="1529" w:type="dxa"/>
            <w:tcBorders>
              <w:top w:val="nil"/>
              <w:left w:val="nil"/>
              <w:bottom w:val="nil"/>
              <w:right w:val="nil"/>
            </w:tcBorders>
            <w:vAlign w:val="center"/>
          </w:tcPr>
          <w:p w14:paraId="17128C28">
            <w:pPr>
              <w:widowControl/>
              <w:jc w:val="left"/>
              <w:rPr>
                <w:rFonts w:cs="宋体" w:asciiTheme="minorEastAsia" w:hAnsiTheme="minorEastAsia" w:eastAsiaTheme="minorEastAsia"/>
                <w:kern w:val="0"/>
                <w:szCs w:val="21"/>
              </w:rPr>
            </w:pPr>
          </w:p>
        </w:tc>
        <w:tc>
          <w:tcPr>
            <w:tcW w:w="1056" w:type="dxa"/>
            <w:tcBorders>
              <w:top w:val="nil"/>
              <w:left w:val="nil"/>
              <w:bottom w:val="nil"/>
              <w:right w:val="nil"/>
            </w:tcBorders>
            <w:vAlign w:val="center"/>
          </w:tcPr>
          <w:p w14:paraId="2E63F9B6">
            <w:pPr>
              <w:widowControl/>
              <w:jc w:val="left"/>
              <w:rPr>
                <w:rFonts w:cs="宋体" w:asciiTheme="minorEastAsia" w:hAnsiTheme="minorEastAsia" w:eastAsiaTheme="minorEastAsia"/>
                <w:kern w:val="0"/>
                <w:szCs w:val="21"/>
              </w:rPr>
            </w:pPr>
          </w:p>
        </w:tc>
        <w:tc>
          <w:tcPr>
            <w:tcW w:w="2512" w:type="dxa"/>
            <w:tcBorders>
              <w:top w:val="nil"/>
              <w:left w:val="nil"/>
              <w:bottom w:val="nil"/>
              <w:right w:val="nil"/>
            </w:tcBorders>
            <w:vAlign w:val="center"/>
          </w:tcPr>
          <w:p w14:paraId="11341A28">
            <w:pPr>
              <w:widowControl/>
              <w:jc w:val="left"/>
              <w:rPr>
                <w:rFonts w:cs="宋体" w:asciiTheme="minorEastAsia" w:hAnsiTheme="minorEastAsia" w:eastAsiaTheme="minorEastAsia"/>
                <w:kern w:val="0"/>
                <w:szCs w:val="21"/>
              </w:rPr>
            </w:pPr>
          </w:p>
        </w:tc>
      </w:tr>
    </w:tbl>
    <w:p w14:paraId="7B15903A">
      <w:pPr>
        <w:jc w:val="left"/>
        <w:rPr>
          <w:rFonts w:hint="eastAsia" w:ascii="宋体" w:cs="宋体"/>
          <w:color w:val="000000"/>
          <w:kern w:val="0"/>
          <w:sz w:val="28"/>
          <w:szCs w:val="28"/>
        </w:rPr>
      </w:pPr>
    </w:p>
    <w:p w14:paraId="0A0E1305">
      <w:pPr>
        <w:numPr>
          <w:ilvl w:val="0"/>
          <w:numId w:val="1"/>
        </w:numPr>
        <w:jc w:val="left"/>
        <w:rPr>
          <w:rFonts w:ascii="宋体" w:cs="宋体"/>
          <w:b/>
          <w:bCs/>
          <w:color w:val="000000"/>
          <w:kern w:val="0"/>
          <w:sz w:val="28"/>
          <w:szCs w:val="28"/>
        </w:rPr>
      </w:pPr>
      <w:r>
        <w:rPr>
          <w:rFonts w:hint="eastAsia" w:ascii="宋体" w:hAnsi="宋体" w:cs="宋体"/>
          <w:b/>
          <w:bCs/>
          <w:color w:val="000000"/>
          <w:kern w:val="0"/>
          <w:sz w:val="28"/>
          <w:szCs w:val="28"/>
        </w:rPr>
        <w:t>绩效预算信息情况</w:t>
      </w:r>
    </w:p>
    <w:p w14:paraId="11FB5DC7">
      <w:pPr>
        <w:ind w:firstLine="630" w:firstLineChars="196"/>
        <w:jc w:val="left"/>
        <w:rPr>
          <w:rFonts w:ascii="仿宋" w:hAnsi="仿宋" w:eastAsia="仿宋" w:cs="宋体"/>
          <w:b/>
          <w:bCs/>
          <w:color w:val="000000"/>
          <w:kern w:val="0"/>
          <w:sz w:val="32"/>
          <w:szCs w:val="32"/>
        </w:rPr>
      </w:pPr>
      <w:r>
        <w:rPr>
          <w:rFonts w:ascii="仿宋" w:hAnsi="仿宋" w:eastAsia="仿宋" w:cs="宋体"/>
          <w:b/>
          <w:bCs/>
          <w:color w:val="000000"/>
          <w:kern w:val="0"/>
          <w:sz w:val="32"/>
          <w:szCs w:val="32"/>
        </w:rPr>
        <w:tab/>
      </w:r>
      <w:r>
        <w:rPr>
          <w:rFonts w:hint="eastAsia" w:ascii="仿宋" w:hAnsi="仿宋" w:eastAsia="仿宋" w:cs="宋体"/>
          <w:b/>
          <w:bCs/>
          <w:color w:val="000000"/>
          <w:kern w:val="0"/>
          <w:sz w:val="32"/>
          <w:szCs w:val="32"/>
        </w:rPr>
        <w:t>总体绩效目标：绩效目标管理是预算绩效管理的基础和源头，我镇将认真开展</w:t>
      </w:r>
      <w:r>
        <w:rPr>
          <w:rFonts w:ascii="仿宋" w:hAnsi="仿宋" w:eastAsia="仿宋" w:cs="宋体"/>
          <w:b/>
          <w:bCs/>
          <w:color w:val="000000"/>
          <w:kern w:val="0"/>
          <w:sz w:val="32"/>
          <w:szCs w:val="32"/>
        </w:rPr>
        <w:t>2017</w:t>
      </w:r>
      <w:r>
        <w:rPr>
          <w:rFonts w:hint="eastAsia" w:ascii="仿宋" w:hAnsi="仿宋" w:eastAsia="仿宋" w:cs="宋体"/>
          <w:b/>
          <w:bCs/>
          <w:color w:val="000000"/>
          <w:kern w:val="0"/>
          <w:sz w:val="32"/>
          <w:szCs w:val="32"/>
        </w:rPr>
        <w:t>年预算绩效目标管理。</w:t>
      </w:r>
    </w:p>
    <w:p w14:paraId="0DE6DAB3">
      <w:pPr>
        <w:jc w:val="left"/>
        <w:rPr>
          <w:rFonts w:ascii="仿宋" w:hAnsi="仿宋" w:eastAsia="仿宋" w:cs="宋体"/>
          <w:b/>
          <w:bCs/>
          <w:color w:val="000000"/>
          <w:kern w:val="0"/>
          <w:sz w:val="32"/>
          <w:szCs w:val="32"/>
        </w:rPr>
      </w:pPr>
      <w:r>
        <w:rPr>
          <w:rFonts w:eastAsia="仿宋" w:cs="Calibri"/>
          <w:b/>
          <w:bCs/>
          <w:color w:val="000000"/>
          <w:kern w:val="0"/>
          <w:sz w:val="32"/>
          <w:szCs w:val="32"/>
        </w:rPr>
        <w:t>   </w:t>
      </w:r>
      <w:r>
        <w:rPr>
          <w:rFonts w:ascii="仿宋" w:hAnsi="仿宋" w:eastAsia="仿宋" w:cs="宋体"/>
          <w:b/>
          <w:bCs/>
          <w:color w:val="000000"/>
          <w:kern w:val="0"/>
          <w:sz w:val="32"/>
          <w:szCs w:val="32"/>
        </w:rPr>
        <w:t xml:space="preserve"> </w:t>
      </w:r>
      <w:r>
        <w:rPr>
          <w:rFonts w:hint="eastAsia" w:ascii="仿宋" w:hAnsi="仿宋" w:eastAsia="仿宋" w:cs="宋体"/>
          <w:b/>
          <w:bCs/>
          <w:color w:val="000000"/>
          <w:kern w:val="0"/>
          <w:sz w:val="32"/>
          <w:szCs w:val="32"/>
        </w:rPr>
        <w:t>一是扩大管理范围。积极扩大绩效目标和申报资金的范围，将项目支出绩效目标覆盖所有支出范围。在编制</w:t>
      </w:r>
      <w:r>
        <w:rPr>
          <w:rFonts w:ascii="仿宋" w:hAnsi="仿宋" w:eastAsia="仿宋" w:cs="宋体"/>
          <w:b/>
          <w:bCs/>
          <w:color w:val="000000"/>
          <w:kern w:val="0"/>
          <w:sz w:val="32"/>
          <w:szCs w:val="32"/>
        </w:rPr>
        <w:t>2017</w:t>
      </w:r>
      <w:r>
        <w:rPr>
          <w:rFonts w:hint="eastAsia" w:ascii="仿宋" w:hAnsi="仿宋" w:eastAsia="仿宋" w:cs="宋体"/>
          <w:b/>
          <w:bCs/>
          <w:color w:val="000000"/>
          <w:kern w:val="0"/>
          <w:sz w:val="32"/>
          <w:szCs w:val="32"/>
        </w:rPr>
        <w:t>年预算时申报项目支出绩效目标。</w:t>
      </w:r>
    </w:p>
    <w:p w14:paraId="0BE856C1">
      <w:pPr>
        <w:jc w:val="left"/>
        <w:rPr>
          <w:rFonts w:ascii="仿宋" w:hAnsi="仿宋" w:eastAsia="仿宋" w:cs="宋体"/>
          <w:b/>
          <w:bCs/>
          <w:color w:val="000000"/>
          <w:kern w:val="0"/>
          <w:sz w:val="32"/>
          <w:szCs w:val="32"/>
        </w:rPr>
      </w:pPr>
      <w:r>
        <w:rPr>
          <w:rFonts w:eastAsia="仿宋" w:cs="Calibri"/>
          <w:b/>
          <w:bCs/>
          <w:color w:val="000000"/>
          <w:kern w:val="0"/>
          <w:sz w:val="32"/>
          <w:szCs w:val="32"/>
        </w:rPr>
        <w:t>   </w:t>
      </w:r>
      <w:r>
        <w:rPr>
          <w:rFonts w:ascii="仿宋" w:hAnsi="仿宋" w:eastAsia="仿宋" w:cs="宋体"/>
          <w:b/>
          <w:bCs/>
          <w:color w:val="000000"/>
          <w:kern w:val="0"/>
          <w:sz w:val="32"/>
          <w:szCs w:val="32"/>
        </w:rPr>
        <w:t xml:space="preserve"> </w:t>
      </w:r>
      <w:r>
        <w:rPr>
          <w:rFonts w:hint="eastAsia" w:ascii="仿宋" w:hAnsi="仿宋" w:eastAsia="仿宋" w:cs="宋体"/>
          <w:b/>
          <w:bCs/>
          <w:color w:val="000000"/>
          <w:kern w:val="0"/>
          <w:sz w:val="32"/>
          <w:szCs w:val="32"/>
        </w:rPr>
        <w:t>二是拓展管理层次。在项目支出绩效目标的基础上，加强部门整体支出绩效目标管理。按要求编报</w:t>
      </w:r>
      <w:r>
        <w:rPr>
          <w:rFonts w:ascii="仿宋" w:hAnsi="仿宋" w:eastAsia="仿宋" w:cs="宋体"/>
          <w:b/>
          <w:bCs/>
          <w:color w:val="000000"/>
          <w:kern w:val="0"/>
          <w:sz w:val="32"/>
          <w:szCs w:val="32"/>
        </w:rPr>
        <w:t>2017</w:t>
      </w:r>
      <w:r>
        <w:rPr>
          <w:rFonts w:hint="eastAsia" w:ascii="仿宋" w:hAnsi="仿宋" w:eastAsia="仿宋" w:cs="宋体"/>
          <w:b/>
          <w:bCs/>
          <w:color w:val="000000"/>
          <w:kern w:val="0"/>
          <w:sz w:val="32"/>
          <w:szCs w:val="32"/>
        </w:rPr>
        <w:t>年部门整体支出绩效目标。</w:t>
      </w:r>
    </w:p>
    <w:p w14:paraId="62FDCD86">
      <w:pPr>
        <w:jc w:val="left"/>
        <w:rPr>
          <w:rFonts w:hint="eastAsia" w:ascii="仿宋" w:hAnsi="仿宋" w:eastAsia="仿宋" w:cs="宋体"/>
          <w:b/>
          <w:bCs/>
          <w:color w:val="000000"/>
          <w:kern w:val="0"/>
          <w:sz w:val="32"/>
          <w:szCs w:val="32"/>
        </w:rPr>
        <w:sectPr>
          <w:pgSz w:w="11906" w:h="16838"/>
          <w:pgMar w:top="1440" w:right="1800" w:bottom="1440" w:left="1800" w:header="851" w:footer="992" w:gutter="0"/>
          <w:cols w:space="425" w:num="1"/>
          <w:docGrid w:type="lines" w:linePitch="312" w:charSpace="0"/>
        </w:sectPr>
      </w:pPr>
      <w:r>
        <w:rPr>
          <w:rFonts w:eastAsia="仿宋" w:cs="Calibri"/>
          <w:b/>
          <w:bCs/>
          <w:color w:val="000000"/>
          <w:kern w:val="0"/>
          <w:sz w:val="32"/>
          <w:szCs w:val="32"/>
        </w:rPr>
        <w:t>   </w:t>
      </w:r>
      <w:r>
        <w:rPr>
          <w:rFonts w:ascii="仿宋" w:hAnsi="仿宋" w:eastAsia="仿宋" w:cs="宋体"/>
          <w:b/>
          <w:bCs/>
          <w:color w:val="000000"/>
          <w:kern w:val="0"/>
          <w:sz w:val="32"/>
          <w:szCs w:val="32"/>
        </w:rPr>
        <w:t xml:space="preserve"> </w:t>
      </w:r>
      <w:r>
        <w:rPr>
          <w:rFonts w:hint="eastAsia" w:ascii="仿宋" w:hAnsi="仿宋" w:eastAsia="仿宋" w:cs="宋体"/>
          <w:b/>
          <w:bCs/>
          <w:color w:val="000000"/>
          <w:kern w:val="0"/>
          <w:sz w:val="32"/>
          <w:szCs w:val="32"/>
        </w:rPr>
        <w:t>三是规范管理方式。将预算绩效目标管理纳入预算绩效管理信息系统，提高绩效目标管理科学化、规范化水平，提高工作质量和效率。</w:t>
      </w:r>
    </w:p>
    <w:p w14:paraId="1D0B6B16">
      <w:pPr>
        <w:rPr>
          <w:rFonts w:hint="eastAsia" w:ascii="宋体" w:cs="宋体"/>
          <w:sz w:val="28"/>
          <w:szCs w:val="28"/>
        </w:rPr>
        <w:sectPr>
          <w:pgSz w:w="11906" w:h="16838"/>
          <w:pgMar w:top="1440" w:right="1800" w:bottom="1440" w:left="1800" w:header="851" w:footer="992" w:gutter="0"/>
          <w:cols w:space="720" w:num="1"/>
          <w:docGrid w:type="lines" w:linePitch="312" w:charSpace="0"/>
        </w:sectPr>
      </w:pPr>
    </w:p>
    <w:p w14:paraId="5CC463FE">
      <w:pPr>
        <w:jc w:val="left"/>
        <w:rPr>
          <w:rFonts w:hint="eastAsia" w:ascii="宋体" w:cs="宋体"/>
          <w:b/>
          <w:bCs/>
          <w:color w:val="000000"/>
          <w:kern w:val="0"/>
          <w:sz w:val="28"/>
          <w:szCs w:val="28"/>
        </w:rPr>
      </w:pPr>
    </w:p>
    <w:p w14:paraId="32992707">
      <w:pPr>
        <w:jc w:val="center"/>
        <w:outlineLvl w:val="0"/>
        <w:rPr>
          <w:rFonts w:ascii="宋体"/>
          <w:sz w:val="28"/>
          <w:szCs w:val="28"/>
        </w:rPr>
      </w:pPr>
      <w:bookmarkStart w:id="0" w:name="_Toc477164883"/>
      <w:bookmarkStart w:id="1" w:name="OLE_LINK1"/>
      <w:r>
        <w:rPr>
          <w:rFonts w:hint="eastAsia" w:ascii="宋体" w:hAnsi="宋体"/>
          <w:sz w:val="28"/>
          <w:szCs w:val="28"/>
        </w:rPr>
        <w:t>部门职责</w:t>
      </w:r>
      <w:r>
        <w:rPr>
          <w:rFonts w:ascii="宋体" w:hAnsi="宋体"/>
          <w:sz w:val="28"/>
          <w:szCs w:val="28"/>
        </w:rPr>
        <w:t>-</w:t>
      </w:r>
      <w:r>
        <w:rPr>
          <w:rFonts w:hint="eastAsia" w:ascii="宋体" w:hAnsi="宋体"/>
          <w:sz w:val="28"/>
          <w:szCs w:val="28"/>
        </w:rPr>
        <w:t>工作活动绩效目标</w:t>
      </w:r>
      <w:bookmarkEnd w:id="0"/>
    </w:p>
    <w:tbl>
      <w:tblPr>
        <w:tblStyle w:val="6"/>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695AA8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14:paraId="4AAD54D1">
            <w:pPr>
              <w:spacing w:line="300" w:lineRule="exact"/>
              <w:jc w:val="left"/>
              <w:rPr>
                <w:rFonts w:asciiTheme="minorEastAsia" w:hAnsiTheme="minorEastAsia" w:eastAsiaTheme="minorEastAsia"/>
                <w:szCs w:val="21"/>
              </w:rPr>
            </w:pPr>
            <w:r>
              <w:rPr>
                <w:rFonts w:asciiTheme="minorEastAsia" w:hAnsiTheme="minorEastAsia" w:eastAsiaTheme="minorEastAsia"/>
                <w:szCs w:val="21"/>
              </w:rPr>
              <w:t>804</w:t>
            </w:r>
            <w:r>
              <w:rPr>
                <w:rFonts w:hint="eastAsia" w:asciiTheme="minorEastAsia" w:hAnsiTheme="minorEastAsia" w:eastAsiaTheme="minorEastAsia"/>
                <w:szCs w:val="21"/>
              </w:rPr>
              <w:t>涞水县永阳镇人民政府</w:t>
            </w:r>
          </w:p>
        </w:tc>
        <w:tc>
          <w:tcPr>
            <w:tcW w:w="2948" w:type="dxa"/>
            <w:gridSpan w:val="4"/>
            <w:tcBorders>
              <w:top w:val="single" w:color="FFFFFF" w:sz="6" w:space="0"/>
              <w:left w:val="single" w:color="FFFFFF" w:sz="6" w:space="0"/>
              <w:right w:val="single" w:color="FFFFFF" w:sz="6" w:space="0"/>
            </w:tcBorders>
            <w:vAlign w:val="center"/>
          </w:tcPr>
          <w:p w14:paraId="61CD94D5">
            <w:pPr>
              <w:spacing w:line="300" w:lineRule="exact"/>
              <w:jc w:val="right"/>
              <w:rPr>
                <w:rFonts w:asciiTheme="minorEastAsia" w:hAnsiTheme="minorEastAsia" w:eastAsiaTheme="minorEastAsia"/>
                <w:szCs w:val="21"/>
              </w:rPr>
            </w:pPr>
            <w:r>
              <w:rPr>
                <w:rFonts w:hint="eastAsia" w:asciiTheme="minorEastAsia" w:hAnsiTheme="minorEastAsia" w:eastAsiaTheme="minorEastAsia"/>
                <w:szCs w:val="21"/>
              </w:rPr>
              <w:t>单位：万元</w:t>
            </w:r>
          </w:p>
        </w:tc>
      </w:tr>
      <w:tr w14:paraId="2EE10D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14:paraId="31ADBE65">
            <w:pPr>
              <w:spacing w:line="3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职责活动</w:t>
            </w:r>
          </w:p>
        </w:tc>
        <w:tc>
          <w:tcPr>
            <w:tcW w:w="1276" w:type="dxa"/>
            <w:vMerge w:val="restart"/>
            <w:vAlign w:val="center"/>
          </w:tcPr>
          <w:p w14:paraId="3B35F495">
            <w:pPr>
              <w:spacing w:line="3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年度预算数</w:t>
            </w:r>
          </w:p>
        </w:tc>
        <w:tc>
          <w:tcPr>
            <w:tcW w:w="2976" w:type="dxa"/>
            <w:vMerge w:val="restart"/>
            <w:vAlign w:val="center"/>
          </w:tcPr>
          <w:p w14:paraId="206EDA0B">
            <w:pPr>
              <w:spacing w:line="3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内容描述</w:t>
            </w:r>
          </w:p>
        </w:tc>
        <w:tc>
          <w:tcPr>
            <w:tcW w:w="2976" w:type="dxa"/>
            <w:vMerge w:val="restart"/>
            <w:vAlign w:val="center"/>
          </w:tcPr>
          <w:p w14:paraId="355605C0">
            <w:pPr>
              <w:spacing w:line="3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绩效目标</w:t>
            </w:r>
          </w:p>
        </w:tc>
        <w:tc>
          <w:tcPr>
            <w:tcW w:w="1417" w:type="dxa"/>
            <w:vMerge w:val="restart"/>
            <w:vAlign w:val="center"/>
          </w:tcPr>
          <w:p w14:paraId="7B72153F">
            <w:pPr>
              <w:spacing w:line="3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绩效指标</w:t>
            </w:r>
          </w:p>
        </w:tc>
        <w:tc>
          <w:tcPr>
            <w:tcW w:w="2948" w:type="dxa"/>
            <w:gridSpan w:val="4"/>
            <w:vAlign w:val="center"/>
          </w:tcPr>
          <w:p w14:paraId="048C5FA0">
            <w:pPr>
              <w:spacing w:line="3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评价标准</w:t>
            </w:r>
          </w:p>
        </w:tc>
      </w:tr>
      <w:tr w14:paraId="7B2374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14:paraId="355918E4">
            <w:pPr>
              <w:spacing w:line="300" w:lineRule="exact"/>
              <w:jc w:val="left"/>
              <w:outlineLvl w:val="0"/>
              <w:rPr>
                <w:rFonts w:asciiTheme="minorEastAsia" w:hAnsiTheme="minorEastAsia" w:eastAsiaTheme="minorEastAsia"/>
                <w:szCs w:val="21"/>
              </w:rPr>
            </w:pPr>
          </w:p>
        </w:tc>
        <w:tc>
          <w:tcPr>
            <w:tcW w:w="1276" w:type="dxa"/>
            <w:vMerge w:val="continue"/>
            <w:vAlign w:val="center"/>
          </w:tcPr>
          <w:p w14:paraId="1F2F0AEB">
            <w:pPr>
              <w:spacing w:line="300" w:lineRule="exact"/>
              <w:jc w:val="left"/>
              <w:outlineLvl w:val="0"/>
              <w:rPr>
                <w:rFonts w:asciiTheme="minorEastAsia" w:hAnsiTheme="minorEastAsia" w:eastAsiaTheme="minorEastAsia"/>
                <w:szCs w:val="21"/>
              </w:rPr>
            </w:pPr>
          </w:p>
        </w:tc>
        <w:tc>
          <w:tcPr>
            <w:tcW w:w="2976" w:type="dxa"/>
            <w:vMerge w:val="continue"/>
            <w:vAlign w:val="center"/>
          </w:tcPr>
          <w:p w14:paraId="3558CBEF">
            <w:pPr>
              <w:spacing w:line="300" w:lineRule="exact"/>
              <w:jc w:val="left"/>
              <w:outlineLvl w:val="0"/>
              <w:rPr>
                <w:rFonts w:asciiTheme="minorEastAsia" w:hAnsiTheme="minorEastAsia" w:eastAsiaTheme="minorEastAsia"/>
                <w:szCs w:val="21"/>
              </w:rPr>
            </w:pPr>
          </w:p>
        </w:tc>
        <w:tc>
          <w:tcPr>
            <w:tcW w:w="2976" w:type="dxa"/>
            <w:vMerge w:val="continue"/>
            <w:vAlign w:val="center"/>
          </w:tcPr>
          <w:p w14:paraId="7E4A9EAA">
            <w:pPr>
              <w:spacing w:line="300" w:lineRule="exact"/>
              <w:jc w:val="left"/>
              <w:outlineLvl w:val="0"/>
              <w:rPr>
                <w:rFonts w:asciiTheme="minorEastAsia" w:hAnsiTheme="minorEastAsia" w:eastAsiaTheme="minorEastAsia"/>
                <w:szCs w:val="21"/>
              </w:rPr>
            </w:pPr>
          </w:p>
        </w:tc>
        <w:tc>
          <w:tcPr>
            <w:tcW w:w="1417" w:type="dxa"/>
            <w:vMerge w:val="continue"/>
            <w:vAlign w:val="center"/>
          </w:tcPr>
          <w:p w14:paraId="2A81033D">
            <w:pPr>
              <w:spacing w:line="300" w:lineRule="exact"/>
              <w:jc w:val="left"/>
              <w:outlineLvl w:val="0"/>
              <w:rPr>
                <w:rFonts w:asciiTheme="minorEastAsia" w:hAnsiTheme="minorEastAsia" w:eastAsiaTheme="minorEastAsia"/>
                <w:szCs w:val="21"/>
              </w:rPr>
            </w:pPr>
          </w:p>
        </w:tc>
        <w:tc>
          <w:tcPr>
            <w:tcW w:w="737" w:type="dxa"/>
            <w:vAlign w:val="center"/>
          </w:tcPr>
          <w:p w14:paraId="2B488625">
            <w:pPr>
              <w:spacing w:line="3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优</w:t>
            </w:r>
          </w:p>
        </w:tc>
        <w:tc>
          <w:tcPr>
            <w:tcW w:w="737" w:type="dxa"/>
            <w:vAlign w:val="center"/>
          </w:tcPr>
          <w:p w14:paraId="7A9ACD19">
            <w:pPr>
              <w:spacing w:line="3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良</w:t>
            </w:r>
          </w:p>
        </w:tc>
        <w:tc>
          <w:tcPr>
            <w:tcW w:w="737" w:type="dxa"/>
            <w:vAlign w:val="center"/>
          </w:tcPr>
          <w:p w14:paraId="12C04D7D">
            <w:pPr>
              <w:spacing w:line="3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中</w:t>
            </w:r>
          </w:p>
        </w:tc>
        <w:tc>
          <w:tcPr>
            <w:tcW w:w="737" w:type="dxa"/>
            <w:vAlign w:val="center"/>
          </w:tcPr>
          <w:p w14:paraId="2BA7A571">
            <w:pPr>
              <w:spacing w:line="3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差</w:t>
            </w:r>
          </w:p>
        </w:tc>
      </w:tr>
      <w:tr w14:paraId="319CEB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5490313">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人大监督</w:t>
            </w:r>
          </w:p>
        </w:tc>
        <w:tc>
          <w:tcPr>
            <w:tcW w:w="1276" w:type="dxa"/>
            <w:vAlign w:val="center"/>
          </w:tcPr>
          <w:p w14:paraId="2624919D">
            <w:pPr>
              <w:spacing w:line="300" w:lineRule="exact"/>
              <w:jc w:val="left"/>
              <w:rPr>
                <w:rFonts w:asciiTheme="minorEastAsia" w:hAnsiTheme="minorEastAsia" w:eastAsiaTheme="minorEastAsia"/>
                <w:szCs w:val="21"/>
              </w:rPr>
            </w:pPr>
          </w:p>
        </w:tc>
        <w:tc>
          <w:tcPr>
            <w:tcW w:w="2976" w:type="dxa"/>
            <w:vAlign w:val="center"/>
          </w:tcPr>
          <w:p w14:paraId="45FEE87B">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围绕政府工作报告监督组织实施</w:t>
            </w:r>
          </w:p>
        </w:tc>
        <w:tc>
          <w:tcPr>
            <w:tcW w:w="2976" w:type="dxa"/>
            <w:vAlign w:val="center"/>
          </w:tcPr>
          <w:p w14:paraId="425EABD9">
            <w:pPr>
              <w:spacing w:line="300" w:lineRule="exact"/>
              <w:jc w:val="left"/>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、监督宪法和法律实施</w:t>
            </w:r>
            <w:r>
              <w:rPr>
                <w:rFonts w:asciiTheme="minorEastAsia" w:hAnsiTheme="minorEastAsia" w:eastAsiaTheme="minorEastAsia"/>
                <w:szCs w:val="21"/>
              </w:rPr>
              <w:t xml:space="preserve"> 2</w:t>
            </w:r>
            <w:r>
              <w:rPr>
                <w:rFonts w:hint="eastAsia" w:asciiTheme="minorEastAsia" w:hAnsiTheme="minorEastAsia" w:eastAsiaTheme="minorEastAsia"/>
                <w:szCs w:val="21"/>
              </w:rPr>
              <w:t>、监督本级预算按乡人代会通过的预算有效实施</w:t>
            </w:r>
            <w:r>
              <w:rPr>
                <w:rFonts w:asciiTheme="minorEastAsia" w:hAnsiTheme="minorEastAsia" w:eastAsiaTheme="minorEastAsia"/>
                <w:szCs w:val="21"/>
              </w:rPr>
              <w:t xml:space="preserve"> 3</w:t>
            </w:r>
            <w:r>
              <w:rPr>
                <w:rFonts w:hint="eastAsia" w:asciiTheme="minorEastAsia" w:hAnsiTheme="minorEastAsia" w:eastAsiaTheme="minorEastAsia"/>
                <w:szCs w:val="21"/>
              </w:rPr>
              <w:t>、监督经济和社会发展计划有效实施</w:t>
            </w:r>
          </w:p>
        </w:tc>
        <w:tc>
          <w:tcPr>
            <w:tcW w:w="1417" w:type="dxa"/>
            <w:vAlign w:val="center"/>
          </w:tcPr>
          <w:p w14:paraId="77627572">
            <w:pPr>
              <w:spacing w:line="300" w:lineRule="exact"/>
              <w:jc w:val="left"/>
              <w:rPr>
                <w:rFonts w:asciiTheme="minorEastAsia" w:hAnsiTheme="minorEastAsia" w:eastAsiaTheme="minorEastAsia"/>
                <w:szCs w:val="21"/>
              </w:rPr>
            </w:pPr>
          </w:p>
        </w:tc>
        <w:tc>
          <w:tcPr>
            <w:tcW w:w="737" w:type="dxa"/>
            <w:vAlign w:val="center"/>
          </w:tcPr>
          <w:p w14:paraId="1A2082CB">
            <w:pPr>
              <w:spacing w:line="300" w:lineRule="exact"/>
              <w:jc w:val="center"/>
              <w:rPr>
                <w:rFonts w:asciiTheme="minorEastAsia" w:hAnsiTheme="minorEastAsia" w:eastAsiaTheme="minorEastAsia"/>
                <w:szCs w:val="21"/>
              </w:rPr>
            </w:pPr>
          </w:p>
        </w:tc>
        <w:tc>
          <w:tcPr>
            <w:tcW w:w="737" w:type="dxa"/>
            <w:vAlign w:val="center"/>
          </w:tcPr>
          <w:p w14:paraId="7F63B02A">
            <w:pPr>
              <w:spacing w:line="300" w:lineRule="exact"/>
              <w:jc w:val="center"/>
              <w:rPr>
                <w:rFonts w:asciiTheme="minorEastAsia" w:hAnsiTheme="minorEastAsia" w:eastAsiaTheme="minorEastAsia"/>
                <w:szCs w:val="21"/>
              </w:rPr>
            </w:pPr>
          </w:p>
        </w:tc>
        <w:tc>
          <w:tcPr>
            <w:tcW w:w="737" w:type="dxa"/>
            <w:vAlign w:val="center"/>
          </w:tcPr>
          <w:p w14:paraId="23946024">
            <w:pPr>
              <w:spacing w:line="300" w:lineRule="exact"/>
              <w:jc w:val="center"/>
              <w:rPr>
                <w:rFonts w:asciiTheme="minorEastAsia" w:hAnsiTheme="minorEastAsia" w:eastAsiaTheme="minorEastAsia"/>
                <w:szCs w:val="21"/>
              </w:rPr>
            </w:pPr>
          </w:p>
        </w:tc>
        <w:tc>
          <w:tcPr>
            <w:tcW w:w="737" w:type="dxa"/>
            <w:vAlign w:val="center"/>
          </w:tcPr>
          <w:p w14:paraId="2E8FE9FB">
            <w:pPr>
              <w:spacing w:line="300" w:lineRule="exact"/>
              <w:jc w:val="center"/>
              <w:rPr>
                <w:rFonts w:asciiTheme="minorEastAsia" w:hAnsiTheme="minorEastAsia" w:eastAsiaTheme="minorEastAsia"/>
                <w:szCs w:val="21"/>
              </w:rPr>
            </w:pPr>
          </w:p>
        </w:tc>
      </w:tr>
      <w:tr w14:paraId="7BBE3E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7563FC59">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人大代表活动</w:t>
            </w:r>
          </w:p>
        </w:tc>
        <w:tc>
          <w:tcPr>
            <w:tcW w:w="1276" w:type="dxa"/>
            <w:vMerge w:val="restart"/>
            <w:vAlign w:val="center"/>
          </w:tcPr>
          <w:p w14:paraId="5590F0F5">
            <w:pPr>
              <w:spacing w:line="300" w:lineRule="exact"/>
              <w:jc w:val="left"/>
              <w:rPr>
                <w:rFonts w:asciiTheme="minorEastAsia" w:hAnsiTheme="minorEastAsia" w:eastAsiaTheme="minorEastAsia"/>
                <w:szCs w:val="21"/>
              </w:rPr>
            </w:pPr>
          </w:p>
        </w:tc>
        <w:tc>
          <w:tcPr>
            <w:tcW w:w="2976" w:type="dxa"/>
            <w:vMerge w:val="restart"/>
            <w:vAlign w:val="center"/>
          </w:tcPr>
          <w:p w14:paraId="19B0B8AF">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对法律实施情况进行检查，开展代表建议督办活动</w:t>
            </w:r>
          </w:p>
        </w:tc>
        <w:tc>
          <w:tcPr>
            <w:tcW w:w="2976" w:type="dxa"/>
            <w:vMerge w:val="restart"/>
            <w:vAlign w:val="center"/>
          </w:tcPr>
          <w:p w14:paraId="515FB54D">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提高法规质量，发挥人大的桥梁纽带作用，反映民意，促进依法履职</w:t>
            </w:r>
          </w:p>
        </w:tc>
        <w:tc>
          <w:tcPr>
            <w:tcW w:w="1417" w:type="dxa"/>
            <w:vAlign w:val="center"/>
          </w:tcPr>
          <w:p w14:paraId="4BAA3ACF">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建议督办完成率</w:t>
            </w:r>
          </w:p>
        </w:tc>
        <w:tc>
          <w:tcPr>
            <w:tcW w:w="737" w:type="dxa"/>
            <w:vAlign w:val="center"/>
          </w:tcPr>
          <w:p w14:paraId="283B8E5B">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90%</w:t>
            </w:r>
          </w:p>
        </w:tc>
        <w:tc>
          <w:tcPr>
            <w:tcW w:w="737" w:type="dxa"/>
            <w:vAlign w:val="center"/>
          </w:tcPr>
          <w:p w14:paraId="514ECFA8">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80%</w:t>
            </w:r>
          </w:p>
        </w:tc>
        <w:tc>
          <w:tcPr>
            <w:tcW w:w="737" w:type="dxa"/>
            <w:vAlign w:val="center"/>
          </w:tcPr>
          <w:p w14:paraId="082D410F">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70%</w:t>
            </w:r>
          </w:p>
        </w:tc>
        <w:tc>
          <w:tcPr>
            <w:tcW w:w="737" w:type="dxa"/>
            <w:vAlign w:val="center"/>
          </w:tcPr>
          <w:p w14:paraId="74C2145F">
            <w:pPr>
              <w:spacing w:line="300" w:lineRule="exact"/>
              <w:jc w:val="center"/>
              <w:rPr>
                <w:rFonts w:asciiTheme="minorEastAsia" w:hAnsiTheme="minorEastAsia" w:eastAsiaTheme="minorEastAsia"/>
                <w:szCs w:val="21"/>
              </w:rPr>
            </w:pPr>
            <w:r>
              <w:rPr>
                <w:rFonts w:asciiTheme="minorEastAsia" w:hAnsiTheme="minorEastAsia" w:eastAsiaTheme="minorEastAsia"/>
                <w:szCs w:val="21"/>
              </w:rPr>
              <w:t>&lt;70%</w:t>
            </w:r>
          </w:p>
        </w:tc>
      </w:tr>
      <w:tr w14:paraId="0299CA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0DDB0F47">
            <w:pPr>
              <w:spacing w:line="300" w:lineRule="exact"/>
              <w:jc w:val="left"/>
              <w:rPr>
                <w:rFonts w:asciiTheme="minorEastAsia" w:hAnsiTheme="minorEastAsia" w:eastAsiaTheme="minorEastAsia"/>
                <w:b/>
                <w:szCs w:val="21"/>
              </w:rPr>
            </w:pPr>
          </w:p>
        </w:tc>
        <w:tc>
          <w:tcPr>
            <w:tcW w:w="1276" w:type="dxa"/>
            <w:vMerge w:val="continue"/>
            <w:vAlign w:val="center"/>
          </w:tcPr>
          <w:p w14:paraId="04BC9D8D">
            <w:pPr>
              <w:spacing w:line="300" w:lineRule="exact"/>
              <w:jc w:val="left"/>
              <w:rPr>
                <w:rFonts w:asciiTheme="minorEastAsia" w:hAnsiTheme="minorEastAsia" w:eastAsiaTheme="minorEastAsia"/>
                <w:szCs w:val="21"/>
              </w:rPr>
            </w:pPr>
          </w:p>
        </w:tc>
        <w:tc>
          <w:tcPr>
            <w:tcW w:w="2976" w:type="dxa"/>
            <w:vMerge w:val="continue"/>
            <w:vAlign w:val="center"/>
          </w:tcPr>
          <w:p w14:paraId="1A8E0903">
            <w:pPr>
              <w:spacing w:line="300" w:lineRule="exact"/>
              <w:jc w:val="left"/>
              <w:rPr>
                <w:rFonts w:asciiTheme="minorEastAsia" w:hAnsiTheme="minorEastAsia" w:eastAsiaTheme="minorEastAsia"/>
                <w:szCs w:val="21"/>
              </w:rPr>
            </w:pPr>
          </w:p>
        </w:tc>
        <w:tc>
          <w:tcPr>
            <w:tcW w:w="2976" w:type="dxa"/>
            <w:vMerge w:val="continue"/>
            <w:vAlign w:val="center"/>
          </w:tcPr>
          <w:p w14:paraId="12A1EB57">
            <w:pPr>
              <w:spacing w:line="300" w:lineRule="exact"/>
              <w:jc w:val="left"/>
              <w:rPr>
                <w:rFonts w:asciiTheme="minorEastAsia" w:hAnsiTheme="minorEastAsia" w:eastAsiaTheme="minorEastAsia"/>
                <w:szCs w:val="21"/>
              </w:rPr>
            </w:pPr>
          </w:p>
        </w:tc>
        <w:tc>
          <w:tcPr>
            <w:tcW w:w="1417" w:type="dxa"/>
            <w:vAlign w:val="center"/>
          </w:tcPr>
          <w:p w14:paraId="466C56D9">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执法检查任务完成率</w:t>
            </w:r>
          </w:p>
        </w:tc>
        <w:tc>
          <w:tcPr>
            <w:tcW w:w="737" w:type="dxa"/>
            <w:vAlign w:val="center"/>
          </w:tcPr>
          <w:p w14:paraId="2DEE85DA">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90%</w:t>
            </w:r>
          </w:p>
        </w:tc>
        <w:tc>
          <w:tcPr>
            <w:tcW w:w="737" w:type="dxa"/>
            <w:vAlign w:val="center"/>
          </w:tcPr>
          <w:p w14:paraId="3159DC56">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80%</w:t>
            </w:r>
          </w:p>
        </w:tc>
        <w:tc>
          <w:tcPr>
            <w:tcW w:w="737" w:type="dxa"/>
            <w:vAlign w:val="center"/>
          </w:tcPr>
          <w:p w14:paraId="739C7962">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70%</w:t>
            </w:r>
          </w:p>
        </w:tc>
        <w:tc>
          <w:tcPr>
            <w:tcW w:w="737" w:type="dxa"/>
            <w:vAlign w:val="center"/>
          </w:tcPr>
          <w:p w14:paraId="4C9E5347">
            <w:pPr>
              <w:spacing w:line="300" w:lineRule="exact"/>
              <w:jc w:val="center"/>
              <w:rPr>
                <w:rFonts w:asciiTheme="minorEastAsia" w:hAnsiTheme="minorEastAsia" w:eastAsiaTheme="minorEastAsia"/>
                <w:szCs w:val="21"/>
              </w:rPr>
            </w:pPr>
            <w:r>
              <w:rPr>
                <w:rFonts w:asciiTheme="minorEastAsia" w:hAnsiTheme="minorEastAsia" w:eastAsiaTheme="minorEastAsia"/>
                <w:szCs w:val="21"/>
              </w:rPr>
              <w:t>&lt;70%</w:t>
            </w:r>
          </w:p>
        </w:tc>
      </w:tr>
      <w:tr w14:paraId="4B0558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2DF2297">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人大会议</w:t>
            </w:r>
          </w:p>
        </w:tc>
        <w:tc>
          <w:tcPr>
            <w:tcW w:w="1276" w:type="dxa"/>
            <w:vAlign w:val="center"/>
          </w:tcPr>
          <w:p w14:paraId="6EB6EA05">
            <w:pPr>
              <w:spacing w:line="300" w:lineRule="exact"/>
              <w:jc w:val="left"/>
              <w:rPr>
                <w:rFonts w:asciiTheme="minorEastAsia" w:hAnsiTheme="minorEastAsia" w:eastAsiaTheme="minorEastAsia"/>
                <w:szCs w:val="21"/>
              </w:rPr>
            </w:pPr>
          </w:p>
        </w:tc>
        <w:tc>
          <w:tcPr>
            <w:tcW w:w="2976" w:type="dxa"/>
            <w:vAlign w:val="center"/>
          </w:tcPr>
          <w:p w14:paraId="31AF3F83">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决定会议事项，工作部署，学习重要文件及领导批示的传达督办，在人大会议上发表审议意见，做出经济社会发展计划，本级预算，完成政府换届选举工作</w:t>
            </w:r>
          </w:p>
        </w:tc>
        <w:tc>
          <w:tcPr>
            <w:tcW w:w="2976" w:type="dxa"/>
            <w:vAlign w:val="center"/>
          </w:tcPr>
          <w:p w14:paraId="7501A714">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督促政府履职尽责，完成经济社会发展计划及预算的执行，完成政府换届选举工作</w:t>
            </w:r>
          </w:p>
        </w:tc>
        <w:tc>
          <w:tcPr>
            <w:tcW w:w="1417" w:type="dxa"/>
            <w:vAlign w:val="center"/>
          </w:tcPr>
          <w:p w14:paraId="2271FD8F">
            <w:pPr>
              <w:spacing w:line="300" w:lineRule="exact"/>
              <w:jc w:val="left"/>
              <w:rPr>
                <w:rFonts w:asciiTheme="minorEastAsia" w:hAnsiTheme="minorEastAsia" w:eastAsiaTheme="minorEastAsia"/>
                <w:szCs w:val="21"/>
              </w:rPr>
            </w:pPr>
          </w:p>
        </w:tc>
        <w:tc>
          <w:tcPr>
            <w:tcW w:w="737" w:type="dxa"/>
            <w:vAlign w:val="center"/>
          </w:tcPr>
          <w:p w14:paraId="4B2B4916">
            <w:pPr>
              <w:spacing w:line="300" w:lineRule="exact"/>
              <w:jc w:val="center"/>
              <w:rPr>
                <w:rFonts w:asciiTheme="minorEastAsia" w:hAnsiTheme="minorEastAsia" w:eastAsiaTheme="minorEastAsia"/>
                <w:szCs w:val="21"/>
              </w:rPr>
            </w:pPr>
          </w:p>
        </w:tc>
        <w:tc>
          <w:tcPr>
            <w:tcW w:w="737" w:type="dxa"/>
            <w:vAlign w:val="center"/>
          </w:tcPr>
          <w:p w14:paraId="63BDD825">
            <w:pPr>
              <w:spacing w:line="300" w:lineRule="exact"/>
              <w:jc w:val="center"/>
              <w:rPr>
                <w:rFonts w:asciiTheme="minorEastAsia" w:hAnsiTheme="minorEastAsia" w:eastAsiaTheme="minorEastAsia"/>
                <w:szCs w:val="21"/>
              </w:rPr>
            </w:pPr>
          </w:p>
        </w:tc>
        <w:tc>
          <w:tcPr>
            <w:tcW w:w="737" w:type="dxa"/>
            <w:vAlign w:val="center"/>
          </w:tcPr>
          <w:p w14:paraId="3BE0B91B">
            <w:pPr>
              <w:spacing w:line="300" w:lineRule="exact"/>
              <w:jc w:val="center"/>
              <w:rPr>
                <w:rFonts w:asciiTheme="minorEastAsia" w:hAnsiTheme="minorEastAsia" w:eastAsiaTheme="minorEastAsia"/>
                <w:szCs w:val="21"/>
              </w:rPr>
            </w:pPr>
          </w:p>
        </w:tc>
        <w:tc>
          <w:tcPr>
            <w:tcW w:w="737" w:type="dxa"/>
            <w:vAlign w:val="center"/>
          </w:tcPr>
          <w:p w14:paraId="5EE9A03D">
            <w:pPr>
              <w:spacing w:line="300" w:lineRule="exact"/>
              <w:jc w:val="center"/>
              <w:rPr>
                <w:rFonts w:asciiTheme="minorEastAsia" w:hAnsiTheme="minorEastAsia" w:eastAsiaTheme="minorEastAsia"/>
                <w:szCs w:val="21"/>
              </w:rPr>
            </w:pPr>
          </w:p>
        </w:tc>
      </w:tr>
      <w:tr w14:paraId="6D51BF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C0560D1">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人大会议</w:t>
            </w:r>
          </w:p>
        </w:tc>
        <w:tc>
          <w:tcPr>
            <w:tcW w:w="1276" w:type="dxa"/>
            <w:vAlign w:val="center"/>
          </w:tcPr>
          <w:p w14:paraId="7AD636E3">
            <w:pPr>
              <w:spacing w:line="300" w:lineRule="exact"/>
              <w:jc w:val="left"/>
              <w:rPr>
                <w:rFonts w:asciiTheme="minorEastAsia" w:hAnsiTheme="minorEastAsia" w:eastAsiaTheme="minorEastAsia"/>
                <w:szCs w:val="21"/>
              </w:rPr>
            </w:pPr>
          </w:p>
        </w:tc>
        <w:tc>
          <w:tcPr>
            <w:tcW w:w="2976" w:type="dxa"/>
            <w:vAlign w:val="center"/>
          </w:tcPr>
          <w:p w14:paraId="36ABF23E">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承担镇人民代表大会各种会议的筹备、会务工作，负责文件起草、审核把关，会议决定事项、工作部署、重要文件及领导批示的传达和督办。</w:t>
            </w:r>
          </w:p>
        </w:tc>
        <w:tc>
          <w:tcPr>
            <w:tcW w:w="2976" w:type="dxa"/>
            <w:vAlign w:val="center"/>
          </w:tcPr>
          <w:p w14:paraId="413C448E">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完善各项会议制度，规范会议程序，提高会议质量，提高人大代表及常委会审议水平。</w:t>
            </w:r>
          </w:p>
        </w:tc>
        <w:tc>
          <w:tcPr>
            <w:tcW w:w="1417" w:type="dxa"/>
            <w:vAlign w:val="center"/>
          </w:tcPr>
          <w:p w14:paraId="1E7842D6">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会议筹备及会务工作的完成率</w:t>
            </w:r>
          </w:p>
        </w:tc>
        <w:tc>
          <w:tcPr>
            <w:tcW w:w="737" w:type="dxa"/>
            <w:vAlign w:val="center"/>
          </w:tcPr>
          <w:p w14:paraId="01E993DC">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100%</w:t>
            </w:r>
          </w:p>
        </w:tc>
        <w:tc>
          <w:tcPr>
            <w:tcW w:w="737" w:type="dxa"/>
            <w:vAlign w:val="center"/>
          </w:tcPr>
          <w:p w14:paraId="11E13CDA">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95%</w:t>
            </w:r>
          </w:p>
        </w:tc>
        <w:tc>
          <w:tcPr>
            <w:tcW w:w="737" w:type="dxa"/>
            <w:vAlign w:val="center"/>
          </w:tcPr>
          <w:p w14:paraId="1485ED21">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90%</w:t>
            </w:r>
          </w:p>
        </w:tc>
        <w:tc>
          <w:tcPr>
            <w:tcW w:w="737" w:type="dxa"/>
            <w:vAlign w:val="center"/>
          </w:tcPr>
          <w:p w14:paraId="00CEBB3B">
            <w:pPr>
              <w:spacing w:line="300" w:lineRule="exact"/>
              <w:jc w:val="center"/>
              <w:rPr>
                <w:rFonts w:asciiTheme="minorEastAsia" w:hAnsiTheme="minorEastAsia" w:eastAsiaTheme="minorEastAsia"/>
                <w:szCs w:val="21"/>
              </w:rPr>
            </w:pPr>
            <w:r>
              <w:rPr>
                <w:rFonts w:asciiTheme="minorEastAsia" w:hAnsiTheme="minorEastAsia" w:eastAsiaTheme="minorEastAsia"/>
                <w:szCs w:val="21"/>
              </w:rPr>
              <w:t>&lt;90%</w:t>
            </w:r>
          </w:p>
        </w:tc>
      </w:tr>
      <w:tr w14:paraId="5FFD4B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5C07A96">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办案问责</w:t>
            </w:r>
          </w:p>
        </w:tc>
        <w:tc>
          <w:tcPr>
            <w:tcW w:w="1276" w:type="dxa"/>
            <w:vAlign w:val="center"/>
          </w:tcPr>
          <w:p w14:paraId="78801704">
            <w:pPr>
              <w:spacing w:line="300" w:lineRule="exact"/>
              <w:jc w:val="left"/>
              <w:rPr>
                <w:rFonts w:asciiTheme="minorEastAsia" w:hAnsiTheme="minorEastAsia" w:eastAsiaTheme="minorEastAsia"/>
                <w:szCs w:val="21"/>
              </w:rPr>
            </w:pPr>
          </w:p>
        </w:tc>
        <w:tc>
          <w:tcPr>
            <w:tcW w:w="2976" w:type="dxa"/>
            <w:vAlign w:val="center"/>
          </w:tcPr>
          <w:p w14:paraId="57B0DA2A">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受理信访、举报等案件，组织协调案件的查办，调查、审查违纪违法案件，对案件审理提出处理意见</w:t>
            </w:r>
          </w:p>
        </w:tc>
        <w:tc>
          <w:tcPr>
            <w:tcW w:w="2976" w:type="dxa"/>
            <w:vAlign w:val="center"/>
          </w:tcPr>
          <w:p w14:paraId="0D5693A9">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维护党纪国法尊严，坚决惩处腐败分子，遏制腐败现象</w:t>
            </w:r>
          </w:p>
        </w:tc>
        <w:tc>
          <w:tcPr>
            <w:tcW w:w="1417" w:type="dxa"/>
            <w:vAlign w:val="center"/>
          </w:tcPr>
          <w:p w14:paraId="38E2BAAC">
            <w:pPr>
              <w:spacing w:line="300" w:lineRule="exact"/>
              <w:jc w:val="left"/>
              <w:rPr>
                <w:rFonts w:asciiTheme="minorEastAsia" w:hAnsiTheme="minorEastAsia" w:eastAsiaTheme="minorEastAsia"/>
                <w:szCs w:val="21"/>
              </w:rPr>
            </w:pPr>
          </w:p>
        </w:tc>
        <w:tc>
          <w:tcPr>
            <w:tcW w:w="737" w:type="dxa"/>
            <w:vAlign w:val="center"/>
          </w:tcPr>
          <w:p w14:paraId="25E17C82">
            <w:pPr>
              <w:spacing w:line="300" w:lineRule="exact"/>
              <w:jc w:val="center"/>
              <w:rPr>
                <w:rFonts w:asciiTheme="minorEastAsia" w:hAnsiTheme="minorEastAsia" w:eastAsiaTheme="minorEastAsia"/>
                <w:szCs w:val="21"/>
              </w:rPr>
            </w:pPr>
          </w:p>
        </w:tc>
        <w:tc>
          <w:tcPr>
            <w:tcW w:w="737" w:type="dxa"/>
            <w:vAlign w:val="center"/>
          </w:tcPr>
          <w:p w14:paraId="3993D783">
            <w:pPr>
              <w:spacing w:line="300" w:lineRule="exact"/>
              <w:jc w:val="center"/>
              <w:rPr>
                <w:rFonts w:asciiTheme="minorEastAsia" w:hAnsiTheme="minorEastAsia" w:eastAsiaTheme="minorEastAsia"/>
                <w:szCs w:val="21"/>
              </w:rPr>
            </w:pPr>
          </w:p>
        </w:tc>
        <w:tc>
          <w:tcPr>
            <w:tcW w:w="737" w:type="dxa"/>
            <w:vAlign w:val="center"/>
          </w:tcPr>
          <w:p w14:paraId="583BF683">
            <w:pPr>
              <w:spacing w:line="300" w:lineRule="exact"/>
              <w:jc w:val="center"/>
              <w:rPr>
                <w:rFonts w:asciiTheme="minorEastAsia" w:hAnsiTheme="minorEastAsia" w:eastAsiaTheme="minorEastAsia"/>
                <w:szCs w:val="21"/>
              </w:rPr>
            </w:pPr>
          </w:p>
        </w:tc>
        <w:tc>
          <w:tcPr>
            <w:tcW w:w="737" w:type="dxa"/>
            <w:vAlign w:val="center"/>
          </w:tcPr>
          <w:p w14:paraId="0A4256EF">
            <w:pPr>
              <w:spacing w:line="300" w:lineRule="exact"/>
              <w:jc w:val="center"/>
              <w:rPr>
                <w:rFonts w:asciiTheme="minorEastAsia" w:hAnsiTheme="minorEastAsia" w:eastAsiaTheme="minorEastAsia"/>
                <w:szCs w:val="21"/>
              </w:rPr>
            </w:pPr>
          </w:p>
        </w:tc>
      </w:tr>
      <w:tr w14:paraId="1495E9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41B674E">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案件查办</w:t>
            </w:r>
          </w:p>
        </w:tc>
        <w:tc>
          <w:tcPr>
            <w:tcW w:w="1276" w:type="dxa"/>
            <w:vAlign w:val="center"/>
          </w:tcPr>
          <w:p w14:paraId="765BA926">
            <w:pPr>
              <w:spacing w:line="300" w:lineRule="exact"/>
              <w:jc w:val="left"/>
              <w:rPr>
                <w:rFonts w:asciiTheme="minorEastAsia" w:hAnsiTheme="minorEastAsia" w:eastAsiaTheme="minorEastAsia"/>
                <w:szCs w:val="21"/>
              </w:rPr>
            </w:pPr>
          </w:p>
        </w:tc>
        <w:tc>
          <w:tcPr>
            <w:tcW w:w="2976" w:type="dxa"/>
            <w:vAlign w:val="center"/>
          </w:tcPr>
          <w:p w14:paraId="6AA05B9C">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对违反党纪政纪的违法违纪行为进行处理，协调案件查办工作</w:t>
            </w:r>
          </w:p>
        </w:tc>
        <w:tc>
          <w:tcPr>
            <w:tcW w:w="2976" w:type="dxa"/>
            <w:vAlign w:val="center"/>
          </w:tcPr>
          <w:p w14:paraId="1ECAABFD">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维护党纪国法尊严，坚决惩处腐败分子，遏制腐败现象</w:t>
            </w:r>
          </w:p>
        </w:tc>
        <w:tc>
          <w:tcPr>
            <w:tcW w:w="1417" w:type="dxa"/>
            <w:vAlign w:val="center"/>
          </w:tcPr>
          <w:p w14:paraId="0F25F1DD">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案件查办率</w:t>
            </w:r>
          </w:p>
        </w:tc>
        <w:tc>
          <w:tcPr>
            <w:tcW w:w="737" w:type="dxa"/>
            <w:vAlign w:val="center"/>
          </w:tcPr>
          <w:p w14:paraId="558B252B">
            <w:pPr>
              <w:spacing w:line="300" w:lineRule="exact"/>
              <w:jc w:val="center"/>
              <w:rPr>
                <w:rFonts w:asciiTheme="minorEastAsia" w:hAnsiTheme="minorEastAsia" w:eastAsiaTheme="minorEastAsia"/>
                <w:szCs w:val="21"/>
              </w:rPr>
            </w:pPr>
          </w:p>
        </w:tc>
        <w:tc>
          <w:tcPr>
            <w:tcW w:w="737" w:type="dxa"/>
            <w:vAlign w:val="center"/>
          </w:tcPr>
          <w:p w14:paraId="578370E5">
            <w:pPr>
              <w:spacing w:line="300" w:lineRule="exact"/>
              <w:jc w:val="center"/>
              <w:rPr>
                <w:rFonts w:asciiTheme="minorEastAsia" w:hAnsiTheme="minorEastAsia" w:eastAsiaTheme="minorEastAsia"/>
                <w:szCs w:val="21"/>
              </w:rPr>
            </w:pPr>
          </w:p>
        </w:tc>
        <w:tc>
          <w:tcPr>
            <w:tcW w:w="737" w:type="dxa"/>
            <w:vAlign w:val="center"/>
          </w:tcPr>
          <w:p w14:paraId="7D7D9531">
            <w:pPr>
              <w:spacing w:line="300" w:lineRule="exact"/>
              <w:jc w:val="center"/>
              <w:rPr>
                <w:rFonts w:asciiTheme="minorEastAsia" w:hAnsiTheme="minorEastAsia" w:eastAsiaTheme="minorEastAsia"/>
                <w:szCs w:val="21"/>
              </w:rPr>
            </w:pPr>
          </w:p>
        </w:tc>
        <w:tc>
          <w:tcPr>
            <w:tcW w:w="737" w:type="dxa"/>
            <w:vAlign w:val="center"/>
          </w:tcPr>
          <w:p w14:paraId="2296575A">
            <w:pPr>
              <w:spacing w:line="300" w:lineRule="exact"/>
              <w:jc w:val="center"/>
              <w:rPr>
                <w:rFonts w:asciiTheme="minorEastAsia" w:hAnsiTheme="minorEastAsia" w:eastAsiaTheme="minorEastAsia"/>
                <w:szCs w:val="21"/>
              </w:rPr>
            </w:pPr>
          </w:p>
        </w:tc>
      </w:tr>
      <w:tr w14:paraId="36123B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CE48DFE">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党风廉政建设</w:t>
            </w:r>
          </w:p>
        </w:tc>
        <w:tc>
          <w:tcPr>
            <w:tcW w:w="1276" w:type="dxa"/>
            <w:vAlign w:val="center"/>
          </w:tcPr>
          <w:p w14:paraId="29530B36">
            <w:pPr>
              <w:spacing w:line="300" w:lineRule="exact"/>
              <w:jc w:val="left"/>
              <w:rPr>
                <w:rFonts w:asciiTheme="minorEastAsia" w:hAnsiTheme="minorEastAsia" w:eastAsiaTheme="minorEastAsia"/>
                <w:szCs w:val="21"/>
              </w:rPr>
            </w:pPr>
          </w:p>
        </w:tc>
        <w:tc>
          <w:tcPr>
            <w:tcW w:w="2976" w:type="dxa"/>
            <w:vAlign w:val="center"/>
          </w:tcPr>
          <w:p w14:paraId="424BC5DF">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组织协调党风廉政建设和反腐败宣传、教育、课题研究等工作；承担预防腐败局的日常工作</w:t>
            </w:r>
          </w:p>
        </w:tc>
        <w:tc>
          <w:tcPr>
            <w:tcW w:w="2976" w:type="dxa"/>
            <w:vAlign w:val="center"/>
          </w:tcPr>
          <w:p w14:paraId="3CD34629">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积极发挥职能作用，加强党风廉政建设，营造风清气正、干事创业的工作氛围。</w:t>
            </w:r>
          </w:p>
        </w:tc>
        <w:tc>
          <w:tcPr>
            <w:tcW w:w="1417" w:type="dxa"/>
            <w:vAlign w:val="center"/>
          </w:tcPr>
          <w:p w14:paraId="67B5170E">
            <w:pPr>
              <w:spacing w:line="300" w:lineRule="exact"/>
              <w:jc w:val="left"/>
              <w:rPr>
                <w:rFonts w:asciiTheme="minorEastAsia" w:hAnsiTheme="minorEastAsia" w:eastAsiaTheme="minorEastAsia"/>
                <w:szCs w:val="21"/>
              </w:rPr>
            </w:pPr>
          </w:p>
        </w:tc>
        <w:tc>
          <w:tcPr>
            <w:tcW w:w="737" w:type="dxa"/>
            <w:vAlign w:val="center"/>
          </w:tcPr>
          <w:p w14:paraId="138DEE64">
            <w:pPr>
              <w:spacing w:line="300" w:lineRule="exact"/>
              <w:jc w:val="center"/>
              <w:rPr>
                <w:rFonts w:asciiTheme="minorEastAsia" w:hAnsiTheme="minorEastAsia" w:eastAsiaTheme="minorEastAsia"/>
                <w:szCs w:val="21"/>
              </w:rPr>
            </w:pPr>
          </w:p>
        </w:tc>
        <w:tc>
          <w:tcPr>
            <w:tcW w:w="737" w:type="dxa"/>
            <w:vAlign w:val="center"/>
          </w:tcPr>
          <w:p w14:paraId="649704A1">
            <w:pPr>
              <w:spacing w:line="300" w:lineRule="exact"/>
              <w:jc w:val="center"/>
              <w:rPr>
                <w:rFonts w:asciiTheme="minorEastAsia" w:hAnsiTheme="minorEastAsia" w:eastAsiaTheme="minorEastAsia"/>
                <w:szCs w:val="21"/>
              </w:rPr>
            </w:pPr>
          </w:p>
        </w:tc>
        <w:tc>
          <w:tcPr>
            <w:tcW w:w="737" w:type="dxa"/>
            <w:vAlign w:val="center"/>
          </w:tcPr>
          <w:p w14:paraId="28F8B2D3">
            <w:pPr>
              <w:spacing w:line="300" w:lineRule="exact"/>
              <w:jc w:val="center"/>
              <w:rPr>
                <w:rFonts w:asciiTheme="minorEastAsia" w:hAnsiTheme="minorEastAsia" w:eastAsiaTheme="minorEastAsia"/>
                <w:szCs w:val="21"/>
              </w:rPr>
            </w:pPr>
          </w:p>
        </w:tc>
        <w:tc>
          <w:tcPr>
            <w:tcW w:w="737" w:type="dxa"/>
            <w:vAlign w:val="center"/>
          </w:tcPr>
          <w:p w14:paraId="450D9265">
            <w:pPr>
              <w:spacing w:line="300" w:lineRule="exact"/>
              <w:jc w:val="center"/>
              <w:rPr>
                <w:rFonts w:asciiTheme="minorEastAsia" w:hAnsiTheme="minorEastAsia" w:eastAsiaTheme="minorEastAsia"/>
                <w:szCs w:val="21"/>
              </w:rPr>
            </w:pPr>
          </w:p>
        </w:tc>
      </w:tr>
      <w:tr w14:paraId="19963A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782230C">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党风廉政建设</w:t>
            </w:r>
          </w:p>
        </w:tc>
        <w:tc>
          <w:tcPr>
            <w:tcW w:w="1276" w:type="dxa"/>
            <w:vAlign w:val="center"/>
          </w:tcPr>
          <w:p w14:paraId="3667BB07">
            <w:pPr>
              <w:spacing w:line="300" w:lineRule="exact"/>
              <w:jc w:val="left"/>
              <w:rPr>
                <w:rFonts w:asciiTheme="minorEastAsia" w:hAnsiTheme="minorEastAsia" w:eastAsiaTheme="minorEastAsia"/>
                <w:szCs w:val="21"/>
              </w:rPr>
            </w:pPr>
          </w:p>
        </w:tc>
        <w:tc>
          <w:tcPr>
            <w:tcW w:w="2976" w:type="dxa"/>
            <w:vAlign w:val="center"/>
          </w:tcPr>
          <w:p w14:paraId="1235A890">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组织协调党风廉政建设和反腐败宣传、教育、课题研究等工作；承担预防腐败局的日常工作。</w:t>
            </w:r>
          </w:p>
        </w:tc>
        <w:tc>
          <w:tcPr>
            <w:tcW w:w="2976" w:type="dxa"/>
            <w:vAlign w:val="center"/>
          </w:tcPr>
          <w:p w14:paraId="6E597E03">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积极发挥职能作用，加强党风廉政建设，营造风清气正、干事创业的工作氛围。</w:t>
            </w:r>
          </w:p>
        </w:tc>
        <w:tc>
          <w:tcPr>
            <w:tcW w:w="1417" w:type="dxa"/>
            <w:vAlign w:val="center"/>
          </w:tcPr>
          <w:p w14:paraId="59933F73">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教育活动完成率</w:t>
            </w:r>
          </w:p>
        </w:tc>
        <w:tc>
          <w:tcPr>
            <w:tcW w:w="737" w:type="dxa"/>
            <w:vAlign w:val="center"/>
          </w:tcPr>
          <w:p w14:paraId="1BECE56B">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90%</w:t>
            </w:r>
          </w:p>
        </w:tc>
        <w:tc>
          <w:tcPr>
            <w:tcW w:w="737" w:type="dxa"/>
            <w:vAlign w:val="center"/>
          </w:tcPr>
          <w:p w14:paraId="400A5A0D">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80%</w:t>
            </w:r>
          </w:p>
        </w:tc>
        <w:tc>
          <w:tcPr>
            <w:tcW w:w="737" w:type="dxa"/>
            <w:vAlign w:val="center"/>
          </w:tcPr>
          <w:p w14:paraId="60431C43">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70%</w:t>
            </w:r>
          </w:p>
        </w:tc>
        <w:tc>
          <w:tcPr>
            <w:tcW w:w="737" w:type="dxa"/>
            <w:vAlign w:val="center"/>
          </w:tcPr>
          <w:p w14:paraId="5D79DB37">
            <w:pPr>
              <w:spacing w:line="300" w:lineRule="exact"/>
              <w:jc w:val="center"/>
              <w:rPr>
                <w:rFonts w:asciiTheme="minorEastAsia" w:hAnsiTheme="minorEastAsia" w:eastAsiaTheme="minorEastAsia"/>
                <w:szCs w:val="21"/>
              </w:rPr>
            </w:pPr>
            <w:r>
              <w:rPr>
                <w:rFonts w:asciiTheme="minorEastAsia" w:hAnsiTheme="minorEastAsia" w:eastAsiaTheme="minorEastAsia"/>
                <w:szCs w:val="21"/>
              </w:rPr>
              <w:t>&lt;70%</w:t>
            </w:r>
          </w:p>
        </w:tc>
      </w:tr>
      <w:tr w14:paraId="5F97AA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85C0E68">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监督检查</w:t>
            </w:r>
          </w:p>
        </w:tc>
        <w:tc>
          <w:tcPr>
            <w:tcW w:w="1276" w:type="dxa"/>
            <w:vAlign w:val="center"/>
          </w:tcPr>
          <w:p w14:paraId="567E1E52">
            <w:pPr>
              <w:spacing w:line="300" w:lineRule="exact"/>
              <w:jc w:val="left"/>
              <w:rPr>
                <w:rFonts w:asciiTheme="minorEastAsia" w:hAnsiTheme="minorEastAsia" w:eastAsiaTheme="minorEastAsia"/>
                <w:szCs w:val="21"/>
              </w:rPr>
            </w:pPr>
            <w:r>
              <w:rPr>
                <w:rFonts w:asciiTheme="minorEastAsia" w:hAnsiTheme="minorEastAsia" w:eastAsiaTheme="minorEastAsia"/>
                <w:szCs w:val="21"/>
              </w:rPr>
              <w:t>11.68</w:t>
            </w:r>
          </w:p>
        </w:tc>
        <w:tc>
          <w:tcPr>
            <w:tcW w:w="2976" w:type="dxa"/>
            <w:vAlign w:val="center"/>
          </w:tcPr>
          <w:p w14:paraId="2EA140BE">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监督检查党内法规政策、国家法律法规、党风廉政建设等的执行情况；履行县政府纠正行业不正之风办公室职能；贯彻落实县委有关部署，开展常态化全覆盖监督。</w:t>
            </w:r>
          </w:p>
        </w:tc>
        <w:tc>
          <w:tcPr>
            <w:tcW w:w="2976" w:type="dxa"/>
            <w:vAlign w:val="center"/>
          </w:tcPr>
          <w:p w14:paraId="271DB6C8">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加大问责力度，促进“两个责任”有效落实。</w:t>
            </w:r>
          </w:p>
        </w:tc>
        <w:tc>
          <w:tcPr>
            <w:tcW w:w="1417" w:type="dxa"/>
            <w:vAlign w:val="center"/>
          </w:tcPr>
          <w:p w14:paraId="38C0451F">
            <w:pPr>
              <w:spacing w:line="300" w:lineRule="exact"/>
              <w:jc w:val="left"/>
              <w:rPr>
                <w:rFonts w:asciiTheme="minorEastAsia" w:hAnsiTheme="minorEastAsia" w:eastAsiaTheme="minorEastAsia"/>
                <w:szCs w:val="21"/>
              </w:rPr>
            </w:pPr>
          </w:p>
        </w:tc>
        <w:tc>
          <w:tcPr>
            <w:tcW w:w="737" w:type="dxa"/>
            <w:vAlign w:val="center"/>
          </w:tcPr>
          <w:p w14:paraId="24BADA05">
            <w:pPr>
              <w:spacing w:line="300" w:lineRule="exact"/>
              <w:jc w:val="center"/>
              <w:rPr>
                <w:rFonts w:asciiTheme="minorEastAsia" w:hAnsiTheme="minorEastAsia" w:eastAsiaTheme="minorEastAsia"/>
                <w:szCs w:val="21"/>
              </w:rPr>
            </w:pPr>
          </w:p>
        </w:tc>
        <w:tc>
          <w:tcPr>
            <w:tcW w:w="737" w:type="dxa"/>
            <w:vAlign w:val="center"/>
          </w:tcPr>
          <w:p w14:paraId="6C3CA8FE">
            <w:pPr>
              <w:spacing w:line="300" w:lineRule="exact"/>
              <w:jc w:val="center"/>
              <w:rPr>
                <w:rFonts w:asciiTheme="minorEastAsia" w:hAnsiTheme="minorEastAsia" w:eastAsiaTheme="minorEastAsia"/>
                <w:szCs w:val="21"/>
              </w:rPr>
            </w:pPr>
          </w:p>
        </w:tc>
        <w:tc>
          <w:tcPr>
            <w:tcW w:w="737" w:type="dxa"/>
            <w:vAlign w:val="center"/>
          </w:tcPr>
          <w:p w14:paraId="1E79EE6B">
            <w:pPr>
              <w:spacing w:line="300" w:lineRule="exact"/>
              <w:jc w:val="center"/>
              <w:rPr>
                <w:rFonts w:asciiTheme="minorEastAsia" w:hAnsiTheme="minorEastAsia" w:eastAsiaTheme="minorEastAsia"/>
                <w:szCs w:val="21"/>
              </w:rPr>
            </w:pPr>
          </w:p>
        </w:tc>
        <w:tc>
          <w:tcPr>
            <w:tcW w:w="737" w:type="dxa"/>
            <w:vAlign w:val="center"/>
          </w:tcPr>
          <w:p w14:paraId="1BF80740">
            <w:pPr>
              <w:spacing w:line="300" w:lineRule="exact"/>
              <w:jc w:val="center"/>
              <w:rPr>
                <w:rFonts w:asciiTheme="minorEastAsia" w:hAnsiTheme="minorEastAsia" w:eastAsiaTheme="minorEastAsia"/>
                <w:szCs w:val="21"/>
              </w:rPr>
            </w:pPr>
          </w:p>
        </w:tc>
      </w:tr>
      <w:tr w14:paraId="0E0D7F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283BFE3">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监督检查</w:t>
            </w:r>
          </w:p>
        </w:tc>
        <w:tc>
          <w:tcPr>
            <w:tcW w:w="1276" w:type="dxa"/>
            <w:vAlign w:val="center"/>
          </w:tcPr>
          <w:p w14:paraId="7550FDE9">
            <w:pPr>
              <w:spacing w:line="300" w:lineRule="exact"/>
              <w:jc w:val="left"/>
              <w:rPr>
                <w:rFonts w:asciiTheme="minorEastAsia" w:hAnsiTheme="minorEastAsia" w:eastAsiaTheme="minorEastAsia"/>
                <w:szCs w:val="21"/>
              </w:rPr>
            </w:pPr>
            <w:r>
              <w:rPr>
                <w:rFonts w:asciiTheme="minorEastAsia" w:hAnsiTheme="minorEastAsia" w:eastAsiaTheme="minorEastAsia"/>
                <w:szCs w:val="21"/>
              </w:rPr>
              <w:t>11.68</w:t>
            </w:r>
          </w:p>
        </w:tc>
        <w:tc>
          <w:tcPr>
            <w:tcW w:w="2976" w:type="dxa"/>
            <w:vAlign w:val="center"/>
          </w:tcPr>
          <w:p w14:paraId="16C41FCB">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贯彻落实县委有关部署，开展常态化全覆盖监督有关工作；做好有关服务保障工作。</w:t>
            </w:r>
          </w:p>
        </w:tc>
        <w:tc>
          <w:tcPr>
            <w:tcW w:w="2976" w:type="dxa"/>
            <w:vAlign w:val="center"/>
          </w:tcPr>
          <w:p w14:paraId="7D7C1C21">
            <w:pPr>
              <w:spacing w:line="300" w:lineRule="exact"/>
              <w:jc w:val="left"/>
              <w:rPr>
                <w:rFonts w:asciiTheme="minorEastAsia" w:hAnsiTheme="minorEastAsia" w:eastAsiaTheme="minorEastAsia"/>
                <w:szCs w:val="21"/>
              </w:rPr>
            </w:pPr>
          </w:p>
        </w:tc>
        <w:tc>
          <w:tcPr>
            <w:tcW w:w="1417" w:type="dxa"/>
            <w:vAlign w:val="center"/>
          </w:tcPr>
          <w:p w14:paraId="4A799619">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监督检查工作完成率</w:t>
            </w:r>
          </w:p>
        </w:tc>
        <w:tc>
          <w:tcPr>
            <w:tcW w:w="737" w:type="dxa"/>
            <w:vAlign w:val="center"/>
          </w:tcPr>
          <w:p w14:paraId="445321F4">
            <w:pPr>
              <w:spacing w:line="300" w:lineRule="exact"/>
              <w:jc w:val="center"/>
              <w:rPr>
                <w:rFonts w:asciiTheme="minorEastAsia" w:hAnsiTheme="minorEastAsia" w:eastAsiaTheme="minorEastAsia"/>
                <w:szCs w:val="21"/>
              </w:rPr>
            </w:pPr>
          </w:p>
        </w:tc>
        <w:tc>
          <w:tcPr>
            <w:tcW w:w="737" w:type="dxa"/>
            <w:vAlign w:val="center"/>
          </w:tcPr>
          <w:p w14:paraId="4F749B5E">
            <w:pPr>
              <w:spacing w:line="300" w:lineRule="exact"/>
              <w:jc w:val="center"/>
              <w:rPr>
                <w:rFonts w:asciiTheme="minorEastAsia" w:hAnsiTheme="minorEastAsia" w:eastAsiaTheme="minorEastAsia"/>
                <w:szCs w:val="21"/>
              </w:rPr>
            </w:pPr>
          </w:p>
        </w:tc>
        <w:tc>
          <w:tcPr>
            <w:tcW w:w="737" w:type="dxa"/>
            <w:vAlign w:val="center"/>
          </w:tcPr>
          <w:p w14:paraId="23E4F697">
            <w:pPr>
              <w:spacing w:line="300" w:lineRule="exact"/>
              <w:jc w:val="center"/>
              <w:rPr>
                <w:rFonts w:asciiTheme="minorEastAsia" w:hAnsiTheme="minorEastAsia" w:eastAsiaTheme="minorEastAsia"/>
                <w:szCs w:val="21"/>
              </w:rPr>
            </w:pPr>
          </w:p>
        </w:tc>
        <w:tc>
          <w:tcPr>
            <w:tcW w:w="737" w:type="dxa"/>
            <w:vAlign w:val="center"/>
          </w:tcPr>
          <w:p w14:paraId="18E59B0B">
            <w:pPr>
              <w:spacing w:line="300" w:lineRule="exact"/>
              <w:jc w:val="center"/>
              <w:rPr>
                <w:rFonts w:asciiTheme="minorEastAsia" w:hAnsiTheme="minorEastAsia" w:eastAsiaTheme="minorEastAsia"/>
                <w:szCs w:val="21"/>
              </w:rPr>
            </w:pPr>
          </w:p>
        </w:tc>
      </w:tr>
      <w:tr w14:paraId="6C8C13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751291C">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司法工作</w:t>
            </w:r>
          </w:p>
        </w:tc>
        <w:tc>
          <w:tcPr>
            <w:tcW w:w="1276" w:type="dxa"/>
            <w:vAlign w:val="center"/>
          </w:tcPr>
          <w:p w14:paraId="2A27B791">
            <w:pPr>
              <w:spacing w:line="300" w:lineRule="exact"/>
              <w:jc w:val="left"/>
              <w:rPr>
                <w:rFonts w:asciiTheme="minorEastAsia" w:hAnsiTheme="minorEastAsia" w:eastAsiaTheme="minorEastAsia"/>
                <w:szCs w:val="21"/>
              </w:rPr>
            </w:pPr>
          </w:p>
        </w:tc>
        <w:tc>
          <w:tcPr>
            <w:tcW w:w="2976" w:type="dxa"/>
            <w:vAlign w:val="center"/>
          </w:tcPr>
          <w:p w14:paraId="3E087DE1">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开展公民普法教育，调节群众矛盾纠纷</w:t>
            </w:r>
          </w:p>
        </w:tc>
        <w:tc>
          <w:tcPr>
            <w:tcW w:w="2976" w:type="dxa"/>
            <w:vAlign w:val="center"/>
          </w:tcPr>
          <w:p w14:paraId="5CC15FEF">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提高群众的法律意识</w:t>
            </w:r>
          </w:p>
        </w:tc>
        <w:tc>
          <w:tcPr>
            <w:tcW w:w="1417" w:type="dxa"/>
            <w:vAlign w:val="center"/>
          </w:tcPr>
          <w:p w14:paraId="3F49F2CB">
            <w:pPr>
              <w:spacing w:line="300" w:lineRule="exact"/>
              <w:jc w:val="left"/>
              <w:rPr>
                <w:rFonts w:asciiTheme="minorEastAsia" w:hAnsiTheme="minorEastAsia" w:eastAsiaTheme="minorEastAsia"/>
                <w:szCs w:val="21"/>
              </w:rPr>
            </w:pPr>
          </w:p>
        </w:tc>
        <w:tc>
          <w:tcPr>
            <w:tcW w:w="737" w:type="dxa"/>
            <w:vAlign w:val="center"/>
          </w:tcPr>
          <w:p w14:paraId="392DD3A8">
            <w:pPr>
              <w:spacing w:line="300" w:lineRule="exact"/>
              <w:jc w:val="center"/>
              <w:rPr>
                <w:rFonts w:asciiTheme="minorEastAsia" w:hAnsiTheme="minorEastAsia" w:eastAsiaTheme="minorEastAsia"/>
                <w:szCs w:val="21"/>
              </w:rPr>
            </w:pPr>
          </w:p>
        </w:tc>
        <w:tc>
          <w:tcPr>
            <w:tcW w:w="737" w:type="dxa"/>
            <w:vAlign w:val="center"/>
          </w:tcPr>
          <w:p w14:paraId="374F866E">
            <w:pPr>
              <w:spacing w:line="300" w:lineRule="exact"/>
              <w:jc w:val="center"/>
              <w:rPr>
                <w:rFonts w:asciiTheme="minorEastAsia" w:hAnsiTheme="minorEastAsia" w:eastAsiaTheme="minorEastAsia"/>
                <w:szCs w:val="21"/>
              </w:rPr>
            </w:pPr>
          </w:p>
        </w:tc>
        <w:tc>
          <w:tcPr>
            <w:tcW w:w="737" w:type="dxa"/>
            <w:vAlign w:val="center"/>
          </w:tcPr>
          <w:p w14:paraId="4E8B9A94">
            <w:pPr>
              <w:spacing w:line="300" w:lineRule="exact"/>
              <w:jc w:val="center"/>
              <w:rPr>
                <w:rFonts w:asciiTheme="minorEastAsia" w:hAnsiTheme="minorEastAsia" w:eastAsiaTheme="minorEastAsia"/>
                <w:szCs w:val="21"/>
              </w:rPr>
            </w:pPr>
          </w:p>
        </w:tc>
        <w:tc>
          <w:tcPr>
            <w:tcW w:w="737" w:type="dxa"/>
            <w:vAlign w:val="center"/>
          </w:tcPr>
          <w:p w14:paraId="4D8B501A">
            <w:pPr>
              <w:spacing w:line="300" w:lineRule="exact"/>
              <w:jc w:val="center"/>
              <w:rPr>
                <w:rFonts w:asciiTheme="minorEastAsia" w:hAnsiTheme="minorEastAsia" w:eastAsiaTheme="minorEastAsia"/>
                <w:szCs w:val="21"/>
              </w:rPr>
            </w:pPr>
          </w:p>
        </w:tc>
      </w:tr>
      <w:tr w14:paraId="35F0ED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1D857CF">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普法宣传</w:t>
            </w:r>
          </w:p>
        </w:tc>
        <w:tc>
          <w:tcPr>
            <w:tcW w:w="1276" w:type="dxa"/>
            <w:vAlign w:val="center"/>
          </w:tcPr>
          <w:p w14:paraId="7BE01226">
            <w:pPr>
              <w:spacing w:line="300" w:lineRule="exact"/>
              <w:jc w:val="left"/>
              <w:rPr>
                <w:rFonts w:asciiTheme="minorEastAsia" w:hAnsiTheme="minorEastAsia" w:eastAsiaTheme="minorEastAsia"/>
                <w:szCs w:val="21"/>
              </w:rPr>
            </w:pPr>
          </w:p>
        </w:tc>
        <w:tc>
          <w:tcPr>
            <w:tcW w:w="2976" w:type="dxa"/>
            <w:vAlign w:val="center"/>
          </w:tcPr>
          <w:p w14:paraId="2778CA8B">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利用多种形式开展普法宣传教育</w:t>
            </w:r>
          </w:p>
        </w:tc>
        <w:tc>
          <w:tcPr>
            <w:tcW w:w="2976" w:type="dxa"/>
            <w:vAlign w:val="center"/>
          </w:tcPr>
          <w:p w14:paraId="267F94A4">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提高群众法律意识和法律素质，增强法治化管理水平，促进民主与法制建设。</w:t>
            </w:r>
          </w:p>
        </w:tc>
        <w:tc>
          <w:tcPr>
            <w:tcW w:w="1417" w:type="dxa"/>
            <w:vAlign w:val="center"/>
          </w:tcPr>
          <w:p w14:paraId="2ABAE4E0">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普法宣传覆盖人数</w:t>
            </w:r>
          </w:p>
        </w:tc>
        <w:tc>
          <w:tcPr>
            <w:tcW w:w="737" w:type="dxa"/>
            <w:vAlign w:val="center"/>
          </w:tcPr>
          <w:p w14:paraId="4FA58DA8">
            <w:pPr>
              <w:spacing w:line="300" w:lineRule="exact"/>
              <w:jc w:val="center"/>
              <w:rPr>
                <w:rFonts w:asciiTheme="minorEastAsia" w:hAnsiTheme="minorEastAsia" w:eastAsiaTheme="minorEastAsia"/>
                <w:szCs w:val="21"/>
              </w:rPr>
            </w:pPr>
          </w:p>
        </w:tc>
        <w:tc>
          <w:tcPr>
            <w:tcW w:w="737" w:type="dxa"/>
            <w:vAlign w:val="center"/>
          </w:tcPr>
          <w:p w14:paraId="1E9C54F3">
            <w:pPr>
              <w:spacing w:line="300" w:lineRule="exact"/>
              <w:jc w:val="center"/>
              <w:rPr>
                <w:rFonts w:asciiTheme="minorEastAsia" w:hAnsiTheme="minorEastAsia" w:eastAsiaTheme="minorEastAsia"/>
                <w:szCs w:val="21"/>
              </w:rPr>
            </w:pPr>
          </w:p>
        </w:tc>
        <w:tc>
          <w:tcPr>
            <w:tcW w:w="737" w:type="dxa"/>
            <w:vAlign w:val="center"/>
          </w:tcPr>
          <w:p w14:paraId="2E10F460">
            <w:pPr>
              <w:spacing w:line="300" w:lineRule="exact"/>
              <w:jc w:val="center"/>
              <w:rPr>
                <w:rFonts w:asciiTheme="minorEastAsia" w:hAnsiTheme="minorEastAsia" w:eastAsiaTheme="minorEastAsia"/>
                <w:szCs w:val="21"/>
              </w:rPr>
            </w:pPr>
          </w:p>
        </w:tc>
        <w:tc>
          <w:tcPr>
            <w:tcW w:w="737" w:type="dxa"/>
            <w:vAlign w:val="center"/>
          </w:tcPr>
          <w:p w14:paraId="2DF93105">
            <w:pPr>
              <w:spacing w:line="300" w:lineRule="exact"/>
              <w:jc w:val="center"/>
              <w:rPr>
                <w:rFonts w:asciiTheme="minorEastAsia" w:hAnsiTheme="minorEastAsia" w:eastAsiaTheme="minorEastAsia"/>
                <w:szCs w:val="21"/>
              </w:rPr>
            </w:pPr>
          </w:p>
        </w:tc>
      </w:tr>
      <w:tr w14:paraId="1DC11E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129BA1F">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基层司法业务</w:t>
            </w:r>
          </w:p>
        </w:tc>
        <w:tc>
          <w:tcPr>
            <w:tcW w:w="1276" w:type="dxa"/>
            <w:vAlign w:val="center"/>
          </w:tcPr>
          <w:p w14:paraId="3FC234DF">
            <w:pPr>
              <w:spacing w:line="300" w:lineRule="exact"/>
              <w:jc w:val="left"/>
              <w:rPr>
                <w:rFonts w:asciiTheme="minorEastAsia" w:hAnsiTheme="minorEastAsia" w:eastAsiaTheme="minorEastAsia"/>
                <w:szCs w:val="21"/>
              </w:rPr>
            </w:pPr>
          </w:p>
        </w:tc>
        <w:tc>
          <w:tcPr>
            <w:tcW w:w="2976" w:type="dxa"/>
            <w:vAlign w:val="center"/>
          </w:tcPr>
          <w:p w14:paraId="3747701E">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及时化解基层矛盾隐患，调节矛盾纠纷</w:t>
            </w:r>
          </w:p>
        </w:tc>
        <w:tc>
          <w:tcPr>
            <w:tcW w:w="2976" w:type="dxa"/>
            <w:vAlign w:val="center"/>
          </w:tcPr>
          <w:p w14:paraId="5AF3EB7E">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提高群众满意率</w:t>
            </w:r>
          </w:p>
        </w:tc>
        <w:tc>
          <w:tcPr>
            <w:tcW w:w="1417" w:type="dxa"/>
            <w:vAlign w:val="center"/>
          </w:tcPr>
          <w:p w14:paraId="60AA4737">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人民调解案件数（件）</w:t>
            </w:r>
          </w:p>
        </w:tc>
        <w:tc>
          <w:tcPr>
            <w:tcW w:w="737" w:type="dxa"/>
            <w:vAlign w:val="center"/>
          </w:tcPr>
          <w:p w14:paraId="1E4A355A">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200</w:t>
            </w:r>
          </w:p>
        </w:tc>
        <w:tc>
          <w:tcPr>
            <w:tcW w:w="737" w:type="dxa"/>
            <w:vAlign w:val="center"/>
          </w:tcPr>
          <w:p w14:paraId="40792BB9">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150</w:t>
            </w:r>
          </w:p>
        </w:tc>
        <w:tc>
          <w:tcPr>
            <w:tcW w:w="737" w:type="dxa"/>
            <w:vAlign w:val="center"/>
          </w:tcPr>
          <w:p w14:paraId="1D08790A">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100</w:t>
            </w:r>
          </w:p>
        </w:tc>
        <w:tc>
          <w:tcPr>
            <w:tcW w:w="737" w:type="dxa"/>
            <w:vAlign w:val="center"/>
          </w:tcPr>
          <w:p w14:paraId="13B71B61">
            <w:pPr>
              <w:spacing w:line="300" w:lineRule="exact"/>
              <w:jc w:val="center"/>
              <w:rPr>
                <w:rFonts w:asciiTheme="minorEastAsia" w:hAnsiTheme="minorEastAsia" w:eastAsiaTheme="minorEastAsia"/>
                <w:szCs w:val="21"/>
              </w:rPr>
            </w:pPr>
            <w:r>
              <w:rPr>
                <w:rFonts w:asciiTheme="minorEastAsia" w:hAnsiTheme="minorEastAsia" w:eastAsiaTheme="minorEastAsia"/>
                <w:szCs w:val="21"/>
              </w:rPr>
              <w:t>&lt;100</w:t>
            </w:r>
          </w:p>
        </w:tc>
      </w:tr>
      <w:tr w14:paraId="01CF3C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3405D22">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统计工作</w:t>
            </w:r>
          </w:p>
        </w:tc>
        <w:tc>
          <w:tcPr>
            <w:tcW w:w="1276" w:type="dxa"/>
            <w:vAlign w:val="center"/>
          </w:tcPr>
          <w:p w14:paraId="092DC518">
            <w:pPr>
              <w:spacing w:line="300" w:lineRule="exact"/>
              <w:jc w:val="left"/>
              <w:rPr>
                <w:rFonts w:asciiTheme="minorEastAsia" w:hAnsiTheme="minorEastAsia" w:eastAsiaTheme="minorEastAsia"/>
                <w:szCs w:val="21"/>
              </w:rPr>
            </w:pPr>
          </w:p>
        </w:tc>
        <w:tc>
          <w:tcPr>
            <w:tcW w:w="2976" w:type="dxa"/>
            <w:vAlign w:val="center"/>
          </w:tcPr>
          <w:p w14:paraId="0B2BCC33">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组织人口、农业等部门专项统计调查监测</w:t>
            </w:r>
          </w:p>
        </w:tc>
        <w:tc>
          <w:tcPr>
            <w:tcW w:w="2976" w:type="dxa"/>
            <w:vAlign w:val="center"/>
          </w:tcPr>
          <w:p w14:paraId="677BCC52">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发布普查的主要数据公报，完成普查工作</w:t>
            </w:r>
          </w:p>
        </w:tc>
        <w:tc>
          <w:tcPr>
            <w:tcW w:w="1417" w:type="dxa"/>
            <w:vAlign w:val="center"/>
          </w:tcPr>
          <w:p w14:paraId="038DF533">
            <w:pPr>
              <w:spacing w:line="300" w:lineRule="exact"/>
              <w:jc w:val="left"/>
              <w:rPr>
                <w:rFonts w:asciiTheme="minorEastAsia" w:hAnsiTheme="minorEastAsia" w:eastAsiaTheme="minorEastAsia"/>
                <w:szCs w:val="21"/>
              </w:rPr>
            </w:pPr>
          </w:p>
        </w:tc>
        <w:tc>
          <w:tcPr>
            <w:tcW w:w="737" w:type="dxa"/>
            <w:vAlign w:val="center"/>
          </w:tcPr>
          <w:p w14:paraId="5EA73A78">
            <w:pPr>
              <w:spacing w:line="300" w:lineRule="exact"/>
              <w:jc w:val="center"/>
              <w:rPr>
                <w:rFonts w:asciiTheme="minorEastAsia" w:hAnsiTheme="minorEastAsia" w:eastAsiaTheme="minorEastAsia"/>
                <w:szCs w:val="21"/>
              </w:rPr>
            </w:pPr>
          </w:p>
        </w:tc>
        <w:tc>
          <w:tcPr>
            <w:tcW w:w="737" w:type="dxa"/>
            <w:vAlign w:val="center"/>
          </w:tcPr>
          <w:p w14:paraId="04F2CA1C">
            <w:pPr>
              <w:spacing w:line="300" w:lineRule="exact"/>
              <w:jc w:val="center"/>
              <w:rPr>
                <w:rFonts w:asciiTheme="minorEastAsia" w:hAnsiTheme="minorEastAsia" w:eastAsiaTheme="minorEastAsia"/>
                <w:szCs w:val="21"/>
              </w:rPr>
            </w:pPr>
          </w:p>
        </w:tc>
        <w:tc>
          <w:tcPr>
            <w:tcW w:w="737" w:type="dxa"/>
            <w:vAlign w:val="center"/>
          </w:tcPr>
          <w:p w14:paraId="5436B51B">
            <w:pPr>
              <w:spacing w:line="300" w:lineRule="exact"/>
              <w:jc w:val="center"/>
              <w:rPr>
                <w:rFonts w:asciiTheme="minorEastAsia" w:hAnsiTheme="minorEastAsia" w:eastAsiaTheme="minorEastAsia"/>
                <w:szCs w:val="21"/>
              </w:rPr>
            </w:pPr>
          </w:p>
        </w:tc>
        <w:tc>
          <w:tcPr>
            <w:tcW w:w="737" w:type="dxa"/>
            <w:vAlign w:val="center"/>
          </w:tcPr>
          <w:p w14:paraId="3678D6A9">
            <w:pPr>
              <w:spacing w:line="300" w:lineRule="exact"/>
              <w:jc w:val="center"/>
              <w:rPr>
                <w:rFonts w:asciiTheme="minorEastAsia" w:hAnsiTheme="minorEastAsia" w:eastAsiaTheme="minorEastAsia"/>
                <w:szCs w:val="21"/>
              </w:rPr>
            </w:pPr>
          </w:p>
        </w:tc>
      </w:tr>
      <w:tr w14:paraId="27D8D0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D737F40">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普查和专项统计调查</w:t>
            </w:r>
          </w:p>
        </w:tc>
        <w:tc>
          <w:tcPr>
            <w:tcW w:w="1276" w:type="dxa"/>
            <w:vAlign w:val="center"/>
          </w:tcPr>
          <w:p w14:paraId="71FD08DA">
            <w:pPr>
              <w:spacing w:line="300" w:lineRule="exact"/>
              <w:jc w:val="left"/>
              <w:rPr>
                <w:rFonts w:asciiTheme="minorEastAsia" w:hAnsiTheme="minorEastAsia" w:eastAsiaTheme="minorEastAsia"/>
                <w:szCs w:val="21"/>
              </w:rPr>
            </w:pPr>
          </w:p>
        </w:tc>
        <w:tc>
          <w:tcPr>
            <w:tcW w:w="2976" w:type="dxa"/>
            <w:vAlign w:val="center"/>
          </w:tcPr>
          <w:p w14:paraId="34805AD1">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调查统计数据</w:t>
            </w:r>
          </w:p>
        </w:tc>
        <w:tc>
          <w:tcPr>
            <w:tcW w:w="2976" w:type="dxa"/>
            <w:vAlign w:val="center"/>
          </w:tcPr>
          <w:p w14:paraId="6BA8B9E1">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组织开展普查及专项统计调查工作，了解基层情况和动态提供统计信息和咨询建议，确保普查和专项统计调查工作顺利完成</w:t>
            </w:r>
          </w:p>
        </w:tc>
        <w:tc>
          <w:tcPr>
            <w:tcW w:w="1417" w:type="dxa"/>
            <w:vAlign w:val="center"/>
          </w:tcPr>
          <w:p w14:paraId="7E59EC84">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普查和专项统计调查</w:t>
            </w:r>
          </w:p>
        </w:tc>
        <w:tc>
          <w:tcPr>
            <w:tcW w:w="737" w:type="dxa"/>
            <w:vAlign w:val="center"/>
          </w:tcPr>
          <w:p w14:paraId="0F12E11D">
            <w:pPr>
              <w:spacing w:line="300" w:lineRule="exact"/>
              <w:jc w:val="center"/>
              <w:rPr>
                <w:rFonts w:asciiTheme="minorEastAsia" w:hAnsiTheme="minorEastAsia" w:eastAsiaTheme="minorEastAsia"/>
                <w:szCs w:val="21"/>
              </w:rPr>
            </w:pPr>
          </w:p>
        </w:tc>
        <w:tc>
          <w:tcPr>
            <w:tcW w:w="737" w:type="dxa"/>
            <w:vAlign w:val="center"/>
          </w:tcPr>
          <w:p w14:paraId="4A7C64D9">
            <w:pPr>
              <w:spacing w:line="300" w:lineRule="exact"/>
              <w:jc w:val="center"/>
              <w:rPr>
                <w:rFonts w:asciiTheme="minorEastAsia" w:hAnsiTheme="minorEastAsia" w:eastAsiaTheme="minorEastAsia"/>
                <w:szCs w:val="21"/>
              </w:rPr>
            </w:pPr>
          </w:p>
        </w:tc>
        <w:tc>
          <w:tcPr>
            <w:tcW w:w="737" w:type="dxa"/>
            <w:vAlign w:val="center"/>
          </w:tcPr>
          <w:p w14:paraId="5A3FE8BC">
            <w:pPr>
              <w:spacing w:line="300" w:lineRule="exact"/>
              <w:jc w:val="center"/>
              <w:rPr>
                <w:rFonts w:asciiTheme="minorEastAsia" w:hAnsiTheme="minorEastAsia" w:eastAsiaTheme="minorEastAsia"/>
                <w:szCs w:val="21"/>
              </w:rPr>
            </w:pPr>
          </w:p>
        </w:tc>
        <w:tc>
          <w:tcPr>
            <w:tcW w:w="737" w:type="dxa"/>
            <w:vAlign w:val="center"/>
          </w:tcPr>
          <w:p w14:paraId="7D34CC05">
            <w:pPr>
              <w:spacing w:line="300" w:lineRule="exact"/>
              <w:jc w:val="center"/>
              <w:rPr>
                <w:rFonts w:asciiTheme="minorEastAsia" w:hAnsiTheme="minorEastAsia" w:eastAsiaTheme="minorEastAsia"/>
                <w:szCs w:val="21"/>
              </w:rPr>
            </w:pPr>
          </w:p>
        </w:tc>
      </w:tr>
      <w:tr w14:paraId="490362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C5B57E0">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民政事务管理</w:t>
            </w:r>
          </w:p>
        </w:tc>
        <w:tc>
          <w:tcPr>
            <w:tcW w:w="1276" w:type="dxa"/>
            <w:vAlign w:val="center"/>
          </w:tcPr>
          <w:p w14:paraId="19AB1279">
            <w:pPr>
              <w:spacing w:line="300" w:lineRule="exact"/>
              <w:jc w:val="left"/>
              <w:rPr>
                <w:rFonts w:asciiTheme="minorEastAsia" w:hAnsiTheme="minorEastAsia" w:eastAsiaTheme="minorEastAsia"/>
                <w:szCs w:val="21"/>
              </w:rPr>
            </w:pPr>
          </w:p>
        </w:tc>
        <w:tc>
          <w:tcPr>
            <w:tcW w:w="2976" w:type="dxa"/>
            <w:vAlign w:val="center"/>
          </w:tcPr>
          <w:p w14:paraId="30424D77">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负责居民最低生活保障、五保供养、医疗救助。组织协调防灾减灾救灾工作。组织核查并统一发布灾情。组织指导救灾捐赠工作，负责救灾捐赠款物的接收管理和分配使用。</w:t>
            </w:r>
          </w:p>
        </w:tc>
        <w:tc>
          <w:tcPr>
            <w:tcW w:w="2976" w:type="dxa"/>
            <w:vAlign w:val="center"/>
          </w:tcPr>
          <w:p w14:paraId="4FE32372">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完善社会救助制度，实施分类救助，应保尽保</w:t>
            </w:r>
            <w:r>
              <w:rPr>
                <w:rFonts w:asciiTheme="minorEastAsia" w:hAnsiTheme="minorEastAsia" w:eastAsiaTheme="minorEastAsia"/>
                <w:szCs w:val="21"/>
              </w:rPr>
              <w:t>,</w:t>
            </w:r>
            <w:r>
              <w:rPr>
                <w:rFonts w:hint="eastAsia" w:asciiTheme="minorEastAsia" w:hAnsiTheme="minorEastAsia" w:eastAsiaTheme="minorEastAsia"/>
                <w:szCs w:val="21"/>
              </w:rPr>
              <w:t>动态管理。完善全县自然灾害救助应急体系。实施分类救助，保障受灾群众基本生活。</w:t>
            </w:r>
          </w:p>
        </w:tc>
        <w:tc>
          <w:tcPr>
            <w:tcW w:w="1417" w:type="dxa"/>
            <w:vAlign w:val="center"/>
          </w:tcPr>
          <w:p w14:paraId="1FD6F3F8">
            <w:pPr>
              <w:spacing w:line="300" w:lineRule="exact"/>
              <w:jc w:val="left"/>
              <w:rPr>
                <w:rFonts w:asciiTheme="minorEastAsia" w:hAnsiTheme="minorEastAsia" w:eastAsiaTheme="minorEastAsia"/>
                <w:szCs w:val="21"/>
              </w:rPr>
            </w:pPr>
          </w:p>
        </w:tc>
        <w:tc>
          <w:tcPr>
            <w:tcW w:w="737" w:type="dxa"/>
            <w:vAlign w:val="center"/>
          </w:tcPr>
          <w:p w14:paraId="1A8A1363">
            <w:pPr>
              <w:spacing w:line="300" w:lineRule="exact"/>
              <w:jc w:val="center"/>
              <w:rPr>
                <w:rFonts w:asciiTheme="minorEastAsia" w:hAnsiTheme="minorEastAsia" w:eastAsiaTheme="minorEastAsia"/>
                <w:szCs w:val="21"/>
              </w:rPr>
            </w:pPr>
          </w:p>
        </w:tc>
        <w:tc>
          <w:tcPr>
            <w:tcW w:w="737" w:type="dxa"/>
            <w:vAlign w:val="center"/>
          </w:tcPr>
          <w:p w14:paraId="74EAB0BD">
            <w:pPr>
              <w:spacing w:line="300" w:lineRule="exact"/>
              <w:jc w:val="center"/>
              <w:rPr>
                <w:rFonts w:asciiTheme="minorEastAsia" w:hAnsiTheme="minorEastAsia" w:eastAsiaTheme="minorEastAsia"/>
                <w:szCs w:val="21"/>
              </w:rPr>
            </w:pPr>
          </w:p>
        </w:tc>
        <w:tc>
          <w:tcPr>
            <w:tcW w:w="737" w:type="dxa"/>
            <w:vAlign w:val="center"/>
          </w:tcPr>
          <w:p w14:paraId="195363A3">
            <w:pPr>
              <w:spacing w:line="300" w:lineRule="exact"/>
              <w:jc w:val="center"/>
              <w:rPr>
                <w:rFonts w:asciiTheme="minorEastAsia" w:hAnsiTheme="minorEastAsia" w:eastAsiaTheme="minorEastAsia"/>
                <w:szCs w:val="21"/>
              </w:rPr>
            </w:pPr>
          </w:p>
        </w:tc>
        <w:tc>
          <w:tcPr>
            <w:tcW w:w="737" w:type="dxa"/>
            <w:vAlign w:val="center"/>
          </w:tcPr>
          <w:p w14:paraId="27EDE527">
            <w:pPr>
              <w:spacing w:line="300" w:lineRule="exact"/>
              <w:jc w:val="center"/>
              <w:rPr>
                <w:rFonts w:asciiTheme="minorEastAsia" w:hAnsiTheme="minorEastAsia" w:eastAsiaTheme="minorEastAsia"/>
                <w:szCs w:val="21"/>
              </w:rPr>
            </w:pPr>
          </w:p>
        </w:tc>
      </w:tr>
      <w:tr w14:paraId="635A72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D2FBBCA">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民政管理</w:t>
            </w:r>
          </w:p>
        </w:tc>
        <w:tc>
          <w:tcPr>
            <w:tcW w:w="1276" w:type="dxa"/>
            <w:vAlign w:val="center"/>
          </w:tcPr>
          <w:p w14:paraId="58BB8259">
            <w:pPr>
              <w:spacing w:line="300" w:lineRule="exact"/>
              <w:jc w:val="left"/>
              <w:rPr>
                <w:rFonts w:asciiTheme="minorEastAsia" w:hAnsiTheme="minorEastAsia" w:eastAsiaTheme="minorEastAsia"/>
                <w:szCs w:val="21"/>
              </w:rPr>
            </w:pPr>
          </w:p>
        </w:tc>
        <w:tc>
          <w:tcPr>
            <w:tcW w:w="2976" w:type="dxa"/>
            <w:vAlign w:val="center"/>
          </w:tcPr>
          <w:p w14:paraId="0504BF58">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做好对五保户、低保户、贫困户、大病医疗救助、防灾、减灾、救灾工作</w:t>
            </w:r>
          </w:p>
        </w:tc>
        <w:tc>
          <w:tcPr>
            <w:tcW w:w="2976" w:type="dxa"/>
            <w:vAlign w:val="center"/>
          </w:tcPr>
          <w:p w14:paraId="05E05CB3">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做好对五保户、低保户、贫困户、大病医疗救助、防灾、减灾、救灾款项的及时发放</w:t>
            </w:r>
          </w:p>
        </w:tc>
        <w:tc>
          <w:tcPr>
            <w:tcW w:w="1417" w:type="dxa"/>
            <w:vAlign w:val="center"/>
          </w:tcPr>
          <w:p w14:paraId="10FC186E">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资金发放率</w:t>
            </w:r>
          </w:p>
        </w:tc>
        <w:tc>
          <w:tcPr>
            <w:tcW w:w="737" w:type="dxa"/>
            <w:vAlign w:val="center"/>
          </w:tcPr>
          <w:p w14:paraId="4DEA41FA">
            <w:pPr>
              <w:spacing w:line="300" w:lineRule="exact"/>
              <w:jc w:val="center"/>
              <w:rPr>
                <w:rFonts w:asciiTheme="minorEastAsia" w:hAnsiTheme="minorEastAsia" w:eastAsiaTheme="minorEastAsia"/>
                <w:szCs w:val="21"/>
              </w:rPr>
            </w:pPr>
            <w:r>
              <w:rPr>
                <w:rFonts w:asciiTheme="minorEastAsia" w:hAnsiTheme="minorEastAsia" w:eastAsiaTheme="minorEastAsia"/>
                <w:szCs w:val="21"/>
              </w:rPr>
              <w:t>100%</w:t>
            </w:r>
          </w:p>
        </w:tc>
        <w:tc>
          <w:tcPr>
            <w:tcW w:w="737" w:type="dxa"/>
            <w:vAlign w:val="center"/>
          </w:tcPr>
          <w:p w14:paraId="455A3531">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99%</w:t>
            </w:r>
          </w:p>
        </w:tc>
        <w:tc>
          <w:tcPr>
            <w:tcW w:w="737" w:type="dxa"/>
            <w:vAlign w:val="center"/>
          </w:tcPr>
          <w:p w14:paraId="5276D80A">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95%</w:t>
            </w:r>
          </w:p>
        </w:tc>
        <w:tc>
          <w:tcPr>
            <w:tcW w:w="737" w:type="dxa"/>
            <w:vAlign w:val="center"/>
          </w:tcPr>
          <w:p w14:paraId="63FC718B">
            <w:pPr>
              <w:spacing w:line="300" w:lineRule="exact"/>
              <w:jc w:val="center"/>
              <w:rPr>
                <w:rFonts w:asciiTheme="minorEastAsia" w:hAnsiTheme="minorEastAsia" w:eastAsiaTheme="minorEastAsia"/>
                <w:szCs w:val="21"/>
              </w:rPr>
            </w:pPr>
            <w:r>
              <w:rPr>
                <w:rFonts w:asciiTheme="minorEastAsia" w:hAnsiTheme="minorEastAsia" w:eastAsiaTheme="minorEastAsia"/>
                <w:szCs w:val="21"/>
              </w:rPr>
              <w:t>&lt;95%</w:t>
            </w:r>
          </w:p>
        </w:tc>
      </w:tr>
      <w:tr w14:paraId="46FD36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2B6902A">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党委事务</w:t>
            </w:r>
          </w:p>
        </w:tc>
        <w:tc>
          <w:tcPr>
            <w:tcW w:w="1276" w:type="dxa"/>
            <w:vAlign w:val="center"/>
          </w:tcPr>
          <w:p w14:paraId="306115E0">
            <w:pPr>
              <w:spacing w:line="300" w:lineRule="exact"/>
              <w:jc w:val="left"/>
              <w:rPr>
                <w:rFonts w:asciiTheme="minorEastAsia" w:hAnsiTheme="minorEastAsia" w:eastAsiaTheme="minorEastAsia"/>
                <w:szCs w:val="21"/>
              </w:rPr>
            </w:pPr>
          </w:p>
        </w:tc>
        <w:tc>
          <w:tcPr>
            <w:tcW w:w="2976" w:type="dxa"/>
            <w:vAlign w:val="center"/>
          </w:tcPr>
          <w:p w14:paraId="6B34938A">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贯彻党中央的各项方针政策，加强党的基层组织建设</w:t>
            </w:r>
          </w:p>
        </w:tc>
        <w:tc>
          <w:tcPr>
            <w:tcW w:w="2976" w:type="dxa"/>
            <w:vAlign w:val="center"/>
          </w:tcPr>
          <w:p w14:paraId="79B4DEBB">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贯彻党中央的各项方针政策的自觉性，加强党员培训、教育，做好党员培训，加强基层党员的管理，提高为人民服务的能力</w:t>
            </w:r>
          </w:p>
        </w:tc>
        <w:tc>
          <w:tcPr>
            <w:tcW w:w="1417" w:type="dxa"/>
            <w:vAlign w:val="center"/>
          </w:tcPr>
          <w:p w14:paraId="19C9489C">
            <w:pPr>
              <w:spacing w:line="300" w:lineRule="exact"/>
              <w:jc w:val="left"/>
              <w:rPr>
                <w:rFonts w:asciiTheme="minorEastAsia" w:hAnsiTheme="minorEastAsia" w:eastAsiaTheme="minorEastAsia"/>
                <w:szCs w:val="21"/>
              </w:rPr>
            </w:pPr>
          </w:p>
        </w:tc>
        <w:tc>
          <w:tcPr>
            <w:tcW w:w="737" w:type="dxa"/>
            <w:vAlign w:val="center"/>
          </w:tcPr>
          <w:p w14:paraId="24684AB8">
            <w:pPr>
              <w:spacing w:line="300" w:lineRule="exact"/>
              <w:jc w:val="center"/>
              <w:rPr>
                <w:rFonts w:asciiTheme="minorEastAsia" w:hAnsiTheme="minorEastAsia" w:eastAsiaTheme="minorEastAsia"/>
                <w:szCs w:val="21"/>
              </w:rPr>
            </w:pPr>
          </w:p>
        </w:tc>
        <w:tc>
          <w:tcPr>
            <w:tcW w:w="737" w:type="dxa"/>
            <w:vAlign w:val="center"/>
          </w:tcPr>
          <w:p w14:paraId="74803F77">
            <w:pPr>
              <w:spacing w:line="300" w:lineRule="exact"/>
              <w:jc w:val="center"/>
              <w:rPr>
                <w:rFonts w:asciiTheme="minorEastAsia" w:hAnsiTheme="minorEastAsia" w:eastAsiaTheme="minorEastAsia"/>
                <w:szCs w:val="21"/>
              </w:rPr>
            </w:pPr>
          </w:p>
        </w:tc>
        <w:tc>
          <w:tcPr>
            <w:tcW w:w="737" w:type="dxa"/>
            <w:vAlign w:val="center"/>
          </w:tcPr>
          <w:p w14:paraId="6957DE87">
            <w:pPr>
              <w:spacing w:line="300" w:lineRule="exact"/>
              <w:jc w:val="center"/>
              <w:rPr>
                <w:rFonts w:asciiTheme="minorEastAsia" w:hAnsiTheme="minorEastAsia" w:eastAsiaTheme="minorEastAsia"/>
                <w:szCs w:val="21"/>
              </w:rPr>
            </w:pPr>
          </w:p>
        </w:tc>
        <w:tc>
          <w:tcPr>
            <w:tcW w:w="737" w:type="dxa"/>
            <w:vAlign w:val="center"/>
          </w:tcPr>
          <w:p w14:paraId="232D0398">
            <w:pPr>
              <w:spacing w:line="300" w:lineRule="exact"/>
              <w:jc w:val="center"/>
              <w:rPr>
                <w:rFonts w:asciiTheme="minorEastAsia" w:hAnsiTheme="minorEastAsia" w:eastAsiaTheme="minorEastAsia"/>
                <w:szCs w:val="21"/>
              </w:rPr>
            </w:pPr>
          </w:p>
        </w:tc>
      </w:tr>
      <w:tr w14:paraId="069426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593D593">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党委日常管理</w:t>
            </w:r>
          </w:p>
        </w:tc>
        <w:tc>
          <w:tcPr>
            <w:tcW w:w="1276" w:type="dxa"/>
            <w:vAlign w:val="center"/>
          </w:tcPr>
          <w:p w14:paraId="51834B51">
            <w:pPr>
              <w:spacing w:line="300" w:lineRule="exact"/>
              <w:jc w:val="left"/>
              <w:rPr>
                <w:rFonts w:asciiTheme="minorEastAsia" w:hAnsiTheme="minorEastAsia" w:eastAsiaTheme="minorEastAsia"/>
                <w:szCs w:val="21"/>
              </w:rPr>
            </w:pPr>
          </w:p>
        </w:tc>
        <w:tc>
          <w:tcPr>
            <w:tcW w:w="2976" w:type="dxa"/>
            <w:vAlign w:val="center"/>
          </w:tcPr>
          <w:p w14:paraId="63ADC29A">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贯彻落实加强党的基层组织建设，发挥党员的先锋模范作用</w:t>
            </w:r>
          </w:p>
        </w:tc>
        <w:tc>
          <w:tcPr>
            <w:tcW w:w="2976" w:type="dxa"/>
            <w:vAlign w:val="center"/>
          </w:tcPr>
          <w:p w14:paraId="230657B6">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发挥党的模范带头作用，为民服务</w:t>
            </w:r>
          </w:p>
        </w:tc>
        <w:tc>
          <w:tcPr>
            <w:tcW w:w="1417" w:type="dxa"/>
            <w:vAlign w:val="center"/>
          </w:tcPr>
          <w:p w14:paraId="58C3DBE6">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党员培训率</w:t>
            </w:r>
            <w:r>
              <w:rPr>
                <w:rFonts w:asciiTheme="minorEastAsia" w:hAnsiTheme="minorEastAsia" w:eastAsiaTheme="minorEastAsia"/>
                <w:szCs w:val="21"/>
              </w:rPr>
              <w:t xml:space="preserve">                      </w:t>
            </w:r>
            <w:r>
              <w:rPr>
                <w:rFonts w:hint="eastAsia" w:asciiTheme="minorEastAsia" w:hAnsiTheme="minorEastAsia" w:eastAsiaTheme="minorEastAsia"/>
                <w:szCs w:val="21"/>
              </w:rPr>
              <w:t>基层组织健全</w:t>
            </w:r>
          </w:p>
        </w:tc>
        <w:tc>
          <w:tcPr>
            <w:tcW w:w="737" w:type="dxa"/>
            <w:vAlign w:val="center"/>
          </w:tcPr>
          <w:p w14:paraId="44C4508D">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100%</w:t>
            </w:r>
          </w:p>
        </w:tc>
        <w:tc>
          <w:tcPr>
            <w:tcW w:w="737" w:type="dxa"/>
            <w:vAlign w:val="center"/>
          </w:tcPr>
          <w:p w14:paraId="65CD3F27">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95%</w:t>
            </w:r>
          </w:p>
        </w:tc>
        <w:tc>
          <w:tcPr>
            <w:tcW w:w="737" w:type="dxa"/>
            <w:vAlign w:val="center"/>
          </w:tcPr>
          <w:p w14:paraId="0E75371F">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90%</w:t>
            </w:r>
          </w:p>
        </w:tc>
        <w:tc>
          <w:tcPr>
            <w:tcW w:w="737" w:type="dxa"/>
            <w:vAlign w:val="center"/>
          </w:tcPr>
          <w:p w14:paraId="02EE14B2">
            <w:pPr>
              <w:spacing w:line="300" w:lineRule="exact"/>
              <w:jc w:val="center"/>
              <w:rPr>
                <w:rFonts w:asciiTheme="minorEastAsia" w:hAnsiTheme="minorEastAsia" w:eastAsiaTheme="minorEastAsia"/>
                <w:szCs w:val="21"/>
              </w:rPr>
            </w:pPr>
            <w:r>
              <w:rPr>
                <w:rFonts w:asciiTheme="minorEastAsia" w:hAnsiTheme="minorEastAsia" w:eastAsiaTheme="minorEastAsia"/>
                <w:szCs w:val="21"/>
              </w:rPr>
              <w:t>&lt;90%</w:t>
            </w:r>
          </w:p>
        </w:tc>
      </w:tr>
      <w:tr w14:paraId="67AD8A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306422B">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政府事务管理</w:t>
            </w:r>
          </w:p>
        </w:tc>
        <w:tc>
          <w:tcPr>
            <w:tcW w:w="1276" w:type="dxa"/>
            <w:vAlign w:val="center"/>
          </w:tcPr>
          <w:p w14:paraId="0050C7F4">
            <w:pPr>
              <w:spacing w:line="300" w:lineRule="exact"/>
              <w:jc w:val="left"/>
              <w:rPr>
                <w:rFonts w:asciiTheme="minorEastAsia" w:hAnsiTheme="minorEastAsia" w:eastAsiaTheme="minorEastAsia"/>
                <w:szCs w:val="21"/>
              </w:rPr>
            </w:pPr>
            <w:r>
              <w:rPr>
                <w:rFonts w:asciiTheme="minorEastAsia" w:hAnsiTheme="minorEastAsia" w:eastAsiaTheme="minorEastAsia"/>
                <w:szCs w:val="21"/>
              </w:rPr>
              <w:t>518.00</w:t>
            </w:r>
          </w:p>
        </w:tc>
        <w:tc>
          <w:tcPr>
            <w:tcW w:w="2976" w:type="dxa"/>
            <w:vAlign w:val="center"/>
          </w:tcPr>
          <w:p w14:paraId="0F0AABC0">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执行党的各项方针政策，制定本地经济和社会发展规划，并逐一落实</w:t>
            </w:r>
          </w:p>
        </w:tc>
        <w:tc>
          <w:tcPr>
            <w:tcW w:w="2976" w:type="dxa"/>
            <w:vAlign w:val="center"/>
          </w:tcPr>
          <w:p w14:paraId="467E1E0D">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加强农村基础设施建设，改善民生</w:t>
            </w:r>
          </w:p>
        </w:tc>
        <w:tc>
          <w:tcPr>
            <w:tcW w:w="1417" w:type="dxa"/>
            <w:vAlign w:val="center"/>
          </w:tcPr>
          <w:p w14:paraId="6480BFC6">
            <w:pPr>
              <w:spacing w:line="300" w:lineRule="exact"/>
              <w:jc w:val="left"/>
              <w:rPr>
                <w:rFonts w:asciiTheme="minorEastAsia" w:hAnsiTheme="minorEastAsia" w:eastAsiaTheme="minorEastAsia"/>
                <w:szCs w:val="21"/>
              </w:rPr>
            </w:pPr>
          </w:p>
        </w:tc>
        <w:tc>
          <w:tcPr>
            <w:tcW w:w="737" w:type="dxa"/>
            <w:vAlign w:val="center"/>
          </w:tcPr>
          <w:p w14:paraId="36AD0F2F">
            <w:pPr>
              <w:spacing w:line="300" w:lineRule="exact"/>
              <w:jc w:val="center"/>
              <w:rPr>
                <w:rFonts w:asciiTheme="minorEastAsia" w:hAnsiTheme="minorEastAsia" w:eastAsiaTheme="minorEastAsia"/>
                <w:szCs w:val="21"/>
              </w:rPr>
            </w:pPr>
          </w:p>
        </w:tc>
        <w:tc>
          <w:tcPr>
            <w:tcW w:w="737" w:type="dxa"/>
            <w:vAlign w:val="center"/>
          </w:tcPr>
          <w:p w14:paraId="423BDAA2">
            <w:pPr>
              <w:spacing w:line="300" w:lineRule="exact"/>
              <w:jc w:val="center"/>
              <w:rPr>
                <w:rFonts w:asciiTheme="minorEastAsia" w:hAnsiTheme="minorEastAsia" w:eastAsiaTheme="minorEastAsia"/>
                <w:szCs w:val="21"/>
              </w:rPr>
            </w:pPr>
          </w:p>
        </w:tc>
        <w:tc>
          <w:tcPr>
            <w:tcW w:w="737" w:type="dxa"/>
            <w:vAlign w:val="center"/>
          </w:tcPr>
          <w:p w14:paraId="05535116">
            <w:pPr>
              <w:spacing w:line="300" w:lineRule="exact"/>
              <w:jc w:val="center"/>
              <w:rPr>
                <w:rFonts w:asciiTheme="minorEastAsia" w:hAnsiTheme="minorEastAsia" w:eastAsiaTheme="minorEastAsia"/>
                <w:szCs w:val="21"/>
              </w:rPr>
            </w:pPr>
          </w:p>
        </w:tc>
        <w:tc>
          <w:tcPr>
            <w:tcW w:w="737" w:type="dxa"/>
            <w:vAlign w:val="center"/>
          </w:tcPr>
          <w:p w14:paraId="2D35FCE3">
            <w:pPr>
              <w:spacing w:line="300" w:lineRule="exact"/>
              <w:jc w:val="center"/>
              <w:rPr>
                <w:rFonts w:asciiTheme="minorEastAsia" w:hAnsiTheme="minorEastAsia" w:eastAsiaTheme="minorEastAsia"/>
                <w:szCs w:val="21"/>
              </w:rPr>
            </w:pPr>
          </w:p>
        </w:tc>
      </w:tr>
      <w:tr w14:paraId="363823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F779C1C">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政府日常管理</w:t>
            </w:r>
          </w:p>
        </w:tc>
        <w:tc>
          <w:tcPr>
            <w:tcW w:w="1276" w:type="dxa"/>
            <w:vAlign w:val="center"/>
          </w:tcPr>
          <w:p w14:paraId="242FF70C">
            <w:pPr>
              <w:spacing w:line="300" w:lineRule="exact"/>
              <w:jc w:val="left"/>
              <w:rPr>
                <w:rFonts w:asciiTheme="minorEastAsia" w:hAnsiTheme="minorEastAsia" w:eastAsiaTheme="minorEastAsia"/>
                <w:szCs w:val="21"/>
              </w:rPr>
            </w:pPr>
            <w:r>
              <w:rPr>
                <w:rFonts w:asciiTheme="minorEastAsia" w:hAnsiTheme="minorEastAsia" w:eastAsiaTheme="minorEastAsia"/>
                <w:szCs w:val="21"/>
              </w:rPr>
              <w:t>108.25</w:t>
            </w:r>
          </w:p>
        </w:tc>
        <w:tc>
          <w:tcPr>
            <w:tcW w:w="2976" w:type="dxa"/>
            <w:vAlign w:val="center"/>
          </w:tcPr>
          <w:p w14:paraId="44FB45F0">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抓好项目落实，疏通融资渠道</w:t>
            </w:r>
          </w:p>
        </w:tc>
        <w:tc>
          <w:tcPr>
            <w:tcW w:w="2976" w:type="dxa"/>
            <w:vAlign w:val="center"/>
          </w:tcPr>
          <w:p w14:paraId="79376E17">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加强农村电力、交通、水利、经济活动场所建设，改善民生，助推经济发展</w:t>
            </w:r>
          </w:p>
        </w:tc>
        <w:tc>
          <w:tcPr>
            <w:tcW w:w="1417" w:type="dxa"/>
            <w:vAlign w:val="center"/>
          </w:tcPr>
          <w:p w14:paraId="39F299D5">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基础设施发展率</w:t>
            </w:r>
          </w:p>
        </w:tc>
        <w:tc>
          <w:tcPr>
            <w:tcW w:w="737" w:type="dxa"/>
            <w:vAlign w:val="center"/>
          </w:tcPr>
          <w:p w14:paraId="7D096613">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90%</w:t>
            </w:r>
          </w:p>
        </w:tc>
        <w:tc>
          <w:tcPr>
            <w:tcW w:w="737" w:type="dxa"/>
            <w:vAlign w:val="center"/>
          </w:tcPr>
          <w:p w14:paraId="7B32666F">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80%</w:t>
            </w:r>
          </w:p>
        </w:tc>
        <w:tc>
          <w:tcPr>
            <w:tcW w:w="737" w:type="dxa"/>
            <w:vAlign w:val="center"/>
          </w:tcPr>
          <w:p w14:paraId="7D45C03A">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70%</w:t>
            </w:r>
          </w:p>
        </w:tc>
        <w:tc>
          <w:tcPr>
            <w:tcW w:w="737" w:type="dxa"/>
            <w:vAlign w:val="center"/>
          </w:tcPr>
          <w:p w14:paraId="147343A3">
            <w:pPr>
              <w:spacing w:line="300" w:lineRule="exact"/>
              <w:jc w:val="center"/>
              <w:rPr>
                <w:rFonts w:asciiTheme="minorEastAsia" w:hAnsiTheme="minorEastAsia" w:eastAsiaTheme="minorEastAsia"/>
                <w:szCs w:val="21"/>
              </w:rPr>
            </w:pPr>
            <w:r>
              <w:rPr>
                <w:rFonts w:asciiTheme="minorEastAsia" w:hAnsiTheme="minorEastAsia" w:eastAsiaTheme="minorEastAsia"/>
                <w:szCs w:val="21"/>
              </w:rPr>
              <w:t>&lt;70%</w:t>
            </w:r>
          </w:p>
        </w:tc>
      </w:tr>
      <w:tr w14:paraId="749445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1834D8A">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政府工作活动</w:t>
            </w:r>
          </w:p>
        </w:tc>
        <w:tc>
          <w:tcPr>
            <w:tcW w:w="1276" w:type="dxa"/>
            <w:vAlign w:val="center"/>
          </w:tcPr>
          <w:p w14:paraId="44FD46FF">
            <w:pPr>
              <w:spacing w:line="300" w:lineRule="exact"/>
              <w:jc w:val="left"/>
              <w:rPr>
                <w:rFonts w:asciiTheme="minorEastAsia" w:hAnsiTheme="minorEastAsia" w:eastAsiaTheme="minorEastAsia"/>
                <w:szCs w:val="21"/>
              </w:rPr>
            </w:pPr>
            <w:r>
              <w:rPr>
                <w:rFonts w:asciiTheme="minorEastAsia" w:hAnsiTheme="minorEastAsia" w:eastAsiaTheme="minorEastAsia"/>
                <w:szCs w:val="21"/>
              </w:rPr>
              <w:t>409.75</w:t>
            </w:r>
          </w:p>
        </w:tc>
        <w:tc>
          <w:tcPr>
            <w:tcW w:w="2976" w:type="dxa"/>
            <w:vAlign w:val="center"/>
          </w:tcPr>
          <w:p w14:paraId="1F403E2C">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做好信息的上报下达，完成上级交派的各项任务</w:t>
            </w:r>
          </w:p>
        </w:tc>
        <w:tc>
          <w:tcPr>
            <w:tcW w:w="2976" w:type="dxa"/>
            <w:vAlign w:val="center"/>
          </w:tcPr>
          <w:p w14:paraId="4B6B0FEF">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信息采集及上报及时，按时限完成各项工作</w:t>
            </w:r>
          </w:p>
        </w:tc>
        <w:tc>
          <w:tcPr>
            <w:tcW w:w="1417" w:type="dxa"/>
            <w:vAlign w:val="center"/>
          </w:tcPr>
          <w:p w14:paraId="5C19D647">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工作完成率</w:t>
            </w:r>
          </w:p>
        </w:tc>
        <w:tc>
          <w:tcPr>
            <w:tcW w:w="737" w:type="dxa"/>
            <w:vAlign w:val="center"/>
          </w:tcPr>
          <w:p w14:paraId="5FE443CC">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90%</w:t>
            </w:r>
          </w:p>
        </w:tc>
        <w:tc>
          <w:tcPr>
            <w:tcW w:w="737" w:type="dxa"/>
            <w:vAlign w:val="center"/>
          </w:tcPr>
          <w:p w14:paraId="0B7CB85E">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80%</w:t>
            </w:r>
          </w:p>
        </w:tc>
        <w:tc>
          <w:tcPr>
            <w:tcW w:w="737" w:type="dxa"/>
            <w:vAlign w:val="center"/>
          </w:tcPr>
          <w:p w14:paraId="4D4BE5F0">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70%</w:t>
            </w:r>
          </w:p>
        </w:tc>
        <w:tc>
          <w:tcPr>
            <w:tcW w:w="737" w:type="dxa"/>
            <w:vAlign w:val="center"/>
          </w:tcPr>
          <w:p w14:paraId="79884DF4">
            <w:pPr>
              <w:spacing w:line="300" w:lineRule="exact"/>
              <w:jc w:val="center"/>
              <w:rPr>
                <w:rFonts w:asciiTheme="minorEastAsia" w:hAnsiTheme="minorEastAsia" w:eastAsiaTheme="minorEastAsia"/>
                <w:szCs w:val="21"/>
              </w:rPr>
            </w:pPr>
            <w:r>
              <w:rPr>
                <w:rFonts w:asciiTheme="minorEastAsia" w:hAnsiTheme="minorEastAsia" w:eastAsiaTheme="minorEastAsia"/>
                <w:szCs w:val="21"/>
              </w:rPr>
              <w:t>&lt;70%</w:t>
            </w:r>
          </w:p>
        </w:tc>
      </w:tr>
      <w:tr w14:paraId="2C9787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E410FFD">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信访稳定工作</w:t>
            </w:r>
          </w:p>
        </w:tc>
        <w:tc>
          <w:tcPr>
            <w:tcW w:w="1276" w:type="dxa"/>
            <w:vAlign w:val="center"/>
          </w:tcPr>
          <w:p w14:paraId="585D0320">
            <w:pPr>
              <w:spacing w:line="300" w:lineRule="exact"/>
              <w:jc w:val="left"/>
              <w:rPr>
                <w:rFonts w:asciiTheme="minorEastAsia" w:hAnsiTheme="minorEastAsia" w:eastAsiaTheme="minorEastAsia"/>
                <w:szCs w:val="21"/>
              </w:rPr>
            </w:pPr>
          </w:p>
        </w:tc>
        <w:tc>
          <w:tcPr>
            <w:tcW w:w="2976" w:type="dxa"/>
            <w:vAlign w:val="center"/>
          </w:tcPr>
          <w:p w14:paraId="7E49E52D">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负责正常信访、非访、突发性及群体性事件的办理；提供相关服务保障；协助上级信访局处理越级上访；信访事项督查。</w:t>
            </w:r>
          </w:p>
        </w:tc>
        <w:tc>
          <w:tcPr>
            <w:tcW w:w="2976" w:type="dxa"/>
            <w:vAlign w:val="center"/>
          </w:tcPr>
          <w:p w14:paraId="562042EF">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畅通信访渠道，减少信访案件，维护社会和谐稳定。</w:t>
            </w:r>
          </w:p>
        </w:tc>
        <w:tc>
          <w:tcPr>
            <w:tcW w:w="1417" w:type="dxa"/>
            <w:vAlign w:val="center"/>
          </w:tcPr>
          <w:p w14:paraId="684BAC91">
            <w:pPr>
              <w:spacing w:line="300" w:lineRule="exact"/>
              <w:jc w:val="left"/>
              <w:rPr>
                <w:rFonts w:asciiTheme="minorEastAsia" w:hAnsiTheme="minorEastAsia" w:eastAsiaTheme="minorEastAsia"/>
                <w:szCs w:val="21"/>
              </w:rPr>
            </w:pPr>
          </w:p>
        </w:tc>
        <w:tc>
          <w:tcPr>
            <w:tcW w:w="737" w:type="dxa"/>
            <w:vAlign w:val="center"/>
          </w:tcPr>
          <w:p w14:paraId="3C4F7AF5">
            <w:pPr>
              <w:spacing w:line="300" w:lineRule="exact"/>
              <w:jc w:val="center"/>
              <w:rPr>
                <w:rFonts w:asciiTheme="minorEastAsia" w:hAnsiTheme="minorEastAsia" w:eastAsiaTheme="minorEastAsia"/>
                <w:szCs w:val="21"/>
              </w:rPr>
            </w:pPr>
          </w:p>
        </w:tc>
        <w:tc>
          <w:tcPr>
            <w:tcW w:w="737" w:type="dxa"/>
            <w:vAlign w:val="center"/>
          </w:tcPr>
          <w:p w14:paraId="4C7CDF0C">
            <w:pPr>
              <w:spacing w:line="300" w:lineRule="exact"/>
              <w:jc w:val="center"/>
              <w:rPr>
                <w:rFonts w:asciiTheme="minorEastAsia" w:hAnsiTheme="minorEastAsia" w:eastAsiaTheme="minorEastAsia"/>
                <w:szCs w:val="21"/>
              </w:rPr>
            </w:pPr>
          </w:p>
        </w:tc>
        <w:tc>
          <w:tcPr>
            <w:tcW w:w="737" w:type="dxa"/>
            <w:vAlign w:val="center"/>
          </w:tcPr>
          <w:p w14:paraId="60F79A85">
            <w:pPr>
              <w:spacing w:line="300" w:lineRule="exact"/>
              <w:jc w:val="center"/>
              <w:rPr>
                <w:rFonts w:asciiTheme="minorEastAsia" w:hAnsiTheme="minorEastAsia" w:eastAsiaTheme="minorEastAsia"/>
                <w:szCs w:val="21"/>
              </w:rPr>
            </w:pPr>
          </w:p>
        </w:tc>
        <w:tc>
          <w:tcPr>
            <w:tcW w:w="737" w:type="dxa"/>
            <w:vAlign w:val="center"/>
          </w:tcPr>
          <w:p w14:paraId="067C4D3E">
            <w:pPr>
              <w:spacing w:line="300" w:lineRule="exact"/>
              <w:jc w:val="center"/>
              <w:rPr>
                <w:rFonts w:asciiTheme="minorEastAsia" w:hAnsiTheme="minorEastAsia" w:eastAsiaTheme="minorEastAsia"/>
                <w:szCs w:val="21"/>
              </w:rPr>
            </w:pPr>
          </w:p>
        </w:tc>
      </w:tr>
      <w:tr w14:paraId="42F1FB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0C34576">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信访活动</w:t>
            </w:r>
          </w:p>
        </w:tc>
        <w:tc>
          <w:tcPr>
            <w:tcW w:w="1276" w:type="dxa"/>
            <w:vAlign w:val="center"/>
          </w:tcPr>
          <w:p w14:paraId="411139F6">
            <w:pPr>
              <w:spacing w:line="300" w:lineRule="exact"/>
              <w:jc w:val="left"/>
              <w:rPr>
                <w:rFonts w:asciiTheme="minorEastAsia" w:hAnsiTheme="minorEastAsia" w:eastAsiaTheme="minorEastAsia"/>
                <w:szCs w:val="21"/>
              </w:rPr>
            </w:pPr>
          </w:p>
        </w:tc>
        <w:tc>
          <w:tcPr>
            <w:tcW w:w="2976" w:type="dxa"/>
            <w:vAlign w:val="center"/>
          </w:tcPr>
          <w:p w14:paraId="2256859A">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负责正常信访、非访、突发性及群体性事件的办理；提供相关服务保障；协助上级信访局处理越级上访；信访事项督查。</w:t>
            </w:r>
          </w:p>
        </w:tc>
        <w:tc>
          <w:tcPr>
            <w:tcW w:w="2976" w:type="dxa"/>
            <w:vAlign w:val="center"/>
          </w:tcPr>
          <w:p w14:paraId="0A62B0AE">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畅通信访渠道，提高信访事项办理质量和效率。</w:t>
            </w:r>
          </w:p>
        </w:tc>
        <w:tc>
          <w:tcPr>
            <w:tcW w:w="1417" w:type="dxa"/>
            <w:vAlign w:val="center"/>
          </w:tcPr>
          <w:p w14:paraId="39325833">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督办信访案件数</w:t>
            </w:r>
          </w:p>
        </w:tc>
        <w:tc>
          <w:tcPr>
            <w:tcW w:w="737" w:type="dxa"/>
            <w:vAlign w:val="center"/>
          </w:tcPr>
          <w:p w14:paraId="0462F6E4">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8</w:t>
            </w:r>
          </w:p>
        </w:tc>
        <w:tc>
          <w:tcPr>
            <w:tcW w:w="737" w:type="dxa"/>
            <w:vAlign w:val="center"/>
          </w:tcPr>
          <w:p w14:paraId="514E97EE">
            <w:pPr>
              <w:spacing w:line="300" w:lineRule="exact"/>
              <w:jc w:val="center"/>
              <w:rPr>
                <w:rFonts w:asciiTheme="minorEastAsia" w:hAnsiTheme="minorEastAsia" w:eastAsiaTheme="minorEastAsia"/>
                <w:szCs w:val="21"/>
              </w:rPr>
            </w:pPr>
            <w:r>
              <w:rPr>
                <w:rFonts w:asciiTheme="minorEastAsia" w:hAnsiTheme="minorEastAsia" w:eastAsiaTheme="minorEastAsia"/>
                <w:szCs w:val="21"/>
              </w:rPr>
              <w:t>7</w:t>
            </w:r>
          </w:p>
        </w:tc>
        <w:tc>
          <w:tcPr>
            <w:tcW w:w="737" w:type="dxa"/>
            <w:vAlign w:val="center"/>
          </w:tcPr>
          <w:p w14:paraId="793BCE57">
            <w:pPr>
              <w:spacing w:line="300" w:lineRule="exact"/>
              <w:jc w:val="center"/>
              <w:rPr>
                <w:rFonts w:asciiTheme="minorEastAsia" w:hAnsiTheme="minorEastAsia" w:eastAsiaTheme="minorEastAsia"/>
                <w:szCs w:val="21"/>
              </w:rPr>
            </w:pPr>
            <w:r>
              <w:rPr>
                <w:rFonts w:asciiTheme="minorEastAsia" w:hAnsiTheme="minorEastAsia" w:eastAsiaTheme="minorEastAsia"/>
                <w:szCs w:val="21"/>
              </w:rPr>
              <w:t>6</w:t>
            </w:r>
          </w:p>
        </w:tc>
        <w:tc>
          <w:tcPr>
            <w:tcW w:w="737" w:type="dxa"/>
            <w:vAlign w:val="center"/>
          </w:tcPr>
          <w:p w14:paraId="66BB9E34">
            <w:pPr>
              <w:spacing w:line="300" w:lineRule="exact"/>
              <w:jc w:val="center"/>
              <w:rPr>
                <w:rFonts w:asciiTheme="minorEastAsia" w:hAnsiTheme="minorEastAsia" w:eastAsiaTheme="minorEastAsia"/>
                <w:szCs w:val="21"/>
              </w:rPr>
            </w:pPr>
            <w:r>
              <w:rPr>
                <w:rFonts w:asciiTheme="minorEastAsia" w:hAnsiTheme="minorEastAsia" w:eastAsiaTheme="minorEastAsia"/>
                <w:szCs w:val="21"/>
              </w:rPr>
              <w:t>&lt;6</w:t>
            </w:r>
          </w:p>
        </w:tc>
      </w:tr>
      <w:tr w14:paraId="3CD94B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54FEEFB">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财政工作</w:t>
            </w:r>
          </w:p>
        </w:tc>
        <w:tc>
          <w:tcPr>
            <w:tcW w:w="1276" w:type="dxa"/>
            <w:vAlign w:val="center"/>
          </w:tcPr>
          <w:p w14:paraId="1B820DA0">
            <w:pPr>
              <w:spacing w:line="300" w:lineRule="exact"/>
              <w:jc w:val="left"/>
              <w:rPr>
                <w:rFonts w:asciiTheme="minorEastAsia" w:hAnsiTheme="minorEastAsia" w:eastAsiaTheme="minorEastAsia"/>
                <w:szCs w:val="21"/>
              </w:rPr>
            </w:pPr>
          </w:p>
        </w:tc>
        <w:tc>
          <w:tcPr>
            <w:tcW w:w="2976" w:type="dxa"/>
            <w:vAlign w:val="center"/>
          </w:tcPr>
          <w:p w14:paraId="5BA54B14">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加强财务会计管理工作，依法按照财经制度管理会计事务，做到量入微出</w:t>
            </w:r>
          </w:p>
        </w:tc>
        <w:tc>
          <w:tcPr>
            <w:tcW w:w="2976" w:type="dxa"/>
            <w:vAlign w:val="center"/>
          </w:tcPr>
          <w:p w14:paraId="44B61414">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维护财经制度，办理好各项财经事项</w:t>
            </w:r>
          </w:p>
        </w:tc>
        <w:tc>
          <w:tcPr>
            <w:tcW w:w="1417" w:type="dxa"/>
            <w:vAlign w:val="center"/>
          </w:tcPr>
          <w:p w14:paraId="2A558F69">
            <w:pPr>
              <w:spacing w:line="300" w:lineRule="exact"/>
              <w:jc w:val="left"/>
              <w:rPr>
                <w:rFonts w:asciiTheme="minorEastAsia" w:hAnsiTheme="minorEastAsia" w:eastAsiaTheme="minorEastAsia"/>
                <w:szCs w:val="21"/>
              </w:rPr>
            </w:pPr>
          </w:p>
        </w:tc>
        <w:tc>
          <w:tcPr>
            <w:tcW w:w="737" w:type="dxa"/>
            <w:vAlign w:val="center"/>
          </w:tcPr>
          <w:p w14:paraId="62610110">
            <w:pPr>
              <w:spacing w:line="300" w:lineRule="exact"/>
              <w:jc w:val="center"/>
              <w:rPr>
                <w:rFonts w:asciiTheme="minorEastAsia" w:hAnsiTheme="minorEastAsia" w:eastAsiaTheme="minorEastAsia"/>
                <w:szCs w:val="21"/>
              </w:rPr>
            </w:pPr>
          </w:p>
        </w:tc>
        <w:tc>
          <w:tcPr>
            <w:tcW w:w="737" w:type="dxa"/>
            <w:vAlign w:val="center"/>
          </w:tcPr>
          <w:p w14:paraId="12773E2C">
            <w:pPr>
              <w:spacing w:line="300" w:lineRule="exact"/>
              <w:jc w:val="center"/>
              <w:rPr>
                <w:rFonts w:asciiTheme="minorEastAsia" w:hAnsiTheme="minorEastAsia" w:eastAsiaTheme="minorEastAsia"/>
                <w:szCs w:val="21"/>
              </w:rPr>
            </w:pPr>
          </w:p>
        </w:tc>
        <w:tc>
          <w:tcPr>
            <w:tcW w:w="737" w:type="dxa"/>
            <w:vAlign w:val="center"/>
          </w:tcPr>
          <w:p w14:paraId="04A10E5D">
            <w:pPr>
              <w:spacing w:line="300" w:lineRule="exact"/>
              <w:jc w:val="center"/>
              <w:rPr>
                <w:rFonts w:asciiTheme="minorEastAsia" w:hAnsiTheme="minorEastAsia" w:eastAsiaTheme="minorEastAsia"/>
                <w:szCs w:val="21"/>
              </w:rPr>
            </w:pPr>
          </w:p>
        </w:tc>
        <w:tc>
          <w:tcPr>
            <w:tcW w:w="737" w:type="dxa"/>
            <w:vAlign w:val="center"/>
          </w:tcPr>
          <w:p w14:paraId="4648E143">
            <w:pPr>
              <w:spacing w:line="300" w:lineRule="exact"/>
              <w:jc w:val="center"/>
              <w:rPr>
                <w:rFonts w:asciiTheme="minorEastAsia" w:hAnsiTheme="minorEastAsia" w:eastAsiaTheme="minorEastAsia"/>
                <w:szCs w:val="21"/>
              </w:rPr>
            </w:pPr>
          </w:p>
        </w:tc>
      </w:tr>
      <w:tr w14:paraId="58EEF3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35AB723">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财政管理</w:t>
            </w:r>
          </w:p>
        </w:tc>
        <w:tc>
          <w:tcPr>
            <w:tcW w:w="1276" w:type="dxa"/>
            <w:vAlign w:val="center"/>
          </w:tcPr>
          <w:p w14:paraId="556FCC99">
            <w:pPr>
              <w:spacing w:line="300" w:lineRule="exact"/>
              <w:jc w:val="left"/>
              <w:rPr>
                <w:rFonts w:asciiTheme="minorEastAsia" w:hAnsiTheme="minorEastAsia" w:eastAsiaTheme="minorEastAsia"/>
                <w:szCs w:val="21"/>
              </w:rPr>
            </w:pPr>
          </w:p>
        </w:tc>
        <w:tc>
          <w:tcPr>
            <w:tcW w:w="2976" w:type="dxa"/>
            <w:vAlign w:val="center"/>
          </w:tcPr>
          <w:p w14:paraId="5D2ACD68">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财政对会计人员进行培训依法、依规、依纪办理会计事务</w:t>
            </w:r>
          </w:p>
        </w:tc>
        <w:tc>
          <w:tcPr>
            <w:tcW w:w="2976" w:type="dxa"/>
            <w:vAlign w:val="center"/>
          </w:tcPr>
          <w:p w14:paraId="0134DEF7">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发挥财政职能，提高理财水平</w:t>
            </w:r>
          </w:p>
        </w:tc>
        <w:tc>
          <w:tcPr>
            <w:tcW w:w="1417" w:type="dxa"/>
            <w:vAlign w:val="center"/>
          </w:tcPr>
          <w:p w14:paraId="0F345778">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财政人员培训率</w:t>
            </w:r>
          </w:p>
        </w:tc>
        <w:tc>
          <w:tcPr>
            <w:tcW w:w="737" w:type="dxa"/>
            <w:vAlign w:val="center"/>
          </w:tcPr>
          <w:p w14:paraId="693817FD">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100%</w:t>
            </w:r>
          </w:p>
        </w:tc>
        <w:tc>
          <w:tcPr>
            <w:tcW w:w="737" w:type="dxa"/>
            <w:vAlign w:val="center"/>
          </w:tcPr>
          <w:p w14:paraId="525DC35A">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95%</w:t>
            </w:r>
          </w:p>
        </w:tc>
        <w:tc>
          <w:tcPr>
            <w:tcW w:w="737" w:type="dxa"/>
            <w:vAlign w:val="center"/>
          </w:tcPr>
          <w:p w14:paraId="72380211">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90%</w:t>
            </w:r>
          </w:p>
        </w:tc>
        <w:tc>
          <w:tcPr>
            <w:tcW w:w="737" w:type="dxa"/>
            <w:vAlign w:val="center"/>
          </w:tcPr>
          <w:p w14:paraId="1C74841E">
            <w:pPr>
              <w:spacing w:line="300" w:lineRule="exact"/>
              <w:jc w:val="center"/>
              <w:rPr>
                <w:rFonts w:asciiTheme="minorEastAsia" w:hAnsiTheme="minorEastAsia" w:eastAsiaTheme="minorEastAsia"/>
                <w:szCs w:val="21"/>
              </w:rPr>
            </w:pPr>
            <w:r>
              <w:rPr>
                <w:rFonts w:asciiTheme="minorEastAsia" w:hAnsiTheme="minorEastAsia" w:eastAsiaTheme="minorEastAsia"/>
                <w:szCs w:val="21"/>
              </w:rPr>
              <w:t>&lt;90%</w:t>
            </w:r>
          </w:p>
        </w:tc>
      </w:tr>
      <w:tr w14:paraId="4F1476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28981CF">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预算管理</w:t>
            </w:r>
          </w:p>
        </w:tc>
        <w:tc>
          <w:tcPr>
            <w:tcW w:w="1276" w:type="dxa"/>
            <w:vAlign w:val="center"/>
          </w:tcPr>
          <w:p w14:paraId="074F39C0">
            <w:pPr>
              <w:spacing w:line="300" w:lineRule="exact"/>
              <w:jc w:val="left"/>
              <w:rPr>
                <w:rFonts w:asciiTheme="minorEastAsia" w:hAnsiTheme="minorEastAsia" w:eastAsiaTheme="minorEastAsia"/>
                <w:szCs w:val="21"/>
              </w:rPr>
            </w:pPr>
          </w:p>
        </w:tc>
        <w:tc>
          <w:tcPr>
            <w:tcW w:w="2976" w:type="dxa"/>
            <w:vAlign w:val="center"/>
          </w:tcPr>
          <w:p w14:paraId="07BB0350">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做好预算编制，预算执行工作</w:t>
            </w:r>
          </w:p>
        </w:tc>
        <w:tc>
          <w:tcPr>
            <w:tcW w:w="2976" w:type="dxa"/>
            <w:vAlign w:val="center"/>
          </w:tcPr>
          <w:p w14:paraId="74B5689E">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合理有效使用预算资金发挥资金效能</w:t>
            </w:r>
          </w:p>
        </w:tc>
        <w:tc>
          <w:tcPr>
            <w:tcW w:w="1417" w:type="dxa"/>
            <w:vAlign w:val="center"/>
          </w:tcPr>
          <w:p w14:paraId="4E7B9257">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预算资金执行效能</w:t>
            </w:r>
          </w:p>
        </w:tc>
        <w:tc>
          <w:tcPr>
            <w:tcW w:w="737" w:type="dxa"/>
            <w:vAlign w:val="center"/>
          </w:tcPr>
          <w:p w14:paraId="5A227502">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100%</w:t>
            </w:r>
          </w:p>
        </w:tc>
        <w:tc>
          <w:tcPr>
            <w:tcW w:w="737" w:type="dxa"/>
            <w:vAlign w:val="center"/>
          </w:tcPr>
          <w:p w14:paraId="744F5027">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95%</w:t>
            </w:r>
          </w:p>
        </w:tc>
        <w:tc>
          <w:tcPr>
            <w:tcW w:w="737" w:type="dxa"/>
            <w:vAlign w:val="center"/>
          </w:tcPr>
          <w:p w14:paraId="7240486C">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90%</w:t>
            </w:r>
          </w:p>
        </w:tc>
        <w:tc>
          <w:tcPr>
            <w:tcW w:w="737" w:type="dxa"/>
            <w:vAlign w:val="center"/>
          </w:tcPr>
          <w:p w14:paraId="15EA853B">
            <w:pPr>
              <w:spacing w:line="300" w:lineRule="exact"/>
              <w:jc w:val="center"/>
              <w:rPr>
                <w:rFonts w:asciiTheme="minorEastAsia" w:hAnsiTheme="minorEastAsia" w:eastAsiaTheme="minorEastAsia"/>
                <w:szCs w:val="21"/>
              </w:rPr>
            </w:pPr>
            <w:r>
              <w:rPr>
                <w:rFonts w:asciiTheme="minorEastAsia" w:hAnsiTheme="minorEastAsia" w:eastAsiaTheme="minorEastAsia"/>
                <w:szCs w:val="21"/>
              </w:rPr>
              <w:t>&lt;90%</w:t>
            </w:r>
          </w:p>
        </w:tc>
      </w:tr>
      <w:tr w14:paraId="4D4ACE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B072940">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财政监督管理</w:t>
            </w:r>
          </w:p>
        </w:tc>
        <w:tc>
          <w:tcPr>
            <w:tcW w:w="1276" w:type="dxa"/>
            <w:vAlign w:val="center"/>
          </w:tcPr>
          <w:p w14:paraId="19454CE3">
            <w:pPr>
              <w:spacing w:line="300" w:lineRule="exact"/>
              <w:jc w:val="left"/>
              <w:rPr>
                <w:rFonts w:asciiTheme="minorEastAsia" w:hAnsiTheme="minorEastAsia" w:eastAsiaTheme="minorEastAsia"/>
                <w:szCs w:val="21"/>
              </w:rPr>
            </w:pPr>
          </w:p>
        </w:tc>
        <w:tc>
          <w:tcPr>
            <w:tcW w:w="2976" w:type="dxa"/>
            <w:vAlign w:val="center"/>
          </w:tcPr>
          <w:p w14:paraId="5AF2263D">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加强对财经法规制度的执行情况的监督检查</w:t>
            </w:r>
          </w:p>
        </w:tc>
        <w:tc>
          <w:tcPr>
            <w:tcW w:w="2976" w:type="dxa"/>
            <w:vAlign w:val="center"/>
          </w:tcPr>
          <w:p w14:paraId="55F6B97D">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做好财政资金监督、绩效评价、投资评审、会计制度检查、农村三资管理的监督</w:t>
            </w:r>
          </w:p>
        </w:tc>
        <w:tc>
          <w:tcPr>
            <w:tcW w:w="1417" w:type="dxa"/>
            <w:vAlign w:val="center"/>
          </w:tcPr>
          <w:p w14:paraId="0BA52895">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财政监管力度</w:t>
            </w:r>
          </w:p>
        </w:tc>
        <w:tc>
          <w:tcPr>
            <w:tcW w:w="737" w:type="dxa"/>
            <w:vAlign w:val="center"/>
          </w:tcPr>
          <w:p w14:paraId="426C6222">
            <w:pPr>
              <w:spacing w:line="300" w:lineRule="exact"/>
              <w:jc w:val="center"/>
              <w:rPr>
                <w:rFonts w:asciiTheme="minorEastAsia" w:hAnsiTheme="minorEastAsia" w:eastAsiaTheme="minorEastAsia"/>
                <w:szCs w:val="21"/>
              </w:rPr>
            </w:pPr>
          </w:p>
        </w:tc>
        <w:tc>
          <w:tcPr>
            <w:tcW w:w="737" w:type="dxa"/>
            <w:vAlign w:val="center"/>
          </w:tcPr>
          <w:p w14:paraId="01014AD3">
            <w:pPr>
              <w:spacing w:line="300" w:lineRule="exact"/>
              <w:jc w:val="center"/>
              <w:rPr>
                <w:rFonts w:asciiTheme="minorEastAsia" w:hAnsiTheme="minorEastAsia" w:eastAsiaTheme="minorEastAsia"/>
                <w:szCs w:val="21"/>
              </w:rPr>
            </w:pPr>
          </w:p>
        </w:tc>
        <w:tc>
          <w:tcPr>
            <w:tcW w:w="737" w:type="dxa"/>
            <w:vAlign w:val="center"/>
          </w:tcPr>
          <w:p w14:paraId="036BE4CE">
            <w:pPr>
              <w:spacing w:line="300" w:lineRule="exact"/>
              <w:jc w:val="center"/>
              <w:rPr>
                <w:rFonts w:asciiTheme="minorEastAsia" w:hAnsiTheme="minorEastAsia" w:eastAsiaTheme="minorEastAsia"/>
                <w:szCs w:val="21"/>
              </w:rPr>
            </w:pPr>
          </w:p>
        </w:tc>
        <w:tc>
          <w:tcPr>
            <w:tcW w:w="737" w:type="dxa"/>
            <w:vAlign w:val="center"/>
          </w:tcPr>
          <w:p w14:paraId="27E0DB85">
            <w:pPr>
              <w:spacing w:line="300" w:lineRule="exact"/>
              <w:jc w:val="center"/>
              <w:rPr>
                <w:rFonts w:asciiTheme="minorEastAsia" w:hAnsiTheme="minorEastAsia" w:eastAsiaTheme="minorEastAsia"/>
                <w:szCs w:val="21"/>
              </w:rPr>
            </w:pPr>
          </w:p>
        </w:tc>
      </w:tr>
      <w:tr w14:paraId="624955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42644EC">
            <w:pPr>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　　国有资产</w:t>
            </w:r>
          </w:p>
        </w:tc>
        <w:tc>
          <w:tcPr>
            <w:tcW w:w="1276" w:type="dxa"/>
            <w:vAlign w:val="center"/>
          </w:tcPr>
          <w:p w14:paraId="69F083CE">
            <w:pPr>
              <w:spacing w:line="300" w:lineRule="exact"/>
              <w:jc w:val="left"/>
              <w:rPr>
                <w:rFonts w:asciiTheme="minorEastAsia" w:hAnsiTheme="minorEastAsia" w:eastAsiaTheme="minorEastAsia"/>
                <w:szCs w:val="21"/>
              </w:rPr>
            </w:pPr>
          </w:p>
        </w:tc>
        <w:tc>
          <w:tcPr>
            <w:tcW w:w="2976" w:type="dxa"/>
            <w:vAlign w:val="center"/>
          </w:tcPr>
          <w:p w14:paraId="44FA1D73">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做好国有资产的维护保养，确保国有资产保值、增值，做好固定资产的登记、造册</w:t>
            </w:r>
          </w:p>
        </w:tc>
        <w:tc>
          <w:tcPr>
            <w:tcW w:w="2976" w:type="dxa"/>
            <w:vAlign w:val="center"/>
          </w:tcPr>
          <w:p w14:paraId="4CE2FFAF">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保证国有资产完整，防止国有资产流失</w:t>
            </w:r>
          </w:p>
        </w:tc>
        <w:tc>
          <w:tcPr>
            <w:tcW w:w="1417" w:type="dxa"/>
            <w:vAlign w:val="center"/>
          </w:tcPr>
          <w:p w14:paraId="39C6AD3A">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国有资产保全率</w:t>
            </w:r>
          </w:p>
        </w:tc>
        <w:tc>
          <w:tcPr>
            <w:tcW w:w="737" w:type="dxa"/>
            <w:vAlign w:val="center"/>
          </w:tcPr>
          <w:p w14:paraId="0E93104F">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100%</w:t>
            </w:r>
          </w:p>
        </w:tc>
        <w:tc>
          <w:tcPr>
            <w:tcW w:w="737" w:type="dxa"/>
            <w:vAlign w:val="center"/>
          </w:tcPr>
          <w:p w14:paraId="4BA4C9BF">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95%</w:t>
            </w:r>
          </w:p>
        </w:tc>
        <w:tc>
          <w:tcPr>
            <w:tcW w:w="737" w:type="dxa"/>
            <w:vAlign w:val="center"/>
          </w:tcPr>
          <w:p w14:paraId="31CF00EA">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90%</w:t>
            </w:r>
          </w:p>
        </w:tc>
        <w:tc>
          <w:tcPr>
            <w:tcW w:w="737" w:type="dxa"/>
            <w:vAlign w:val="center"/>
          </w:tcPr>
          <w:p w14:paraId="05EFB2FD">
            <w:pPr>
              <w:spacing w:line="300" w:lineRule="exact"/>
              <w:jc w:val="center"/>
              <w:rPr>
                <w:rFonts w:asciiTheme="minorEastAsia" w:hAnsiTheme="minorEastAsia" w:eastAsiaTheme="minorEastAsia"/>
                <w:szCs w:val="21"/>
              </w:rPr>
            </w:pPr>
            <w:r>
              <w:rPr>
                <w:rFonts w:asciiTheme="minorEastAsia" w:hAnsiTheme="minorEastAsia" w:eastAsiaTheme="minorEastAsia"/>
                <w:szCs w:val="21"/>
              </w:rPr>
              <w:t>&lt;90%</w:t>
            </w:r>
          </w:p>
        </w:tc>
      </w:tr>
    </w:tbl>
    <w:p w14:paraId="08BA9E06">
      <w:pPr>
        <w:spacing w:line="300" w:lineRule="exact"/>
        <w:jc w:val="left"/>
        <w:outlineLvl w:val="0"/>
        <w:rPr>
          <w:rFonts w:ascii="宋体"/>
          <w:sz w:val="28"/>
          <w:szCs w:val="28"/>
        </w:rPr>
      </w:pPr>
    </w:p>
    <w:p w14:paraId="51B8FC39">
      <w:pPr>
        <w:spacing w:line="300" w:lineRule="exact"/>
        <w:jc w:val="left"/>
        <w:outlineLvl w:val="0"/>
        <w:rPr>
          <w:rFonts w:ascii="宋体"/>
          <w:sz w:val="28"/>
          <w:szCs w:val="28"/>
        </w:rPr>
      </w:pPr>
    </w:p>
    <w:p w14:paraId="1955524C">
      <w:pPr>
        <w:spacing w:line="300" w:lineRule="exact"/>
        <w:jc w:val="left"/>
        <w:outlineLvl w:val="0"/>
        <w:rPr>
          <w:rFonts w:ascii="宋体"/>
          <w:sz w:val="28"/>
          <w:szCs w:val="28"/>
        </w:rPr>
      </w:pPr>
    </w:p>
    <w:p w14:paraId="277212C8">
      <w:pPr>
        <w:spacing w:line="300" w:lineRule="exact"/>
        <w:jc w:val="left"/>
        <w:outlineLvl w:val="0"/>
        <w:rPr>
          <w:rFonts w:ascii="宋体"/>
          <w:sz w:val="28"/>
          <w:szCs w:val="28"/>
        </w:rPr>
      </w:pPr>
    </w:p>
    <w:p w14:paraId="4AB4E7F0">
      <w:pPr>
        <w:spacing w:line="300" w:lineRule="exact"/>
        <w:jc w:val="left"/>
        <w:outlineLvl w:val="0"/>
        <w:rPr>
          <w:rFonts w:ascii="宋体"/>
          <w:sz w:val="28"/>
          <w:szCs w:val="28"/>
        </w:rPr>
      </w:pPr>
    </w:p>
    <w:p w14:paraId="48BA88B4">
      <w:pPr>
        <w:spacing w:line="300" w:lineRule="exact"/>
        <w:jc w:val="left"/>
        <w:outlineLvl w:val="0"/>
        <w:rPr>
          <w:rFonts w:ascii="宋体"/>
          <w:sz w:val="28"/>
          <w:szCs w:val="28"/>
        </w:rPr>
      </w:pPr>
    </w:p>
    <w:p w14:paraId="562096CE">
      <w:pPr>
        <w:spacing w:line="300" w:lineRule="exact"/>
        <w:jc w:val="left"/>
        <w:outlineLvl w:val="0"/>
        <w:rPr>
          <w:rFonts w:ascii="宋体"/>
          <w:sz w:val="28"/>
          <w:szCs w:val="28"/>
        </w:rPr>
        <w:sectPr>
          <w:pgSz w:w="16839" w:h="11907" w:orient="landscape"/>
          <w:pgMar w:top="1020" w:right="1361" w:bottom="1020" w:left="1361" w:header="851" w:footer="992" w:gutter="0"/>
          <w:cols w:space="720" w:num="1"/>
          <w:docGrid w:type="lines" w:linePitch="312" w:charSpace="0"/>
        </w:sectPr>
      </w:pPr>
    </w:p>
    <w:p w14:paraId="390D8077">
      <w:pPr>
        <w:numPr>
          <w:ilvl w:val="0"/>
          <w:numId w:val="1"/>
        </w:numPr>
        <w:jc w:val="left"/>
        <w:rPr>
          <w:rFonts w:ascii="宋体" w:cs="宋体"/>
          <w:b/>
          <w:bCs/>
          <w:color w:val="000000"/>
          <w:kern w:val="0"/>
          <w:sz w:val="28"/>
          <w:szCs w:val="28"/>
        </w:rPr>
      </w:pPr>
      <w:r>
        <w:rPr>
          <w:rFonts w:hint="eastAsia" w:ascii="宋体" w:hAnsi="宋体" w:cs="宋体"/>
          <w:b/>
          <w:bCs/>
          <w:color w:val="000000"/>
          <w:kern w:val="0"/>
          <w:sz w:val="28"/>
          <w:szCs w:val="28"/>
        </w:rPr>
        <w:t>政府采购预算情况</w:t>
      </w:r>
    </w:p>
    <w:p w14:paraId="1DC3969F">
      <w:pPr>
        <w:jc w:val="left"/>
        <w:rPr>
          <w:rFonts w:ascii="宋体" w:cs="宋体"/>
          <w:b/>
          <w:bCs/>
          <w:color w:val="000000"/>
          <w:kern w:val="0"/>
          <w:sz w:val="28"/>
          <w:szCs w:val="28"/>
        </w:rPr>
      </w:pPr>
      <w:r>
        <w:rPr>
          <w:rFonts w:ascii="宋体" w:hAnsi="宋体" w:cs="宋体"/>
          <w:b/>
          <w:bCs/>
          <w:color w:val="000000"/>
          <w:kern w:val="0"/>
          <w:sz w:val="28"/>
          <w:szCs w:val="28"/>
        </w:rPr>
        <w:t>2017</w:t>
      </w:r>
      <w:r>
        <w:rPr>
          <w:rFonts w:hint="eastAsia" w:ascii="宋体" w:hAnsi="宋体" w:cs="宋体"/>
          <w:b/>
          <w:bCs/>
          <w:color w:val="000000"/>
          <w:kern w:val="0"/>
          <w:sz w:val="28"/>
          <w:szCs w:val="28"/>
        </w:rPr>
        <w:t>年我单位无政府采购预算。</w:t>
      </w:r>
    </w:p>
    <w:p w14:paraId="4B21694B">
      <w:pPr>
        <w:numPr>
          <w:ilvl w:val="0"/>
          <w:numId w:val="1"/>
        </w:numPr>
        <w:jc w:val="left"/>
        <w:rPr>
          <w:rFonts w:ascii="宋体" w:cs="宋体"/>
          <w:b/>
          <w:bCs/>
          <w:color w:val="000000"/>
          <w:kern w:val="0"/>
          <w:sz w:val="28"/>
          <w:szCs w:val="28"/>
        </w:rPr>
      </w:pPr>
      <w:r>
        <w:rPr>
          <w:rFonts w:hint="eastAsia" w:ascii="宋体" w:hAnsi="宋体" w:cs="宋体"/>
          <w:b/>
          <w:bCs/>
          <w:color w:val="000000"/>
          <w:kern w:val="0"/>
          <w:sz w:val="28"/>
          <w:szCs w:val="28"/>
        </w:rPr>
        <w:t>国有资产信息情况</w:t>
      </w:r>
    </w:p>
    <w:p w14:paraId="1B5C2F7B">
      <w:pPr>
        <w:widowControl/>
        <w:spacing w:line="460" w:lineRule="exact"/>
        <w:ind w:firstLine="700" w:firstLineChars="250"/>
        <w:rPr>
          <w:rFonts w:ascii="宋体" w:cs="仿宋"/>
          <w:bCs/>
          <w:kern w:val="0"/>
          <w:sz w:val="28"/>
          <w:szCs w:val="28"/>
        </w:rPr>
      </w:pPr>
      <w:r>
        <w:rPr>
          <w:rFonts w:hint="eastAsia" w:ascii="宋体" w:hAnsi="宋体" w:cs="仿宋"/>
          <w:bCs/>
          <w:kern w:val="0"/>
          <w:sz w:val="28"/>
          <w:szCs w:val="28"/>
        </w:rPr>
        <w:t>涞水县永阳镇人民政府</w:t>
      </w:r>
      <w:r>
        <w:rPr>
          <w:rFonts w:ascii="宋体" w:hAnsi="宋体" w:cs="仿宋"/>
          <w:bCs/>
          <w:kern w:val="0"/>
          <w:sz w:val="28"/>
          <w:szCs w:val="28"/>
        </w:rPr>
        <w:t>2016</w:t>
      </w:r>
      <w:r>
        <w:rPr>
          <w:rFonts w:hint="eastAsia" w:ascii="宋体" w:hAnsi="宋体" w:cs="仿宋"/>
          <w:bCs/>
          <w:kern w:val="0"/>
          <w:sz w:val="28"/>
          <w:szCs w:val="28"/>
        </w:rPr>
        <w:t>年末固定资产总金额</w:t>
      </w:r>
      <w:r>
        <w:rPr>
          <w:rFonts w:ascii="宋体" w:hAnsi="宋体" w:cs="仿宋"/>
          <w:bCs/>
          <w:kern w:val="0"/>
          <w:sz w:val="28"/>
          <w:szCs w:val="28"/>
        </w:rPr>
        <w:t>175.71</w:t>
      </w:r>
      <w:r>
        <w:rPr>
          <w:rFonts w:hint="eastAsia" w:ascii="宋体" w:hAnsi="宋体" w:cs="仿宋"/>
          <w:bCs/>
          <w:kern w:val="0"/>
          <w:sz w:val="28"/>
          <w:szCs w:val="28"/>
        </w:rPr>
        <w:t>万元（详见下表）。</w:t>
      </w:r>
      <w:r>
        <w:rPr>
          <w:rFonts w:ascii="宋体" w:hAnsi="宋体" w:cs="仿宋"/>
          <w:bCs/>
          <w:kern w:val="0"/>
          <w:sz w:val="28"/>
          <w:szCs w:val="28"/>
        </w:rPr>
        <w:t xml:space="preserve"> 2017</w:t>
      </w:r>
      <w:r>
        <w:rPr>
          <w:rFonts w:hint="eastAsia" w:ascii="宋体" w:hAnsi="宋体" w:cs="仿宋"/>
          <w:bCs/>
          <w:kern w:val="0"/>
          <w:sz w:val="28"/>
          <w:szCs w:val="28"/>
        </w:rPr>
        <w:t>年拟购置固定资产为零。</w:t>
      </w:r>
    </w:p>
    <w:p w14:paraId="4E33143E">
      <w:pPr>
        <w:rPr>
          <w:rFonts w:ascii="宋体"/>
          <w:b/>
          <w:sz w:val="28"/>
          <w:szCs w:val="28"/>
        </w:rPr>
      </w:pPr>
    </w:p>
    <w:tbl>
      <w:tblPr>
        <w:tblStyle w:val="6"/>
        <w:tblW w:w="8804" w:type="dxa"/>
        <w:tblInd w:w="93" w:type="dxa"/>
        <w:tblLayout w:type="fixed"/>
        <w:tblCellMar>
          <w:top w:w="0" w:type="dxa"/>
          <w:left w:w="108" w:type="dxa"/>
          <w:bottom w:w="0" w:type="dxa"/>
          <w:right w:w="108" w:type="dxa"/>
        </w:tblCellMar>
      </w:tblPr>
      <w:tblGrid>
        <w:gridCol w:w="3811"/>
        <w:gridCol w:w="1591"/>
        <w:gridCol w:w="3402"/>
      </w:tblGrid>
      <w:tr w14:paraId="45A62699">
        <w:tblPrEx>
          <w:tblCellMar>
            <w:top w:w="0" w:type="dxa"/>
            <w:left w:w="108" w:type="dxa"/>
            <w:bottom w:w="0" w:type="dxa"/>
            <w:right w:w="108" w:type="dxa"/>
          </w:tblCellMar>
        </w:tblPrEx>
        <w:trPr>
          <w:trHeight w:val="675" w:hRule="atLeast"/>
        </w:trPr>
        <w:tc>
          <w:tcPr>
            <w:tcW w:w="8804" w:type="dxa"/>
            <w:gridSpan w:val="3"/>
            <w:tcBorders>
              <w:top w:val="nil"/>
              <w:left w:val="nil"/>
              <w:bottom w:val="nil"/>
              <w:right w:val="nil"/>
            </w:tcBorders>
            <w:vAlign w:val="center"/>
          </w:tcPr>
          <w:p w14:paraId="01BD053F">
            <w:pPr>
              <w:widowControl/>
              <w:jc w:val="center"/>
              <w:rPr>
                <w:rFonts w:ascii="宋体" w:cs="宋体"/>
                <w:color w:val="000000"/>
                <w:kern w:val="0"/>
                <w:sz w:val="28"/>
                <w:szCs w:val="28"/>
              </w:rPr>
            </w:pPr>
            <w:r>
              <w:rPr>
                <w:rFonts w:hint="eastAsia" w:ascii="宋体" w:hAnsi="宋体"/>
                <w:sz w:val="28"/>
                <w:szCs w:val="28"/>
              </w:rPr>
              <w:t>涞水县龙门乡人民政府</w:t>
            </w:r>
          </w:p>
        </w:tc>
      </w:tr>
      <w:tr w14:paraId="6BC3E483">
        <w:tblPrEx>
          <w:tblCellMar>
            <w:top w:w="0" w:type="dxa"/>
            <w:left w:w="108" w:type="dxa"/>
            <w:bottom w:w="0" w:type="dxa"/>
            <w:right w:w="108" w:type="dxa"/>
          </w:tblCellMar>
        </w:tblPrEx>
        <w:trPr>
          <w:trHeight w:val="465" w:hRule="atLeast"/>
        </w:trPr>
        <w:tc>
          <w:tcPr>
            <w:tcW w:w="8804" w:type="dxa"/>
            <w:gridSpan w:val="3"/>
            <w:tcBorders>
              <w:top w:val="nil"/>
              <w:left w:val="nil"/>
              <w:bottom w:val="single" w:color="auto" w:sz="4" w:space="0"/>
              <w:right w:val="nil"/>
            </w:tcBorders>
            <w:vAlign w:val="center"/>
          </w:tcPr>
          <w:p w14:paraId="11E47EAC">
            <w:pPr>
              <w:widowControl/>
              <w:jc w:val="center"/>
              <w:rPr>
                <w:rFonts w:ascii="宋体" w:cs="宋体"/>
                <w:color w:val="000000"/>
                <w:kern w:val="0"/>
                <w:sz w:val="28"/>
                <w:szCs w:val="28"/>
              </w:rPr>
            </w:pPr>
            <w:r>
              <w:rPr>
                <w:rFonts w:ascii="宋体" w:hAnsi="宋体" w:cs="宋体"/>
                <w:bCs/>
                <w:color w:val="000000"/>
                <w:kern w:val="0"/>
                <w:sz w:val="28"/>
                <w:szCs w:val="28"/>
              </w:rPr>
              <w:t xml:space="preserve">                           </w:t>
            </w:r>
            <w:r>
              <w:rPr>
                <w:rFonts w:hint="eastAsia" w:ascii="宋体" w:hAnsi="宋体" w:cs="宋体"/>
                <w:bCs/>
                <w:color w:val="000000"/>
                <w:kern w:val="0"/>
                <w:sz w:val="28"/>
                <w:szCs w:val="28"/>
              </w:rPr>
              <w:t>截止时间：</w:t>
            </w:r>
            <w:r>
              <w:rPr>
                <w:rFonts w:ascii="宋体" w:hAnsi="宋体" w:cs="宋体"/>
                <w:bCs/>
                <w:color w:val="000000"/>
                <w:kern w:val="0"/>
                <w:sz w:val="28"/>
                <w:szCs w:val="28"/>
              </w:rPr>
              <w:t>2016</w:t>
            </w:r>
            <w:r>
              <w:rPr>
                <w:rFonts w:hint="eastAsia" w:ascii="宋体" w:hAnsi="宋体" w:cs="宋体"/>
                <w:bCs/>
                <w:color w:val="000000"/>
                <w:kern w:val="0"/>
                <w:sz w:val="28"/>
                <w:szCs w:val="28"/>
              </w:rPr>
              <w:t>年</w:t>
            </w:r>
            <w:r>
              <w:rPr>
                <w:rFonts w:ascii="宋体" w:hAnsi="宋体" w:cs="宋体"/>
                <w:bCs/>
                <w:color w:val="000000"/>
                <w:kern w:val="0"/>
                <w:sz w:val="28"/>
                <w:szCs w:val="28"/>
              </w:rPr>
              <w:t>12</w:t>
            </w:r>
            <w:r>
              <w:rPr>
                <w:rFonts w:hint="eastAsia" w:ascii="宋体" w:hAnsi="宋体" w:cs="宋体"/>
                <w:bCs/>
                <w:color w:val="000000"/>
                <w:kern w:val="0"/>
                <w:sz w:val="28"/>
                <w:szCs w:val="28"/>
              </w:rPr>
              <w:t>月</w:t>
            </w:r>
            <w:r>
              <w:rPr>
                <w:rFonts w:ascii="宋体" w:hAnsi="宋体" w:cs="宋体"/>
                <w:bCs/>
                <w:color w:val="000000"/>
                <w:kern w:val="0"/>
                <w:sz w:val="28"/>
                <w:szCs w:val="28"/>
              </w:rPr>
              <w:t>31</w:t>
            </w:r>
            <w:r>
              <w:rPr>
                <w:rFonts w:hint="eastAsia" w:ascii="宋体" w:hAnsi="宋体" w:cs="宋体"/>
                <w:bCs/>
                <w:color w:val="000000"/>
                <w:kern w:val="0"/>
                <w:sz w:val="28"/>
                <w:szCs w:val="28"/>
              </w:rPr>
              <w:t>日</w:t>
            </w:r>
          </w:p>
        </w:tc>
      </w:tr>
      <w:tr w14:paraId="31856A85">
        <w:tblPrEx>
          <w:tblCellMar>
            <w:top w:w="0" w:type="dxa"/>
            <w:left w:w="108" w:type="dxa"/>
            <w:bottom w:w="0" w:type="dxa"/>
            <w:right w:w="108" w:type="dxa"/>
          </w:tblCellMar>
        </w:tblPrEx>
        <w:trPr>
          <w:trHeight w:val="750" w:hRule="atLeast"/>
        </w:trPr>
        <w:tc>
          <w:tcPr>
            <w:tcW w:w="3811" w:type="dxa"/>
            <w:tcBorders>
              <w:top w:val="nil"/>
              <w:left w:val="single" w:color="auto" w:sz="4" w:space="0"/>
              <w:bottom w:val="single" w:color="auto" w:sz="4" w:space="0"/>
              <w:right w:val="single" w:color="auto" w:sz="4" w:space="0"/>
            </w:tcBorders>
            <w:vAlign w:val="center"/>
          </w:tcPr>
          <w:p w14:paraId="645F7CFF">
            <w:pPr>
              <w:widowControl/>
              <w:jc w:val="center"/>
              <w:rPr>
                <w:rFonts w:ascii="宋体" w:cs="宋体"/>
                <w:b/>
                <w:bCs/>
                <w:color w:val="000000"/>
                <w:kern w:val="0"/>
                <w:sz w:val="28"/>
                <w:szCs w:val="28"/>
              </w:rPr>
            </w:pPr>
            <w:r>
              <w:rPr>
                <w:rFonts w:hint="eastAsia" w:ascii="宋体" w:hAnsi="宋体" w:cs="宋体"/>
                <w:b/>
                <w:bCs/>
                <w:color w:val="000000"/>
                <w:kern w:val="0"/>
                <w:sz w:val="28"/>
                <w:szCs w:val="28"/>
              </w:rPr>
              <w:t>项　　目</w:t>
            </w:r>
          </w:p>
        </w:tc>
        <w:tc>
          <w:tcPr>
            <w:tcW w:w="1591" w:type="dxa"/>
            <w:tcBorders>
              <w:top w:val="nil"/>
              <w:left w:val="nil"/>
              <w:bottom w:val="single" w:color="auto" w:sz="4" w:space="0"/>
              <w:right w:val="single" w:color="auto" w:sz="4" w:space="0"/>
            </w:tcBorders>
            <w:vAlign w:val="center"/>
          </w:tcPr>
          <w:p w14:paraId="124671AE">
            <w:pPr>
              <w:widowControl/>
              <w:jc w:val="center"/>
              <w:rPr>
                <w:rFonts w:ascii="宋体" w:cs="宋体"/>
                <w:b/>
                <w:bCs/>
                <w:color w:val="000000"/>
                <w:kern w:val="0"/>
                <w:sz w:val="28"/>
                <w:szCs w:val="28"/>
              </w:rPr>
            </w:pPr>
            <w:r>
              <w:rPr>
                <w:rFonts w:hint="eastAsia" w:ascii="宋体" w:hAnsi="宋体" w:cs="宋体"/>
                <w:b/>
                <w:bCs/>
                <w:color w:val="000000"/>
                <w:kern w:val="0"/>
                <w:sz w:val="28"/>
                <w:szCs w:val="28"/>
              </w:rPr>
              <w:t>数量</w:t>
            </w:r>
          </w:p>
        </w:tc>
        <w:tc>
          <w:tcPr>
            <w:tcW w:w="3402" w:type="dxa"/>
            <w:tcBorders>
              <w:top w:val="nil"/>
              <w:left w:val="nil"/>
              <w:bottom w:val="single" w:color="auto" w:sz="4" w:space="0"/>
              <w:right w:val="single" w:color="auto" w:sz="4" w:space="0"/>
            </w:tcBorders>
            <w:vAlign w:val="center"/>
          </w:tcPr>
          <w:p w14:paraId="1474E533">
            <w:pPr>
              <w:widowControl/>
              <w:jc w:val="center"/>
              <w:rPr>
                <w:rFonts w:ascii="宋体" w:cs="宋体"/>
                <w:b/>
                <w:bCs/>
                <w:color w:val="000000"/>
                <w:kern w:val="0"/>
                <w:sz w:val="28"/>
                <w:szCs w:val="28"/>
              </w:rPr>
            </w:pPr>
            <w:r>
              <w:rPr>
                <w:rFonts w:hint="eastAsia" w:ascii="宋体" w:hAnsi="宋体" w:cs="宋体"/>
                <w:b/>
                <w:bCs/>
                <w:color w:val="000000"/>
                <w:kern w:val="0"/>
                <w:sz w:val="28"/>
                <w:szCs w:val="28"/>
              </w:rPr>
              <w:t>价值（单位：万元）</w:t>
            </w:r>
          </w:p>
        </w:tc>
      </w:tr>
      <w:tr w14:paraId="1490F51C">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vAlign w:val="center"/>
          </w:tcPr>
          <w:p w14:paraId="14C32BD8">
            <w:pPr>
              <w:widowControl/>
              <w:jc w:val="center"/>
              <w:rPr>
                <w:rFonts w:ascii="宋体" w:cs="宋体"/>
                <w:b/>
                <w:bCs/>
                <w:color w:val="000000"/>
                <w:kern w:val="0"/>
                <w:sz w:val="28"/>
                <w:szCs w:val="28"/>
              </w:rPr>
            </w:pPr>
            <w:r>
              <w:rPr>
                <w:rFonts w:hint="eastAsia" w:ascii="宋体" w:hAnsi="宋体" w:cs="宋体"/>
                <w:b/>
                <w:bCs/>
                <w:color w:val="000000"/>
                <w:kern w:val="0"/>
                <w:sz w:val="28"/>
                <w:szCs w:val="28"/>
              </w:rPr>
              <w:t>固定资产总额</w:t>
            </w:r>
          </w:p>
        </w:tc>
        <w:tc>
          <w:tcPr>
            <w:tcW w:w="1591" w:type="dxa"/>
            <w:tcBorders>
              <w:top w:val="nil"/>
              <w:left w:val="nil"/>
              <w:bottom w:val="single" w:color="auto" w:sz="4" w:space="0"/>
              <w:right w:val="single" w:color="auto" w:sz="4" w:space="0"/>
            </w:tcBorders>
            <w:vAlign w:val="center"/>
          </w:tcPr>
          <w:p w14:paraId="18EA6F27">
            <w:pPr>
              <w:widowControl/>
              <w:jc w:val="center"/>
              <w:rPr>
                <w:rFonts w:ascii="宋体" w:hAnsi="宋体" w:cs="宋体"/>
                <w:color w:val="000000"/>
                <w:kern w:val="0"/>
                <w:sz w:val="28"/>
                <w:szCs w:val="28"/>
              </w:rPr>
            </w:pPr>
            <w:r>
              <w:rPr>
                <w:rFonts w:ascii="宋体" w:hAnsi="宋体" w:cs="宋体"/>
                <w:color w:val="000000"/>
                <w:kern w:val="0"/>
                <w:sz w:val="28"/>
                <w:szCs w:val="28"/>
              </w:rPr>
              <w:t>—</w:t>
            </w:r>
          </w:p>
        </w:tc>
        <w:tc>
          <w:tcPr>
            <w:tcW w:w="3402" w:type="dxa"/>
            <w:tcBorders>
              <w:top w:val="nil"/>
              <w:left w:val="nil"/>
              <w:bottom w:val="single" w:color="auto" w:sz="4" w:space="0"/>
              <w:right w:val="single" w:color="auto" w:sz="4" w:space="0"/>
            </w:tcBorders>
            <w:vAlign w:val="center"/>
          </w:tcPr>
          <w:p w14:paraId="4E1CC4AC">
            <w:pPr>
              <w:widowControl/>
              <w:jc w:val="center"/>
              <w:rPr>
                <w:rFonts w:ascii="宋体" w:hAnsi="宋体" w:cs="宋体"/>
                <w:b/>
                <w:color w:val="000000"/>
                <w:kern w:val="0"/>
                <w:sz w:val="28"/>
                <w:szCs w:val="28"/>
              </w:rPr>
            </w:pPr>
            <w:r>
              <w:rPr>
                <w:rFonts w:ascii="宋体" w:hAnsi="宋体" w:cs="宋体"/>
                <w:b/>
                <w:color w:val="000000"/>
                <w:kern w:val="0"/>
                <w:sz w:val="28"/>
                <w:szCs w:val="28"/>
              </w:rPr>
              <w:t>175.71</w:t>
            </w:r>
          </w:p>
        </w:tc>
      </w:tr>
      <w:tr w14:paraId="3EE20939">
        <w:tblPrEx>
          <w:tblCellMar>
            <w:top w:w="0" w:type="dxa"/>
            <w:left w:w="108" w:type="dxa"/>
            <w:bottom w:w="0" w:type="dxa"/>
            <w:right w:w="108" w:type="dxa"/>
          </w:tblCellMar>
        </w:tblPrEx>
        <w:trPr>
          <w:trHeight w:val="483" w:hRule="atLeast"/>
        </w:trPr>
        <w:tc>
          <w:tcPr>
            <w:tcW w:w="3811" w:type="dxa"/>
            <w:tcBorders>
              <w:top w:val="nil"/>
              <w:left w:val="single" w:color="auto" w:sz="4" w:space="0"/>
              <w:bottom w:val="single" w:color="auto" w:sz="4" w:space="0"/>
              <w:right w:val="single" w:color="auto" w:sz="4" w:space="0"/>
            </w:tcBorders>
            <w:vAlign w:val="center"/>
          </w:tcPr>
          <w:p w14:paraId="06233944">
            <w:pPr>
              <w:widowControl/>
              <w:jc w:val="left"/>
              <w:rPr>
                <w:rFonts w:ascii="宋体" w:cs="宋体"/>
                <w:color w:val="000000"/>
                <w:kern w:val="0"/>
                <w:sz w:val="28"/>
                <w:szCs w:val="28"/>
              </w:rPr>
            </w:pPr>
            <w:r>
              <w:rPr>
                <w:rFonts w:ascii="宋体" w:hAnsi="宋体" w:cs="宋体"/>
                <w:color w:val="000000"/>
                <w:kern w:val="0"/>
                <w:sz w:val="28"/>
                <w:szCs w:val="28"/>
              </w:rPr>
              <w:t xml:space="preserve">  1</w:t>
            </w:r>
            <w:r>
              <w:rPr>
                <w:rFonts w:hint="eastAsia" w:ascii="宋体" w:hAnsi="宋体" w:cs="宋体"/>
                <w:color w:val="000000"/>
                <w:kern w:val="0"/>
                <w:sz w:val="28"/>
                <w:szCs w:val="28"/>
              </w:rPr>
              <w:t>、房屋（平方米）</w:t>
            </w:r>
          </w:p>
        </w:tc>
        <w:tc>
          <w:tcPr>
            <w:tcW w:w="1591" w:type="dxa"/>
            <w:tcBorders>
              <w:top w:val="nil"/>
              <w:left w:val="nil"/>
              <w:bottom w:val="single" w:color="auto" w:sz="4" w:space="0"/>
              <w:right w:val="single" w:color="auto" w:sz="4" w:space="0"/>
            </w:tcBorders>
            <w:vAlign w:val="center"/>
          </w:tcPr>
          <w:p w14:paraId="2811AAEC">
            <w:pPr>
              <w:widowControl/>
              <w:jc w:val="center"/>
              <w:rPr>
                <w:rFonts w:ascii="宋体" w:hAnsi="宋体" w:cs="宋体"/>
                <w:color w:val="000000"/>
                <w:kern w:val="0"/>
                <w:sz w:val="28"/>
                <w:szCs w:val="28"/>
              </w:rPr>
            </w:pPr>
            <w:r>
              <w:rPr>
                <w:rFonts w:ascii="宋体" w:hAnsi="宋体" w:cs="宋体"/>
                <w:color w:val="000000"/>
                <w:kern w:val="0"/>
                <w:sz w:val="28"/>
                <w:szCs w:val="28"/>
              </w:rPr>
              <w:t>1941</w:t>
            </w:r>
          </w:p>
        </w:tc>
        <w:tc>
          <w:tcPr>
            <w:tcW w:w="3402" w:type="dxa"/>
            <w:tcBorders>
              <w:top w:val="nil"/>
              <w:left w:val="nil"/>
              <w:bottom w:val="single" w:color="auto" w:sz="4" w:space="0"/>
              <w:right w:val="single" w:color="auto" w:sz="4" w:space="0"/>
            </w:tcBorders>
            <w:vAlign w:val="center"/>
          </w:tcPr>
          <w:p w14:paraId="18F83735">
            <w:pPr>
              <w:widowControl/>
              <w:jc w:val="center"/>
              <w:rPr>
                <w:rFonts w:ascii="宋体" w:hAnsi="宋体" w:cs="宋体"/>
                <w:color w:val="000000"/>
                <w:kern w:val="0"/>
                <w:sz w:val="28"/>
                <w:szCs w:val="28"/>
              </w:rPr>
            </w:pPr>
            <w:r>
              <w:rPr>
                <w:rFonts w:ascii="宋体" w:hAnsi="宋体" w:cs="宋体"/>
                <w:color w:val="000000"/>
                <w:kern w:val="0"/>
                <w:sz w:val="28"/>
                <w:szCs w:val="28"/>
              </w:rPr>
              <w:t>140.32</w:t>
            </w:r>
          </w:p>
        </w:tc>
      </w:tr>
      <w:tr w14:paraId="77B960B9">
        <w:tblPrEx>
          <w:tblCellMar>
            <w:top w:w="0" w:type="dxa"/>
            <w:left w:w="108" w:type="dxa"/>
            <w:bottom w:w="0" w:type="dxa"/>
            <w:right w:w="108" w:type="dxa"/>
          </w:tblCellMar>
        </w:tblPrEx>
        <w:trPr>
          <w:trHeight w:val="419" w:hRule="atLeast"/>
        </w:trPr>
        <w:tc>
          <w:tcPr>
            <w:tcW w:w="3811" w:type="dxa"/>
            <w:tcBorders>
              <w:top w:val="single" w:color="auto" w:sz="4" w:space="0"/>
              <w:left w:val="single" w:color="auto" w:sz="4" w:space="0"/>
              <w:bottom w:val="single" w:color="auto" w:sz="4" w:space="0"/>
              <w:right w:val="single" w:color="auto" w:sz="4" w:space="0"/>
            </w:tcBorders>
            <w:vAlign w:val="center"/>
          </w:tcPr>
          <w:p w14:paraId="0FAF1D45">
            <w:pPr>
              <w:jc w:val="left"/>
              <w:rPr>
                <w:rFonts w:ascii="宋体" w:cs="宋体"/>
                <w:color w:val="000000"/>
                <w:kern w:val="0"/>
                <w:sz w:val="28"/>
                <w:szCs w:val="28"/>
              </w:rPr>
            </w:pPr>
            <w:r>
              <w:rPr>
                <w:rFonts w:ascii="宋体" w:hAnsi="宋体" w:cs="宋体"/>
                <w:color w:val="000000"/>
                <w:kern w:val="0"/>
                <w:sz w:val="28"/>
                <w:szCs w:val="28"/>
              </w:rPr>
              <w:t xml:space="preserve">   </w:t>
            </w:r>
            <w:r>
              <w:rPr>
                <w:rFonts w:hint="eastAsia" w:ascii="宋体" w:hAnsi="宋体" w:cs="宋体"/>
                <w:color w:val="000000"/>
                <w:kern w:val="0"/>
                <w:sz w:val="28"/>
                <w:szCs w:val="28"/>
              </w:rPr>
              <w:t>其中：办公用房（平方米）</w:t>
            </w:r>
          </w:p>
        </w:tc>
        <w:tc>
          <w:tcPr>
            <w:tcW w:w="1591" w:type="dxa"/>
            <w:tcBorders>
              <w:top w:val="single" w:color="auto" w:sz="4" w:space="0"/>
              <w:left w:val="nil"/>
              <w:bottom w:val="single" w:color="auto" w:sz="4" w:space="0"/>
              <w:right w:val="single" w:color="auto" w:sz="4" w:space="0"/>
            </w:tcBorders>
            <w:vAlign w:val="center"/>
          </w:tcPr>
          <w:p w14:paraId="4AE3BF81">
            <w:pPr>
              <w:jc w:val="center"/>
              <w:rPr>
                <w:rFonts w:ascii="宋体" w:hAnsi="宋体" w:cs="宋体"/>
                <w:color w:val="000000"/>
                <w:kern w:val="0"/>
                <w:sz w:val="28"/>
                <w:szCs w:val="28"/>
              </w:rPr>
            </w:pPr>
            <w:r>
              <w:rPr>
                <w:rFonts w:ascii="宋体" w:hAnsi="宋体" w:cs="宋体"/>
                <w:color w:val="000000"/>
                <w:kern w:val="0"/>
                <w:sz w:val="28"/>
                <w:szCs w:val="28"/>
              </w:rPr>
              <w:t>1941</w:t>
            </w:r>
          </w:p>
        </w:tc>
        <w:tc>
          <w:tcPr>
            <w:tcW w:w="3402" w:type="dxa"/>
            <w:tcBorders>
              <w:top w:val="single" w:color="auto" w:sz="4" w:space="0"/>
              <w:left w:val="nil"/>
              <w:bottom w:val="single" w:color="auto" w:sz="4" w:space="0"/>
              <w:right w:val="single" w:color="auto" w:sz="4" w:space="0"/>
            </w:tcBorders>
            <w:vAlign w:val="center"/>
          </w:tcPr>
          <w:p w14:paraId="3DB8F144">
            <w:pPr>
              <w:jc w:val="center"/>
              <w:rPr>
                <w:rFonts w:ascii="宋体" w:hAnsi="宋体" w:cs="宋体"/>
                <w:color w:val="000000"/>
                <w:kern w:val="0"/>
                <w:sz w:val="28"/>
                <w:szCs w:val="28"/>
              </w:rPr>
            </w:pPr>
            <w:r>
              <w:rPr>
                <w:rFonts w:ascii="宋体" w:hAnsi="宋体" w:cs="宋体"/>
                <w:color w:val="000000"/>
                <w:kern w:val="0"/>
                <w:sz w:val="28"/>
                <w:szCs w:val="28"/>
              </w:rPr>
              <w:t>140.32</w:t>
            </w:r>
          </w:p>
        </w:tc>
      </w:tr>
      <w:tr w14:paraId="1E7F1AE5">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vAlign w:val="center"/>
          </w:tcPr>
          <w:p w14:paraId="4ECF9D58">
            <w:pPr>
              <w:widowControl/>
              <w:jc w:val="left"/>
              <w:rPr>
                <w:rFonts w:ascii="宋体" w:cs="宋体"/>
                <w:color w:val="000000"/>
                <w:kern w:val="0"/>
                <w:sz w:val="28"/>
                <w:szCs w:val="28"/>
              </w:rPr>
            </w:pPr>
            <w:r>
              <w:rPr>
                <w:rFonts w:ascii="宋体" w:hAnsi="宋体" w:cs="宋体"/>
                <w:color w:val="000000"/>
                <w:kern w:val="0"/>
                <w:sz w:val="28"/>
                <w:szCs w:val="28"/>
              </w:rPr>
              <w:t xml:space="preserve">  2</w:t>
            </w:r>
            <w:r>
              <w:rPr>
                <w:rFonts w:hint="eastAsia" w:ascii="宋体" w:hAnsi="宋体" w:cs="宋体"/>
                <w:color w:val="000000"/>
                <w:kern w:val="0"/>
                <w:sz w:val="28"/>
                <w:szCs w:val="28"/>
              </w:rPr>
              <w:t>、车辆（台、辆）</w:t>
            </w:r>
          </w:p>
        </w:tc>
        <w:tc>
          <w:tcPr>
            <w:tcW w:w="1591" w:type="dxa"/>
            <w:tcBorders>
              <w:top w:val="nil"/>
              <w:left w:val="nil"/>
              <w:bottom w:val="single" w:color="auto" w:sz="4" w:space="0"/>
              <w:right w:val="single" w:color="auto" w:sz="4" w:space="0"/>
            </w:tcBorders>
            <w:vAlign w:val="center"/>
          </w:tcPr>
          <w:p w14:paraId="700A8804">
            <w:pPr>
              <w:widowControl/>
              <w:jc w:val="center"/>
              <w:rPr>
                <w:rFonts w:ascii="宋体" w:hAnsi="宋体" w:cs="宋体"/>
                <w:color w:val="000000"/>
                <w:kern w:val="0"/>
                <w:sz w:val="28"/>
                <w:szCs w:val="28"/>
              </w:rPr>
            </w:pPr>
            <w:r>
              <w:rPr>
                <w:rFonts w:ascii="宋体" w:hAnsi="宋体" w:cs="宋体"/>
                <w:color w:val="000000"/>
                <w:kern w:val="0"/>
                <w:sz w:val="28"/>
                <w:szCs w:val="28"/>
              </w:rPr>
              <w:t>1</w:t>
            </w:r>
          </w:p>
        </w:tc>
        <w:tc>
          <w:tcPr>
            <w:tcW w:w="3402" w:type="dxa"/>
            <w:tcBorders>
              <w:top w:val="nil"/>
              <w:left w:val="nil"/>
              <w:bottom w:val="single" w:color="auto" w:sz="4" w:space="0"/>
              <w:right w:val="single" w:color="auto" w:sz="4" w:space="0"/>
            </w:tcBorders>
            <w:vAlign w:val="center"/>
          </w:tcPr>
          <w:p w14:paraId="7D833050">
            <w:pPr>
              <w:widowControl/>
              <w:jc w:val="center"/>
              <w:rPr>
                <w:rFonts w:ascii="宋体" w:hAnsi="宋体" w:cs="宋体"/>
                <w:color w:val="000000"/>
                <w:kern w:val="0"/>
                <w:sz w:val="28"/>
                <w:szCs w:val="28"/>
              </w:rPr>
            </w:pPr>
            <w:r>
              <w:rPr>
                <w:rFonts w:ascii="宋体" w:hAnsi="宋体" w:cs="宋体"/>
                <w:color w:val="000000"/>
                <w:kern w:val="0"/>
                <w:sz w:val="28"/>
                <w:szCs w:val="28"/>
              </w:rPr>
              <w:t>10</w:t>
            </w:r>
          </w:p>
        </w:tc>
      </w:tr>
      <w:tr w14:paraId="34C792A6">
        <w:tblPrEx>
          <w:tblCellMar>
            <w:top w:w="0" w:type="dxa"/>
            <w:left w:w="108" w:type="dxa"/>
            <w:bottom w:w="0" w:type="dxa"/>
            <w:right w:w="108" w:type="dxa"/>
          </w:tblCellMar>
        </w:tblPrEx>
        <w:trPr>
          <w:trHeight w:val="611" w:hRule="atLeast"/>
        </w:trPr>
        <w:tc>
          <w:tcPr>
            <w:tcW w:w="3811" w:type="dxa"/>
            <w:tcBorders>
              <w:top w:val="nil"/>
              <w:left w:val="single" w:color="auto" w:sz="4" w:space="0"/>
              <w:bottom w:val="single" w:color="auto" w:sz="4" w:space="0"/>
              <w:right w:val="single" w:color="auto" w:sz="4" w:space="0"/>
            </w:tcBorders>
            <w:vAlign w:val="center"/>
          </w:tcPr>
          <w:p w14:paraId="53979632">
            <w:pPr>
              <w:widowControl/>
              <w:jc w:val="left"/>
              <w:rPr>
                <w:rFonts w:ascii="宋体" w:cs="宋体"/>
                <w:color w:val="000000"/>
                <w:kern w:val="0"/>
                <w:sz w:val="28"/>
                <w:szCs w:val="28"/>
              </w:rPr>
            </w:pPr>
            <w:r>
              <w:rPr>
                <w:rFonts w:ascii="宋体" w:hAnsi="宋体" w:cs="宋体"/>
                <w:color w:val="000000"/>
                <w:kern w:val="0"/>
                <w:sz w:val="28"/>
                <w:szCs w:val="28"/>
              </w:rPr>
              <w:t xml:space="preserve">  3</w:t>
            </w:r>
            <w:r>
              <w:rPr>
                <w:rFonts w:hint="eastAsia" w:ascii="宋体" w:hAnsi="宋体" w:cs="宋体"/>
                <w:color w:val="000000"/>
                <w:kern w:val="0"/>
                <w:sz w:val="28"/>
                <w:szCs w:val="28"/>
              </w:rPr>
              <w:t>、单价在</w:t>
            </w:r>
            <w:r>
              <w:rPr>
                <w:rFonts w:ascii="宋体" w:hAnsi="宋体" w:cs="宋体"/>
                <w:color w:val="000000"/>
                <w:kern w:val="0"/>
                <w:sz w:val="28"/>
                <w:szCs w:val="28"/>
              </w:rPr>
              <w:t>20</w:t>
            </w:r>
            <w:r>
              <w:rPr>
                <w:rFonts w:hint="eastAsia" w:ascii="宋体" w:hAnsi="宋体" w:cs="宋体"/>
                <w:color w:val="000000"/>
                <w:kern w:val="0"/>
                <w:sz w:val="28"/>
                <w:szCs w:val="28"/>
              </w:rPr>
              <w:t>万元以上的设备</w:t>
            </w:r>
          </w:p>
        </w:tc>
        <w:tc>
          <w:tcPr>
            <w:tcW w:w="1591" w:type="dxa"/>
            <w:tcBorders>
              <w:top w:val="nil"/>
              <w:left w:val="nil"/>
              <w:bottom w:val="single" w:color="auto" w:sz="4" w:space="0"/>
              <w:right w:val="single" w:color="auto" w:sz="4" w:space="0"/>
            </w:tcBorders>
            <w:vAlign w:val="center"/>
          </w:tcPr>
          <w:p w14:paraId="06807043">
            <w:pPr>
              <w:widowControl/>
              <w:jc w:val="center"/>
              <w:rPr>
                <w:rFonts w:ascii="宋体" w:hAnsi="宋体" w:cs="宋体"/>
                <w:color w:val="000000"/>
                <w:kern w:val="0"/>
                <w:sz w:val="28"/>
                <w:szCs w:val="28"/>
              </w:rPr>
            </w:pPr>
            <w:r>
              <w:rPr>
                <w:rFonts w:ascii="宋体" w:hAnsi="宋体" w:cs="宋体"/>
                <w:color w:val="000000"/>
                <w:kern w:val="0"/>
                <w:sz w:val="28"/>
                <w:szCs w:val="28"/>
              </w:rPr>
              <w:t>—</w:t>
            </w:r>
          </w:p>
        </w:tc>
        <w:tc>
          <w:tcPr>
            <w:tcW w:w="3402" w:type="dxa"/>
            <w:tcBorders>
              <w:top w:val="nil"/>
              <w:left w:val="nil"/>
              <w:bottom w:val="single" w:color="auto" w:sz="4" w:space="0"/>
              <w:right w:val="single" w:color="auto" w:sz="4" w:space="0"/>
            </w:tcBorders>
            <w:vAlign w:val="center"/>
          </w:tcPr>
          <w:p w14:paraId="24029643">
            <w:pPr>
              <w:widowControl/>
              <w:jc w:val="center"/>
              <w:rPr>
                <w:rFonts w:ascii="宋体" w:hAnsi="宋体" w:cs="宋体"/>
                <w:color w:val="000000"/>
                <w:kern w:val="0"/>
                <w:sz w:val="28"/>
                <w:szCs w:val="28"/>
              </w:rPr>
            </w:pPr>
          </w:p>
        </w:tc>
      </w:tr>
      <w:tr w14:paraId="415AA17F">
        <w:tblPrEx>
          <w:tblCellMar>
            <w:top w:w="0" w:type="dxa"/>
            <w:left w:w="108" w:type="dxa"/>
            <w:bottom w:w="0" w:type="dxa"/>
            <w:right w:w="108" w:type="dxa"/>
          </w:tblCellMar>
        </w:tblPrEx>
        <w:trPr>
          <w:trHeight w:val="432" w:hRule="atLeast"/>
        </w:trPr>
        <w:tc>
          <w:tcPr>
            <w:tcW w:w="3811" w:type="dxa"/>
            <w:tcBorders>
              <w:top w:val="single" w:color="auto" w:sz="4" w:space="0"/>
              <w:left w:val="single" w:color="auto" w:sz="4" w:space="0"/>
              <w:bottom w:val="single" w:color="auto" w:sz="4" w:space="0"/>
              <w:right w:val="single" w:color="auto" w:sz="4" w:space="0"/>
            </w:tcBorders>
            <w:vAlign w:val="center"/>
          </w:tcPr>
          <w:p w14:paraId="409C24AB">
            <w:pPr>
              <w:jc w:val="left"/>
              <w:rPr>
                <w:rFonts w:ascii="宋体" w:cs="宋体"/>
                <w:color w:val="000000"/>
                <w:kern w:val="0"/>
                <w:sz w:val="28"/>
                <w:szCs w:val="28"/>
              </w:rPr>
            </w:pPr>
            <w:r>
              <w:rPr>
                <w:rFonts w:ascii="宋体" w:hAnsi="宋体" w:cs="宋体"/>
                <w:color w:val="000000"/>
                <w:kern w:val="0"/>
                <w:sz w:val="28"/>
                <w:szCs w:val="28"/>
              </w:rPr>
              <w:t xml:space="preserve">  4</w:t>
            </w:r>
            <w:r>
              <w:rPr>
                <w:rFonts w:hint="eastAsia" w:ascii="宋体" w:hAnsi="宋体" w:cs="宋体"/>
                <w:color w:val="000000"/>
                <w:kern w:val="0"/>
                <w:sz w:val="28"/>
                <w:szCs w:val="28"/>
              </w:rPr>
              <w:t>、其他固定资产</w:t>
            </w:r>
          </w:p>
        </w:tc>
        <w:tc>
          <w:tcPr>
            <w:tcW w:w="1591" w:type="dxa"/>
            <w:tcBorders>
              <w:top w:val="single" w:color="auto" w:sz="4" w:space="0"/>
              <w:left w:val="nil"/>
              <w:bottom w:val="single" w:color="auto" w:sz="4" w:space="0"/>
              <w:right w:val="single" w:color="auto" w:sz="4" w:space="0"/>
            </w:tcBorders>
            <w:vAlign w:val="center"/>
          </w:tcPr>
          <w:p w14:paraId="688F0A8D">
            <w:pPr>
              <w:jc w:val="center"/>
              <w:rPr>
                <w:rFonts w:ascii="宋体" w:hAnsi="宋体" w:cs="宋体"/>
                <w:color w:val="000000"/>
                <w:kern w:val="0"/>
                <w:sz w:val="28"/>
                <w:szCs w:val="28"/>
              </w:rPr>
            </w:pPr>
            <w:r>
              <w:rPr>
                <w:rFonts w:ascii="宋体" w:hAnsi="宋体" w:cs="宋体"/>
                <w:color w:val="000000"/>
                <w:kern w:val="0"/>
                <w:sz w:val="28"/>
                <w:szCs w:val="28"/>
              </w:rPr>
              <w:t>—</w:t>
            </w:r>
          </w:p>
        </w:tc>
        <w:tc>
          <w:tcPr>
            <w:tcW w:w="3402" w:type="dxa"/>
            <w:tcBorders>
              <w:top w:val="single" w:color="auto" w:sz="4" w:space="0"/>
              <w:left w:val="nil"/>
              <w:bottom w:val="single" w:color="auto" w:sz="4" w:space="0"/>
              <w:right w:val="single" w:color="auto" w:sz="4" w:space="0"/>
            </w:tcBorders>
            <w:vAlign w:val="center"/>
          </w:tcPr>
          <w:p w14:paraId="0F4F4CCD">
            <w:pPr>
              <w:jc w:val="center"/>
              <w:rPr>
                <w:rFonts w:ascii="宋体" w:hAnsi="宋体" w:cs="宋体"/>
                <w:color w:val="000000"/>
                <w:kern w:val="0"/>
                <w:sz w:val="28"/>
                <w:szCs w:val="28"/>
              </w:rPr>
            </w:pPr>
            <w:r>
              <w:rPr>
                <w:rFonts w:ascii="宋体" w:hAnsi="宋体" w:cs="宋体"/>
                <w:color w:val="000000"/>
                <w:kern w:val="0"/>
                <w:sz w:val="28"/>
                <w:szCs w:val="28"/>
              </w:rPr>
              <w:t>25.39</w:t>
            </w:r>
          </w:p>
        </w:tc>
      </w:tr>
    </w:tbl>
    <w:p w14:paraId="54103B12">
      <w:pPr>
        <w:jc w:val="left"/>
        <w:rPr>
          <w:rFonts w:ascii="宋体" w:cs="宋体"/>
          <w:b/>
          <w:bCs/>
          <w:color w:val="000000"/>
          <w:kern w:val="0"/>
          <w:sz w:val="28"/>
          <w:szCs w:val="28"/>
        </w:rPr>
      </w:pPr>
    </w:p>
    <w:p w14:paraId="508CEFD1">
      <w:pPr>
        <w:ind w:firstLine="561"/>
        <w:jc w:val="left"/>
        <w:rPr>
          <w:rFonts w:ascii="宋体" w:cs="仿宋_GB2312"/>
          <w:b/>
          <w:sz w:val="28"/>
          <w:szCs w:val="28"/>
        </w:rPr>
      </w:pPr>
      <w:r>
        <w:rPr>
          <w:rFonts w:hint="eastAsia" w:ascii="宋体" w:hAnsi="宋体" w:cs="仿宋_GB2312"/>
          <w:b/>
          <w:sz w:val="28"/>
          <w:szCs w:val="28"/>
        </w:rPr>
        <w:t>八、专业名词解释</w:t>
      </w:r>
    </w:p>
    <w:p w14:paraId="09E44D8E">
      <w:pPr>
        <w:ind w:firstLine="551" w:firstLineChars="196"/>
        <w:rPr>
          <w:rFonts w:ascii="宋体"/>
          <w:sz w:val="28"/>
          <w:szCs w:val="28"/>
        </w:rPr>
      </w:pPr>
      <w:r>
        <w:rPr>
          <w:rFonts w:ascii="宋体" w:hAnsi="宋体"/>
          <w:b/>
          <w:bCs/>
          <w:sz w:val="28"/>
          <w:szCs w:val="28"/>
        </w:rPr>
        <w:t>1</w:t>
      </w:r>
      <w:r>
        <w:rPr>
          <w:rFonts w:hint="eastAsia" w:ascii="宋体" w:hAnsi="宋体"/>
          <w:b/>
          <w:bCs/>
          <w:sz w:val="28"/>
          <w:szCs w:val="28"/>
        </w:rPr>
        <w:t>、一般公共预算财政拨款收入：</w:t>
      </w:r>
      <w:r>
        <w:rPr>
          <w:rFonts w:hint="eastAsia" w:ascii="宋体" w:hAnsi="宋体"/>
          <w:sz w:val="28"/>
          <w:szCs w:val="28"/>
        </w:rPr>
        <w:t>县级财政当年拨付的资金。</w:t>
      </w:r>
    </w:p>
    <w:p w14:paraId="62C1C1F2">
      <w:pPr>
        <w:pStyle w:val="5"/>
        <w:widowControl/>
        <w:ind w:firstLine="506" w:firstLineChars="180"/>
        <w:rPr>
          <w:rFonts w:ascii="宋体" w:cs="仿宋_GB2312"/>
          <w:sz w:val="28"/>
          <w:szCs w:val="28"/>
        </w:rPr>
      </w:pPr>
      <w:r>
        <w:rPr>
          <w:rStyle w:val="8"/>
          <w:rFonts w:ascii="宋体" w:hAnsi="宋体" w:cs="仿宋_GB2312"/>
          <w:sz w:val="28"/>
          <w:szCs w:val="28"/>
          <w:shd w:val="clear" w:color="auto" w:fill="FFFFFF"/>
        </w:rPr>
        <w:t>2</w:t>
      </w:r>
      <w:r>
        <w:rPr>
          <w:rStyle w:val="8"/>
          <w:rFonts w:hint="eastAsia" w:ascii="宋体" w:hAnsi="宋体" w:cs="仿宋_GB2312"/>
          <w:sz w:val="28"/>
          <w:szCs w:val="28"/>
          <w:shd w:val="clear" w:color="auto" w:fill="FFFFFF"/>
        </w:rPr>
        <w:t>、其他收入：</w:t>
      </w:r>
      <w:r>
        <w:rPr>
          <w:rFonts w:hint="eastAsia" w:ascii="宋体" w:hAnsi="宋体" w:cs="仿宋_GB2312"/>
          <w:sz w:val="28"/>
          <w:szCs w:val="28"/>
          <w:shd w:val="clear" w:color="auto" w:fill="FFFFFF"/>
        </w:rPr>
        <w:t>指除上述财政拨款收入以外的收入。主要是存款利息收入。</w:t>
      </w:r>
    </w:p>
    <w:p w14:paraId="115252DD">
      <w:pPr>
        <w:pStyle w:val="5"/>
        <w:widowControl/>
        <w:ind w:firstLine="506" w:firstLineChars="180"/>
        <w:rPr>
          <w:rFonts w:ascii="宋体"/>
          <w:sz w:val="28"/>
          <w:szCs w:val="28"/>
        </w:rPr>
      </w:pPr>
      <w:r>
        <w:rPr>
          <w:rStyle w:val="8"/>
          <w:rFonts w:ascii="宋体" w:hAnsi="宋体" w:cs="仿宋_GB2312"/>
          <w:color w:val="000000"/>
          <w:sz w:val="28"/>
          <w:szCs w:val="28"/>
          <w:shd w:val="clear" w:color="auto" w:fill="FFFFFF"/>
        </w:rPr>
        <w:t>3</w:t>
      </w:r>
      <w:r>
        <w:rPr>
          <w:rFonts w:hint="eastAsia" w:ascii="宋体" w:hAnsi="宋体"/>
          <w:b/>
          <w:bCs/>
          <w:sz w:val="28"/>
          <w:szCs w:val="28"/>
        </w:rPr>
        <w:t>、基本支出：</w:t>
      </w:r>
      <w:r>
        <w:rPr>
          <w:rFonts w:hint="eastAsia" w:ascii="宋体" w:hAnsi="宋体"/>
          <w:sz w:val="28"/>
          <w:szCs w:val="28"/>
        </w:rPr>
        <w:t>指为保障机构正常运转、完成日常工作任务而发生的人员支出和公用支出。</w:t>
      </w:r>
    </w:p>
    <w:p w14:paraId="2F2E5BB7">
      <w:pPr>
        <w:pStyle w:val="5"/>
        <w:widowControl/>
        <w:rPr>
          <w:rFonts w:ascii="宋体"/>
          <w:sz w:val="28"/>
          <w:szCs w:val="28"/>
        </w:rPr>
      </w:pPr>
      <w:r>
        <w:rPr>
          <w:rFonts w:ascii="宋体" w:hAnsi="宋体"/>
          <w:b/>
          <w:bCs/>
          <w:sz w:val="28"/>
          <w:szCs w:val="28"/>
        </w:rPr>
        <w:t xml:space="preserve">    4</w:t>
      </w:r>
      <w:r>
        <w:rPr>
          <w:rFonts w:hint="eastAsia" w:ascii="宋体" w:hAnsi="宋体"/>
          <w:b/>
          <w:bCs/>
          <w:sz w:val="28"/>
          <w:szCs w:val="28"/>
        </w:rPr>
        <w:t>、项目支出</w:t>
      </w:r>
      <w:r>
        <w:rPr>
          <w:rFonts w:hint="eastAsia" w:ascii="宋体" w:hAnsi="宋体"/>
          <w:sz w:val="28"/>
          <w:szCs w:val="28"/>
        </w:rPr>
        <w:t>：指在基本支出之外为完成特定行政任务和事业发展目标所发生的支出。</w:t>
      </w:r>
    </w:p>
    <w:p w14:paraId="00E00AE8">
      <w:pPr>
        <w:pStyle w:val="5"/>
        <w:widowControl/>
        <w:ind w:firstLine="562" w:firstLineChars="200"/>
        <w:rPr>
          <w:rFonts w:ascii="宋体"/>
          <w:sz w:val="28"/>
          <w:szCs w:val="28"/>
        </w:rPr>
      </w:pPr>
      <w:r>
        <w:rPr>
          <w:rFonts w:ascii="宋体" w:hAnsi="宋体"/>
          <w:b/>
          <w:bCs/>
          <w:sz w:val="28"/>
          <w:szCs w:val="28"/>
        </w:rPr>
        <w:t>5</w:t>
      </w:r>
      <w:r>
        <w:rPr>
          <w:rFonts w:hint="eastAsia" w:ascii="宋体" w:hAnsi="宋体"/>
          <w:b/>
          <w:bCs/>
          <w:sz w:val="28"/>
          <w:szCs w:val="28"/>
        </w:rPr>
        <w:t>、“三公”经费：</w:t>
      </w:r>
      <w:r>
        <w:rPr>
          <w:rFonts w:hint="eastAsia" w:ascii="宋体" w:hAnsi="宋体"/>
          <w:sz w:val="28"/>
          <w:szCs w:val="28"/>
        </w:rPr>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0C802C13">
      <w:pPr>
        <w:pStyle w:val="5"/>
        <w:widowControl/>
        <w:ind w:firstLine="562" w:firstLineChars="200"/>
        <w:rPr>
          <w:rFonts w:ascii="宋体"/>
          <w:sz w:val="28"/>
          <w:szCs w:val="28"/>
        </w:rPr>
      </w:pPr>
      <w:r>
        <w:rPr>
          <w:rFonts w:ascii="宋体" w:hAnsi="宋体"/>
          <w:b/>
          <w:bCs/>
          <w:sz w:val="28"/>
          <w:szCs w:val="28"/>
        </w:rPr>
        <w:t>6</w:t>
      </w:r>
      <w:r>
        <w:rPr>
          <w:rFonts w:hint="eastAsia" w:ascii="宋体" w:hAnsi="宋体"/>
          <w:b/>
          <w:bCs/>
          <w:sz w:val="28"/>
          <w:szCs w:val="28"/>
        </w:rPr>
        <w:t>、机关运行经费：</w:t>
      </w:r>
      <w:r>
        <w:rPr>
          <w:rFonts w:hint="eastAsia" w:ascii="宋体" w:hAnsi="宋体"/>
          <w:sz w:val="28"/>
          <w:szCs w:val="28"/>
        </w:rPr>
        <w:t>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9EC860A">
      <w:pPr>
        <w:rPr>
          <w:rFonts w:ascii="宋体"/>
          <w:sz w:val="28"/>
          <w:szCs w:val="28"/>
        </w:rPr>
      </w:pPr>
      <w:r>
        <w:rPr>
          <w:rFonts w:ascii="宋体" w:hAnsi="宋体"/>
          <w:sz w:val="28"/>
          <w:szCs w:val="28"/>
        </w:rPr>
        <w:t xml:space="preserve">      </w:t>
      </w:r>
      <w:r>
        <w:rPr>
          <w:rFonts w:hint="eastAsia" w:ascii="宋体" w:hAnsi="宋体"/>
          <w:sz w:val="28"/>
          <w:szCs w:val="28"/>
        </w:rPr>
        <w:t>九、其他需要说明的事项</w:t>
      </w:r>
    </w:p>
    <w:p w14:paraId="1B5BD9EF">
      <w:pPr>
        <w:rPr>
          <w:rFonts w:ascii="宋体" w:cs="仿宋"/>
          <w:sz w:val="28"/>
          <w:szCs w:val="28"/>
        </w:rPr>
      </w:pPr>
      <w:r>
        <w:rPr>
          <w:rFonts w:ascii="宋体" w:hAnsi="宋体"/>
          <w:sz w:val="28"/>
          <w:szCs w:val="28"/>
        </w:rPr>
        <w:t xml:space="preserve">     </w:t>
      </w:r>
      <w:r>
        <w:rPr>
          <w:rFonts w:hint="eastAsia" w:ascii="宋体" w:hAnsi="宋体" w:cs="仿宋"/>
          <w:sz w:val="28"/>
          <w:szCs w:val="28"/>
        </w:rPr>
        <w:t>我部门无政府性基金预算及国有资本经营预算，空表列示。</w:t>
      </w:r>
    </w:p>
    <w:p w14:paraId="22F82403">
      <w:pPr>
        <w:rPr>
          <w:rFonts w:ascii="宋体"/>
          <w:sz w:val="28"/>
          <w:szCs w:val="28"/>
        </w:rPr>
      </w:pPr>
    </w:p>
    <w:p w14:paraId="0E428F6F">
      <w:pPr>
        <w:rPr>
          <w:rFonts w:ascii="宋体"/>
          <w:sz w:val="28"/>
          <w:szCs w:val="28"/>
        </w:rPr>
      </w:pPr>
    </w:p>
    <w:p w14:paraId="7B72035E">
      <w:pPr>
        <w:spacing w:line="300" w:lineRule="exact"/>
        <w:jc w:val="left"/>
        <w:outlineLvl w:val="0"/>
        <w:rPr>
          <w:rFonts w:ascii="宋体"/>
          <w:sz w:val="28"/>
          <w:szCs w:val="28"/>
        </w:rPr>
      </w:pPr>
    </w:p>
    <w:p w14:paraId="48407913">
      <w:pPr>
        <w:spacing w:line="300" w:lineRule="exact"/>
        <w:jc w:val="left"/>
        <w:outlineLvl w:val="0"/>
        <w:rPr>
          <w:rFonts w:ascii="宋体"/>
          <w:sz w:val="28"/>
          <w:szCs w:val="28"/>
        </w:rPr>
      </w:pPr>
    </w:p>
    <w:p w14:paraId="41A5D660">
      <w:pPr>
        <w:spacing w:line="300" w:lineRule="exact"/>
        <w:jc w:val="left"/>
        <w:outlineLvl w:val="0"/>
        <w:rPr>
          <w:rFonts w:ascii="宋体"/>
          <w:sz w:val="28"/>
          <w:szCs w:val="28"/>
        </w:rPr>
      </w:pPr>
    </w:p>
    <w:bookmarkEnd w:id="1"/>
    <w:p w14:paraId="753AB3CB">
      <w:pPr>
        <w:jc w:val="left"/>
        <w:rPr>
          <w:rFonts w:ascii="宋体"/>
          <w:sz w:val="28"/>
          <w:szCs w:val="28"/>
        </w:rPr>
      </w:pPr>
    </w:p>
    <w:sectPr>
      <w:pgSz w:w="11906" w:h="16838"/>
      <w:pgMar w:top="1361" w:right="1020" w:bottom="1361" w:left="1020"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D09034"/>
    <w:multiLevelType w:val="singleLevel"/>
    <w:tmpl w:val="58D09034"/>
    <w:lvl w:ilvl="0" w:tentative="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drawingGridVerticalSpacing w:val="157"/>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4381"/>
    <w:rsid w:val="000145A9"/>
    <w:rsid w:val="000602C2"/>
    <w:rsid w:val="00180C01"/>
    <w:rsid w:val="00253612"/>
    <w:rsid w:val="004B4A49"/>
    <w:rsid w:val="00554264"/>
    <w:rsid w:val="00700AF5"/>
    <w:rsid w:val="00797F8C"/>
    <w:rsid w:val="007E41DA"/>
    <w:rsid w:val="007E758A"/>
    <w:rsid w:val="007F5572"/>
    <w:rsid w:val="008966E9"/>
    <w:rsid w:val="008D7B77"/>
    <w:rsid w:val="009756FF"/>
    <w:rsid w:val="00977DA6"/>
    <w:rsid w:val="00A07EB3"/>
    <w:rsid w:val="00A51E27"/>
    <w:rsid w:val="00A66840"/>
    <w:rsid w:val="00AB230E"/>
    <w:rsid w:val="00AC4381"/>
    <w:rsid w:val="00AC7CBA"/>
    <w:rsid w:val="00BC3AE0"/>
    <w:rsid w:val="00CB169E"/>
    <w:rsid w:val="00E9445B"/>
    <w:rsid w:val="00E95C18"/>
    <w:rsid w:val="00E96A02"/>
    <w:rsid w:val="180B0408"/>
    <w:rsid w:val="31666EED"/>
    <w:rsid w:val="39A35258"/>
    <w:rsid w:val="42355AD4"/>
    <w:rsid w:val="494C01A3"/>
    <w:rsid w:val="5259516C"/>
    <w:rsid w:val="55F15666"/>
    <w:rsid w:val="66175E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link w:val="9"/>
    <w:qFormat/>
    <w:uiPriority w:val="99"/>
    <w:pPr>
      <w:keepNext/>
      <w:keepLines/>
      <w:spacing w:before="340" w:after="330" w:line="576" w:lineRule="auto"/>
      <w:outlineLvl w:val="0"/>
    </w:pPr>
    <w:rPr>
      <w:b/>
      <w:kern w:val="44"/>
      <w:sz w:val="44"/>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11"/>
    <w:qFormat/>
    <w:uiPriority w:val="99"/>
    <w:pPr>
      <w:tabs>
        <w:tab w:val="center" w:pos="4153"/>
        <w:tab w:val="right" w:pos="8306"/>
      </w:tabs>
      <w:snapToGrid w:val="0"/>
      <w:jc w:val="left"/>
    </w:pPr>
    <w:rPr>
      <w:rFonts w:cs="Times New Roman"/>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rFonts w:cs="Times New Roman"/>
      <w:sz w:val="18"/>
      <w:szCs w:val="18"/>
    </w:rPr>
  </w:style>
  <w:style w:type="paragraph" w:styleId="5">
    <w:name w:val="Normal (Web)"/>
    <w:basedOn w:val="1"/>
    <w:qFormat/>
    <w:uiPriority w:val="99"/>
    <w:pPr>
      <w:jc w:val="left"/>
    </w:pPr>
    <w:rPr>
      <w:kern w:val="0"/>
      <w:sz w:val="24"/>
    </w:rPr>
  </w:style>
  <w:style w:type="character" w:styleId="8">
    <w:name w:val="Strong"/>
    <w:basedOn w:val="7"/>
    <w:qFormat/>
    <w:uiPriority w:val="99"/>
    <w:rPr>
      <w:rFonts w:cs="Times New Roman"/>
      <w:b/>
    </w:rPr>
  </w:style>
  <w:style w:type="character" w:customStyle="1" w:styleId="9">
    <w:name w:val="标题 1 Char"/>
    <w:basedOn w:val="7"/>
    <w:link w:val="2"/>
    <w:qFormat/>
    <w:locked/>
    <w:uiPriority w:val="99"/>
    <w:rPr>
      <w:rFonts w:ascii="Calibri" w:hAnsi="Calibri" w:cs="黑体"/>
      <w:b/>
      <w:bCs/>
      <w:kern w:val="44"/>
      <w:sz w:val="44"/>
      <w:szCs w:val="44"/>
    </w:rPr>
  </w:style>
  <w:style w:type="character" w:customStyle="1" w:styleId="10">
    <w:name w:val="页眉 Char"/>
    <w:basedOn w:val="7"/>
    <w:link w:val="4"/>
    <w:qFormat/>
    <w:locked/>
    <w:uiPriority w:val="99"/>
    <w:rPr>
      <w:rFonts w:ascii="Calibri" w:hAnsi="Calibri" w:cs="Times New Roman"/>
      <w:kern w:val="2"/>
      <w:sz w:val="18"/>
    </w:rPr>
  </w:style>
  <w:style w:type="character" w:customStyle="1" w:styleId="11">
    <w:name w:val="页脚 Char"/>
    <w:basedOn w:val="7"/>
    <w:link w:val="3"/>
    <w:qFormat/>
    <w:locked/>
    <w:uiPriority w:val="99"/>
    <w:rPr>
      <w:rFonts w:ascii="Calibri" w:hAnsi="Calibri" w:cs="Times New Roman"/>
      <w:kern w:val="2"/>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3990</Words>
  <Characters>4287</Characters>
  <Lines>8</Lines>
  <Paragraphs>11</Paragraphs>
  <TotalTime>0</TotalTime>
  <ScaleCrop>false</ScaleCrop>
  <LinksUpToDate>false</LinksUpToDate>
  <CharactersWithSpaces>4433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八爪小鱼</cp:lastModifiedBy>
  <dcterms:modified xsi:type="dcterms:W3CDTF">2025-01-24T09:17:34Z</dcterms:modified>
  <dc:title>涞水县永阳镇人民政府</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EE26D2C804C940929BBF18B024DA05D9_12</vt:lpwstr>
  </property>
  <property fmtid="{D5CDD505-2E9C-101B-9397-08002B2CF9AE}" pid="4" name="KSOTemplateDocerSaveRecord">
    <vt:lpwstr>eyJoZGlkIjoiNTY3NzU0NDM5MWFkMmY4ZmZmZjJjODBjMzI2N2ZmYWUiLCJ1c2VySWQiOiI0MDE5OTQ3MTgifQ==</vt:lpwstr>
  </property>
</Properties>
</file>