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sz w:val="44"/>
          <w:szCs w:val="44"/>
        </w:rPr>
      </w:pPr>
      <w:r>
        <w:rPr>
          <w:rFonts w:hint="eastAsia" w:ascii="黑体" w:hAnsi="黑体" w:eastAsia="黑体" w:cs="黑体"/>
          <w:b/>
          <w:color w:val="000000"/>
          <w:sz w:val="44"/>
          <w:szCs w:val="44"/>
          <w:lang w:eastAsia="zh-CN"/>
        </w:rPr>
        <w:t>涞水县胡家庄乡人民政府</w:t>
      </w:r>
      <w:r>
        <w:rPr>
          <w:rFonts w:hint="eastAsia" w:ascii="黑体" w:hAnsi="黑体" w:eastAsia="黑体" w:cs="黑体"/>
          <w:b/>
          <w:color w:val="000000"/>
          <w:sz w:val="44"/>
          <w:szCs w:val="44"/>
        </w:rPr>
        <w:t>所属单位预算</w:t>
      </w:r>
    </w:p>
    <w:p>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涞水县胡家庄乡人民政府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pPr>
        <w:pStyle w:val="6"/>
        <w:tabs>
          <w:tab w:val="right" w:leader="dot" w:pos="14562"/>
        </w:tabs>
      </w:pPr>
    </w:p>
    <w:p>
      <w:pPr>
        <w:sectPr>
          <w:headerReference r:id="rId3" w:type="even"/>
          <w:pgSz w:w="16840" w:h="11900" w:orient="landscape"/>
          <w:pgMar w:top="1587" w:right="1134" w:bottom="1361" w:left="1134" w:header="720" w:footer="720" w:gutter="0"/>
          <w:pgNumType w:start="1"/>
          <w:cols w:space="720" w:num="1"/>
        </w:sectPr>
      </w:pPr>
      <w:r>
        <w:fldChar w:fldCharType="end"/>
      </w: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pPr>
        <w:jc w:val="center"/>
        <w:outlineLvl w:val="3"/>
        <w:rPr>
          <w:rFonts w:ascii="方正小标宋_GBK" w:hAnsi="方正小标宋_GBK" w:cs="方正小标宋_GBK" w:eastAsiaTheme="minorEastAsia"/>
          <w:color w:val="000000"/>
          <w:sz w:val="44"/>
          <w:lang w:eastAsia="zh-CN"/>
        </w:rPr>
      </w:pPr>
      <w:bookmarkStart w:id="0" w:name="_Toc_4_4_0000000019"/>
    </w:p>
    <w:p>
      <w:pPr>
        <w:jc w:val="center"/>
        <w:outlineLvl w:val="3"/>
        <w:rPr>
          <w:rFonts w:hint="eastAsia" w:ascii="方正小标宋_GBK" w:hAnsi="方正小标宋_GBK" w:eastAsia="方正小标宋_GBK" w:cs="方正小标宋_GBK"/>
          <w:color w:val="000000"/>
          <w:sz w:val="44"/>
        </w:rPr>
      </w:pPr>
    </w:p>
    <w:p>
      <w:pPr>
        <w:jc w:val="center"/>
        <w:outlineLvl w:val="3"/>
        <w:rPr>
          <w:rFonts w:hint="eastAsia" w:ascii="方正小标宋_GBK" w:hAnsi="方正小标宋_GBK" w:eastAsia="方正小标宋_GBK" w:cs="方正小标宋_GBK"/>
          <w:color w:val="000000"/>
          <w:sz w:val="44"/>
        </w:rPr>
      </w:pPr>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涞水县胡家庄乡人民政府</w:t>
      </w:r>
      <w:r>
        <w:rPr>
          <w:rFonts w:hint="eastAsia" w:ascii="方正小标宋_GBK" w:hAnsi="方正小标宋_GBK" w:eastAsia="方正小标宋_GBK" w:cs="方正小标宋_GBK"/>
          <w:color w:val="000000"/>
          <w:sz w:val="44"/>
        </w:rPr>
        <w:t>本级收支预算</w:t>
      </w:r>
      <w:bookmarkEnd w:id="0"/>
    </w:p>
    <w:p>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rPr>
                <w:rFonts w:hint="default" w:eastAsia="方正小标宋_GBK"/>
                <w:lang w:val="en-US" w:eastAsia="zh-CN"/>
              </w:rPr>
            </w:pPr>
            <w:r>
              <w:rPr>
                <w:rFonts w:hint="eastAsia"/>
                <w:lang w:val="en-US" w:eastAsia="zh-CN"/>
              </w:rPr>
              <w:t>809001涞水县胡家庄乡人民政府本级</w:t>
            </w:r>
          </w:p>
        </w:tc>
        <w:tc>
          <w:tcPr>
            <w:tcW w:w="2126" w:type="dxa"/>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6661" w:type="dxa"/>
            <w:gridSpan w:val="2"/>
            <w:vAlign w:val="center"/>
          </w:tcPr>
          <w:p>
            <w:pPr>
              <w:pStyle w:val="16"/>
            </w:pPr>
            <w:r>
              <w:rPr>
                <w:rFonts w:hint="eastAsia"/>
              </w:rPr>
              <w:t>收入</w:t>
            </w:r>
          </w:p>
        </w:tc>
        <w:tc>
          <w:tcPr>
            <w:tcW w:w="6661" w:type="dxa"/>
            <w:gridSpan w:val="2"/>
            <w:vAlign w:val="center"/>
          </w:tcPr>
          <w:p>
            <w:pPr>
              <w:pStyle w:val="16"/>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6"/>
            </w:pPr>
            <w:r>
              <w:rPr>
                <w:rFonts w:hint="eastAsia"/>
              </w:rPr>
              <w:t>项</w:t>
            </w:r>
            <w:r>
              <w:t xml:space="preserve">  </w:t>
            </w:r>
            <w:r>
              <w:rPr>
                <w:rFonts w:hint="eastAsia"/>
              </w:rPr>
              <w:t>目</w:t>
            </w:r>
          </w:p>
        </w:tc>
        <w:tc>
          <w:tcPr>
            <w:tcW w:w="2126" w:type="dxa"/>
            <w:vAlign w:val="center"/>
          </w:tcPr>
          <w:p>
            <w:pPr>
              <w:pStyle w:val="16"/>
            </w:pPr>
            <w:r>
              <w:rPr>
                <w:rFonts w:hint="eastAsia"/>
              </w:rPr>
              <w:t>预算数</w:t>
            </w:r>
          </w:p>
        </w:tc>
        <w:tc>
          <w:tcPr>
            <w:tcW w:w="4535" w:type="dxa"/>
            <w:vAlign w:val="center"/>
          </w:tcPr>
          <w:p>
            <w:pPr>
              <w:pStyle w:val="16"/>
            </w:pPr>
            <w:r>
              <w:rPr>
                <w:rFonts w:hint="eastAsia"/>
              </w:rPr>
              <w:t>项</w:t>
            </w:r>
            <w:r>
              <w:t xml:space="preserve">  </w:t>
            </w:r>
            <w:r>
              <w:rPr>
                <w:rFonts w:hint="eastAsia"/>
              </w:rPr>
              <w:t>目</w:t>
            </w:r>
          </w:p>
        </w:tc>
        <w:tc>
          <w:tcPr>
            <w:tcW w:w="2126" w:type="dxa"/>
            <w:vAlign w:val="center"/>
          </w:tcPr>
          <w:p>
            <w:pPr>
              <w:pStyle w:val="16"/>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4535"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4535" w:type="dxa"/>
            <w:vAlign w:val="center"/>
          </w:tcPr>
          <w:p>
            <w:pPr>
              <w:pStyle w:val="18"/>
            </w:pPr>
            <w:r>
              <w:rPr>
                <w:rFonts w:hint="eastAsia"/>
              </w:rPr>
              <w:t>一、一般公共预算拨款收入</w:t>
            </w:r>
          </w:p>
        </w:tc>
        <w:tc>
          <w:tcPr>
            <w:tcW w:w="2126" w:type="dxa"/>
            <w:vAlign w:val="center"/>
          </w:tcPr>
          <w:p>
            <w:pPr>
              <w:pStyle w:val="17"/>
              <w:rPr>
                <w:rFonts w:hint="default" w:eastAsia="方正书宋_GBK"/>
                <w:lang w:val="en-US" w:eastAsia="zh-CN"/>
              </w:rPr>
            </w:pPr>
            <w:r>
              <w:rPr>
                <w:rFonts w:hint="eastAsia"/>
                <w:lang w:val="en-US" w:eastAsia="zh-CN"/>
              </w:rPr>
              <w:t>634.85</w:t>
            </w:r>
          </w:p>
        </w:tc>
        <w:tc>
          <w:tcPr>
            <w:tcW w:w="4535" w:type="dxa"/>
            <w:vAlign w:val="center"/>
          </w:tcPr>
          <w:p>
            <w:pPr>
              <w:pStyle w:val="18"/>
            </w:pPr>
            <w:r>
              <w:rPr>
                <w:rFonts w:hint="eastAsia"/>
              </w:rPr>
              <w:t>一、一般公共服务支出</w:t>
            </w:r>
          </w:p>
        </w:tc>
        <w:tc>
          <w:tcPr>
            <w:tcW w:w="2126" w:type="dxa"/>
            <w:vAlign w:val="center"/>
          </w:tcPr>
          <w:p>
            <w:pPr>
              <w:pStyle w:val="17"/>
              <w:rPr>
                <w:rFonts w:hint="default"/>
                <w:lang w:val="en-US" w:eastAsia="zh-CN"/>
              </w:rPr>
            </w:pPr>
            <w:r>
              <w:rPr>
                <w:rFonts w:hint="eastAsia"/>
                <w:lang w:val="en-US" w:eastAsia="zh-CN"/>
              </w:rPr>
              <w:t>533.4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4535" w:type="dxa"/>
            <w:vAlign w:val="center"/>
          </w:tcPr>
          <w:p>
            <w:pPr>
              <w:pStyle w:val="18"/>
            </w:pPr>
            <w:r>
              <w:rPr>
                <w:rFonts w:hint="eastAsia"/>
              </w:rPr>
              <w:t>二、政府性基金预算拨款收入</w:t>
            </w:r>
          </w:p>
        </w:tc>
        <w:tc>
          <w:tcPr>
            <w:tcW w:w="2126" w:type="dxa"/>
            <w:vAlign w:val="center"/>
          </w:tcPr>
          <w:p>
            <w:pPr>
              <w:pStyle w:val="17"/>
            </w:pPr>
          </w:p>
        </w:tc>
        <w:tc>
          <w:tcPr>
            <w:tcW w:w="4535" w:type="dxa"/>
            <w:vAlign w:val="center"/>
          </w:tcPr>
          <w:p>
            <w:pPr>
              <w:pStyle w:val="18"/>
            </w:pPr>
            <w:r>
              <w:rPr>
                <w:rFonts w:hint="eastAsia"/>
              </w:rPr>
              <w:t>二、外交支出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4535" w:type="dxa"/>
            <w:vAlign w:val="center"/>
          </w:tcPr>
          <w:p>
            <w:pPr>
              <w:pStyle w:val="18"/>
            </w:pPr>
            <w:r>
              <w:rPr>
                <w:rFonts w:hint="eastAsia"/>
              </w:rPr>
              <w:t>三、国有资本经营预算拨款收入</w:t>
            </w:r>
          </w:p>
        </w:tc>
        <w:tc>
          <w:tcPr>
            <w:tcW w:w="2126" w:type="dxa"/>
            <w:vAlign w:val="center"/>
          </w:tcPr>
          <w:p>
            <w:pPr>
              <w:pStyle w:val="17"/>
            </w:pPr>
          </w:p>
        </w:tc>
        <w:tc>
          <w:tcPr>
            <w:tcW w:w="4535" w:type="dxa"/>
            <w:vAlign w:val="center"/>
          </w:tcPr>
          <w:p>
            <w:pPr>
              <w:pStyle w:val="18"/>
            </w:pPr>
            <w:r>
              <w:rPr>
                <w:rFonts w:hint="eastAsia"/>
              </w:rPr>
              <w:t>三、国防支出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4535" w:type="dxa"/>
            <w:vAlign w:val="center"/>
          </w:tcPr>
          <w:p>
            <w:pPr>
              <w:pStyle w:val="18"/>
            </w:pPr>
            <w:r>
              <w:rPr>
                <w:rFonts w:hint="eastAsia"/>
              </w:rPr>
              <w:t>四、财政专户管理资金收入</w:t>
            </w:r>
          </w:p>
        </w:tc>
        <w:tc>
          <w:tcPr>
            <w:tcW w:w="2126" w:type="dxa"/>
            <w:vAlign w:val="center"/>
          </w:tcPr>
          <w:p>
            <w:pPr>
              <w:pStyle w:val="17"/>
            </w:pPr>
          </w:p>
        </w:tc>
        <w:tc>
          <w:tcPr>
            <w:tcW w:w="4535" w:type="dxa"/>
            <w:vAlign w:val="center"/>
          </w:tcPr>
          <w:p>
            <w:pPr>
              <w:pStyle w:val="18"/>
            </w:pPr>
            <w:r>
              <w:rPr>
                <w:rFonts w:hint="eastAsia"/>
              </w:rPr>
              <w:t>四、公共安全支出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4535" w:type="dxa"/>
            <w:vAlign w:val="center"/>
          </w:tcPr>
          <w:p>
            <w:pPr>
              <w:pStyle w:val="18"/>
            </w:pPr>
            <w:r>
              <w:rPr>
                <w:rFonts w:hint="eastAsia"/>
              </w:rPr>
              <w:t>五、事业收入</w:t>
            </w:r>
          </w:p>
        </w:tc>
        <w:tc>
          <w:tcPr>
            <w:tcW w:w="2126" w:type="dxa"/>
            <w:vAlign w:val="center"/>
          </w:tcPr>
          <w:p>
            <w:pPr>
              <w:pStyle w:val="17"/>
            </w:pPr>
          </w:p>
        </w:tc>
        <w:tc>
          <w:tcPr>
            <w:tcW w:w="4535" w:type="dxa"/>
            <w:vAlign w:val="center"/>
          </w:tcPr>
          <w:p>
            <w:pPr>
              <w:pStyle w:val="18"/>
            </w:pPr>
            <w:r>
              <w:rPr>
                <w:rFonts w:hint="eastAsia"/>
              </w:rPr>
              <w:t>五、教育支出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4535" w:type="dxa"/>
            <w:vAlign w:val="center"/>
          </w:tcPr>
          <w:p>
            <w:pPr>
              <w:pStyle w:val="18"/>
            </w:pPr>
            <w:r>
              <w:rPr>
                <w:rFonts w:hint="eastAsia"/>
              </w:rPr>
              <w:t>六、事业单位经营收入</w:t>
            </w:r>
          </w:p>
        </w:tc>
        <w:tc>
          <w:tcPr>
            <w:tcW w:w="2126" w:type="dxa"/>
            <w:vAlign w:val="center"/>
          </w:tcPr>
          <w:p>
            <w:pPr>
              <w:pStyle w:val="17"/>
            </w:pPr>
          </w:p>
        </w:tc>
        <w:tc>
          <w:tcPr>
            <w:tcW w:w="4535" w:type="dxa"/>
            <w:vAlign w:val="center"/>
          </w:tcPr>
          <w:p>
            <w:pPr>
              <w:pStyle w:val="18"/>
            </w:pPr>
            <w:r>
              <w:rPr>
                <w:rFonts w:hint="eastAsia"/>
              </w:rPr>
              <w:t>六、科学技术支出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4535" w:type="dxa"/>
            <w:vAlign w:val="center"/>
          </w:tcPr>
          <w:p>
            <w:pPr>
              <w:pStyle w:val="18"/>
            </w:pPr>
            <w:r>
              <w:rPr>
                <w:rFonts w:hint="eastAsia"/>
              </w:rPr>
              <w:t>七、上级补助收入</w:t>
            </w:r>
          </w:p>
        </w:tc>
        <w:tc>
          <w:tcPr>
            <w:tcW w:w="2126" w:type="dxa"/>
            <w:vAlign w:val="center"/>
          </w:tcPr>
          <w:p>
            <w:pPr>
              <w:pStyle w:val="17"/>
            </w:pPr>
          </w:p>
        </w:tc>
        <w:tc>
          <w:tcPr>
            <w:tcW w:w="4535" w:type="dxa"/>
            <w:vAlign w:val="center"/>
          </w:tcPr>
          <w:p>
            <w:pPr>
              <w:pStyle w:val="18"/>
            </w:pPr>
            <w:r>
              <w:rPr>
                <w:rFonts w:hint="eastAsia"/>
              </w:rPr>
              <w:t>七、文化旅游体育与传媒支出</w:t>
            </w:r>
          </w:p>
        </w:tc>
        <w:tc>
          <w:tcPr>
            <w:tcW w:w="2126" w:type="dxa"/>
            <w:vAlign w:val="center"/>
          </w:tcPr>
          <w:p>
            <w:pPr>
              <w:pStyle w:val="17"/>
              <w:rPr>
                <w:rFonts w:hint="default" w:eastAsia="方正书宋_GBK"/>
                <w:lang w:val="en-US" w:eastAsia="zh-CN"/>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4535" w:type="dxa"/>
            <w:vAlign w:val="center"/>
          </w:tcPr>
          <w:p>
            <w:pPr>
              <w:pStyle w:val="18"/>
            </w:pPr>
            <w:r>
              <w:rPr>
                <w:rFonts w:hint="eastAsia"/>
              </w:rPr>
              <w:t>八、附属单位上缴收入</w:t>
            </w:r>
          </w:p>
        </w:tc>
        <w:tc>
          <w:tcPr>
            <w:tcW w:w="2126" w:type="dxa"/>
            <w:vAlign w:val="center"/>
          </w:tcPr>
          <w:p>
            <w:pPr>
              <w:pStyle w:val="17"/>
            </w:pPr>
          </w:p>
        </w:tc>
        <w:tc>
          <w:tcPr>
            <w:tcW w:w="4535" w:type="dxa"/>
            <w:vAlign w:val="center"/>
          </w:tcPr>
          <w:p>
            <w:pPr>
              <w:pStyle w:val="18"/>
            </w:pPr>
            <w:r>
              <w:rPr>
                <w:rFonts w:hint="eastAsia"/>
              </w:rPr>
              <w:t>八、社会保障和就业支出</w:t>
            </w:r>
          </w:p>
        </w:tc>
        <w:tc>
          <w:tcPr>
            <w:tcW w:w="2126" w:type="dxa"/>
            <w:vAlign w:val="center"/>
          </w:tcPr>
          <w:p>
            <w:pPr>
              <w:pStyle w:val="17"/>
              <w:rPr>
                <w:rFonts w:hint="default" w:eastAsia="方正书宋_GBK"/>
                <w:lang w:val="en-US" w:eastAsia="zh-CN"/>
              </w:rPr>
            </w:pPr>
            <w:r>
              <w:rPr>
                <w:rFonts w:hint="eastAsia"/>
                <w:lang w:val="en-US" w:eastAsia="zh-CN"/>
              </w:rPr>
              <w:t>47.36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4535" w:type="dxa"/>
            <w:vAlign w:val="center"/>
          </w:tcPr>
          <w:p>
            <w:pPr>
              <w:pStyle w:val="18"/>
            </w:pPr>
            <w:r>
              <w:rPr>
                <w:rFonts w:hint="eastAsia"/>
              </w:rPr>
              <w:t>九、其他收入</w:t>
            </w:r>
          </w:p>
        </w:tc>
        <w:tc>
          <w:tcPr>
            <w:tcW w:w="2126" w:type="dxa"/>
            <w:vAlign w:val="center"/>
          </w:tcPr>
          <w:p>
            <w:pPr>
              <w:pStyle w:val="17"/>
            </w:pPr>
          </w:p>
        </w:tc>
        <w:tc>
          <w:tcPr>
            <w:tcW w:w="4535" w:type="dxa"/>
            <w:vAlign w:val="center"/>
          </w:tcPr>
          <w:p>
            <w:pPr>
              <w:pStyle w:val="18"/>
            </w:pPr>
            <w:r>
              <w:rPr>
                <w:rFonts w:hint="eastAsia"/>
              </w:rPr>
              <w:t>九、社会保险基金支出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十、卫生健康支出</w:t>
            </w:r>
          </w:p>
        </w:tc>
        <w:tc>
          <w:tcPr>
            <w:tcW w:w="2126" w:type="dxa"/>
            <w:vAlign w:val="center"/>
          </w:tcPr>
          <w:p>
            <w:pPr>
              <w:pStyle w:val="17"/>
              <w:rPr>
                <w:rFonts w:hint="default" w:eastAsia="方正书宋_GBK"/>
                <w:lang w:val="en-US" w:eastAsia="zh-CN"/>
              </w:rPr>
            </w:pPr>
            <w:r>
              <w:rPr>
                <w:rFonts w:hint="eastAsia"/>
                <w:lang w:val="en-US" w:eastAsia="zh-CN"/>
              </w:rPr>
              <w:t>22.74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十一、节能环保支出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十二、城乡社区支出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十三、农林水支出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十四、交通运输支出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十五、资源勘探工业信息等支出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十六、商业服务业等支出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十七、金融支出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十八、援助其他地区支出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十九、自然资源海洋气象等支出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二十、住房保障支出</w:t>
            </w:r>
          </w:p>
        </w:tc>
        <w:tc>
          <w:tcPr>
            <w:tcW w:w="2126" w:type="dxa"/>
            <w:vAlign w:val="center"/>
          </w:tcPr>
          <w:p>
            <w:pPr>
              <w:pStyle w:val="17"/>
              <w:rPr>
                <w:rFonts w:hint="default" w:eastAsia="方正书宋_GBK"/>
                <w:lang w:val="en-US" w:eastAsia="zh-CN"/>
              </w:rPr>
            </w:pPr>
            <w:r>
              <w:rPr>
                <w:rFonts w:hint="eastAsia"/>
                <w:lang w:val="en-US" w:eastAsia="zh-CN"/>
              </w:rPr>
              <w:t>29.6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二十一、粮油物资储备支出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二十二、国有资本经营预算支出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二十三、灾害防治及应急管理支出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二十四、预备费</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二十五、其他支出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26</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二十六、转移性支出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二十七、债务还本支出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二十八、债务付息支出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二十九、债务发行费用支出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4535" w:type="dxa"/>
            <w:vAlign w:val="center"/>
          </w:tcPr>
          <w:p>
            <w:pPr>
              <w:pStyle w:val="18"/>
            </w:pPr>
          </w:p>
        </w:tc>
        <w:tc>
          <w:tcPr>
            <w:tcW w:w="2126" w:type="dxa"/>
            <w:vAlign w:val="center"/>
          </w:tcPr>
          <w:p>
            <w:pPr>
              <w:pStyle w:val="17"/>
            </w:pPr>
          </w:p>
        </w:tc>
        <w:tc>
          <w:tcPr>
            <w:tcW w:w="4535" w:type="dxa"/>
            <w:vAlign w:val="center"/>
          </w:tcPr>
          <w:p>
            <w:pPr>
              <w:pStyle w:val="18"/>
            </w:pPr>
            <w:r>
              <w:rPr>
                <w:rFonts w:hint="eastAsia"/>
              </w:rPr>
              <w:t>三十、抗疫特别国债安排的支出</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4535" w:type="dxa"/>
            <w:vAlign w:val="center"/>
          </w:tcPr>
          <w:p>
            <w:pPr>
              <w:pStyle w:val="20"/>
            </w:pPr>
            <w:r>
              <w:rPr>
                <w:rFonts w:hint="eastAsia"/>
              </w:rPr>
              <w:t>本年收入合计</w:t>
            </w:r>
          </w:p>
        </w:tc>
        <w:tc>
          <w:tcPr>
            <w:tcW w:w="2126" w:type="dxa"/>
            <w:vAlign w:val="center"/>
          </w:tcPr>
          <w:p>
            <w:pPr>
              <w:pStyle w:val="21"/>
              <w:rPr>
                <w:rFonts w:hint="default" w:eastAsia="方正书宋_GBK"/>
                <w:lang w:val="en-US" w:eastAsia="zh-CN"/>
              </w:rPr>
            </w:pPr>
            <w:r>
              <w:rPr>
                <w:rFonts w:hint="eastAsia"/>
                <w:lang w:val="en-US" w:eastAsia="zh-CN"/>
              </w:rPr>
              <w:t>634.85</w:t>
            </w:r>
          </w:p>
        </w:tc>
        <w:tc>
          <w:tcPr>
            <w:tcW w:w="4535" w:type="dxa"/>
            <w:vAlign w:val="center"/>
          </w:tcPr>
          <w:p>
            <w:pPr>
              <w:pStyle w:val="20"/>
              <w:rPr>
                <w:rFonts w:hint="default"/>
                <w:lang w:val="en-US"/>
              </w:rPr>
            </w:pPr>
          </w:p>
        </w:tc>
        <w:tc>
          <w:tcPr>
            <w:tcW w:w="2126" w:type="dxa"/>
            <w:vAlign w:val="center"/>
          </w:tcPr>
          <w:p>
            <w:pPr>
              <w:pStyle w:val="21"/>
              <w:rPr>
                <w:rFonts w:hint="default" w:eastAsia="方正书宋_GBK"/>
                <w:lang w:val="en-US" w:eastAsia="zh-CN"/>
              </w:rPr>
            </w:pPr>
            <w:r>
              <w:rPr>
                <w:rFonts w:hint="eastAsia"/>
                <w:lang w:val="en-US" w:eastAsia="zh-CN"/>
              </w:rPr>
              <w:t>634.85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4535" w:type="dxa"/>
            <w:vAlign w:val="center"/>
          </w:tcPr>
          <w:p>
            <w:pPr>
              <w:pStyle w:val="18"/>
            </w:pPr>
            <w:r>
              <w:rPr>
                <w:rFonts w:hint="eastAsia"/>
              </w:rPr>
              <w:t>上年结转结余</w:t>
            </w:r>
          </w:p>
        </w:tc>
        <w:tc>
          <w:tcPr>
            <w:tcW w:w="2126" w:type="dxa"/>
            <w:vAlign w:val="center"/>
          </w:tcPr>
          <w:p>
            <w:pPr>
              <w:pStyle w:val="17"/>
            </w:pPr>
          </w:p>
        </w:tc>
        <w:tc>
          <w:tcPr>
            <w:tcW w:w="4535" w:type="dxa"/>
            <w:vAlign w:val="center"/>
          </w:tcPr>
          <w:p>
            <w:pPr>
              <w:pStyle w:val="18"/>
            </w:pPr>
            <w:r>
              <w:rPr>
                <w:rFonts w:hint="eastAsia"/>
              </w:rPr>
              <w:t>年终结转结余</w:t>
            </w:r>
          </w:p>
        </w:tc>
        <w:tc>
          <w:tcPr>
            <w:tcW w:w="2126"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4535" w:type="dxa"/>
            <w:vAlign w:val="center"/>
          </w:tcPr>
          <w:p>
            <w:pPr>
              <w:pStyle w:val="20"/>
            </w:pPr>
            <w:r>
              <w:rPr>
                <w:rFonts w:hint="eastAsia"/>
              </w:rPr>
              <w:t>收入总计</w:t>
            </w:r>
          </w:p>
        </w:tc>
        <w:tc>
          <w:tcPr>
            <w:tcW w:w="2126" w:type="dxa"/>
            <w:vAlign w:val="center"/>
          </w:tcPr>
          <w:p>
            <w:pPr>
              <w:pStyle w:val="21"/>
              <w:rPr>
                <w:rFonts w:hint="default" w:eastAsia="方正书宋_GBK"/>
                <w:lang w:val="en-US" w:eastAsia="zh-CN"/>
              </w:rPr>
            </w:pPr>
            <w:r>
              <w:rPr>
                <w:rFonts w:hint="eastAsia"/>
                <w:lang w:val="en-US" w:eastAsia="zh-CN"/>
              </w:rPr>
              <w:t>634.85</w:t>
            </w:r>
          </w:p>
        </w:tc>
        <w:tc>
          <w:tcPr>
            <w:tcW w:w="4535" w:type="dxa"/>
            <w:vAlign w:val="center"/>
          </w:tcPr>
          <w:p>
            <w:pPr>
              <w:pStyle w:val="20"/>
            </w:pPr>
            <w:r>
              <w:rPr>
                <w:rFonts w:hint="eastAsia"/>
              </w:rPr>
              <w:t>支出总计</w:t>
            </w:r>
          </w:p>
        </w:tc>
        <w:tc>
          <w:tcPr>
            <w:tcW w:w="2126" w:type="dxa"/>
            <w:vAlign w:val="center"/>
          </w:tcPr>
          <w:p>
            <w:pPr>
              <w:pStyle w:val="21"/>
              <w:rPr>
                <w:rFonts w:hint="default" w:eastAsia="方正书宋_GBK"/>
                <w:lang w:val="en-US" w:eastAsia="zh-CN"/>
              </w:rPr>
            </w:pPr>
            <w:r>
              <w:rPr>
                <w:rFonts w:hint="eastAsia"/>
                <w:lang w:val="en-US" w:eastAsia="zh-CN"/>
              </w:rPr>
              <w:t>634.85</w:t>
            </w:r>
          </w:p>
        </w:tc>
      </w:tr>
    </w:tbl>
    <w:p>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rPr>
                <w:rFonts w:hint="default" w:eastAsia="方正小标宋_GBK"/>
                <w:lang w:val="en-US" w:eastAsia="zh-CN"/>
              </w:rPr>
            </w:pPr>
            <w:r>
              <w:rPr>
                <w:rFonts w:hint="eastAsia"/>
                <w:lang w:val="en-US" w:eastAsia="zh-CN"/>
              </w:rPr>
              <w:t>809001涞水县胡家庄乡人民政府本级</w:t>
            </w:r>
          </w:p>
        </w:tc>
        <w:tc>
          <w:tcPr>
            <w:tcW w:w="3402" w:type="dxa"/>
            <w:gridSpan w:val="3"/>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rPr>
                <w:rFonts w:hint="eastAsia"/>
              </w:rPr>
              <w:t>序号</w:t>
            </w:r>
          </w:p>
        </w:tc>
        <w:tc>
          <w:tcPr>
            <w:tcW w:w="2551" w:type="dxa"/>
            <w:gridSpan w:val="2"/>
            <w:vAlign w:val="center"/>
          </w:tcPr>
          <w:p>
            <w:pPr>
              <w:pStyle w:val="16"/>
            </w:pPr>
            <w:r>
              <w:rPr>
                <w:rFonts w:hint="eastAsia"/>
              </w:rPr>
              <w:t>功能分类科目</w:t>
            </w:r>
          </w:p>
        </w:tc>
        <w:tc>
          <w:tcPr>
            <w:tcW w:w="1134" w:type="dxa"/>
            <w:vMerge w:val="restart"/>
            <w:vAlign w:val="center"/>
          </w:tcPr>
          <w:p>
            <w:pPr>
              <w:pStyle w:val="16"/>
            </w:pPr>
            <w:r>
              <w:rPr>
                <w:rFonts w:hint="eastAsia"/>
              </w:rPr>
              <w:t>合计</w:t>
            </w:r>
          </w:p>
        </w:tc>
        <w:tc>
          <w:tcPr>
            <w:tcW w:w="9072" w:type="dxa"/>
            <w:gridSpan w:val="8"/>
            <w:vAlign w:val="center"/>
          </w:tcPr>
          <w:p>
            <w:pPr>
              <w:pStyle w:val="16"/>
            </w:pPr>
            <w:r>
              <w:rPr>
                <w:rFonts w:hint="eastAsia"/>
              </w:rPr>
              <w:t>本年收入</w:t>
            </w:r>
          </w:p>
        </w:tc>
        <w:tc>
          <w:tcPr>
            <w:tcW w:w="1134" w:type="dxa"/>
            <w:vMerge w:val="restart"/>
            <w:vAlign w:val="center"/>
          </w:tcPr>
          <w:p>
            <w:pPr>
              <w:pStyle w:val="16"/>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rPr>
                <w:rFonts w:hint="eastAsia"/>
              </w:rPr>
              <w:t>科目</w:t>
            </w:r>
            <w:r>
              <w:t xml:space="preserve">    </w:t>
            </w:r>
            <w:r>
              <w:rPr>
                <w:rFonts w:hint="eastAsia"/>
              </w:rPr>
              <w:t>编码</w:t>
            </w:r>
          </w:p>
        </w:tc>
        <w:tc>
          <w:tcPr>
            <w:tcW w:w="1559" w:type="dxa"/>
            <w:vAlign w:val="center"/>
          </w:tcPr>
          <w:p>
            <w:pPr>
              <w:pStyle w:val="16"/>
            </w:pPr>
            <w:r>
              <w:rPr>
                <w:rFonts w:hint="eastAsia"/>
              </w:rPr>
              <w:t>科目名称</w:t>
            </w:r>
          </w:p>
        </w:tc>
        <w:tc>
          <w:tcPr>
            <w:tcW w:w="1134" w:type="dxa"/>
            <w:vMerge w:val="continue"/>
          </w:tcPr>
          <w:p/>
        </w:tc>
        <w:tc>
          <w:tcPr>
            <w:tcW w:w="1134" w:type="dxa"/>
            <w:vAlign w:val="center"/>
          </w:tcPr>
          <w:p>
            <w:pPr>
              <w:pStyle w:val="16"/>
            </w:pPr>
            <w:r>
              <w:rPr>
                <w:rFonts w:hint="eastAsia"/>
              </w:rPr>
              <w:t>小计</w:t>
            </w:r>
          </w:p>
        </w:tc>
        <w:tc>
          <w:tcPr>
            <w:tcW w:w="1134" w:type="dxa"/>
            <w:vAlign w:val="center"/>
          </w:tcPr>
          <w:p>
            <w:pPr>
              <w:pStyle w:val="16"/>
            </w:pPr>
            <w:r>
              <w:rPr>
                <w:rFonts w:hint="eastAsia"/>
              </w:rPr>
              <w:t>财政拨款</w:t>
            </w:r>
            <w:r>
              <w:t xml:space="preserve"> </w:t>
            </w:r>
            <w:r>
              <w:rPr>
                <w:rFonts w:hint="eastAsia"/>
              </w:rPr>
              <w:t>收入</w:t>
            </w:r>
          </w:p>
        </w:tc>
        <w:tc>
          <w:tcPr>
            <w:tcW w:w="1134" w:type="dxa"/>
            <w:vAlign w:val="center"/>
          </w:tcPr>
          <w:p>
            <w:pPr>
              <w:pStyle w:val="16"/>
            </w:pPr>
            <w:r>
              <w:rPr>
                <w:rFonts w:hint="eastAsia"/>
              </w:rPr>
              <w:t>财政专户</w:t>
            </w:r>
            <w:r>
              <w:t xml:space="preserve"> </w:t>
            </w:r>
            <w:r>
              <w:rPr>
                <w:rFonts w:hint="eastAsia"/>
              </w:rPr>
              <w:t>收入</w:t>
            </w:r>
          </w:p>
        </w:tc>
        <w:tc>
          <w:tcPr>
            <w:tcW w:w="1134" w:type="dxa"/>
            <w:vAlign w:val="center"/>
          </w:tcPr>
          <w:p>
            <w:pPr>
              <w:pStyle w:val="16"/>
            </w:pPr>
            <w:r>
              <w:rPr>
                <w:rFonts w:hint="eastAsia"/>
              </w:rPr>
              <w:t>事业收入</w:t>
            </w:r>
          </w:p>
        </w:tc>
        <w:tc>
          <w:tcPr>
            <w:tcW w:w="1134" w:type="dxa"/>
            <w:vAlign w:val="center"/>
          </w:tcPr>
          <w:p>
            <w:pPr>
              <w:pStyle w:val="16"/>
            </w:pPr>
            <w:r>
              <w:rPr>
                <w:rFonts w:hint="eastAsia"/>
              </w:rPr>
              <w:t>经营收入</w:t>
            </w:r>
          </w:p>
        </w:tc>
        <w:tc>
          <w:tcPr>
            <w:tcW w:w="1134" w:type="dxa"/>
            <w:vAlign w:val="center"/>
          </w:tcPr>
          <w:p>
            <w:pPr>
              <w:pStyle w:val="16"/>
            </w:pPr>
            <w:r>
              <w:rPr>
                <w:rFonts w:hint="eastAsia"/>
              </w:rPr>
              <w:t>上级补助收入</w:t>
            </w:r>
          </w:p>
        </w:tc>
        <w:tc>
          <w:tcPr>
            <w:tcW w:w="1134" w:type="dxa"/>
            <w:vAlign w:val="center"/>
          </w:tcPr>
          <w:p>
            <w:pPr>
              <w:pStyle w:val="16"/>
            </w:pPr>
            <w:r>
              <w:rPr>
                <w:rFonts w:hint="eastAsia"/>
              </w:rPr>
              <w:t>附属单位上缴收入</w:t>
            </w:r>
          </w:p>
        </w:tc>
        <w:tc>
          <w:tcPr>
            <w:tcW w:w="1134" w:type="dxa"/>
            <w:vAlign w:val="center"/>
          </w:tcPr>
          <w:p>
            <w:pPr>
              <w:pStyle w:val="16"/>
            </w:pPr>
            <w:r>
              <w:rPr>
                <w:rFonts w:hint="eastAsia"/>
              </w:rP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rPr>
                <w:rFonts w:hint="eastAsia"/>
              </w:rP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w:t>
            </w:r>
          </w:p>
        </w:tc>
        <w:tc>
          <w:tcPr>
            <w:tcW w:w="992" w:type="dxa"/>
            <w:vAlign w:val="center"/>
          </w:tcPr>
          <w:p>
            <w:pPr>
              <w:pStyle w:val="22"/>
            </w:pPr>
          </w:p>
        </w:tc>
        <w:tc>
          <w:tcPr>
            <w:tcW w:w="1559" w:type="dxa"/>
            <w:vAlign w:val="center"/>
          </w:tcPr>
          <w:p>
            <w:pPr>
              <w:pStyle w:val="20"/>
            </w:pPr>
            <w:r>
              <w:rPr>
                <w:rFonts w:hint="eastAsia"/>
              </w:rPr>
              <w:t>合计</w:t>
            </w:r>
          </w:p>
        </w:tc>
        <w:tc>
          <w:tcPr>
            <w:tcW w:w="1134" w:type="dxa"/>
            <w:vAlign w:val="center"/>
          </w:tcPr>
          <w:p>
            <w:pPr>
              <w:pStyle w:val="21"/>
              <w:rPr>
                <w:rFonts w:hint="default" w:eastAsia="方正书宋_GBK"/>
                <w:lang w:val="en-US" w:eastAsia="zh-CN"/>
              </w:rPr>
            </w:pPr>
            <w:r>
              <w:rPr>
                <w:rFonts w:hint="eastAsia"/>
                <w:lang w:val="en-US" w:eastAsia="zh-CN"/>
              </w:rPr>
              <w:t>634.85</w:t>
            </w:r>
          </w:p>
        </w:tc>
        <w:tc>
          <w:tcPr>
            <w:tcW w:w="1134" w:type="dxa"/>
            <w:vAlign w:val="center"/>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634.8</w:t>
            </w:r>
          </w:p>
        </w:tc>
        <w:tc>
          <w:tcPr>
            <w:tcW w:w="1134" w:type="dxa"/>
            <w:vAlign w:val="center"/>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634.8</w:t>
            </w: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c>
          <w:tcPr>
            <w:tcW w:w="113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2</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3</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4</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463.15</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5</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70.25</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6</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7</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8</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9</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10</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11</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12</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13</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pPr>
            <w:r>
              <w:t>14</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rPr>
                <w:rFonts w:hint="default" w:eastAsia="方正书宋_GBK"/>
                <w:lang w:val="en-US" w:eastAsia="zh-CN"/>
              </w:rPr>
            </w:pPr>
            <w:r>
              <w:rPr>
                <w:rFonts w:hint="eastAsia"/>
                <w:lang w:val="en-US" w:eastAsia="zh-CN"/>
              </w:rPr>
              <w:t>15</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rPr>
                <w:rFonts w:hint="default" w:eastAsia="方正书宋_GBK"/>
                <w:lang w:val="en-US" w:eastAsia="zh-CN"/>
              </w:rPr>
            </w:pPr>
            <w:r>
              <w:rPr>
                <w:rFonts w:hint="eastAsia"/>
                <w:lang w:val="en-US" w:eastAsia="zh-CN"/>
              </w:rPr>
              <w:t>16</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rPr>
                <w:rFonts w:hint="eastAsia" w:eastAsia="方正书宋_GBK"/>
                <w:lang w:eastAsia="zh-CN"/>
              </w:rPr>
            </w:pPr>
            <w:r>
              <w:t>1</w:t>
            </w:r>
            <w:r>
              <w:rPr>
                <w:rFonts w:hint="eastAsia"/>
                <w:lang w:val="en-US" w:eastAsia="zh-CN"/>
              </w:rPr>
              <w:t>7</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9"/>
              <w:rPr>
                <w:rFonts w:hint="eastAsia" w:eastAsia="方正书宋_GBK"/>
                <w:lang w:eastAsia="zh-CN"/>
              </w:rPr>
            </w:pPr>
            <w:r>
              <w:t>1</w:t>
            </w:r>
            <w:r>
              <w:rPr>
                <w:rFonts w:hint="eastAsia"/>
                <w:lang w:val="en-US" w:eastAsia="zh-CN"/>
              </w:rPr>
              <w:t>8</w:t>
            </w:r>
          </w:p>
        </w:tc>
        <w:tc>
          <w:tcPr>
            <w:tcW w:w="992"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1559"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center"/>
          </w:tcPr>
          <w:p>
            <w:pPr>
              <w:pStyle w:val="17"/>
              <w:rPr>
                <w:rFonts w:hint="default"/>
                <w:lang w:val="en-US"/>
              </w:rPr>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bl>
    <w:p>
      <w:p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rPr>
                <w:rFonts w:hint="default" w:eastAsia="方正小标宋_GBK"/>
                <w:lang w:val="en-US" w:eastAsia="zh-CN"/>
              </w:rPr>
            </w:pPr>
            <w:r>
              <w:rPr>
                <w:rFonts w:hint="eastAsia"/>
                <w:lang w:val="en-US" w:eastAsia="zh-CN"/>
              </w:rPr>
              <w:t>809001涞水县胡家庄乡人民政府本级</w:t>
            </w:r>
          </w:p>
        </w:tc>
        <w:tc>
          <w:tcPr>
            <w:tcW w:w="2722" w:type="dxa"/>
            <w:gridSpan w:val="2"/>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528" w:type="dxa"/>
            <w:gridSpan w:val="2"/>
            <w:vAlign w:val="center"/>
          </w:tcPr>
          <w:p>
            <w:pPr>
              <w:pStyle w:val="16"/>
            </w:pPr>
            <w:r>
              <w:rPr>
                <w:rFonts w:hint="eastAsia"/>
              </w:rPr>
              <w:t>功能分类科目</w:t>
            </w:r>
          </w:p>
        </w:tc>
        <w:tc>
          <w:tcPr>
            <w:tcW w:w="1361" w:type="dxa"/>
            <w:vMerge w:val="restart"/>
            <w:vAlign w:val="center"/>
          </w:tcPr>
          <w:p>
            <w:pPr>
              <w:pStyle w:val="16"/>
            </w:pPr>
            <w:r>
              <w:rPr>
                <w:rFonts w:hint="eastAsia"/>
              </w:rPr>
              <w:t>合计</w:t>
            </w:r>
          </w:p>
        </w:tc>
        <w:tc>
          <w:tcPr>
            <w:tcW w:w="1361" w:type="dxa"/>
            <w:vMerge w:val="restart"/>
            <w:vAlign w:val="center"/>
          </w:tcPr>
          <w:p>
            <w:pPr>
              <w:pStyle w:val="16"/>
            </w:pPr>
            <w:r>
              <w:rPr>
                <w:rFonts w:hint="eastAsia"/>
              </w:rPr>
              <w:t>基本支出</w:t>
            </w:r>
          </w:p>
        </w:tc>
        <w:tc>
          <w:tcPr>
            <w:tcW w:w="1361" w:type="dxa"/>
            <w:vMerge w:val="restart"/>
            <w:vAlign w:val="center"/>
          </w:tcPr>
          <w:p>
            <w:pPr>
              <w:pStyle w:val="16"/>
            </w:pPr>
            <w:r>
              <w:rPr>
                <w:rFonts w:hint="eastAsia"/>
              </w:rPr>
              <w:t>项目支出</w:t>
            </w:r>
          </w:p>
        </w:tc>
        <w:tc>
          <w:tcPr>
            <w:tcW w:w="1361" w:type="dxa"/>
            <w:vMerge w:val="restart"/>
            <w:vAlign w:val="center"/>
          </w:tcPr>
          <w:p>
            <w:pPr>
              <w:pStyle w:val="16"/>
            </w:pPr>
            <w:r>
              <w:rPr>
                <w:rFonts w:hint="eastAsia"/>
              </w:rPr>
              <w:t>经营支出</w:t>
            </w:r>
          </w:p>
        </w:tc>
        <w:tc>
          <w:tcPr>
            <w:tcW w:w="1361" w:type="dxa"/>
            <w:vMerge w:val="restart"/>
            <w:vAlign w:val="center"/>
          </w:tcPr>
          <w:p>
            <w:pPr>
              <w:pStyle w:val="16"/>
            </w:pPr>
            <w:r>
              <w:rPr>
                <w:rFonts w:hint="eastAsia"/>
              </w:rPr>
              <w:t>上解上级</w:t>
            </w:r>
            <w:r>
              <w:t xml:space="preserve">     </w:t>
            </w:r>
            <w:r>
              <w:rPr>
                <w:rFonts w:hint="eastAsia"/>
              </w:rPr>
              <w:t>支出</w:t>
            </w:r>
          </w:p>
        </w:tc>
        <w:tc>
          <w:tcPr>
            <w:tcW w:w="1361" w:type="dxa"/>
            <w:vMerge w:val="restart"/>
            <w:vAlign w:val="center"/>
          </w:tcPr>
          <w:p>
            <w:pPr>
              <w:pStyle w:val="16"/>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rPr>
                <w:rFonts w:hint="eastAsia"/>
              </w:rPr>
              <w:t>科目</w:t>
            </w:r>
            <w:r>
              <w:t xml:space="preserve">    </w:t>
            </w:r>
            <w:r>
              <w:rPr>
                <w:rFonts w:hint="eastAsia"/>
              </w:rPr>
              <w:t>编码</w:t>
            </w:r>
          </w:p>
        </w:tc>
        <w:tc>
          <w:tcPr>
            <w:tcW w:w="4536" w:type="dxa"/>
            <w:vAlign w:val="center"/>
          </w:tcPr>
          <w:p>
            <w:pPr>
              <w:pStyle w:val="16"/>
            </w:pPr>
            <w:r>
              <w:rPr>
                <w:rFonts w:hint="eastAsia"/>
              </w:rP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992" w:type="dxa"/>
            <w:vAlign w:val="center"/>
          </w:tcPr>
          <w:p>
            <w:pPr>
              <w:pStyle w:val="22"/>
            </w:pPr>
          </w:p>
        </w:tc>
        <w:tc>
          <w:tcPr>
            <w:tcW w:w="4536" w:type="dxa"/>
            <w:vAlign w:val="center"/>
          </w:tcPr>
          <w:p>
            <w:pPr>
              <w:pStyle w:val="20"/>
            </w:pPr>
            <w:r>
              <w:rPr>
                <w:rFonts w:hint="eastAsia"/>
              </w:rPr>
              <w:t>合计</w:t>
            </w:r>
          </w:p>
        </w:tc>
        <w:tc>
          <w:tcPr>
            <w:tcW w:w="1361" w:type="dxa"/>
            <w:vAlign w:val="center"/>
          </w:tcPr>
          <w:p>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1361" w:type="dxa"/>
            <w:vAlign w:val="center"/>
          </w:tcPr>
          <w:p>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1361" w:type="dxa"/>
            <w:vAlign w:val="center"/>
          </w:tcPr>
          <w:p>
            <w:pPr>
              <w:pStyle w:val="21"/>
              <w:rPr>
                <w:rFonts w:hint="default" w:eastAsia="方正书宋_GBK"/>
                <w:lang w:val="en-US" w:eastAsia="zh-CN"/>
              </w:rPr>
            </w:pPr>
          </w:p>
        </w:tc>
        <w:tc>
          <w:tcPr>
            <w:tcW w:w="1361" w:type="dxa"/>
            <w:vAlign w:val="center"/>
          </w:tcPr>
          <w:p>
            <w:pPr>
              <w:pStyle w:val="21"/>
            </w:pPr>
          </w:p>
        </w:tc>
        <w:tc>
          <w:tcPr>
            <w:tcW w:w="1361" w:type="dxa"/>
            <w:vAlign w:val="center"/>
          </w:tcPr>
          <w:p>
            <w:pPr>
              <w:pStyle w:val="21"/>
            </w:pPr>
          </w:p>
        </w:tc>
        <w:tc>
          <w:tcPr>
            <w:tcW w:w="1361"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361" w:type="dxa"/>
            <w:vAlign w:val="top"/>
          </w:tcPr>
          <w:p>
            <w:pPr>
              <w:jc w:val="right"/>
              <w:rPr>
                <w:rFonts w:hint="default" w:ascii="方正书宋_GBK" w:hAnsi="方正书宋_GBK" w:eastAsia="方正书宋_GBK" w:cs="方正书宋_GBK"/>
                <w:sz w:val="21"/>
                <w:szCs w:val="24"/>
                <w:lang w:val="en-US" w:eastAsia="zh-CN" w:bidi="ar-SA"/>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pPr>
              <w:jc w:val="right"/>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pPr>
              <w:jc w:val="right"/>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pPr>
              <w:jc w:val="right"/>
              <w:rPr>
                <w:rFonts w:hint="default"/>
                <w:lang w:val="en-US"/>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pPr>
              <w:jc w:val="right"/>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pPr>
              <w:jc w:val="right"/>
              <w:rPr>
                <w:rFonts w:hint="default"/>
                <w:lang w:val="en-US"/>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361" w:type="dxa"/>
            <w:vAlign w:val="top"/>
          </w:tcPr>
          <w:p>
            <w:pPr>
              <w:jc w:val="right"/>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w:t>
            </w:r>
            <w:r>
              <w:rPr>
                <w:rFonts w:hint="eastAsia" w:ascii="方正书宋_GBK" w:hAnsi="方正书宋_GBK" w:eastAsia="方正书宋_GBK" w:cs="方正书宋_GBK"/>
                <w:sz w:val="21"/>
                <w:szCs w:val="24"/>
                <w:lang w:val="en-US" w:eastAsia="zh-CN" w:bidi="ar-SA"/>
              </w:rPr>
              <w:t>101103</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361" w:type="dxa"/>
            <w:vAlign w:val="top"/>
          </w:tcPr>
          <w:p>
            <w:pPr>
              <w:jc w:val="right"/>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pPr>
              <w:jc w:val="right"/>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pPr>
              <w:jc w:val="right"/>
              <w:rPr>
                <w:rFonts w:hint="default"/>
                <w:lang w:val="en-US"/>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18</w:t>
            </w:r>
          </w:p>
        </w:tc>
        <w:tc>
          <w:tcPr>
            <w:tcW w:w="992"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4536"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pPr>
              <w:jc w:val="right"/>
              <w:rPr>
                <w:rFonts w:hint="default"/>
                <w:lang w:val="en-US"/>
              </w:rPr>
            </w:pP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bl>
    <w:p>
      <w:pPr>
        <w:sectPr>
          <w:type w:val="continuous"/>
          <w:pgSz w:w="16840" w:h="11900" w:orient="landscape"/>
          <w:pgMar w:top="1361" w:right="1021" w:bottom="1134" w:left="1021" w:header="720" w:footer="720" w:gutter="0"/>
          <w:cols w:space="720" w:num="1"/>
        </w:sectPr>
      </w:pPr>
    </w:p>
    <w:p>
      <w:pPr>
        <w:jc w:val="both"/>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809001涞水县胡家庄乡人民政府本级</w:t>
            </w:r>
          </w:p>
        </w:tc>
        <w:tc>
          <w:tcPr>
            <w:tcW w:w="3402" w:type="dxa"/>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4876" w:type="dxa"/>
            <w:gridSpan w:val="2"/>
            <w:vAlign w:val="center"/>
          </w:tcPr>
          <w:p>
            <w:pPr>
              <w:pStyle w:val="16"/>
            </w:pPr>
            <w:r>
              <w:rPr>
                <w:rFonts w:hint="eastAsia"/>
              </w:rPr>
              <w:t>收入</w:t>
            </w:r>
          </w:p>
        </w:tc>
        <w:tc>
          <w:tcPr>
            <w:tcW w:w="9298" w:type="dxa"/>
            <w:gridSpan w:val="5"/>
            <w:vAlign w:val="center"/>
          </w:tcPr>
          <w:p>
            <w:pPr>
              <w:pStyle w:val="16"/>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rPr>
                <w:rFonts w:hint="eastAsia"/>
              </w:rPr>
              <w:t>项</w:t>
            </w:r>
            <w:r>
              <w:t xml:space="preserve">  </w:t>
            </w:r>
            <w:r>
              <w:rPr>
                <w:rFonts w:hint="eastAsia"/>
              </w:rPr>
              <w:t>目</w:t>
            </w:r>
          </w:p>
        </w:tc>
        <w:tc>
          <w:tcPr>
            <w:tcW w:w="1474" w:type="dxa"/>
            <w:vAlign w:val="center"/>
          </w:tcPr>
          <w:p>
            <w:pPr>
              <w:pStyle w:val="16"/>
            </w:pPr>
            <w:r>
              <w:rPr>
                <w:rFonts w:hint="eastAsia"/>
              </w:rPr>
              <w:t>金额</w:t>
            </w:r>
          </w:p>
        </w:tc>
        <w:tc>
          <w:tcPr>
            <w:tcW w:w="3402" w:type="dxa"/>
            <w:vAlign w:val="center"/>
          </w:tcPr>
          <w:p>
            <w:pPr>
              <w:pStyle w:val="16"/>
            </w:pPr>
            <w:r>
              <w:rPr>
                <w:rFonts w:hint="eastAsia"/>
              </w:rPr>
              <w:t>项</w:t>
            </w:r>
            <w:r>
              <w:t xml:space="preserve">  </w:t>
            </w:r>
            <w:r>
              <w:rPr>
                <w:rFonts w:hint="eastAsia"/>
              </w:rPr>
              <w:t>目</w:t>
            </w:r>
          </w:p>
        </w:tc>
        <w:tc>
          <w:tcPr>
            <w:tcW w:w="1474" w:type="dxa"/>
            <w:vAlign w:val="center"/>
          </w:tcPr>
          <w:p>
            <w:pPr>
              <w:pStyle w:val="16"/>
            </w:pPr>
            <w:r>
              <w:rPr>
                <w:rFonts w:hint="eastAsia"/>
              </w:rPr>
              <w:t>合计</w:t>
            </w:r>
          </w:p>
        </w:tc>
        <w:tc>
          <w:tcPr>
            <w:tcW w:w="1474" w:type="dxa"/>
            <w:vAlign w:val="center"/>
          </w:tcPr>
          <w:p>
            <w:pPr>
              <w:pStyle w:val="16"/>
            </w:pPr>
            <w:r>
              <w:rPr>
                <w:rFonts w:hint="eastAsia"/>
              </w:rPr>
              <w:t>一般公共预算财政拨款</w:t>
            </w:r>
          </w:p>
        </w:tc>
        <w:tc>
          <w:tcPr>
            <w:tcW w:w="1474" w:type="dxa"/>
            <w:vAlign w:val="center"/>
          </w:tcPr>
          <w:p>
            <w:pPr>
              <w:pStyle w:val="16"/>
            </w:pPr>
            <w:r>
              <w:rPr>
                <w:rFonts w:hint="eastAsia"/>
              </w:rPr>
              <w:t>政府性基金预算财政</w:t>
            </w:r>
            <w:r>
              <w:t xml:space="preserve">    </w:t>
            </w:r>
            <w:r>
              <w:rPr>
                <w:rFonts w:hint="eastAsia"/>
              </w:rPr>
              <w:t>拨款</w:t>
            </w:r>
          </w:p>
        </w:tc>
        <w:tc>
          <w:tcPr>
            <w:tcW w:w="1474" w:type="dxa"/>
            <w:vAlign w:val="center"/>
          </w:tcPr>
          <w:p>
            <w:pPr>
              <w:pStyle w:val="16"/>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3402" w:type="dxa"/>
            <w:vAlign w:val="center"/>
          </w:tcPr>
          <w:p>
            <w:pPr>
              <w:pStyle w:val="18"/>
            </w:pPr>
            <w:r>
              <w:rPr>
                <w:rFonts w:hint="eastAsia"/>
              </w:rPr>
              <w:t>一、一般公共预算拨款</w:t>
            </w:r>
          </w:p>
        </w:tc>
        <w:tc>
          <w:tcPr>
            <w:tcW w:w="1474" w:type="dxa"/>
            <w:vAlign w:val="center"/>
          </w:tcPr>
          <w:p>
            <w:pPr>
              <w:pStyle w:val="17"/>
              <w:rPr>
                <w:rFonts w:hint="default" w:eastAsia="方正书宋_GBK"/>
                <w:lang w:val="en-US" w:eastAsia="zh-CN"/>
              </w:rPr>
            </w:pPr>
            <w:r>
              <w:rPr>
                <w:rFonts w:hint="eastAsia"/>
                <w:lang w:val="en-US" w:eastAsia="zh-CN"/>
              </w:rPr>
              <w:t>634.85</w:t>
            </w:r>
          </w:p>
        </w:tc>
        <w:tc>
          <w:tcPr>
            <w:tcW w:w="3402" w:type="dxa"/>
            <w:vAlign w:val="center"/>
          </w:tcPr>
          <w:p>
            <w:pPr>
              <w:pStyle w:val="18"/>
            </w:pPr>
            <w:r>
              <w:rPr>
                <w:rFonts w:hint="eastAsia"/>
              </w:rPr>
              <w:t>一、一般公共服务支出</w:t>
            </w:r>
          </w:p>
        </w:tc>
        <w:tc>
          <w:tcPr>
            <w:tcW w:w="1474" w:type="dxa"/>
            <w:vAlign w:val="center"/>
          </w:tcPr>
          <w:p>
            <w:pPr>
              <w:pStyle w:val="17"/>
              <w:rPr>
                <w:rFonts w:hint="default" w:eastAsia="方正书宋_GBK"/>
                <w:lang w:val="en-US" w:eastAsia="zh-CN"/>
              </w:rPr>
            </w:pPr>
            <w:r>
              <w:rPr>
                <w:rFonts w:hint="eastAsia"/>
                <w:lang w:val="en-US" w:eastAsia="zh-CN"/>
              </w:rPr>
              <w:t>533.4</w:t>
            </w:r>
          </w:p>
        </w:tc>
        <w:tc>
          <w:tcPr>
            <w:tcW w:w="1474" w:type="dxa"/>
            <w:vAlign w:val="center"/>
          </w:tcPr>
          <w:p>
            <w:pPr>
              <w:pStyle w:val="17"/>
              <w:rPr>
                <w:rFonts w:hint="default" w:eastAsia="方正书宋_GBK"/>
                <w:lang w:val="en-US" w:eastAsia="zh-CN"/>
              </w:rPr>
            </w:pPr>
            <w:r>
              <w:rPr>
                <w:rFonts w:hint="eastAsia"/>
                <w:lang w:val="en-US" w:eastAsia="zh-CN"/>
              </w:rPr>
              <w:t>533.4</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3402" w:type="dxa"/>
            <w:vAlign w:val="center"/>
          </w:tcPr>
          <w:p>
            <w:pPr>
              <w:pStyle w:val="18"/>
            </w:pPr>
            <w:r>
              <w:rPr>
                <w:rFonts w:hint="eastAsia"/>
              </w:rPr>
              <w:t>二、政府性基金预算拨款</w:t>
            </w:r>
          </w:p>
        </w:tc>
        <w:tc>
          <w:tcPr>
            <w:tcW w:w="1474" w:type="dxa"/>
            <w:vAlign w:val="center"/>
          </w:tcPr>
          <w:p>
            <w:pPr>
              <w:pStyle w:val="17"/>
            </w:pPr>
          </w:p>
        </w:tc>
        <w:tc>
          <w:tcPr>
            <w:tcW w:w="3402" w:type="dxa"/>
            <w:vAlign w:val="center"/>
          </w:tcPr>
          <w:p>
            <w:pPr>
              <w:pStyle w:val="18"/>
            </w:pPr>
            <w:r>
              <w:rPr>
                <w:rFonts w:hint="eastAsia"/>
              </w:rPr>
              <w:t>二、外交支出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3402" w:type="dxa"/>
            <w:vAlign w:val="center"/>
          </w:tcPr>
          <w:p>
            <w:pPr>
              <w:pStyle w:val="18"/>
            </w:pPr>
            <w:r>
              <w:rPr>
                <w:rFonts w:hint="eastAsia"/>
              </w:rPr>
              <w:t>三、国有资本经营预算拨款</w:t>
            </w:r>
          </w:p>
        </w:tc>
        <w:tc>
          <w:tcPr>
            <w:tcW w:w="1474" w:type="dxa"/>
            <w:vAlign w:val="center"/>
          </w:tcPr>
          <w:p>
            <w:pPr>
              <w:pStyle w:val="17"/>
            </w:pPr>
          </w:p>
        </w:tc>
        <w:tc>
          <w:tcPr>
            <w:tcW w:w="3402" w:type="dxa"/>
            <w:vAlign w:val="center"/>
          </w:tcPr>
          <w:p>
            <w:pPr>
              <w:pStyle w:val="18"/>
            </w:pPr>
            <w:r>
              <w:rPr>
                <w:rFonts w:hint="eastAsia"/>
              </w:rPr>
              <w:t>三、国防支出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四、公共安全支出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五、教育支出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六、科学技术支出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七、文化旅游体育与传媒支出</w:t>
            </w:r>
          </w:p>
        </w:tc>
        <w:tc>
          <w:tcPr>
            <w:tcW w:w="1474" w:type="dxa"/>
            <w:vAlign w:val="center"/>
          </w:tcPr>
          <w:p>
            <w:pPr>
              <w:pStyle w:val="17"/>
              <w:rPr>
                <w:rFonts w:hint="default" w:eastAsia="方正书宋_GBK"/>
                <w:lang w:val="en-US" w:eastAsia="zh-CN"/>
              </w:rPr>
            </w:pPr>
            <w:r>
              <w:rPr>
                <w:rFonts w:hint="eastAsia"/>
                <w:lang w:val="en-US" w:eastAsia="zh-CN"/>
              </w:rPr>
              <w:t>1.75</w:t>
            </w:r>
          </w:p>
        </w:tc>
        <w:tc>
          <w:tcPr>
            <w:tcW w:w="1474" w:type="dxa"/>
            <w:vAlign w:val="center"/>
          </w:tcPr>
          <w:p>
            <w:pPr>
              <w:pStyle w:val="17"/>
              <w:rPr>
                <w:rFonts w:hint="default" w:eastAsia="方正书宋_GBK"/>
                <w:lang w:val="en-US" w:eastAsia="zh-CN"/>
              </w:rPr>
            </w:pPr>
            <w:r>
              <w:rPr>
                <w:rFonts w:hint="eastAsia"/>
                <w:lang w:val="en-US" w:eastAsia="zh-CN"/>
              </w:rPr>
              <w:t>1.75</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八、社会保障和就业支出</w:t>
            </w:r>
          </w:p>
        </w:tc>
        <w:tc>
          <w:tcPr>
            <w:tcW w:w="1474" w:type="dxa"/>
            <w:vAlign w:val="center"/>
          </w:tcPr>
          <w:p>
            <w:pPr>
              <w:pStyle w:val="17"/>
              <w:rPr>
                <w:rFonts w:hint="default" w:eastAsia="方正书宋_GBK"/>
                <w:lang w:val="en-US" w:eastAsia="zh-CN"/>
              </w:rPr>
            </w:pPr>
            <w:r>
              <w:rPr>
                <w:rFonts w:hint="eastAsia"/>
                <w:lang w:val="en-US" w:eastAsia="zh-CN"/>
              </w:rPr>
              <w:t>47.36</w:t>
            </w:r>
          </w:p>
        </w:tc>
        <w:tc>
          <w:tcPr>
            <w:tcW w:w="1474" w:type="dxa"/>
            <w:vAlign w:val="center"/>
          </w:tcPr>
          <w:p>
            <w:pPr>
              <w:pStyle w:val="17"/>
              <w:rPr>
                <w:rFonts w:hint="default" w:eastAsia="方正书宋_GBK"/>
                <w:lang w:val="en-US" w:eastAsia="zh-CN"/>
              </w:rPr>
            </w:pPr>
            <w:r>
              <w:rPr>
                <w:rFonts w:hint="eastAsia"/>
                <w:lang w:val="en-US" w:eastAsia="zh-CN"/>
              </w:rPr>
              <w:t>47.36</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九、社会保险基金支出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十、卫生健康支出</w:t>
            </w:r>
          </w:p>
        </w:tc>
        <w:tc>
          <w:tcPr>
            <w:tcW w:w="1474" w:type="dxa"/>
            <w:vAlign w:val="center"/>
          </w:tcPr>
          <w:p>
            <w:pPr>
              <w:pStyle w:val="17"/>
              <w:rPr>
                <w:rFonts w:hint="default" w:eastAsia="方正书宋_GBK"/>
                <w:lang w:val="en-US" w:eastAsia="zh-CN"/>
              </w:rPr>
            </w:pPr>
            <w:r>
              <w:rPr>
                <w:rFonts w:hint="eastAsia"/>
                <w:lang w:val="en-US" w:eastAsia="zh-CN"/>
              </w:rPr>
              <w:t>22.74</w:t>
            </w:r>
          </w:p>
        </w:tc>
        <w:tc>
          <w:tcPr>
            <w:tcW w:w="1474" w:type="dxa"/>
            <w:vAlign w:val="center"/>
          </w:tcPr>
          <w:p>
            <w:pPr>
              <w:pStyle w:val="17"/>
              <w:rPr>
                <w:rFonts w:hint="default" w:eastAsia="方正书宋_GBK"/>
                <w:lang w:val="en-US" w:eastAsia="zh-CN"/>
              </w:rPr>
            </w:pPr>
            <w:r>
              <w:rPr>
                <w:rFonts w:hint="eastAsia"/>
                <w:lang w:val="en-US" w:eastAsia="zh-CN"/>
              </w:rPr>
              <w:t>22.74</w:t>
            </w:r>
          </w:p>
        </w:tc>
        <w:tc>
          <w:tcPr>
            <w:tcW w:w="1474" w:type="dxa"/>
            <w:vAlign w:val="center"/>
          </w:tcPr>
          <w:p>
            <w:pPr>
              <w:pStyle w:val="17"/>
              <w:rPr>
                <w:rFonts w:hint="default"/>
                <w:lang w:val="en-US"/>
              </w:rPr>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十一、节能环保支出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十二、城乡社区支出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十三、农林水支出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十四、交通运输支出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15</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十五、资源勘探工业信息等支出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十六、商业服务业等支出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十七、金融支出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十八、援助其他地区支出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十九、自然资源海洋气象等支出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二十、住房保障支出</w:t>
            </w:r>
          </w:p>
        </w:tc>
        <w:tc>
          <w:tcPr>
            <w:tcW w:w="1474" w:type="dxa"/>
            <w:vAlign w:val="center"/>
          </w:tcPr>
          <w:p>
            <w:pPr>
              <w:pStyle w:val="17"/>
              <w:rPr>
                <w:rFonts w:hint="default" w:eastAsia="方正书宋_GBK"/>
                <w:lang w:val="en-US" w:eastAsia="zh-CN"/>
              </w:rPr>
            </w:pPr>
            <w:r>
              <w:rPr>
                <w:rFonts w:hint="eastAsia"/>
                <w:lang w:val="en-US" w:eastAsia="zh-CN"/>
              </w:rPr>
              <w:t>29.6</w:t>
            </w:r>
          </w:p>
        </w:tc>
        <w:tc>
          <w:tcPr>
            <w:tcW w:w="1474" w:type="dxa"/>
            <w:vAlign w:val="center"/>
          </w:tcPr>
          <w:p>
            <w:pPr>
              <w:pStyle w:val="17"/>
              <w:rPr>
                <w:rFonts w:hint="default" w:eastAsia="方正书宋_GBK"/>
                <w:lang w:val="en-US" w:eastAsia="zh-CN"/>
              </w:rPr>
            </w:pPr>
            <w:r>
              <w:rPr>
                <w:rFonts w:hint="eastAsia"/>
                <w:lang w:val="en-US" w:eastAsia="zh-CN"/>
              </w:rPr>
              <w:t>29.6</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21</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二十一、粮油物资储备支出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22</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二十二、国有资本经营预算支出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23</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二十三、灾害防治及应急管理支出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24</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二十四、预备费</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25</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二十五、其他支出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26</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二十六、转移性支出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27</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二十七、债务还本支出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28</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二十八、债务付息支出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29</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二十九、债务发行费用支出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30</w:t>
            </w:r>
          </w:p>
        </w:tc>
        <w:tc>
          <w:tcPr>
            <w:tcW w:w="3402" w:type="dxa"/>
            <w:vAlign w:val="center"/>
          </w:tcPr>
          <w:p>
            <w:pPr>
              <w:pStyle w:val="18"/>
            </w:pPr>
          </w:p>
        </w:tc>
        <w:tc>
          <w:tcPr>
            <w:tcW w:w="1474" w:type="dxa"/>
            <w:vAlign w:val="center"/>
          </w:tcPr>
          <w:p>
            <w:pPr>
              <w:pStyle w:val="17"/>
            </w:pPr>
          </w:p>
        </w:tc>
        <w:tc>
          <w:tcPr>
            <w:tcW w:w="3402" w:type="dxa"/>
            <w:vAlign w:val="center"/>
          </w:tcPr>
          <w:p>
            <w:pPr>
              <w:pStyle w:val="18"/>
            </w:pPr>
            <w:r>
              <w:rPr>
                <w:rFonts w:hint="eastAsia"/>
              </w:rPr>
              <w:t>三十、抗疫特别国债安排的支出</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31</w:t>
            </w:r>
          </w:p>
        </w:tc>
        <w:tc>
          <w:tcPr>
            <w:tcW w:w="3402" w:type="dxa"/>
            <w:vAlign w:val="center"/>
          </w:tcPr>
          <w:p>
            <w:pPr>
              <w:pStyle w:val="20"/>
            </w:pPr>
            <w:r>
              <w:rPr>
                <w:rFonts w:hint="eastAsia"/>
              </w:rPr>
              <w:t>本年收入合计</w:t>
            </w:r>
          </w:p>
        </w:tc>
        <w:tc>
          <w:tcPr>
            <w:tcW w:w="1474" w:type="dxa"/>
            <w:vAlign w:val="center"/>
          </w:tcPr>
          <w:p>
            <w:pPr>
              <w:pStyle w:val="21"/>
              <w:rPr>
                <w:rFonts w:hint="default"/>
                <w:lang w:val="en-US"/>
              </w:rPr>
            </w:pPr>
            <w:r>
              <w:rPr>
                <w:rFonts w:hint="eastAsia"/>
                <w:lang w:val="en-US" w:eastAsia="zh-CN"/>
              </w:rPr>
              <w:t>634.85</w:t>
            </w:r>
          </w:p>
        </w:tc>
        <w:tc>
          <w:tcPr>
            <w:tcW w:w="3402" w:type="dxa"/>
            <w:vAlign w:val="center"/>
          </w:tcPr>
          <w:p>
            <w:pPr>
              <w:pStyle w:val="20"/>
            </w:pPr>
            <w:r>
              <w:rPr>
                <w:rFonts w:hint="eastAsia"/>
              </w:rPr>
              <w:t>本年支出合计</w:t>
            </w:r>
          </w:p>
        </w:tc>
        <w:tc>
          <w:tcPr>
            <w:tcW w:w="1474" w:type="dxa"/>
            <w:vAlign w:val="center"/>
          </w:tcPr>
          <w:p>
            <w:pPr>
              <w:pStyle w:val="21"/>
              <w:rPr>
                <w:rFonts w:hint="default" w:eastAsia="方正书宋_GBK"/>
                <w:lang w:val="en-US" w:eastAsia="zh-CN"/>
              </w:rPr>
            </w:pPr>
            <w:r>
              <w:rPr>
                <w:rFonts w:hint="eastAsia"/>
                <w:lang w:val="en-US" w:eastAsia="zh-CN"/>
              </w:rPr>
              <w:t>634.85</w:t>
            </w:r>
          </w:p>
        </w:tc>
        <w:tc>
          <w:tcPr>
            <w:tcW w:w="1474" w:type="dxa"/>
            <w:vAlign w:val="center"/>
          </w:tcPr>
          <w:p>
            <w:pPr>
              <w:pStyle w:val="21"/>
              <w:rPr>
                <w:rFonts w:hint="default" w:eastAsia="方正书宋_GBK"/>
                <w:lang w:val="en-US" w:eastAsia="zh-CN"/>
              </w:rPr>
            </w:pPr>
            <w:r>
              <w:rPr>
                <w:rFonts w:hint="eastAsia"/>
                <w:lang w:val="en-US" w:eastAsia="zh-CN"/>
              </w:rPr>
              <w:t>634.85</w:t>
            </w:r>
          </w:p>
        </w:tc>
        <w:tc>
          <w:tcPr>
            <w:tcW w:w="1474" w:type="dxa"/>
            <w:vAlign w:val="center"/>
          </w:tcPr>
          <w:p>
            <w:pPr>
              <w:pStyle w:val="21"/>
            </w:pPr>
          </w:p>
        </w:tc>
        <w:tc>
          <w:tcPr>
            <w:tcW w:w="14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32</w:t>
            </w:r>
          </w:p>
        </w:tc>
        <w:tc>
          <w:tcPr>
            <w:tcW w:w="3402" w:type="dxa"/>
            <w:vAlign w:val="center"/>
          </w:tcPr>
          <w:p>
            <w:pPr>
              <w:pStyle w:val="18"/>
            </w:pPr>
            <w:r>
              <w:rPr>
                <w:rFonts w:hint="eastAsia"/>
              </w:rPr>
              <w:t>年初财政拨款结转和结余</w:t>
            </w:r>
          </w:p>
        </w:tc>
        <w:tc>
          <w:tcPr>
            <w:tcW w:w="1474" w:type="dxa"/>
            <w:vAlign w:val="center"/>
          </w:tcPr>
          <w:p>
            <w:pPr>
              <w:pStyle w:val="17"/>
            </w:pPr>
          </w:p>
        </w:tc>
        <w:tc>
          <w:tcPr>
            <w:tcW w:w="3402" w:type="dxa"/>
            <w:vAlign w:val="center"/>
          </w:tcPr>
          <w:p>
            <w:pPr>
              <w:pStyle w:val="18"/>
            </w:pPr>
            <w:r>
              <w:rPr>
                <w:rFonts w:hint="eastAsia"/>
              </w:rPr>
              <w:t>年末财政拨款结转和结余</w:t>
            </w: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33</w:t>
            </w:r>
          </w:p>
        </w:tc>
        <w:tc>
          <w:tcPr>
            <w:tcW w:w="3402" w:type="dxa"/>
            <w:vAlign w:val="center"/>
          </w:tcPr>
          <w:p>
            <w:pPr>
              <w:pStyle w:val="18"/>
            </w:pPr>
            <w:r>
              <w:rPr>
                <w:rFonts w:hint="eastAsia"/>
              </w:rPr>
              <w:t>一、一般公共预算拨款</w:t>
            </w:r>
          </w:p>
        </w:tc>
        <w:tc>
          <w:tcPr>
            <w:tcW w:w="1474" w:type="dxa"/>
            <w:vAlign w:val="center"/>
          </w:tcPr>
          <w:p>
            <w:pPr>
              <w:pStyle w:val="17"/>
            </w:pPr>
          </w:p>
        </w:tc>
        <w:tc>
          <w:tcPr>
            <w:tcW w:w="3402" w:type="dxa"/>
            <w:vAlign w:val="center"/>
          </w:tcPr>
          <w:p>
            <w:pPr>
              <w:pStyle w:val="18"/>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34</w:t>
            </w:r>
          </w:p>
        </w:tc>
        <w:tc>
          <w:tcPr>
            <w:tcW w:w="3402" w:type="dxa"/>
            <w:vAlign w:val="center"/>
          </w:tcPr>
          <w:p>
            <w:pPr>
              <w:pStyle w:val="18"/>
            </w:pPr>
            <w:r>
              <w:rPr>
                <w:rFonts w:hint="eastAsia"/>
              </w:rPr>
              <w:t>二、政府性基金预算拨款</w:t>
            </w:r>
          </w:p>
        </w:tc>
        <w:tc>
          <w:tcPr>
            <w:tcW w:w="1474" w:type="dxa"/>
            <w:vAlign w:val="center"/>
          </w:tcPr>
          <w:p>
            <w:pPr>
              <w:pStyle w:val="17"/>
            </w:pPr>
          </w:p>
        </w:tc>
        <w:tc>
          <w:tcPr>
            <w:tcW w:w="3402" w:type="dxa"/>
            <w:vAlign w:val="center"/>
          </w:tcPr>
          <w:p>
            <w:pPr>
              <w:pStyle w:val="18"/>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35</w:t>
            </w:r>
          </w:p>
        </w:tc>
        <w:tc>
          <w:tcPr>
            <w:tcW w:w="3402" w:type="dxa"/>
            <w:vAlign w:val="center"/>
          </w:tcPr>
          <w:p>
            <w:pPr>
              <w:pStyle w:val="18"/>
            </w:pPr>
            <w:r>
              <w:rPr>
                <w:rFonts w:hint="eastAsia"/>
              </w:rPr>
              <w:t>三、国有资本经营预算拨款</w:t>
            </w:r>
          </w:p>
        </w:tc>
        <w:tc>
          <w:tcPr>
            <w:tcW w:w="1474" w:type="dxa"/>
            <w:vAlign w:val="center"/>
          </w:tcPr>
          <w:p>
            <w:pPr>
              <w:pStyle w:val="17"/>
            </w:pPr>
          </w:p>
        </w:tc>
        <w:tc>
          <w:tcPr>
            <w:tcW w:w="3402" w:type="dxa"/>
            <w:vAlign w:val="center"/>
          </w:tcPr>
          <w:p>
            <w:pPr>
              <w:pStyle w:val="18"/>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36</w:t>
            </w:r>
          </w:p>
        </w:tc>
        <w:tc>
          <w:tcPr>
            <w:tcW w:w="3402" w:type="dxa"/>
            <w:vAlign w:val="center"/>
          </w:tcPr>
          <w:p>
            <w:pPr>
              <w:pStyle w:val="20"/>
            </w:pPr>
            <w:r>
              <w:rPr>
                <w:rFonts w:hint="eastAsia"/>
              </w:rPr>
              <w:t>收入总计</w:t>
            </w:r>
          </w:p>
        </w:tc>
        <w:tc>
          <w:tcPr>
            <w:tcW w:w="1474" w:type="dxa"/>
            <w:vAlign w:val="center"/>
          </w:tcPr>
          <w:p>
            <w:pPr>
              <w:pStyle w:val="21"/>
              <w:rPr>
                <w:rFonts w:hint="default"/>
                <w:lang w:val="en-US"/>
              </w:rPr>
            </w:pPr>
            <w:r>
              <w:rPr>
                <w:rFonts w:hint="eastAsia"/>
                <w:lang w:val="en-US" w:eastAsia="zh-CN"/>
              </w:rPr>
              <w:t>634.85</w:t>
            </w:r>
          </w:p>
        </w:tc>
        <w:tc>
          <w:tcPr>
            <w:tcW w:w="3402" w:type="dxa"/>
            <w:vAlign w:val="center"/>
          </w:tcPr>
          <w:p>
            <w:pPr>
              <w:pStyle w:val="20"/>
              <w:rPr>
                <w:rFonts w:hint="default"/>
                <w:lang w:val="en-US"/>
              </w:rPr>
            </w:pPr>
          </w:p>
        </w:tc>
        <w:tc>
          <w:tcPr>
            <w:tcW w:w="1474" w:type="dxa"/>
            <w:vAlign w:val="center"/>
          </w:tcPr>
          <w:p>
            <w:pPr>
              <w:pStyle w:val="21"/>
              <w:rPr>
                <w:rFonts w:hint="default"/>
                <w:lang w:val="en-US"/>
              </w:rPr>
            </w:pPr>
            <w:r>
              <w:rPr>
                <w:rFonts w:hint="eastAsia"/>
                <w:lang w:val="en-US" w:eastAsia="zh-CN"/>
              </w:rPr>
              <w:t>634.85</w:t>
            </w:r>
          </w:p>
        </w:tc>
        <w:tc>
          <w:tcPr>
            <w:tcW w:w="1474" w:type="dxa"/>
            <w:vAlign w:val="center"/>
          </w:tcPr>
          <w:p>
            <w:pPr>
              <w:pStyle w:val="21"/>
              <w:rPr>
                <w:rFonts w:hint="default" w:eastAsia="方正书宋_GBK"/>
                <w:lang w:val="en-US" w:eastAsia="zh-CN"/>
              </w:rPr>
            </w:pPr>
            <w:r>
              <w:rPr>
                <w:rFonts w:hint="eastAsia"/>
                <w:lang w:val="en-US" w:eastAsia="zh-CN"/>
              </w:rPr>
              <w:t>634.85</w:t>
            </w:r>
          </w:p>
        </w:tc>
        <w:tc>
          <w:tcPr>
            <w:tcW w:w="1474" w:type="dxa"/>
            <w:vAlign w:val="center"/>
          </w:tcPr>
          <w:p>
            <w:pPr>
              <w:pStyle w:val="21"/>
              <w:rPr>
                <w:rFonts w:hint="default"/>
                <w:lang w:val="en-US"/>
              </w:rPr>
            </w:pPr>
          </w:p>
        </w:tc>
        <w:tc>
          <w:tcPr>
            <w:tcW w:w="1474" w:type="dxa"/>
            <w:vAlign w:val="center"/>
          </w:tcPr>
          <w:p>
            <w:pPr>
              <w:pStyle w:val="21"/>
            </w:pPr>
          </w:p>
        </w:tc>
      </w:tr>
    </w:tbl>
    <w:p>
      <w:pPr>
        <w:rPr>
          <w:rFonts w:hint="eastAsia"/>
          <w:lang w:eastAsia="zh-CN"/>
        </w:rPr>
        <w:sectPr>
          <w:type w:val="continuous"/>
          <w:pgSz w:w="16840" w:h="11900" w:orient="landscape"/>
          <w:pgMar w:top="1361" w:right="1021" w:bottom="1134" w:left="1021" w:header="720" w:footer="720" w:gutter="0"/>
          <w:cols w:space="720" w:num="1"/>
        </w:sectPr>
      </w:pPr>
    </w:p>
    <w:p>
      <w:pP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726" w:type="dxa"/>
            <w:gridSpan w:val="2"/>
            <w:vAlign w:val="center"/>
          </w:tcPr>
          <w:p>
            <w:pPr>
              <w:pStyle w:val="16"/>
            </w:pPr>
            <w:r>
              <w:rPr>
                <w:rFonts w:hint="eastAsia"/>
              </w:rPr>
              <w:t>功能分类科目</w:t>
            </w:r>
          </w:p>
        </w:tc>
        <w:tc>
          <w:tcPr>
            <w:tcW w:w="2551" w:type="dxa"/>
            <w:vMerge w:val="restart"/>
            <w:vAlign w:val="center"/>
          </w:tcPr>
          <w:p>
            <w:pPr>
              <w:pStyle w:val="16"/>
            </w:pPr>
            <w:r>
              <w:rPr>
                <w:rFonts w:hint="eastAsia"/>
              </w:rPr>
              <w:t>合计</w:t>
            </w:r>
          </w:p>
        </w:tc>
        <w:tc>
          <w:tcPr>
            <w:tcW w:w="2551" w:type="dxa"/>
            <w:vMerge w:val="restart"/>
            <w:vAlign w:val="center"/>
          </w:tcPr>
          <w:p>
            <w:pPr>
              <w:pStyle w:val="16"/>
            </w:pPr>
            <w:r>
              <w:rPr>
                <w:rFonts w:hint="eastAsia"/>
              </w:rPr>
              <w:t>基本支出</w:t>
            </w:r>
          </w:p>
        </w:tc>
        <w:tc>
          <w:tcPr>
            <w:tcW w:w="2551" w:type="dxa"/>
            <w:vMerge w:val="restart"/>
            <w:vAlign w:val="center"/>
          </w:tcPr>
          <w:p>
            <w:pPr>
              <w:pStyle w:val="16"/>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rPr>
                <w:rFonts w:hint="eastAsia"/>
              </w:rPr>
              <w:t>科目编码</w:t>
            </w:r>
          </w:p>
        </w:tc>
        <w:tc>
          <w:tcPr>
            <w:tcW w:w="4535" w:type="dxa"/>
            <w:vAlign w:val="center"/>
          </w:tcPr>
          <w:p>
            <w:pPr>
              <w:pStyle w:val="16"/>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1191" w:type="dxa"/>
            <w:vAlign w:val="center"/>
          </w:tcPr>
          <w:p>
            <w:pPr>
              <w:pStyle w:val="22"/>
            </w:pPr>
          </w:p>
        </w:tc>
        <w:tc>
          <w:tcPr>
            <w:tcW w:w="4535" w:type="dxa"/>
            <w:vAlign w:val="center"/>
          </w:tcPr>
          <w:p>
            <w:pPr>
              <w:pStyle w:val="20"/>
            </w:pPr>
            <w:r>
              <w:rPr>
                <w:rFonts w:hint="eastAsia"/>
              </w:rPr>
              <w:t>合计</w:t>
            </w:r>
          </w:p>
        </w:tc>
        <w:tc>
          <w:tcPr>
            <w:tcW w:w="2551" w:type="dxa"/>
            <w:vAlign w:val="center"/>
          </w:tcPr>
          <w:p>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2551" w:type="dxa"/>
            <w:vAlign w:val="center"/>
          </w:tcPr>
          <w:p>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2551" w:type="dxa"/>
            <w:vAlign w:val="center"/>
          </w:tcPr>
          <w:p>
            <w:pPr>
              <w:pStyle w:val="21"/>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463.15</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2551" w:type="dxa"/>
            <w:vAlign w:val="top"/>
          </w:tcPr>
          <w:p>
            <w:pPr>
              <w:jc w:val="right"/>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70.25</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uk-UA" w:bidi="ar-SA"/>
              </w:rPr>
            </w:pPr>
            <w:r>
              <w:rPr>
                <w:rFonts w:hint="eastAsia" w:ascii="方正书宋_GBK" w:hAnsi="方正书宋_GBK" w:eastAsia="方正书宋_GBK" w:cs="方正书宋_GBK"/>
                <w:sz w:val="18"/>
                <w:szCs w:val="18"/>
                <w:lang w:val="en-US" w:eastAsia="zh-CN" w:bidi="ar-SA"/>
              </w:rPr>
              <w:t>22.74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uk-UA" w:bidi="ar-SA"/>
              </w:rPr>
            </w:pPr>
            <w:r>
              <w:rPr>
                <w:rFonts w:hint="eastAsia" w:ascii="方正书宋_GBK" w:hAnsi="方正书宋_GBK" w:eastAsia="方正书宋_GBK" w:cs="方正书宋_GBK"/>
                <w:sz w:val="18"/>
                <w:szCs w:val="18"/>
                <w:lang w:val="en-US" w:eastAsia="zh-CN" w:bidi="ar-SA"/>
              </w:rPr>
              <w:t>22.74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17.32</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15</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1" w:type="dxa"/>
            <w:vAlign w:val="top"/>
          </w:tcPr>
          <w:p>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t>1</w:t>
            </w:r>
            <w:r>
              <w:rPr>
                <w:rFonts w:hint="eastAsia"/>
                <w:lang w:val="en-US" w:eastAsia="zh-CN"/>
              </w:rPr>
              <w:t>6</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eastAsia" w:eastAsia="方正书宋_GBK"/>
                <w:lang w:val="en-US" w:eastAsia="zh-CN"/>
              </w:rPr>
            </w:pPr>
            <w:r>
              <w:t>1</w:t>
            </w:r>
            <w:r>
              <w:rPr>
                <w:rFonts w:hint="eastAsia"/>
                <w:lang w:val="en-US" w:eastAsia="zh-CN"/>
              </w:rPr>
              <w:t>7</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eastAsia" w:eastAsia="方正书宋_GBK"/>
                <w:lang w:val="en-US" w:eastAsia="zh-CN"/>
              </w:rPr>
            </w:pPr>
            <w:r>
              <w:t>1</w:t>
            </w:r>
            <w:r>
              <w:rPr>
                <w:rFonts w:hint="eastAsia"/>
                <w:lang w:val="en-US" w:eastAsia="zh-CN"/>
              </w:rPr>
              <w:t>8</w:t>
            </w:r>
          </w:p>
        </w:tc>
        <w:tc>
          <w:tcPr>
            <w:tcW w:w="1191"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center"/>
          </w:tcPr>
          <w:p>
            <w:pPr>
              <w:pStyle w:val="17"/>
              <w:rPr>
                <w:rFonts w:hint="eastAsia" w:ascii="方正书宋_GBK" w:hAnsi="方正书宋_GBK" w:eastAsia="方正书宋_GBK" w:cs="方正书宋_GBK"/>
                <w:sz w:val="21"/>
                <w:szCs w:val="24"/>
                <w:lang w:val="en-US" w:eastAsia="uk-UA" w:bidi="ar-SA"/>
              </w:rPr>
            </w:pPr>
          </w:p>
        </w:tc>
      </w:tr>
    </w:tbl>
    <w:p>
      <w:pPr>
        <w:sectPr>
          <w:type w:val="continuous"/>
          <w:pgSz w:w="16840" w:h="11900" w:orient="landscape"/>
          <w:pgMar w:top="1361" w:right="1021" w:bottom="1134" w:left="1021" w:header="720" w:footer="720" w:gutter="0"/>
          <w:cols w:space="720" w:num="1"/>
        </w:sectPr>
      </w:pPr>
    </w:p>
    <w:p>
      <w:pP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726" w:type="dxa"/>
            <w:gridSpan w:val="2"/>
            <w:vAlign w:val="center"/>
          </w:tcPr>
          <w:p>
            <w:pPr>
              <w:pStyle w:val="16"/>
            </w:pPr>
            <w:r>
              <w:rPr>
                <w:rFonts w:hint="eastAsia"/>
              </w:rPr>
              <w:t>支出部门经济分类科目</w:t>
            </w:r>
          </w:p>
        </w:tc>
        <w:tc>
          <w:tcPr>
            <w:tcW w:w="7654" w:type="dxa"/>
            <w:gridSpan w:val="3"/>
            <w:vAlign w:val="center"/>
          </w:tcPr>
          <w:p>
            <w:pPr>
              <w:pStyle w:val="16"/>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rPr>
                <w:rFonts w:hint="eastAsia"/>
              </w:rPr>
              <w:t>科目编码</w:t>
            </w:r>
          </w:p>
        </w:tc>
        <w:tc>
          <w:tcPr>
            <w:tcW w:w="4535" w:type="dxa"/>
            <w:vAlign w:val="center"/>
          </w:tcPr>
          <w:p>
            <w:pPr>
              <w:pStyle w:val="16"/>
            </w:pPr>
            <w:r>
              <w:rPr>
                <w:rFonts w:hint="eastAsia"/>
              </w:rPr>
              <w:t>科目名称</w:t>
            </w:r>
          </w:p>
        </w:tc>
        <w:tc>
          <w:tcPr>
            <w:tcW w:w="2551" w:type="dxa"/>
            <w:vAlign w:val="center"/>
          </w:tcPr>
          <w:p>
            <w:pPr>
              <w:pStyle w:val="16"/>
            </w:pPr>
            <w:r>
              <w:rPr>
                <w:rFonts w:hint="eastAsia"/>
              </w:rPr>
              <w:t>合计</w:t>
            </w:r>
          </w:p>
        </w:tc>
        <w:tc>
          <w:tcPr>
            <w:tcW w:w="2551" w:type="dxa"/>
            <w:vAlign w:val="center"/>
          </w:tcPr>
          <w:p>
            <w:pPr>
              <w:pStyle w:val="16"/>
            </w:pPr>
            <w:r>
              <w:rPr>
                <w:rFonts w:hint="eastAsia"/>
              </w:rPr>
              <w:t>人员经费</w:t>
            </w:r>
          </w:p>
        </w:tc>
        <w:tc>
          <w:tcPr>
            <w:tcW w:w="2552" w:type="dxa"/>
            <w:vAlign w:val="center"/>
          </w:tcPr>
          <w:p>
            <w:pPr>
              <w:pStyle w:val="16"/>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w:t>
            </w:r>
          </w:p>
        </w:tc>
        <w:tc>
          <w:tcPr>
            <w:tcW w:w="1191" w:type="dxa"/>
            <w:vAlign w:val="center"/>
          </w:tcPr>
          <w:p>
            <w:pPr>
              <w:pStyle w:val="22"/>
            </w:pPr>
          </w:p>
        </w:tc>
        <w:tc>
          <w:tcPr>
            <w:tcW w:w="4535" w:type="dxa"/>
            <w:vAlign w:val="center"/>
          </w:tcPr>
          <w:p>
            <w:pPr>
              <w:pStyle w:val="20"/>
            </w:pPr>
            <w:r>
              <w:rPr>
                <w:rFonts w:hint="eastAsia"/>
              </w:rPr>
              <w:t>合计</w:t>
            </w:r>
          </w:p>
        </w:tc>
        <w:tc>
          <w:tcPr>
            <w:tcW w:w="2551" w:type="dxa"/>
            <w:vAlign w:val="center"/>
          </w:tcPr>
          <w:p>
            <w:pPr>
              <w:pStyle w:val="21"/>
              <w:rPr>
                <w:rFonts w:hint="default" w:eastAsia="方正书宋_GBK"/>
                <w:lang w:val="en-US" w:eastAsia="zh-CN"/>
              </w:rPr>
            </w:pPr>
            <w:r>
              <w:rPr>
                <w:rFonts w:hint="eastAsia"/>
                <w:lang w:val="en-US" w:eastAsia="zh-CN"/>
              </w:rPr>
              <w:t>562.85</w:t>
            </w:r>
          </w:p>
        </w:tc>
        <w:tc>
          <w:tcPr>
            <w:tcW w:w="2551" w:type="dxa"/>
            <w:vAlign w:val="center"/>
          </w:tcPr>
          <w:p>
            <w:pPr>
              <w:pStyle w:val="21"/>
              <w:rPr>
                <w:rFonts w:hint="default" w:eastAsia="方正书宋_GBK"/>
                <w:lang w:val="en-US" w:eastAsia="zh-CN"/>
              </w:rPr>
            </w:pPr>
            <w:r>
              <w:rPr>
                <w:rFonts w:hint="eastAsia"/>
                <w:lang w:val="en-US" w:eastAsia="zh-CN"/>
              </w:rPr>
              <w:t>501.11</w:t>
            </w:r>
          </w:p>
        </w:tc>
        <w:tc>
          <w:tcPr>
            <w:tcW w:w="2552" w:type="dxa"/>
            <w:vAlign w:val="center"/>
          </w:tcPr>
          <w:p>
            <w:pPr>
              <w:pStyle w:val="21"/>
              <w:rPr>
                <w:rFonts w:hint="default" w:eastAsia="方正书宋_GBK"/>
                <w:lang w:val="en-US" w:eastAsia="zh-CN"/>
              </w:rPr>
            </w:pPr>
            <w:r>
              <w:rPr>
                <w:rFonts w:hint="eastAsia"/>
                <w:lang w:val="en-US" w:eastAsia="zh-CN"/>
              </w:rPr>
              <w:t>61.74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工资福利支出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499.51</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499.51</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3</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30101</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基本工资</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177.37</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177.37</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4</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30102</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津贴补贴</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102.36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102.36</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5</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30103</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奖金</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18.38</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18.38</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6</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30107</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绩效工资</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100.34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100.34</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7</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30108</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8</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30110</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城镇职工基本医疗保险缴费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9</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w:t>
            </w:r>
            <w:r>
              <w:rPr>
                <w:rFonts w:hint="eastAsia" w:ascii="方正书宋_GBK" w:hAnsi="方正书宋_GBK" w:eastAsia="方正书宋_GBK" w:cs="方正书宋_GBK"/>
                <w:sz w:val="21"/>
                <w:szCs w:val="24"/>
                <w:lang w:val="en-US" w:eastAsia="zh-CN" w:bidi="ar-SA"/>
              </w:rPr>
              <w:t>1</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公务员医疗补助缴费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10</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30112</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其他社会保障缴费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10</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30113</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11</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商品和服务支出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12</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30201</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办公费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12.99</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13</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30207</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邮电费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0.18</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14</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30208</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取暖费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6.00</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16</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30217</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公务接待费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17</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30226</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劳务费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20.37</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18</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30228</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工会经费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3.94</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19</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30229</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福利费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4.76</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r>
              <w:t>20</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30231</w:t>
            </w:r>
          </w:p>
        </w:tc>
        <w:tc>
          <w:tcPr>
            <w:tcW w:w="4535"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公务用车运行维护费</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3.00</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21</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30239</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其他交通费用</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9.18</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22</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30299</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其他商品和服务支出</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0.32</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23</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303</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对个人和家庭的补助</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rPr>
                <w:rFonts w:hint="default" w:eastAsia="方正书宋_GBK"/>
                <w:lang w:val="en-US" w:eastAsia="zh-CN"/>
              </w:rPr>
            </w:pPr>
            <w:r>
              <w:rPr>
                <w:rFonts w:hint="eastAsia"/>
                <w:lang w:val="en-US" w:eastAsia="zh-CN"/>
              </w:rPr>
              <w:t>24</w:t>
            </w:r>
          </w:p>
        </w:tc>
        <w:tc>
          <w:tcPr>
            <w:tcW w:w="1191" w:type="dxa"/>
            <w:vAlign w:val="top"/>
          </w:tcPr>
          <w:p>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30305</w:t>
            </w:r>
          </w:p>
        </w:tc>
        <w:tc>
          <w:tcPr>
            <w:tcW w:w="4535" w:type="dxa"/>
            <w:vAlign w:val="top"/>
          </w:tcPr>
          <w:p>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生活补助</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1"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2" w:type="dxa"/>
            <w:vAlign w:val="top"/>
          </w:tcPr>
          <w:p>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bl>
    <w:p>
      <w:pPr>
        <w:sectPr>
          <w:type w:val="continuous"/>
          <w:pgSz w:w="16840" w:h="11900" w:orient="landscape"/>
          <w:pgMar w:top="1361" w:right="1021" w:bottom="1134" w:left="1021" w:header="720" w:footer="720" w:gutter="0"/>
          <w:cols w:space="720" w:num="1"/>
        </w:sect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726" w:type="dxa"/>
            <w:gridSpan w:val="2"/>
            <w:vAlign w:val="center"/>
          </w:tcPr>
          <w:p>
            <w:pPr>
              <w:pStyle w:val="16"/>
            </w:pPr>
            <w:r>
              <w:rPr>
                <w:rFonts w:hint="eastAsia"/>
              </w:rPr>
              <w:t>功能分类科目</w:t>
            </w:r>
          </w:p>
        </w:tc>
        <w:tc>
          <w:tcPr>
            <w:tcW w:w="2551" w:type="dxa"/>
            <w:vMerge w:val="restart"/>
            <w:vAlign w:val="center"/>
          </w:tcPr>
          <w:p>
            <w:pPr>
              <w:pStyle w:val="16"/>
            </w:pPr>
            <w:r>
              <w:rPr>
                <w:rFonts w:hint="eastAsia"/>
              </w:rPr>
              <w:t>合计</w:t>
            </w:r>
          </w:p>
        </w:tc>
        <w:tc>
          <w:tcPr>
            <w:tcW w:w="2551" w:type="dxa"/>
            <w:vMerge w:val="restart"/>
            <w:vAlign w:val="center"/>
          </w:tcPr>
          <w:p>
            <w:pPr>
              <w:pStyle w:val="16"/>
            </w:pPr>
            <w:r>
              <w:rPr>
                <w:rFonts w:hint="eastAsia"/>
              </w:rPr>
              <w:t>基本支出</w:t>
            </w:r>
          </w:p>
        </w:tc>
        <w:tc>
          <w:tcPr>
            <w:tcW w:w="2551" w:type="dxa"/>
            <w:vMerge w:val="restart"/>
            <w:vAlign w:val="center"/>
          </w:tcPr>
          <w:p>
            <w:pPr>
              <w:pStyle w:val="16"/>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rPr>
                <w:rFonts w:hint="eastAsia"/>
              </w:rPr>
              <w:t>科目编码</w:t>
            </w:r>
          </w:p>
        </w:tc>
        <w:tc>
          <w:tcPr>
            <w:tcW w:w="4535" w:type="dxa"/>
            <w:vAlign w:val="center"/>
          </w:tcPr>
          <w:p>
            <w:pPr>
              <w:pStyle w:val="16"/>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pPr>
        <w:outlineLvl w:val="4"/>
        <w:rPr>
          <w:rFonts w:ascii="方正小标宋_GBK" w:hAnsi="方正小标宋_GBK" w:eastAsia="方正小标宋_GBK" w:cs="方正小标宋_GBK"/>
          <w:color w:val="000000"/>
          <w:sz w:val="36"/>
          <w:lang w:eastAsia="zh-CN"/>
        </w:rPr>
      </w:pPr>
    </w:p>
    <w:p>
      <w:pPr>
        <w:jc w:val="both"/>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5726" w:type="dxa"/>
            <w:gridSpan w:val="2"/>
            <w:vAlign w:val="center"/>
          </w:tcPr>
          <w:p>
            <w:pPr>
              <w:pStyle w:val="16"/>
            </w:pPr>
            <w:r>
              <w:rPr>
                <w:rFonts w:hint="eastAsia"/>
              </w:rPr>
              <w:t>功能分类科目</w:t>
            </w:r>
          </w:p>
        </w:tc>
        <w:tc>
          <w:tcPr>
            <w:tcW w:w="2551" w:type="dxa"/>
            <w:vMerge w:val="restart"/>
            <w:vAlign w:val="center"/>
          </w:tcPr>
          <w:p>
            <w:pPr>
              <w:pStyle w:val="16"/>
            </w:pPr>
            <w:r>
              <w:rPr>
                <w:rFonts w:hint="eastAsia"/>
              </w:rPr>
              <w:t>合计</w:t>
            </w:r>
          </w:p>
        </w:tc>
        <w:tc>
          <w:tcPr>
            <w:tcW w:w="2551" w:type="dxa"/>
            <w:vMerge w:val="restart"/>
            <w:vAlign w:val="center"/>
          </w:tcPr>
          <w:p>
            <w:pPr>
              <w:pStyle w:val="16"/>
            </w:pPr>
            <w:r>
              <w:rPr>
                <w:rFonts w:hint="eastAsia"/>
              </w:rPr>
              <w:t>基本支出</w:t>
            </w:r>
          </w:p>
        </w:tc>
        <w:tc>
          <w:tcPr>
            <w:tcW w:w="2551" w:type="dxa"/>
            <w:vMerge w:val="restart"/>
            <w:vAlign w:val="center"/>
          </w:tcPr>
          <w:p>
            <w:pPr>
              <w:pStyle w:val="16"/>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rPr>
                <w:rFonts w:hint="eastAsia"/>
              </w:rPr>
              <w:t>科目编码</w:t>
            </w:r>
          </w:p>
        </w:tc>
        <w:tc>
          <w:tcPr>
            <w:tcW w:w="4535" w:type="dxa"/>
            <w:vAlign w:val="center"/>
          </w:tcPr>
          <w:p>
            <w:pPr>
              <w:pStyle w:val="16"/>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rPr>
                <w:rFonts w:hint="eastAsia"/>
              </w:rP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pPr>
          </w:p>
        </w:tc>
        <w:tc>
          <w:tcPr>
            <w:tcW w:w="1191" w:type="dxa"/>
            <w:vAlign w:val="center"/>
          </w:tcPr>
          <w:p>
            <w:pPr>
              <w:pStyle w:val="18"/>
            </w:pPr>
          </w:p>
        </w:tc>
        <w:tc>
          <w:tcPr>
            <w:tcW w:w="4535" w:type="dxa"/>
            <w:vAlign w:val="center"/>
          </w:tcPr>
          <w:p>
            <w:pPr>
              <w:pStyle w:val="18"/>
            </w:pPr>
          </w:p>
        </w:tc>
        <w:tc>
          <w:tcPr>
            <w:tcW w:w="2551" w:type="dxa"/>
            <w:vAlign w:val="center"/>
          </w:tcPr>
          <w:p>
            <w:pPr>
              <w:pStyle w:val="17"/>
            </w:pPr>
          </w:p>
        </w:tc>
        <w:tc>
          <w:tcPr>
            <w:tcW w:w="2551" w:type="dxa"/>
            <w:vAlign w:val="center"/>
          </w:tcPr>
          <w:p>
            <w:pPr>
              <w:pStyle w:val="17"/>
            </w:pPr>
          </w:p>
        </w:tc>
        <w:tc>
          <w:tcPr>
            <w:tcW w:w="2551" w:type="dxa"/>
            <w:vAlign w:val="center"/>
          </w:tcPr>
          <w:p>
            <w:pPr>
              <w:pStyle w:val="17"/>
            </w:pPr>
          </w:p>
        </w:tc>
      </w:tr>
    </w:tbl>
    <w:p>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pPr>
        <w:outlineLvl w:val="4"/>
        <w:rPr>
          <w:rFonts w:ascii="方正小标宋_GBK" w:hAnsi="方正小标宋_GBK" w:cs="方正小标宋_GBK" w:eastAsiaTheme="minorEastAsia"/>
          <w:color w:val="000000"/>
          <w:sz w:val="36"/>
          <w:lang w:eastAsia="zh-CN"/>
        </w:rPr>
      </w:pPr>
    </w:p>
    <w:p>
      <w:pPr>
        <w:outlineLvl w:val="4"/>
        <w:rPr>
          <w:rFonts w:ascii="方正小标宋_GBK" w:hAnsi="方正小标宋_GBK" w:cs="方正小标宋_GBK" w:eastAsiaTheme="minorEastAsia"/>
          <w:color w:val="000000"/>
          <w:sz w:val="36"/>
          <w:lang w:eastAsia="zh-CN"/>
        </w:rPr>
      </w:pPr>
    </w:p>
    <w:p>
      <w:pPr>
        <w:outlineLvl w:val="4"/>
        <w:rPr>
          <w:rFonts w:ascii="方正小标宋_GBK" w:hAnsi="方正小标宋_GBK" w:cs="方正小标宋_GBK" w:eastAsiaTheme="minorEastAsia"/>
          <w:color w:val="000000"/>
          <w:sz w:val="36"/>
          <w:lang w:eastAsia="zh-CN"/>
        </w:rPr>
      </w:pPr>
    </w:p>
    <w:p>
      <w:pPr>
        <w:jc w:val="center"/>
        <w:outlineLvl w:val="4"/>
        <w:rPr>
          <w:rFonts w:hint="eastAsia" w:ascii="方正小标宋_GBK" w:hAnsi="方正小标宋_GBK" w:eastAsia="方正小标宋_GBK" w:cs="方正小标宋_GBK"/>
          <w:color w:val="000000"/>
          <w:sz w:val="36"/>
        </w:rPr>
      </w:pPr>
    </w:p>
    <w:p>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rPr>
                <w:rFonts w:hint="eastAsia"/>
                <w:lang w:val="en-US" w:eastAsia="zh-CN"/>
              </w:rPr>
              <w:t>809001涞水县胡家庄乡人民政府本级</w:t>
            </w:r>
          </w:p>
        </w:tc>
        <w:tc>
          <w:tcPr>
            <w:tcW w:w="2381" w:type="dxa"/>
            <w:tcBorders>
              <w:top w:val="single" w:color="FFFFFF" w:sz="6" w:space="0"/>
              <w:left w:val="single" w:color="FFFFFF" w:sz="6" w:space="0"/>
              <w:right w:val="single" w:color="FFFFFF" w:sz="6" w:space="0"/>
            </w:tcBorders>
            <w:vAlign w:val="center"/>
          </w:tcPr>
          <w:p>
            <w:pPr>
              <w:pStyle w:val="14"/>
              <w:rPr>
                <w:rFonts w:hint="eastAsia" w:eastAsia="方正小标宋_GBK"/>
                <w:lang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pPr>
              <w:pStyle w:val="13"/>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rPr>
                <w:rFonts w:hint="eastAsia"/>
              </w:rPr>
              <w:t>序号</w:t>
            </w:r>
          </w:p>
        </w:tc>
        <w:tc>
          <w:tcPr>
            <w:tcW w:w="3798" w:type="dxa"/>
            <w:vMerge w:val="restart"/>
            <w:vAlign w:val="center"/>
          </w:tcPr>
          <w:p>
            <w:pPr>
              <w:pStyle w:val="16"/>
            </w:pPr>
            <w:r>
              <w:rPr>
                <w:rFonts w:hint="eastAsia"/>
              </w:rPr>
              <w:t>项</w:t>
            </w:r>
            <w:r>
              <w:t xml:space="preserve">  </w:t>
            </w:r>
            <w:r>
              <w:rPr>
                <w:rFonts w:hint="eastAsia"/>
              </w:rPr>
              <w:t>目</w:t>
            </w:r>
          </w:p>
        </w:tc>
        <w:tc>
          <w:tcPr>
            <w:tcW w:w="9525" w:type="dxa"/>
            <w:gridSpan w:val="4"/>
            <w:vAlign w:val="center"/>
          </w:tcPr>
          <w:p>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rPr>
                <w:rFonts w:hint="eastAsia"/>
              </w:rPr>
              <w:t>合计</w:t>
            </w:r>
          </w:p>
        </w:tc>
        <w:tc>
          <w:tcPr>
            <w:tcW w:w="2381" w:type="dxa"/>
            <w:vAlign w:val="center"/>
          </w:tcPr>
          <w:p>
            <w:pPr>
              <w:pStyle w:val="16"/>
            </w:pPr>
            <w:r>
              <w:rPr>
                <w:rFonts w:hint="eastAsia"/>
              </w:rPr>
              <w:t>一般公共预算</w:t>
            </w:r>
            <w:r>
              <w:t xml:space="preserve">              </w:t>
            </w:r>
            <w:r>
              <w:rPr>
                <w:rFonts w:hint="eastAsia"/>
              </w:rPr>
              <w:t>财政拨款</w:t>
            </w:r>
          </w:p>
        </w:tc>
        <w:tc>
          <w:tcPr>
            <w:tcW w:w="2381" w:type="dxa"/>
            <w:vAlign w:val="center"/>
          </w:tcPr>
          <w:p>
            <w:pPr>
              <w:pStyle w:val="16"/>
            </w:pPr>
            <w:r>
              <w:rPr>
                <w:rFonts w:hint="eastAsia"/>
              </w:rPr>
              <w:t>政府性基金</w:t>
            </w:r>
            <w:r>
              <w:t xml:space="preserve">                  </w:t>
            </w:r>
            <w:r>
              <w:rPr>
                <w:rFonts w:hint="eastAsia"/>
              </w:rPr>
              <w:t>预算拨款</w:t>
            </w:r>
          </w:p>
        </w:tc>
        <w:tc>
          <w:tcPr>
            <w:tcW w:w="2381" w:type="dxa"/>
            <w:vAlign w:val="center"/>
          </w:tcPr>
          <w:p>
            <w:pPr>
              <w:pStyle w:val="16"/>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rPr>
                <w:rFonts w:hint="eastAsia"/>
              </w:rP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1</w:t>
            </w:r>
          </w:p>
        </w:tc>
        <w:tc>
          <w:tcPr>
            <w:tcW w:w="3798" w:type="dxa"/>
            <w:vAlign w:val="center"/>
          </w:tcPr>
          <w:p>
            <w:pPr>
              <w:pStyle w:val="20"/>
            </w:pPr>
            <w:r>
              <w:rPr>
                <w:rFonts w:hint="eastAsia"/>
              </w:rPr>
              <w:t>合计</w:t>
            </w:r>
          </w:p>
        </w:tc>
        <w:tc>
          <w:tcPr>
            <w:tcW w:w="2382" w:type="dxa"/>
            <w:vAlign w:val="center"/>
          </w:tcPr>
          <w:p>
            <w:pPr>
              <w:pStyle w:val="21"/>
              <w:rPr>
                <w:rFonts w:hint="default" w:eastAsia="方正书宋_GBK"/>
                <w:lang w:val="en-US" w:eastAsia="zh-CN"/>
              </w:rPr>
            </w:pPr>
            <w:r>
              <w:rPr>
                <w:rFonts w:hint="eastAsia"/>
                <w:lang w:val="en-US" w:eastAsia="zh-CN"/>
              </w:rPr>
              <w:t>4.00</w:t>
            </w:r>
          </w:p>
        </w:tc>
        <w:tc>
          <w:tcPr>
            <w:tcW w:w="2381" w:type="dxa"/>
            <w:vAlign w:val="center"/>
          </w:tcPr>
          <w:p>
            <w:pPr>
              <w:pStyle w:val="21"/>
              <w:rPr>
                <w:rFonts w:hint="default" w:eastAsia="方正书宋_GBK"/>
                <w:lang w:val="en-US" w:eastAsia="zh-CN"/>
              </w:rPr>
            </w:pPr>
            <w:r>
              <w:rPr>
                <w:rFonts w:hint="eastAsia"/>
                <w:lang w:val="en-US" w:eastAsia="zh-CN"/>
              </w:rPr>
              <w:t>4.00</w:t>
            </w:r>
          </w:p>
        </w:tc>
        <w:tc>
          <w:tcPr>
            <w:tcW w:w="2381" w:type="dxa"/>
            <w:vAlign w:val="center"/>
          </w:tcPr>
          <w:p>
            <w:pPr>
              <w:pStyle w:val="21"/>
            </w:pPr>
          </w:p>
        </w:tc>
        <w:tc>
          <w:tcPr>
            <w:tcW w:w="2381"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2</w:t>
            </w:r>
          </w:p>
        </w:tc>
        <w:tc>
          <w:tcPr>
            <w:tcW w:w="3798" w:type="dxa"/>
            <w:vAlign w:val="center"/>
          </w:tcPr>
          <w:p>
            <w:pPr>
              <w:pStyle w:val="18"/>
            </w:pPr>
            <w:r>
              <w:rPr>
                <w:rFonts w:hint="eastAsia"/>
              </w:rPr>
              <w:t>“三公”经费小计</w:t>
            </w:r>
          </w:p>
        </w:tc>
        <w:tc>
          <w:tcPr>
            <w:tcW w:w="2382" w:type="dxa"/>
            <w:vAlign w:val="center"/>
          </w:tcPr>
          <w:p>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4.00</w:t>
            </w:r>
          </w:p>
        </w:tc>
        <w:tc>
          <w:tcPr>
            <w:tcW w:w="2381" w:type="dxa"/>
            <w:vAlign w:val="center"/>
          </w:tcPr>
          <w:p>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4.00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3</w:t>
            </w:r>
          </w:p>
        </w:tc>
        <w:tc>
          <w:tcPr>
            <w:tcW w:w="3798" w:type="dxa"/>
            <w:vAlign w:val="center"/>
          </w:tcPr>
          <w:p>
            <w:pPr>
              <w:pStyle w:val="18"/>
            </w:pPr>
            <w:r>
              <w:rPr>
                <w:rFonts w:hint="eastAsia"/>
              </w:rPr>
              <w:t>一、因公出国（境）费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4</w:t>
            </w:r>
          </w:p>
        </w:tc>
        <w:tc>
          <w:tcPr>
            <w:tcW w:w="3798" w:type="dxa"/>
            <w:vAlign w:val="center"/>
          </w:tcPr>
          <w:p>
            <w:pPr>
              <w:pStyle w:val="18"/>
            </w:pPr>
            <w:r>
              <w:t xml:space="preserve">    </w:t>
            </w:r>
            <w:r>
              <w:rPr>
                <w:rFonts w:hint="eastAsia"/>
              </w:rPr>
              <w:t>其中：教学科研人员因公出国（境）费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5</w:t>
            </w:r>
          </w:p>
        </w:tc>
        <w:tc>
          <w:tcPr>
            <w:tcW w:w="3798" w:type="dxa"/>
            <w:vAlign w:val="center"/>
          </w:tcPr>
          <w:p>
            <w:pPr>
              <w:pStyle w:val="18"/>
            </w:pPr>
            <w:r>
              <w:t xml:space="preserve">          </w:t>
            </w:r>
            <w:r>
              <w:rPr>
                <w:rFonts w:hint="eastAsia"/>
              </w:rPr>
              <w:t>其他因公出国（境）费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6</w:t>
            </w:r>
          </w:p>
        </w:tc>
        <w:tc>
          <w:tcPr>
            <w:tcW w:w="3798" w:type="dxa"/>
            <w:vAlign w:val="center"/>
          </w:tcPr>
          <w:p>
            <w:pPr>
              <w:pStyle w:val="18"/>
            </w:pPr>
            <w:r>
              <w:rPr>
                <w:rFonts w:hint="eastAsia"/>
              </w:rPr>
              <w:t>二、公务用车购置及运维费</w:t>
            </w:r>
          </w:p>
        </w:tc>
        <w:tc>
          <w:tcPr>
            <w:tcW w:w="2382" w:type="dxa"/>
            <w:vAlign w:val="center"/>
          </w:tcPr>
          <w:p>
            <w:pPr>
              <w:pStyle w:val="17"/>
              <w:rPr>
                <w:rFonts w:hint="default" w:ascii="方正书宋_GBK" w:hAnsi="方正书宋_GBK" w:eastAsia="方正书宋_GBK" w:cs="方正书宋_GBK"/>
                <w:sz w:val="21"/>
                <w:szCs w:val="24"/>
                <w:lang w:val="en-US" w:eastAsia="zh-CN" w:bidi="ar-SA"/>
              </w:rPr>
            </w:pPr>
            <w:r>
              <w:rPr>
                <w:rFonts w:hint="eastAsia"/>
                <w:lang w:val="en-US" w:eastAsia="zh-CN"/>
              </w:rPr>
              <w:t>3.00</w:t>
            </w:r>
          </w:p>
        </w:tc>
        <w:tc>
          <w:tcPr>
            <w:tcW w:w="2381" w:type="dxa"/>
            <w:vAlign w:val="center"/>
          </w:tcPr>
          <w:p>
            <w:pPr>
              <w:pStyle w:val="17"/>
              <w:rPr>
                <w:rFonts w:hint="default" w:ascii="方正书宋_GBK" w:hAnsi="方正书宋_GBK" w:eastAsia="方正书宋_GBK" w:cs="方正书宋_GBK"/>
                <w:sz w:val="21"/>
                <w:szCs w:val="24"/>
                <w:lang w:val="en-US" w:eastAsia="zh-CN" w:bidi="ar-SA"/>
              </w:rPr>
            </w:pPr>
            <w:r>
              <w:rPr>
                <w:rFonts w:hint="eastAsia"/>
                <w:lang w:val="en-US" w:eastAsia="zh-CN"/>
              </w:rPr>
              <w:t>3.00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7</w:t>
            </w:r>
          </w:p>
        </w:tc>
        <w:tc>
          <w:tcPr>
            <w:tcW w:w="3798" w:type="dxa"/>
            <w:vAlign w:val="center"/>
          </w:tcPr>
          <w:p>
            <w:pPr>
              <w:pStyle w:val="18"/>
            </w:pPr>
            <w:r>
              <w:t xml:space="preserve">    </w:t>
            </w:r>
            <w:r>
              <w:rPr>
                <w:rFonts w:hint="eastAsia"/>
              </w:rPr>
              <w:t>其中：公务用车购置费</w:t>
            </w:r>
          </w:p>
        </w:tc>
        <w:tc>
          <w:tcPr>
            <w:tcW w:w="2382" w:type="dxa"/>
            <w:vAlign w:val="center"/>
          </w:tcPr>
          <w:p>
            <w:pPr>
              <w:pStyle w:val="17"/>
            </w:pPr>
          </w:p>
        </w:tc>
        <w:tc>
          <w:tcPr>
            <w:tcW w:w="2381" w:type="dxa"/>
            <w:vAlign w:val="center"/>
          </w:tcPr>
          <w:p>
            <w:pPr>
              <w:pStyle w:val="17"/>
            </w:pP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8</w:t>
            </w:r>
          </w:p>
        </w:tc>
        <w:tc>
          <w:tcPr>
            <w:tcW w:w="3798" w:type="dxa"/>
            <w:vAlign w:val="center"/>
          </w:tcPr>
          <w:p>
            <w:pPr>
              <w:pStyle w:val="18"/>
            </w:pPr>
            <w:r>
              <w:t xml:space="preserve">          </w:t>
            </w:r>
            <w:r>
              <w:rPr>
                <w:rFonts w:hint="eastAsia"/>
              </w:rPr>
              <w:t>公务用车运行维护费</w:t>
            </w:r>
          </w:p>
        </w:tc>
        <w:tc>
          <w:tcPr>
            <w:tcW w:w="2382" w:type="dxa"/>
            <w:vAlign w:val="center"/>
          </w:tcPr>
          <w:p>
            <w:pPr>
              <w:pStyle w:val="17"/>
              <w:rPr>
                <w:rFonts w:hint="default" w:eastAsia="方正书宋_GBK"/>
                <w:lang w:val="en-US" w:eastAsia="zh-CN"/>
              </w:rPr>
            </w:pPr>
            <w:r>
              <w:rPr>
                <w:rFonts w:hint="eastAsia"/>
                <w:lang w:val="en-US" w:eastAsia="zh-CN"/>
              </w:rPr>
              <w:t>3.00</w:t>
            </w:r>
          </w:p>
        </w:tc>
        <w:tc>
          <w:tcPr>
            <w:tcW w:w="2381" w:type="dxa"/>
            <w:vAlign w:val="center"/>
          </w:tcPr>
          <w:p>
            <w:pPr>
              <w:pStyle w:val="17"/>
              <w:rPr>
                <w:rFonts w:hint="default" w:eastAsia="方正书宋_GBK"/>
                <w:lang w:val="en-US" w:eastAsia="zh-CN"/>
              </w:rPr>
            </w:pPr>
            <w:r>
              <w:rPr>
                <w:rFonts w:hint="eastAsia"/>
                <w:lang w:val="en-US" w:eastAsia="zh-CN"/>
              </w:rPr>
              <w:t>3.00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pPr>
            <w:r>
              <w:t>9</w:t>
            </w:r>
          </w:p>
        </w:tc>
        <w:tc>
          <w:tcPr>
            <w:tcW w:w="3798" w:type="dxa"/>
            <w:vAlign w:val="center"/>
          </w:tcPr>
          <w:p>
            <w:pPr>
              <w:pStyle w:val="18"/>
            </w:pPr>
            <w:r>
              <w:rPr>
                <w:rFonts w:hint="eastAsia"/>
              </w:rPr>
              <w:t>三、公务接待费</w:t>
            </w:r>
          </w:p>
        </w:tc>
        <w:tc>
          <w:tcPr>
            <w:tcW w:w="2382" w:type="dxa"/>
            <w:vAlign w:val="center"/>
          </w:tcPr>
          <w:p>
            <w:pPr>
              <w:pStyle w:val="17"/>
              <w:rPr>
                <w:rFonts w:hint="default" w:eastAsia="方正书宋_GBK"/>
                <w:lang w:val="en-US" w:eastAsia="zh-CN"/>
              </w:rPr>
            </w:pPr>
            <w:r>
              <w:rPr>
                <w:rFonts w:hint="eastAsia"/>
                <w:lang w:val="en-US" w:eastAsia="zh-CN"/>
              </w:rPr>
              <w:t>1.00</w:t>
            </w:r>
          </w:p>
        </w:tc>
        <w:tc>
          <w:tcPr>
            <w:tcW w:w="2381" w:type="dxa"/>
            <w:vAlign w:val="center"/>
          </w:tcPr>
          <w:p>
            <w:pPr>
              <w:pStyle w:val="17"/>
              <w:rPr>
                <w:rFonts w:hint="default" w:eastAsia="方正书宋_GBK"/>
                <w:lang w:val="en-US" w:eastAsia="zh-CN"/>
              </w:rPr>
            </w:pPr>
            <w:r>
              <w:rPr>
                <w:rFonts w:hint="eastAsia"/>
                <w:lang w:val="en-US" w:eastAsia="zh-CN"/>
              </w:rPr>
              <w:t>1.00</w:t>
            </w:r>
          </w:p>
        </w:tc>
        <w:tc>
          <w:tcPr>
            <w:tcW w:w="2381" w:type="dxa"/>
            <w:vAlign w:val="center"/>
          </w:tcPr>
          <w:p>
            <w:pPr>
              <w:pStyle w:val="17"/>
            </w:pPr>
          </w:p>
        </w:tc>
        <w:tc>
          <w:tcPr>
            <w:tcW w:w="2381" w:type="dxa"/>
            <w:vAlign w:val="center"/>
          </w:tcPr>
          <w:p>
            <w:pPr>
              <w:pStyle w:val="17"/>
            </w:pPr>
          </w:p>
        </w:tc>
      </w:tr>
    </w:tbl>
    <w:p>
      <w:pPr>
        <w:sectPr>
          <w:type w:val="continuous"/>
          <w:pgSz w:w="16840" w:h="11900" w:orient="landscape"/>
          <w:pgMar w:top="1361" w:right="1021" w:bottom="1361" w:left="1021" w:header="720" w:footer="720" w:gutter="0"/>
          <w:cols w:space="720" w:num="1"/>
        </w:sectPr>
      </w:pPr>
    </w:p>
    <w:p>
      <w:pPr>
        <w:jc w:val="center"/>
        <w:outlineLvl w:val="4"/>
        <w:rPr>
          <w:rFonts w:hint="eastAsia" w:ascii="方正小标宋_GBK" w:hAnsi="方正小标宋_GBK" w:eastAsia="方正小标宋_GBK" w:cs="方正小标宋_GBK"/>
          <w:color w:val="000000"/>
          <w:sz w:val="44"/>
          <w:lang w:eastAsia="zh-CN"/>
        </w:rPr>
      </w:pPr>
    </w:p>
    <w:p>
      <w:pPr>
        <w:jc w:val="center"/>
        <w:outlineLvl w:val="4"/>
      </w:pPr>
      <w:r>
        <w:rPr>
          <w:rFonts w:hint="eastAsia" w:ascii="方正小标宋_GBK" w:hAnsi="方正小标宋_GBK" w:eastAsia="方正小标宋_GBK" w:cs="方正小标宋_GBK"/>
          <w:color w:val="000000"/>
          <w:sz w:val="44"/>
          <w:lang w:eastAsia="zh-CN"/>
        </w:rPr>
        <w:t>涞水县胡家庄乡人民政府本级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bookmarkStart w:id="2" w:name="_GoBack"/>
      <w:bookmarkEnd w:id="2"/>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涞水县胡家庄乡人民政府本级</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pPr>
        <w:pStyle w:val="23"/>
        <w:rPr>
          <w:rFonts w:hint="eastAsia"/>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pPr>
        <w:pStyle w:val="23"/>
        <w:rPr>
          <w:rFonts w:hint="eastAsia"/>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pPr>
        <w:pStyle w:val="23"/>
        <w:rPr>
          <w:rFonts w:hint="eastAsia"/>
          <w:lang w:eastAsia="zh-CN"/>
        </w:rPr>
      </w:pPr>
      <w:r>
        <w:rPr>
          <w:rFonts w:hint="eastAsia"/>
          <w:lang w:eastAsia="zh-CN"/>
        </w:rPr>
        <w:t>（三）讨论和决定本镇经济建设、政治建设、文化建设、社会建设、生态文明建设和党的建设以及乡村振兴中的重大问题。</w:t>
      </w:r>
    </w:p>
    <w:p>
      <w:pPr>
        <w:pStyle w:val="23"/>
        <w:rPr>
          <w:rFonts w:hint="eastAsia"/>
          <w:lang w:eastAsia="zh-CN"/>
        </w:rPr>
      </w:pPr>
      <w:r>
        <w:rPr>
          <w:rFonts w:hint="eastAsia"/>
          <w:lang w:eastAsia="zh-CN"/>
        </w:rPr>
        <w:t>（四）组织召开本级人民代表大会，充分行使重大事项决定权、监督权和任免权，做好人大代表工作，联系选民、反映群众意见和要求。</w:t>
      </w:r>
    </w:p>
    <w:p>
      <w:pPr>
        <w:pStyle w:val="23"/>
        <w:rPr>
          <w:rFonts w:hint="eastAsia"/>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pPr>
        <w:pStyle w:val="23"/>
        <w:rPr>
          <w:rFonts w:hint="eastAsia"/>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pPr>
        <w:pStyle w:val="23"/>
        <w:rPr>
          <w:rFonts w:hint="eastAsia"/>
          <w:lang w:eastAsia="zh-CN"/>
        </w:rPr>
      </w:pPr>
      <w:r>
        <w:rPr>
          <w:rFonts w:hint="eastAsia"/>
          <w:lang w:eastAsia="zh-CN"/>
        </w:rPr>
        <w:t>（七）镇党委领导镇政权机关、群团组织和其他各类组织，</w:t>
      </w:r>
    </w:p>
    <w:p>
      <w:pPr>
        <w:pStyle w:val="23"/>
        <w:rPr>
          <w:rFonts w:hint="eastAsia"/>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pPr>
        <w:pStyle w:val="23"/>
        <w:rPr>
          <w:rFonts w:hint="eastAsia"/>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pPr>
        <w:pStyle w:val="23"/>
        <w:rPr>
          <w:rFonts w:hint="eastAsia"/>
          <w:lang w:eastAsia="zh-CN"/>
        </w:rPr>
      </w:pPr>
      <w:r>
        <w:rPr>
          <w:rFonts w:hint="eastAsia"/>
          <w:lang w:eastAsia="zh-CN"/>
        </w:rPr>
        <w:t>（九）按照干部管理权限，负责对干部的教育、培训、选拔、考核和监督工作。协助管理上级有关部门驻本镇单位的干部。做好人才服务工作。</w:t>
      </w:r>
    </w:p>
    <w:p>
      <w:pPr>
        <w:pStyle w:val="23"/>
        <w:rPr>
          <w:rFonts w:hint="eastAsia"/>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pPr>
        <w:pStyle w:val="23"/>
        <w:rPr>
          <w:rFonts w:hint="eastAsia"/>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pPr>
        <w:pStyle w:val="23"/>
      </w:pPr>
      <w:r>
        <w:rPr>
          <w:rFonts w:hint="eastAsia"/>
          <w:lang w:eastAsia="zh-CN"/>
        </w:rPr>
        <w:t>（十二）承办上级党委、人大、政府交办的其他事项。</w:t>
      </w: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pPr>
            <w:r>
              <w:rPr>
                <w:rFonts w:hint="eastAsia"/>
              </w:rPr>
              <w:t>单位名称</w:t>
            </w:r>
          </w:p>
        </w:tc>
        <w:tc>
          <w:tcPr>
            <w:tcW w:w="1843" w:type="dxa"/>
            <w:vAlign w:val="center"/>
          </w:tcPr>
          <w:p>
            <w:pPr>
              <w:pStyle w:val="16"/>
            </w:pPr>
            <w:r>
              <w:rPr>
                <w:rFonts w:hint="eastAsia"/>
              </w:rPr>
              <w:t>单位性质</w:t>
            </w:r>
          </w:p>
        </w:tc>
        <w:tc>
          <w:tcPr>
            <w:tcW w:w="2126" w:type="dxa"/>
            <w:vAlign w:val="center"/>
          </w:tcPr>
          <w:p>
            <w:pPr>
              <w:pStyle w:val="16"/>
            </w:pPr>
            <w:r>
              <w:rPr>
                <w:rFonts w:hint="eastAsia"/>
              </w:rPr>
              <w:t>单位规格</w:t>
            </w:r>
          </w:p>
        </w:tc>
        <w:tc>
          <w:tcPr>
            <w:tcW w:w="3827" w:type="dxa"/>
            <w:vAlign w:val="center"/>
          </w:tcPr>
          <w:p>
            <w:pPr>
              <w:pStyle w:val="16"/>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8"/>
            </w:pPr>
            <w:r>
              <w:rPr>
                <w:rFonts w:hint="eastAsia"/>
                <w:lang w:eastAsia="zh-CN"/>
              </w:rPr>
              <w:t>涞水县胡家庄乡人民政府本级</w:t>
            </w:r>
          </w:p>
        </w:tc>
        <w:tc>
          <w:tcPr>
            <w:tcW w:w="1843" w:type="dxa"/>
            <w:vAlign w:val="center"/>
          </w:tcPr>
          <w:p>
            <w:pPr>
              <w:pStyle w:val="19"/>
            </w:pPr>
            <w:r>
              <w:rPr>
                <w:rFonts w:hint="eastAsia"/>
              </w:rPr>
              <w:t>行政</w:t>
            </w:r>
          </w:p>
        </w:tc>
        <w:tc>
          <w:tcPr>
            <w:tcW w:w="2126" w:type="dxa"/>
            <w:vAlign w:val="center"/>
          </w:tcPr>
          <w:p>
            <w:pPr>
              <w:pStyle w:val="19"/>
            </w:pPr>
            <w:r>
              <w:rPr>
                <w:rFonts w:hint="eastAsia"/>
              </w:rPr>
              <w:t>正科级</w:t>
            </w:r>
          </w:p>
        </w:tc>
        <w:tc>
          <w:tcPr>
            <w:tcW w:w="3827" w:type="dxa"/>
            <w:vAlign w:val="center"/>
          </w:tcPr>
          <w:p>
            <w:pPr>
              <w:pStyle w:val="19"/>
            </w:pPr>
            <w:r>
              <w:rPr>
                <w:rFonts w:hint="eastAsia"/>
              </w:rPr>
              <w:t>财政拨款</w:t>
            </w:r>
          </w:p>
        </w:tc>
      </w:tr>
    </w:tbl>
    <w:p>
      <w:pPr>
        <w:spacing w:before="10" w:after="1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二、单位预算安排的总体情况</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1、2023年收入说明 </w:t>
      </w:r>
    </w:p>
    <w:p>
      <w:pPr>
        <w:pStyle w:val="3"/>
        <w:spacing w:line="560" w:lineRule="exact"/>
        <w:ind w:firstLine="585"/>
        <w:rPr>
          <w:rFonts w:hint="eastAsia" w:ascii="仿宋" w:hAnsi="仿宋" w:eastAsia="仿宋"/>
          <w:sz w:val="32"/>
          <w:szCs w:val="32"/>
        </w:rPr>
      </w:pPr>
      <w:r>
        <w:rPr>
          <w:rFonts w:hint="eastAsia" w:ascii="仿宋" w:hAnsi="仿宋" w:eastAsia="仿宋"/>
          <w:sz w:val="32"/>
          <w:szCs w:val="32"/>
        </w:rPr>
        <w:t>2023年我单位年初预算总收入</w:t>
      </w:r>
      <w:r>
        <w:rPr>
          <w:rFonts w:hint="eastAsia" w:ascii="仿宋" w:hAnsi="仿宋" w:eastAsia="仿宋"/>
          <w:sz w:val="32"/>
          <w:szCs w:val="32"/>
          <w:lang w:val="en-US" w:eastAsia="zh-CN"/>
        </w:rPr>
        <w:t>634.85</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634.85</w:t>
      </w:r>
      <w:r>
        <w:rPr>
          <w:rFonts w:hint="eastAsia" w:ascii="仿宋" w:hAnsi="仿宋" w:eastAsia="仿宋"/>
          <w:sz w:val="32"/>
          <w:szCs w:val="32"/>
        </w:rPr>
        <w:t>元，政府性基本预算拨款0万元，国有资本经营预算拨款0万元，财政专户核拨收入 0 万元，其他来源收入0 万元。</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2、2023年支出说明</w:t>
      </w:r>
    </w:p>
    <w:p>
      <w:pPr>
        <w:pStyle w:val="3"/>
        <w:spacing w:line="560" w:lineRule="exact"/>
        <w:ind w:firstLine="585"/>
        <w:rPr>
          <w:rFonts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收支预算总表支出栏、基本支出表、项目支出表按经济分类和支出功能分类科目编制，反映我部门预算中支出预算的总体情况。2023年我部门年初预算拨款支出</w:t>
      </w:r>
      <w:r>
        <w:rPr>
          <w:rFonts w:hint="eastAsia" w:ascii="仿宋" w:hAnsi="仿宋" w:eastAsia="仿宋"/>
          <w:sz w:val="32"/>
          <w:szCs w:val="32"/>
          <w:lang w:val="en-US" w:eastAsia="zh-CN"/>
        </w:rPr>
        <w:t>634.85</w:t>
      </w:r>
      <w:r>
        <w:rPr>
          <w:rFonts w:hint="eastAsia" w:ascii="仿宋" w:hAnsi="仿宋" w:eastAsia="仿宋"/>
          <w:sz w:val="32"/>
          <w:szCs w:val="32"/>
        </w:rPr>
        <w:t>万元。其中：基本支出</w:t>
      </w:r>
      <w:r>
        <w:rPr>
          <w:rFonts w:hint="eastAsia" w:ascii="仿宋" w:hAnsi="仿宋" w:eastAsia="仿宋"/>
          <w:sz w:val="32"/>
          <w:szCs w:val="32"/>
          <w:lang w:val="en-US" w:eastAsia="zh-CN"/>
        </w:rPr>
        <w:t>562.85</w:t>
      </w:r>
      <w:r>
        <w:rPr>
          <w:rFonts w:hint="eastAsia" w:ascii="仿宋" w:hAnsi="仿宋" w:eastAsia="仿宋"/>
          <w:sz w:val="32"/>
          <w:szCs w:val="32"/>
        </w:rPr>
        <w:t>万元，（人员经费预算</w:t>
      </w:r>
      <w:r>
        <w:rPr>
          <w:rFonts w:hint="eastAsia" w:ascii="仿宋" w:hAnsi="仿宋" w:eastAsia="仿宋"/>
          <w:sz w:val="32"/>
          <w:szCs w:val="32"/>
          <w:lang w:val="en-US" w:eastAsia="zh-CN"/>
        </w:rPr>
        <w:t>501.11</w:t>
      </w:r>
      <w:r>
        <w:rPr>
          <w:rFonts w:hint="eastAsia" w:ascii="仿宋" w:hAnsi="仿宋" w:eastAsia="仿宋"/>
          <w:sz w:val="32"/>
          <w:szCs w:val="32"/>
        </w:rPr>
        <w:t>万元；正常公用经费</w:t>
      </w:r>
      <w:r>
        <w:rPr>
          <w:rFonts w:hint="eastAsia" w:ascii="仿宋" w:hAnsi="仿宋" w:eastAsia="仿宋"/>
          <w:sz w:val="32"/>
          <w:szCs w:val="32"/>
          <w:lang w:val="en-US" w:eastAsia="zh-CN"/>
        </w:rPr>
        <w:t>61.74</w:t>
      </w:r>
      <w:r>
        <w:rPr>
          <w:rFonts w:hint="eastAsia" w:ascii="仿宋" w:hAnsi="仿宋" w:eastAsia="仿宋"/>
          <w:sz w:val="32"/>
          <w:szCs w:val="32"/>
        </w:rPr>
        <w:t>万元），项目支出</w:t>
      </w:r>
      <w:r>
        <w:rPr>
          <w:rFonts w:hint="eastAsia" w:ascii="仿宋" w:hAnsi="仿宋" w:eastAsia="仿宋"/>
          <w:sz w:val="32"/>
          <w:szCs w:val="32"/>
          <w:lang w:val="en-US" w:eastAsia="zh-CN"/>
        </w:rPr>
        <w:t>72</w:t>
      </w:r>
      <w:r>
        <w:rPr>
          <w:rFonts w:hint="eastAsia" w:ascii="仿宋" w:hAnsi="仿宋" w:eastAsia="仿宋"/>
          <w:sz w:val="32"/>
          <w:szCs w:val="32"/>
        </w:rPr>
        <w:t>万元，（主要是专项公用经费。）</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pPr>
        <w:pStyle w:val="3"/>
        <w:spacing w:line="560" w:lineRule="exact"/>
        <w:ind w:firstLine="585"/>
        <w:rPr>
          <w:rFonts w:hint="eastAsia" w:ascii="黑体" w:hAnsi="黑体" w:eastAsia="仿宋" w:cs="Times New Roman"/>
          <w:bCs/>
          <w:color w:val="FF0000"/>
          <w:sz w:val="32"/>
          <w:szCs w:val="32"/>
          <w:highlight w:val="yellow"/>
          <w:lang w:eastAsia="zh-CN"/>
        </w:rPr>
      </w:pPr>
      <w:r>
        <w:rPr>
          <w:rFonts w:hint="eastAsia" w:ascii="仿宋" w:hAnsi="仿宋" w:eastAsia="仿宋"/>
          <w:sz w:val="32"/>
          <w:szCs w:val="32"/>
        </w:rPr>
        <w:t>本年度预算收支安排</w:t>
      </w:r>
      <w:r>
        <w:rPr>
          <w:rFonts w:hint="eastAsia" w:ascii="仿宋" w:hAnsi="仿宋" w:eastAsia="仿宋"/>
          <w:sz w:val="32"/>
          <w:szCs w:val="32"/>
          <w:lang w:val="en-US" w:eastAsia="zh-CN"/>
        </w:rPr>
        <w:t>634.85</w:t>
      </w:r>
      <w:r>
        <w:rPr>
          <w:rFonts w:hint="eastAsia" w:ascii="仿宋" w:hAnsi="仿宋" w:eastAsia="仿宋"/>
          <w:sz w:val="32"/>
          <w:szCs w:val="32"/>
        </w:rPr>
        <w:t>万元，较上年增加</w:t>
      </w:r>
      <w:r>
        <w:rPr>
          <w:rFonts w:hint="eastAsia" w:ascii="仿宋" w:hAnsi="仿宋" w:eastAsia="仿宋"/>
          <w:sz w:val="32"/>
          <w:szCs w:val="32"/>
          <w:lang w:val="en-US" w:eastAsia="zh-CN"/>
        </w:rPr>
        <w:t>199.04</w:t>
      </w:r>
      <w:r>
        <w:rPr>
          <w:rFonts w:hint="eastAsia" w:ascii="仿宋" w:hAnsi="仿宋" w:eastAsia="仿宋"/>
          <w:sz w:val="32"/>
          <w:szCs w:val="32"/>
        </w:rPr>
        <w:t>万元，人员经费预算增加</w:t>
      </w:r>
      <w:r>
        <w:rPr>
          <w:rFonts w:hint="eastAsia" w:ascii="仿宋" w:hAnsi="仿宋" w:eastAsia="仿宋"/>
          <w:sz w:val="32"/>
          <w:szCs w:val="32"/>
          <w:lang w:val="en-US" w:eastAsia="zh-CN"/>
        </w:rPr>
        <w:t>148</w:t>
      </w:r>
      <w:r>
        <w:rPr>
          <w:rFonts w:hint="eastAsia" w:ascii="仿宋" w:hAnsi="仿宋" w:eastAsia="仿宋"/>
          <w:sz w:val="32"/>
          <w:szCs w:val="32"/>
        </w:rPr>
        <w:t>万元，正常公用经费增加</w:t>
      </w:r>
      <w:r>
        <w:rPr>
          <w:rFonts w:hint="eastAsia" w:ascii="仿宋" w:hAnsi="仿宋" w:eastAsia="仿宋"/>
          <w:sz w:val="32"/>
          <w:szCs w:val="32"/>
          <w:lang w:val="en-US" w:eastAsia="zh-CN"/>
        </w:rPr>
        <w:t>51.04</w:t>
      </w:r>
      <w:r>
        <w:rPr>
          <w:rFonts w:hint="eastAsia" w:ascii="仿宋" w:hAnsi="仿宋" w:eastAsia="仿宋"/>
          <w:sz w:val="32"/>
          <w:szCs w:val="32"/>
        </w:rPr>
        <w:t>万元。</w:t>
      </w:r>
      <w:r>
        <w:rPr>
          <w:rFonts w:hint="eastAsia" w:ascii="仿宋" w:hAnsi="仿宋" w:eastAsia="仿宋"/>
          <w:sz w:val="32"/>
          <w:szCs w:val="32"/>
          <w:lang w:eastAsia="zh-CN"/>
        </w:rPr>
        <w:t>主要原因是人员变动情况。</w:t>
      </w:r>
    </w:p>
    <w:p>
      <w:pPr>
        <w:spacing w:before="10" w:after="10"/>
        <w:ind w:firstLine="640"/>
        <w:outlineLvl w:val="5"/>
      </w:pPr>
      <w:r>
        <w:rPr>
          <w:rFonts w:hint="eastAsia" w:ascii="黑体" w:hAnsi="黑体" w:eastAsia="黑体" w:cs="黑体"/>
          <w:color w:val="000000"/>
          <w:sz w:val="32"/>
        </w:rPr>
        <w:t>三、机关运行经费安排情况</w:t>
      </w:r>
    </w:p>
    <w:p>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val="en-US" w:eastAsia="zh-CN"/>
        </w:rPr>
        <w:t>61.74</w:t>
      </w:r>
      <w:r>
        <w:rPr>
          <w:rFonts w:hint="eastAsia" w:eastAsia="方正仿宋_GBK"/>
          <w:color w:val="000000"/>
          <w:sz w:val="28"/>
        </w:rPr>
        <w:t>万元，其中包括办公费</w:t>
      </w:r>
      <w:r>
        <w:rPr>
          <w:rFonts w:hint="eastAsia" w:eastAsia="方正仿宋_GBK"/>
          <w:color w:val="000000"/>
          <w:sz w:val="28"/>
          <w:lang w:val="en-US" w:eastAsia="zh-CN"/>
        </w:rPr>
        <w:t>12.99</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6万元、公务接待费1万元、劳务费20.37万元、</w:t>
      </w:r>
      <w:r>
        <w:rPr>
          <w:rFonts w:hint="eastAsia" w:eastAsia="方正仿宋_GBK"/>
          <w:color w:val="000000"/>
          <w:sz w:val="28"/>
        </w:rPr>
        <w:t>工会经费</w:t>
      </w:r>
      <w:r>
        <w:rPr>
          <w:rFonts w:hint="eastAsia" w:eastAsia="方正仿宋_GBK"/>
          <w:color w:val="000000"/>
          <w:sz w:val="28"/>
          <w:lang w:val="en-US" w:eastAsia="zh-CN"/>
        </w:rPr>
        <w:t>3.94</w:t>
      </w:r>
      <w:r>
        <w:rPr>
          <w:rFonts w:hint="eastAsia" w:eastAsia="方正仿宋_GBK"/>
          <w:color w:val="000000"/>
          <w:sz w:val="28"/>
        </w:rPr>
        <w:t>万元、福利费</w:t>
      </w:r>
      <w:r>
        <w:rPr>
          <w:rFonts w:hint="eastAsia" w:eastAsia="方正仿宋_GBK"/>
          <w:color w:val="000000"/>
          <w:sz w:val="28"/>
          <w:lang w:val="en-US" w:eastAsia="zh-CN"/>
        </w:rPr>
        <w:t>4.76</w:t>
      </w:r>
      <w:r>
        <w:rPr>
          <w:rFonts w:hint="eastAsia" w:eastAsia="方正仿宋_GBK"/>
          <w:color w:val="000000"/>
          <w:sz w:val="28"/>
        </w:rPr>
        <w:t>万元</w:t>
      </w:r>
      <w:r>
        <w:rPr>
          <w:rFonts w:hint="eastAsia" w:eastAsia="方正仿宋_GBK"/>
          <w:color w:val="000000"/>
          <w:sz w:val="28"/>
          <w:lang w:eastAsia="zh-CN"/>
        </w:rPr>
        <w:t>、公务车运行维护费</w:t>
      </w:r>
      <w:r>
        <w:rPr>
          <w:rFonts w:hint="eastAsia" w:eastAsia="方正仿宋_GBK"/>
          <w:color w:val="000000"/>
          <w:sz w:val="28"/>
          <w:lang w:val="en-US" w:eastAsia="zh-CN"/>
        </w:rPr>
        <w:t>3万元、其他交通费用9.18万元、其他商品和服务支出0.32万元</w:t>
      </w:r>
      <w:r>
        <w:rPr>
          <w:rFonts w:hint="eastAsia" w:eastAsia="方正仿宋_GBK"/>
          <w:color w:val="000000"/>
          <w:sz w:val="28"/>
        </w:rPr>
        <w:t>。</w:t>
      </w:r>
    </w:p>
    <w:p>
      <w:pPr>
        <w:numPr>
          <w:ilvl w:val="0"/>
          <w:numId w:val="1"/>
        </w:num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财政拨款“三公”经费预算情况及增减变化原因</w:t>
      </w:r>
    </w:p>
    <w:p>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年涞水县胡家庄乡人民政府本级安排“三公经费”预算4万元，与202</w:t>
      </w:r>
      <w:r>
        <w:rPr>
          <w:rFonts w:hint="eastAsia" w:eastAsia="方正仿宋_GBK"/>
          <w:color w:val="000000"/>
          <w:sz w:val="28"/>
          <w:lang w:val="en-US" w:eastAsia="zh-CN"/>
        </w:rPr>
        <w:t>2</w:t>
      </w:r>
      <w:r>
        <w:rPr>
          <w:rFonts w:hint="eastAsia" w:eastAsia="方正仿宋_GBK"/>
          <w:color w:val="000000"/>
          <w:sz w:val="28"/>
          <w:lang w:eastAsia="zh-CN"/>
        </w:rPr>
        <w:t>年相比减少</w:t>
      </w:r>
      <w:r>
        <w:rPr>
          <w:rFonts w:hint="eastAsia" w:eastAsia="方正仿宋_GBK"/>
          <w:color w:val="000000"/>
          <w:sz w:val="28"/>
          <w:lang w:val="en-US" w:eastAsia="zh-CN"/>
        </w:rPr>
        <w:t>1.5</w:t>
      </w:r>
      <w:r>
        <w:rPr>
          <w:rFonts w:hint="eastAsia" w:eastAsia="方正仿宋_GBK"/>
          <w:color w:val="000000"/>
          <w:sz w:val="28"/>
          <w:lang w:eastAsia="zh-CN"/>
        </w:rPr>
        <w:t>万元。其中，公务用车运行维护费3万元，与202</w:t>
      </w:r>
      <w:r>
        <w:rPr>
          <w:rFonts w:hint="eastAsia" w:eastAsia="方正仿宋_GBK"/>
          <w:color w:val="000000"/>
          <w:sz w:val="28"/>
          <w:lang w:val="en-US" w:eastAsia="zh-CN"/>
        </w:rPr>
        <w:t>2</w:t>
      </w:r>
      <w:r>
        <w:rPr>
          <w:rFonts w:hint="eastAsia" w:eastAsia="方正仿宋_GBK"/>
          <w:color w:val="000000"/>
          <w:sz w:val="28"/>
          <w:lang w:eastAsia="zh-CN"/>
        </w:rPr>
        <w:t>年相比预算减少</w:t>
      </w:r>
      <w:r>
        <w:rPr>
          <w:rFonts w:hint="eastAsia" w:eastAsia="方正仿宋_GBK"/>
          <w:color w:val="000000"/>
          <w:sz w:val="28"/>
          <w:lang w:val="en-US" w:eastAsia="zh-CN"/>
        </w:rPr>
        <w:t>1</w:t>
      </w:r>
      <w:r>
        <w:rPr>
          <w:rFonts w:hint="eastAsia" w:eastAsia="方正仿宋_GBK"/>
          <w:color w:val="000000"/>
          <w:sz w:val="28"/>
          <w:lang w:eastAsia="zh-CN"/>
        </w:rPr>
        <w:t>万元，压减支出；公务接待费1万元（20批次，200人），与202</w:t>
      </w:r>
      <w:r>
        <w:rPr>
          <w:rFonts w:hint="eastAsia" w:eastAsia="方正仿宋_GBK"/>
          <w:color w:val="000000"/>
          <w:sz w:val="28"/>
          <w:lang w:val="en-US" w:eastAsia="zh-CN"/>
        </w:rPr>
        <w:t>2</w:t>
      </w:r>
      <w:r>
        <w:rPr>
          <w:rFonts w:hint="eastAsia" w:eastAsia="方正仿宋_GBK"/>
          <w:color w:val="000000"/>
          <w:sz w:val="28"/>
          <w:lang w:eastAsia="zh-CN"/>
        </w:rPr>
        <w:t>年相比减少</w:t>
      </w:r>
      <w:r>
        <w:rPr>
          <w:rFonts w:hint="eastAsia" w:eastAsia="方正仿宋_GBK"/>
          <w:color w:val="000000"/>
          <w:sz w:val="28"/>
          <w:lang w:val="en-US" w:eastAsia="zh-CN"/>
        </w:rPr>
        <w:t>0.5万元</w:t>
      </w:r>
      <w:r>
        <w:rPr>
          <w:rFonts w:hint="eastAsia" w:eastAsia="方正仿宋_GBK"/>
          <w:color w:val="000000"/>
          <w:sz w:val="28"/>
          <w:lang w:eastAsia="zh-CN"/>
        </w:rPr>
        <w:t>；因响应国家号召，压减支出；公务用车购置经费无。</w:t>
      </w:r>
    </w:p>
    <w:p>
      <w:pPr>
        <w:numPr>
          <w:ilvl w:val="0"/>
          <w:numId w:val="0"/>
        </w:numPr>
        <w:spacing w:before="10" w:after="10"/>
        <w:outlineLvl w:val="5"/>
        <w:rPr>
          <w:rFonts w:hint="eastAsia" w:ascii="黑体" w:hAnsi="黑体" w:eastAsia="黑体" w:cs="黑体"/>
          <w:color w:val="000000"/>
          <w:sz w:val="32"/>
        </w:rPr>
      </w:pPr>
    </w:p>
    <w:p>
      <w:pPr>
        <w:numPr>
          <w:ilvl w:val="0"/>
          <w:numId w:val="0"/>
        </w:numPr>
        <w:spacing w:before="10" w:after="10"/>
        <w:outlineLvl w:val="5"/>
        <w:rPr>
          <w:rFonts w:hint="eastAsia" w:ascii="黑体" w:hAnsi="黑体" w:eastAsia="黑体" w:cs="黑体"/>
          <w:color w:val="000000"/>
          <w:sz w:val="32"/>
        </w:rPr>
      </w:pPr>
    </w:p>
    <w:p>
      <w:pPr>
        <w:numPr>
          <w:ilvl w:val="0"/>
          <w:numId w:val="0"/>
        </w:numPr>
        <w:spacing w:before="10" w:after="10"/>
        <w:outlineLvl w:val="5"/>
        <w:rPr>
          <w:rFonts w:hint="eastAsia" w:ascii="黑体" w:hAnsi="黑体" w:eastAsia="黑体" w:cs="黑体"/>
          <w:color w:val="000000"/>
          <w:sz w:val="32"/>
        </w:rPr>
      </w:pPr>
    </w:p>
    <w:p>
      <w:pPr>
        <w:numPr>
          <w:ilvl w:val="0"/>
          <w:numId w:val="0"/>
        </w:numPr>
        <w:spacing w:before="10" w:after="10"/>
        <w:outlineLvl w:val="5"/>
        <w:rPr>
          <w:rFonts w:hint="eastAsia" w:ascii="黑体" w:hAnsi="黑体" w:eastAsia="黑体" w:cs="黑体"/>
          <w:color w:val="000000"/>
          <w:sz w:val="32"/>
        </w:rPr>
      </w:pPr>
    </w:p>
    <w:tbl>
      <w:tblPr>
        <w:tblStyle w:val="9"/>
        <w:tblW w:w="0" w:type="auto"/>
        <w:tblInd w:w="840" w:type="dxa"/>
        <w:tblLayout w:type="fixed"/>
        <w:tblCellMar>
          <w:top w:w="0" w:type="dxa"/>
          <w:left w:w="108" w:type="dxa"/>
          <w:bottom w:w="0" w:type="dxa"/>
          <w:right w:w="108" w:type="dxa"/>
        </w:tblCellMar>
      </w:tblPr>
      <w:tblGrid>
        <w:gridCol w:w="2575"/>
        <w:gridCol w:w="1717"/>
        <w:gridCol w:w="1717"/>
        <w:gridCol w:w="1177"/>
        <w:gridCol w:w="6629"/>
      </w:tblGrid>
      <w:tr>
        <w:tblPrEx>
          <w:tblCellMar>
            <w:top w:w="0" w:type="dxa"/>
            <w:left w:w="108" w:type="dxa"/>
            <w:bottom w:w="0" w:type="dxa"/>
            <w:right w:w="108" w:type="dxa"/>
          </w:tblCellMar>
        </w:tblPrEx>
        <w:trPr>
          <w:trHeight w:val="221" w:hRule="atLeast"/>
        </w:trPr>
        <w:tc>
          <w:tcPr>
            <w:tcW w:w="2575" w:type="dxa"/>
            <w:tcBorders>
              <w:top w:val="nil"/>
              <w:left w:val="nil"/>
              <w:bottom w:val="nil"/>
              <w:right w:val="nil"/>
            </w:tcBorders>
            <w:vAlign w:val="center"/>
          </w:tcPr>
          <w:p>
            <w:pPr>
              <w:rPr>
                <w:rFonts w:ascii="宋体" w:hAnsi="宋体" w:cs="宋体"/>
              </w:rPr>
            </w:pPr>
          </w:p>
        </w:tc>
        <w:tc>
          <w:tcPr>
            <w:tcW w:w="1717" w:type="dxa"/>
            <w:tcBorders>
              <w:top w:val="nil"/>
              <w:left w:val="nil"/>
              <w:bottom w:val="nil"/>
              <w:right w:val="nil"/>
            </w:tcBorders>
            <w:vAlign w:val="center"/>
          </w:tcPr>
          <w:p>
            <w:pPr>
              <w:rPr>
                <w:rFonts w:ascii="宋体" w:hAnsi="宋体" w:cs="宋体"/>
              </w:rPr>
            </w:pPr>
          </w:p>
        </w:tc>
        <w:tc>
          <w:tcPr>
            <w:tcW w:w="1717" w:type="dxa"/>
            <w:tcBorders>
              <w:top w:val="nil"/>
              <w:left w:val="nil"/>
              <w:bottom w:val="nil"/>
              <w:right w:val="nil"/>
            </w:tcBorders>
            <w:vAlign w:val="center"/>
          </w:tcPr>
          <w:p>
            <w:pPr>
              <w:rPr>
                <w:rFonts w:ascii="宋体" w:hAnsi="宋体" w:cs="宋体"/>
              </w:rPr>
            </w:pPr>
          </w:p>
        </w:tc>
        <w:tc>
          <w:tcPr>
            <w:tcW w:w="1177" w:type="dxa"/>
            <w:tcBorders>
              <w:top w:val="nil"/>
              <w:left w:val="nil"/>
              <w:bottom w:val="nil"/>
              <w:right w:val="nil"/>
            </w:tcBorders>
            <w:vAlign w:val="center"/>
          </w:tcPr>
          <w:p>
            <w:pPr>
              <w:rPr>
                <w:rFonts w:ascii="宋体" w:hAnsi="宋体" w:cs="宋体"/>
              </w:rPr>
            </w:pPr>
          </w:p>
        </w:tc>
        <w:tc>
          <w:tcPr>
            <w:tcW w:w="6629" w:type="dxa"/>
            <w:tcBorders>
              <w:top w:val="nil"/>
              <w:left w:val="nil"/>
              <w:bottom w:val="nil"/>
              <w:right w:val="nil"/>
            </w:tcBorders>
            <w:vAlign w:val="center"/>
          </w:tcPr>
          <w:p>
            <w:pPr>
              <w:jc w:val="right"/>
              <w:rPr>
                <w:rFonts w:ascii="宋体" w:hAnsi="宋体" w:cs="宋体"/>
              </w:rPr>
            </w:pPr>
            <w:r>
              <w:rPr>
                <w:rFonts w:hint="eastAsia" w:ascii="宋体" w:hAnsi="宋体"/>
              </w:rPr>
              <w:t>单位：万元</w:t>
            </w:r>
          </w:p>
        </w:tc>
      </w:tr>
      <w:tr>
        <w:tblPrEx>
          <w:tblCellMar>
            <w:top w:w="0" w:type="dxa"/>
            <w:left w:w="108" w:type="dxa"/>
            <w:bottom w:w="0" w:type="dxa"/>
            <w:right w:w="108" w:type="dxa"/>
          </w:tblCellMar>
        </w:tblPrEx>
        <w:trPr>
          <w:trHeight w:val="316" w:hRule="atLeast"/>
        </w:trPr>
        <w:tc>
          <w:tcPr>
            <w:tcW w:w="257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6629"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662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val="en-US" w:eastAsia="zh-CN"/>
              </w:rPr>
              <w:t>0</w:t>
            </w:r>
          </w:p>
        </w:tc>
        <w:tc>
          <w:tcPr>
            <w:tcW w:w="6629"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70" w:hRule="atLeast"/>
        </w:trPr>
        <w:tc>
          <w:tcPr>
            <w:tcW w:w="2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3</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w:t>
            </w:r>
          </w:p>
        </w:tc>
        <w:tc>
          <w:tcPr>
            <w:tcW w:w="6629" w:type="dxa"/>
            <w:tcBorders>
              <w:top w:val="nil"/>
              <w:left w:val="nil"/>
              <w:bottom w:val="single" w:color="auto" w:sz="4" w:space="0"/>
              <w:right w:val="single" w:color="auto" w:sz="4" w:space="0"/>
            </w:tcBorders>
            <w:vAlign w:val="center"/>
          </w:tcPr>
          <w:p>
            <w:pPr>
              <w:rPr>
                <w:rFonts w:hint="eastAsia" w:ascii="仿宋_GB2312" w:hAnsi="宋体" w:eastAsia="仿宋_GB2312" w:cs="宋体"/>
                <w:lang w:eastAsia="zh-CN"/>
              </w:rPr>
            </w:pPr>
            <w:r>
              <w:rPr>
                <w:rFonts w:hint="eastAsia" w:ascii="仿宋_GB2312" w:hAnsi="宋体" w:eastAsia="仿宋_GB2312" w:cs="宋体"/>
                <w:lang w:eastAsia="zh-CN"/>
              </w:rPr>
              <w:t>因响应国家号召，压减支出</w:t>
            </w:r>
          </w:p>
        </w:tc>
      </w:tr>
      <w:tr>
        <w:tblPrEx>
          <w:tblCellMar>
            <w:top w:w="0" w:type="dxa"/>
            <w:left w:w="108" w:type="dxa"/>
            <w:bottom w:w="0" w:type="dxa"/>
            <w:right w:w="108" w:type="dxa"/>
          </w:tblCellMar>
        </w:tblPrEx>
        <w:trPr>
          <w:trHeight w:val="480" w:hRule="atLeast"/>
        </w:trPr>
        <w:tc>
          <w:tcPr>
            <w:tcW w:w="2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1.5</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val="en-US" w:eastAsia="zh-CN"/>
              </w:rPr>
              <w:t>1</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0.5</w:t>
            </w:r>
          </w:p>
        </w:tc>
        <w:tc>
          <w:tcPr>
            <w:tcW w:w="6629"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cs="宋体"/>
                <w:lang w:eastAsia="zh-CN"/>
              </w:rPr>
              <w:t>因响应国家号召，压减支出</w:t>
            </w:r>
          </w:p>
        </w:tc>
      </w:tr>
      <w:tr>
        <w:tblPrEx>
          <w:tblCellMar>
            <w:top w:w="0" w:type="dxa"/>
            <w:left w:w="108" w:type="dxa"/>
            <w:bottom w:w="0" w:type="dxa"/>
            <w:right w:w="108" w:type="dxa"/>
          </w:tblCellMar>
        </w:tblPrEx>
        <w:trPr>
          <w:trHeight w:val="865" w:hRule="atLeast"/>
        </w:trPr>
        <w:tc>
          <w:tcPr>
            <w:tcW w:w="257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5.5</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1.5</w:t>
            </w:r>
          </w:p>
        </w:tc>
        <w:tc>
          <w:tcPr>
            <w:tcW w:w="6629"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cs="宋体"/>
                <w:lang w:eastAsia="zh-CN"/>
              </w:rPr>
              <w:t>因响应国家号召，压减支出</w:t>
            </w:r>
          </w:p>
        </w:tc>
      </w:tr>
    </w:tbl>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rPr>
          <w:rFonts w:hint="eastAsia" w:ascii="黑体" w:hAnsi="黑体" w:eastAsia="黑体" w:cs="黑体"/>
          <w:color w:val="000000"/>
          <w:sz w:val="32"/>
        </w:rPr>
      </w:pPr>
    </w:p>
    <w:p>
      <w:pPr>
        <w:spacing w:before="10" w:after="10"/>
        <w:ind w:firstLine="320" w:firstLineChars="10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pPr>
        <w:ind w:firstLine="281" w:firstLineChars="10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pPr>
              <w:pStyle w:val="16"/>
            </w:pPr>
            <w:r>
              <w:t>绩效目标</w:t>
            </w:r>
          </w:p>
        </w:tc>
        <w:tc>
          <w:tcPr>
            <w:tcW w:w="10678" w:type="dxa"/>
            <w:tcBorders>
              <w:bottom w:val="single" w:color="FFFFFF" w:sz="6" w:space="0"/>
            </w:tcBorders>
            <w:vAlign w:val="center"/>
          </w:tcPr>
          <w:p>
            <w:pPr>
              <w:pStyle w:val="18"/>
            </w:pPr>
            <w:r>
              <w:t>1.完成各项上级财政拨款，落实到位，保障惠民政策落实到位，做好财政国库支付电子化工作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tblPrEx>
          <w:tblCellMar>
            <w:top w:w="0" w:type="dxa"/>
            <w:left w:w="108" w:type="dxa"/>
            <w:bottom w:w="0" w:type="dxa"/>
            <w:right w:w="108" w:type="dxa"/>
          </w:tblCellMar>
        </w:tblPrEx>
        <w:trPr>
          <w:trHeight w:val="397" w:hRule="atLeast"/>
          <w:tblHeader/>
          <w:jc w:val="center"/>
        </w:trPr>
        <w:tc>
          <w:tcPr>
            <w:tcW w:w="3536" w:type="dxa"/>
            <w:noWrap w:val="0"/>
            <w:vAlign w:val="center"/>
          </w:tcPr>
          <w:p>
            <w:pPr>
              <w:pStyle w:val="16"/>
            </w:pPr>
            <w:r>
              <w:t>一级指标</w:t>
            </w:r>
          </w:p>
        </w:tc>
        <w:tc>
          <w:tcPr>
            <w:tcW w:w="3311" w:type="dxa"/>
            <w:noWrap w:val="0"/>
            <w:vAlign w:val="center"/>
          </w:tcPr>
          <w:p>
            <w:pPr>
              <w:pStyle w:val="16"/>
            </w:pPr>
            <w:r>
              <w:t>二级指标</w:t>
            </w:r>
          </w:p>
        </w:tc>
        <w:tc>
          <w:tcPr>
            <w:tcW w:w="1332" w:type="dxa"/>
            <w:noWrap w:val="0"/>
            <w:vAlign w:val="center"/>
          </w:tcPr>
          <w:p>
            <w:pPr>
              <w:pStyle w:val="16"/>
            </w:pPr>
            <w:r>
              <w:t>三级指标</w:t>
            </w:r>
          </w:p>
        </w:tc>
        <w:tc>
          <w:tcPr>
            <w:tcW w:w="3320" w:type="dxa"/>
            <w:noWrap w:val="0"/>
            <w:vAlign w:val="center"/>
          </w:tcPr>
          <w:p>
            <w:pPr>
              <w:pStyle w:val="16"/>
            </w:pPr>
            <w:r>
              <w:t>绩效指标描述</w:t>
            </w:r>
          </w:p>
        </w:tc>
        <w:tc>
          <w:tcPr>
            <w:tcW w:w="847" w:type="dxa"/>
            <w:noWrap w:val="0"/>
            <w:vAlign w:val="center"/>
          </w:tcPr>
          <w:p>
            <w:pPr>
              <w:pStyle w:val="16"/>
            </w:pPr>
            <w:r>
              <w:t>指标值</w:t>
            </w:r>
          </w:p>
        </w:tc>
        <w:tc>
          <w:tcPr>
            <w:tcW w:w="1843"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noWrap w:val="0"/>
            <w:vAlign w:val="center"/>
          </w:tcPr>
          <w:p>
            <w:pPr>
              <w:pStyle w:val="19"/>
            </w:pPr>
            <w:r>
              <w:t>产出指标</w:t>
            </w:r>
          </w:p>
        </w:tc>
        <w:tc>
          <w:tcPr>
            <w:tcW w:w="3311" w:type="dxa"/>
            <w:noWrap w:val="0"/>
            <w:vAlign w:val="center"/>
          </w:tcPr>
          <w:p>
            <w:pPr>
              <w:pStyle w:val="18"/>
            </w:pPr>
            <w:r>
              <w:t>数量指标</w:t>
            </w:r>
          </w:p>
        </w:tc>
        <w:tc>
          <w:tcPr>
            <w:tcW w:w="1332" w:type="dxa"/>
            <w:noWrap w:val="0"/>
            <w:vAlign w:val="center"/>
          </w:tcPr>
          <w:p>
            <w:pPr>
              <w:pStyle w:val="18"/>
            </w:pPr>
            <w:r>
              <w:t>工作开展完成率（%）</w:t>
            </w:r>
          </w:p>
        </w:tc>
        <w:tc>
          <w:tcPr>
            <w:tcW w:w="3320" w:type="dxa"/>
            <w:noWrap w:val="0"/>
            <w:vAlign w:val="center"/>
          </w:tcPr>
          <w:p>
            <w:pPr>
              <w:pStyle w:val="18"/>
            </w:pPr>
            <w:r>
              <w:t>工作实际开展占计划工作的比率</w:t>
            </w:r>
          </w:p>
        </w:tc>
        <w:tc>
          <w:tcPr>
            <w:tcW w:w="847" w:type="dxa"/>
            <w:noWrap w:val="0"/>
            <w:vAlign w:val="center"/>
          </w:tcPr>
          <w:p>
            <w:pPr>
              <w:pStyle w:val="18"/>
            </w:pPr>
            <w:r>
              <w:t>≥90百分比</w:t>
            </w:r>
          </w:p>
        </w:tc>
        <w:tc>
          <w:tcPr>
            <w:tcW w:w="184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tc>
        <w:tc>
          <w:tcPr>
            <w:tcW w:w="3311" w:type="dxa"/>
            <w:noWrap w:val="0"/>
            <w:vAlign w:val="center"/>
          </w:tcPr>
          <w:p>
            <w:pPr>
              <w:pStyle w:val="18"/>
            </w:pPr>
            <w:r>
              <w:t>质量指标</w:t>
            </w:r>
          </w:p>
        </w:tc>
        <w:tc>
          <w:tcPr>
            <w:tcW w:w="1332" w:type="dxa"/>
            <w:noWrap w:val="0"/>
            <w:vAlign w:val="center"/>
          </w:tcPr>
          <w:p>
            <w:pPr>
              <w:pStyle w:val="18"/>
            </w:pPr>
            <w:r>
              <w:t>资金有效使用率(%)</w:t>
            </w:r>
          </w:p>
        </w:tc>
        <w:tc>
          <w:tcPr>
            <w:tcW w:w="3320" w:type="dxa"/>
            <w:noWrap w:val="0"/>
            <w:vAlign w:val="center"/>
          </w:tcPr>
          <w:p>
            <w:pPr>
              <w:pStyle w:val="18"/>
            </w:pPr>
            <w:r>
              <w:t>资金实际使用金额占拨付金额的比率</w:t>
            </w:r>
          </w:p>
        </w:tc>
        <w:tc>
          <w:tcPr>
            <w:tcW w:w="847" w:type="dxa"/>
            <w:noWrap w:val="0"/>
            <w:vAlign w:val="center"/>
          </w:tcPr>
          <w:p>
            <w:pPr>
              <w:pStyle w:val="18"/>
            </w:pPr>
            <w:r>
              <w:t>≥90百分比</w:t>
            </w:r>
          </w:p>
        </w:tc>
        <w:tc>
          <w:tcPr>
            <w:tcW w:w="184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tc>
        <w:tc>
          <w:tcPr>
            <w:tcW w:w="3311" w:type="dxa"/>
            <w:noWrap w:val="0"/>
            <w:vAlign w:val="center"/>
          </w:tcPr>
          <w:p>
            <w:pPr>
              <w:pStyle w:val="18"/>
            </w:pPr>
            <w:r>
              <w:t>时效指标</w:t>
            </w:r>
          </w:p>
        </w:tc>
        <w:tc>
          <w:tcPr>
            <w:tcW w:w="1332" w:type="dxa"/>
            <w:noWrap w:val="0"/>
            <w:vAlign w:val="center"/>
          </w:tcPr>
          <w:p>
            <w:pPr>
              <w:pStyle w:val="18"/>
            </w:pPr>
            <w:r>
              <w:t>年度项目完成情况</w:t>
            </w:r>
          </w:p>
        </w:tc>
        <w:tc>
          <w:tcPr>
            <w:tcW w:w="3320" w:type="dxa"/>
            <w:noWrap w:val="0"/>
            <w:vAlign w:val="center"/>
          </w:tcPr>
          <w:p>
            <w:pPr>
              <w:pStyle w:val="18"/>
            </w:pPr>
            <w:r>
              <w:t>年度项目按规定时间点完成</w:t>
            </w:r>
          </w:p>
        </w:tc>
        <w:tc>
          <w:tcPr>
            <w:tcW w:w="847" w:type="dxa"/>
            <w:noWrap w:val="0"/>
            <w:vAlign w:val="center"/>
          </w:tcPr>
          <w:p>
            <w:pPr>
              <w:pStyle w:val="18"/>
            </w:pPr>
            <w:r>
              <w:t>≥90百分比</w:t>
            </w:r>
          </w:p>
        </w:tc>
        <w:tc>
          <w:tcPr>
            <w:tcW w:w="184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tc>
        <w:tc>
          <w:tcPr>
            <w:tcW w:w="3311" w:type="dxa"/>
            <w:noWrap w:val="0"/>
            <w:vAlign w:val="center"/>
          </w:tcPr>
          <w:p>
            <w:pPr>
              <w:pStyle w:val="18"/>
            </w:pPr>
            <w:r>
              <w:t>成本指标</w:t>
            </w:r>
          </w:p>
        </w:tc>
        <w:tc>
          <w:tcPr>
            <w:tcW w:w="1332" w:type="dxa"/>
            <w:noWrap w:val="0"/>
            <w:vAlign w:val="center"/>
          </w:tcPr>
          <w:p>
            <w:pPr>
              <w:pStyle w:val="18"/>
            </w:pPr>
            <w:r>
              <w:t>经费控制数</w:t>
            </w:r>
          </w:p>
        </w:tc>
        <w:tc>
          <w:tcPr>
            <w:tcW w:w="3320" w:type="dxa"/>
            <w:noWrap w:val="0"/>
            <w:vAlign w:val="center"/>
          </w:tcPr>
          <w:p>
            <w:pPr>
              <w:pStyle w:val="18"/>
            </w:pPr>
            <w:r>
              <w:t>经费控制数</w:t>
            </w:r>
          </w:p>
        </w:tc>
        <w:tc>
          <w:tcPr>
            <w:tcW w:w="847" w:type="dxa"/>
            <w:noWrap w:val="0"/>
            <w:vAlign w:val="center"/>
          </w:tcPr>
          <w:p>
            <w:pPr>
              <w:pStyle w:val="18"/>
            </w:pPr>
            <w:r>
              <w:t>≤1万元</w:t>
            </w:r>
          </w:p>
        </w:tc>
        <w:tc>
          <w:tcPr>
            <w:tcW w:w="184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pPr>
              <w:pStyle w:val="19"/>
            </w:pPr>
            <w:r>
              <w:t>效益指标</w:t>
            </w:r>
          </w:p>
        </w:tc>
        <w:tc>
          <w:tcPr>
            <w:tcW w:w="3311" w:type="dxa"/>
            <w:noWrap w:val="0"/>
            <w:vAlign w:val="center"/>
          </w:tcPr>
          <w:p>
            <w:pPr>
              <w:pStyle w:val="18"/>
            </w:pPr>
            <w:r>
              <w:t>社会效益指标</w:t>
            </w:r>
          </w:p>
        </w:tc>
        <w:tc>
          <w:tcPr>
            <w:tcW w:w="1332" w:type="dxa"/>
            <w:noWrap w:val="0"/>
            <w:vAlign w:val="center"/>
          </w:tcPr>
          <w:p>
            <w:pPr>
              <w:pStyle w:val="18"/>
            </w:pPr>
            <w:r>
              <w:t>保障人员办公</w:t>
            </w:r>
          </w:p>
        </w:tc>
        <w:tc>
          <w:tcPr>
            <w:tcW w:w="3320" w:type="dxa"/>
            <w:noWrap w:val="0"/>
            <w:vAlign w:val="center"/>
          </w:tcPr>
          <w:p>
            <w:pPr>
              <w:pStyle w:val="18"/>
            </w:pPr>
            <w:r>
              <w:t>能够保障人员日常工作效率。</w:t>
            </w:r>
          </w:p>
        </w:tc>
        <w:tc>
          <w:tcPr>
            <w:tcW w:w="847" w:type="dxa"/>
            <w:noWrap w:val="0"/>
            <w:vAlign w:val="center"/>
          </w:tcPr>
          <w:p>
            <w:pPr>
              <w:pStyle w:val="18"/>
            </w:pPr>
            <w:r>
              <w:t>≥90百分比</w:t>
            </w:r>
          </w:p>
        </w:tc>
        <w:tc>
          <w:tcPr>
            <w:tcW w:w="184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pPr>
              <w:pStyle w:val="19"/>
            </w:pPr>
            <w:r>
              <w:t>满意度指标</w:t>
            </w:r>
          </w:p>
        </w:tc>
        <w:tc>
          <w:tcPr>
            <w:tcW w:w="3311" w:type="dxa"/>
            <w:noWrap w:val="0"/>
            <w:vAlign w:val="center"/>
          </w:tcPr>
          <w:p>
            <w:pPr>
              <w:pStyle w:val="18"/>
            </w:pPr>
            <w:r>
              <w:t>服务对象满意度指标</w:t>
            </w:r>
          </w:p>
        </w:tc>
        <w:tc>
          <w:tcPr>
            <w:tcW w:w="1332" w:type="dxa"/>
            <w:noWrap w:val="0"/>
            <w:vAlign w:val="center"/>
          </w:tcPr>
          <w:p>
            <w:pPr>
              <w:pStyle w:val="18"/>
            </w:pPr>
            <w:r>
              <w:t>服务对象满意度</w:t>
            </w:r>
          </w:p>
        </w:tc>
        <w:tc>
          <w:tcPr>
            <w:tcW w:w="3320" w:type="dxa"/>
            <w:noWrap w:val="0"/>
            <w:vAlign w:val="center"/>
          </w:tcPr>
          <w:p>
            <w:pPr>
              <w:pStyle w:val="18"/>
            </w:pPr>
            <w:r>
              <w:t>服务对象满意度</w:t>
            </w:r>
          </w:p>
        </w:tc>
        <w:tc>
          <w:tcPr>
            <w:tcW w:w="847" w:type="dxa"/>
            <w:noWrap w:val="0"/>
            <w:vAlign w:val="center"/>
          </w:tcPr>
          <w:p>
            <w:pPr>
              <w:pStyle w:val="18"/>
            </w:pPr>
            <w:r>
              <w:t>≥90百分比</w:t>
            </w:r>
          </w:p>
        </w:tc>
        <w:tc>
          <w:tcPr>
            <w:tcW w:w="1843" w:type="dxa"/>
            <w:noWrap w:val="0"/>
            <w:vAlign w:val="center"/>
          </w:tcPr>
          <w:p>
            <w:pPr>
              <w:pStyle w:val="18"/>
            </w:pPr>
            <w:r>
              <w:t>依据工作方案</w:t>
            </w:r>
          </w:p>
        </w:tc>
      </w:tr>
    </w:tbl>
    <w:p>
      <w:pPr>
        <w:sectPr>
          <w:type w:val="continuous"/>
          <w:pgSz w:w="16840" w:h="11900" w:orient="landscape"/>
          <w:pgMar w:top="1361" w:right="1020" w:bottom="1134" w:left="1020" w:header="720" w:footer="720" w:gutter="0"/>
          <w:cols w:space="720" w:num="1"/>
        </w:sectPr>
      </w:pPr>
    </w:p>
    <w:p>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pPr>
              <w:pStyle w:val="16"/>
            </w:pPr>
            <w:r>
              <w:t>绩效目标</w:t>
            </w:r>
          </w:p>
        </w:tc>
        <w:tc>
          <w:tcPr>
            <w:tcW w:w="11755" w:type="dxa"/>
            <w:gridSpan w:val="5"/>
            <w:tcBorders>
              <w:bottom w:val="single" w:color="FFFFFF" w:sz="6" w:space="0"/>
            </w:tcBorders>
            <w:vAlign w:val="center"/>
          </w:tcPr>
          <w:p>
            <w:pPr>
              <w:pStyle w:val="18"/>
            </w:pPr>
            <w:r>
              <w:rPr>
                <w:rFonts w:hint="eastAsia"/>
              </w:rPr>
              <w:t>1.认真落实纪检部门各项任务，加强监督检查，促进党风廉政。发挥乡纪检监督职能，做到有案必查，有腐必惩，深化廉政教育学习。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noWrap w:val="0"/>
            <w:vAlign w:val="center"/>
          </w:tcPr>
          <w:p>
            <w:pPr>
              <w:pStyle w:val="16"/>
            </w:pPr>
            <w:r>
              <w:t>一级指标</w:t>
            </w:r>
          </w:p>
        </w:tc>
        <w:tc>
          <w:tcPr>
            <w:tcW w:w="1309" w:type="dxa"/>
            <w:noWrap w:val="0"/>
            <w:vAlign w:val="center"/>
          </w:tcPr>
          <w:p>
            <w:pPr>
              <w:pStyle w:val="16"/>
            </w:pPr>
            <w:r>
              <w:t>二级指标</w:t>
            </w:r>
          </w:p>
        </w:tc>
        <w:tc>
          <w:tcPr>
            <w:tcW w:w="1432" w:type="dxa"/>
            <w:noWrap w:val="0"/>
            <w:vAlign w:val="center"/>
          </w:tcPr>
          <w:p>
            <w:pPr>
              <w:pStyle w:val="16"/>
            </w:pPr>
            <w:r>
              <w:t>三级指标</w:t>
            </w:r>
          </w:p>
        </w:tc>
        <w:tc>
          <w:tcPr>
            <w:tcW w:w="3791" w:type="dxa"/>
            <w:noWrap w:val="0"/>
            <w:vAlign w:val="center"/>
          </w:tcPr>
          <w:p>
            <w:pPr>
              <w:pStyle w:val="16"/>
            </w:pPr>
            <w:r>
              <w:t>绩效指标描述</w:t>
            </w:r>
          </w:p>
        </w:tc>
        <w:tc>
          <w:tcPr>
            <w:tcW w:w="1445" w:type="dxa"/>
            <w:noWrap w:val="0"/>
            <w:vAlign w:val="center"/>
          </w:tcPr>
          <w:p>
            <w:pPr>
              <w:pStyle w:val="16"/>
            </w:pPr>
            <w:r>
              <w:t>指标值</w:t>
            </w:r>
          </w:p>
        </w:tc>
        <w:tc>
          <w:tcPr>
            <w:tcW w:w="3778"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noWrap w:val="0"/>
            <w:vAlign w:val="center"/>
          </w:tcPr>
          <w:p>
            <w:pPr>
              <w:pStyle w:val="19"/>
            </w:pPr>
            <w:r>
              <w:t>产出指标</w:t>
            </w:r>
          </w:p>
        </w:tc>
        <w:tc>
          <w:tcPr>
            <w:tcW w:w="1309" w:type="dxa"/>
            <w:noWrap w:val="0"/>
            <w:vAlign w:val="center"/>
          </w:tcPr>
          <w:p>
            <w:pPr>
              <w:pStyle w:val="18"/>
            </w:pPr>
            <w:r>
              <w:t>数量指标</w:t>
            </w:r>
          </w:p>
        </w:tc>
        <w:tc>
          <w:tcPr>
            <w:tcW w:w="1432" w:type="dxa"/>
            <w:noWrap w:val="0"/>
            <w:vAlign w:val="center"/>
          </w:tcPr>
          <w:p>
            <w:pPr>
              <w:pStyle w:val="18"/>
            </w:pPr>
            <w:r>
              <w:t>组织监督检查会议次数</w:t>
            </w:r>
          </w:p>
        </w:tc>
        <w:tc>
          <w:tcPr>
            <w:tcW w:w="3791" w:type="dxa"/>
            <w:noWrap w:val="0"/>
            <w:vAlign w:val="center"/>
          </w:tcPr>
          <w:p>
            <w:pPr>
              <w:pStyle w:val="18"/>
            </w:pPr>
            <w:r>
              <w:t>组织召开监督检查会议的次数</w:t>
            </w:r>
          </w:p>
        </w:tc>
        <w:tc>
          <w:tcPr>
            <w:tcW w:w="1445" w:type="dxa"/>
            <w:noWrap w:val="0"/>
            <w:vAlign w:val="center"/>
          </w:tcPr>
          <w:p>
            <w:pPr>
              <w:pStyle w:val="18"/>
            </w:pPr>
            <w:r>
              <w:t>≥5次</w:t>
            </w:r>
          </w:p>
        </w:tc>
        <w:tc>
          <w:tcPr>
            <w:tcW w:w="3778"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tc>
        <w:tc>
          <w:tcPr>
            <w:tcW w:w="1309" w:type="dxa"/>
            <w:noWrap w:val="0"/>
            <w:vAlign w:val="center"/>
          </w:tcPr>
          <w:p>
            <w:pPr>
              <w:pStyle w:val="18"/>
            </w:pPr>
            <w:r>
              <w:t>质量指标</w:t>
            </w:r>
          </w:p>
        </w:tc>
        <w:tc>
          <w:tcPr>
            <w:tcW w:w="1432" w:type="dxa"/>
            <w:noWrap w:val="0"/>
            <w:vAlign w:val="center"/>
          </w:tcPr>
          <w:p>
            <w:pPr>
              <w:pStyle w:val="18"/>
            </w:pPr>
            <w:r>
              <w:t>案件办结率</w:t>
            </w:r>
          </w:p>
        </w:tc>
        <w:tc>
          <w:tcPr>
            <w:tcW w:w="3791" w:type="dxa"/>
            <w:noWrap w:val="0"/>
            <w:vAlign w:val="center"/>
          </w:tcPr>
          <w:p>
            <w:pPr>
              <w:pStyle w:val="18"/>
            </w:pPr>
            <w:r>
              <w:t>办结案件数量占立案案件总数的比率</w:t>
            </w:r>
          </w:p>
        </w:tc>
        <w:tc>
          <w:tcPr>
            <w:tcW w:w="1445" w:type="dxa"/>
            <w:noWrap w:val="0"/>
            <w:vAlign w:val="center"/>
          </w:tcPr>
          <w:p>
            <w:pPr>
              <w:pStyle w:val="18"/>
            </w:pPr>
            <w:r>
              <w:t>≥90百分比</w:t>
            </w:r>
          </w:p>
        </w:tc>
        <w:tc>
          <w:tcPr>
            <w:tcW w:w="3778"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tc>
        <w:tc>
          <w:tcPr>
            <w:tcW w:w="1309" w:type="dxa"/>
            <w:noWrap w:val="0"/>
            <w:vAlign w:val="center"/>
          </w:tcPr>
          <w:p>
            <w:pPr>
              <w:pStyle w:val="18"/>
            </w:pPr>
            <w:r>
              <w:t>时效指标</w:t>
            </w:r>
          </w:p>
        </w:tc>
        <w:tc>
          <w:tcPr>
            <w:tcW w:w="1432" w:type="dxa"/>
            <w:noWrap w:val="0"/>
            <w:vAlign w:val="center"/>
          </w:tcPr>
          <w:p>
            <w:pPr>
              <w:pStyle w:val="18"/>
            </w:pPr>
            <w:r>
              <w:t>年度项目完成情况</w:t>
            </w:r>
          </w:p>
        </w:tc>
        <w:tc>
          <w:tcPr>
            <w:tcW w:w="3791" w:type="dxa"/>
            <w:noWrap w:val="0"/>
            <w:vAlign w:val="center"/>
          </w:tcPr>
          <w:p>
            <w:pPr>
              <w:pStyle w:val="18"/>
            </w:pPr>
            <w:r>
              <w:t>年度项目按规定时间点完成</w:t>
            </w:r>
          </w:p>
        </w:tc>
        <w:tc>
          <w:tcPr>
            <w:tcW w:w="1445" w:type="dxa"/>
            <w:noWrap w:val="0"/>
            <w:vAlign w:val="center"/>
          </w:tcPr>
          <w:p>
            <w:pPr>
              <w:pStyle w:val="18"/>
            </w:pPr>
            <w:r>
              <w:t>≥90百分比</w:t>
            </w:r>
          </w:p>
        </w:tc>
        <w:tc>
          <w:tcPr>
            <w:tcW w:w="3778"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tc>
        <w:tc>
          <w:tcPr>
            <w:tcW w:w="1309" w:type="dxa"/>
            <w:noWrap w:val="0"/>
            <w:vAlign w:val="center"/>
          </w:tcPr>
          <w:p>
            <w:pPr>
              <w:pStyle w:val="18"/>
            </w:pPr>
            <w:r>
              <w:t>成本指标</w:t>
            </w:r>
          </w:p>
        </w:tc>
        <w:tc>
          <w:tcPr>
            <w:tcW w:w="1432" w:type="dxa"/>
            <w:noWrap w:val="0"/>
            <w:vAlign w:val="center"/>
          </w:tcPr>
          <w:p>
            <w:pPr>
              <w:pStyle w:val="18"/>
            </w:pPr>
            <w:r>
              <w:t>经费控制数</w:t>
            </w:r>
          </w:p>
        </w:tc>
        <w:tc>
          <w:tcPr>
            <w:tcW w:w="3791" w:type="dxa"/>
            <w:noWrap w:val="0"/>
            <w:vAlign w:val="center"/>
          </w:tcPr>
          <w:p>
            <w:pPr>
              <w:pStyle w:val="18"/>
            </w:pPr>
            <w:r>
              <w:t>经费控制数</w:t>
            </w:r>
          </w:p>
        </w:tc>
        <w:tc>
          <w:tcPr>
            <w:tcW w:w="1445" w:type="dxa"/>
            <w:noWrap w:val="0"/>
            <w:vAlign w:val="center"/>
          </w:tcPr>
          <w:p>
            <w:pPr>
              <w:pStyle w:val="18"/>
            </w:pPr>
            <w:r>
              <w:t>≤1万元</w:t>
            </w:r>
          </w:p>
        </w:tc>
        <w:tc>
          <w:tcPr>
            <w:tcW w:w="3778"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pPr>
              <w:pStyle w:val="19"/>
            </w:pPr>
            <w:r>
              <w:t>效益指标</w:t>
            </w:r>
          </w:p>
        </w:tc>
        <w:tc>
          <w:tcPr>
            <w:tcW w:w="1309" w:type="dxa"/>
            <w:noWrap w:val="0"/>
            <w:vAlign w:val="center"/>
          </w:tcPr>
          <w:p>
            <w:pPr>
              <w:pStyle w:val="18"/>
            </w:pPr>
            <w:r>
              <w:t>社会效益指标</w:t>
            </w:r>
          </w:p>
        </w:tc>
        <w:tc>
          <w:tcPr>
            <w:tcW w:w="1432" w:type="dxa"/>
            <w:noWrap w:val="0"/>
            <w:vAlign w:val="center"/>
          </w:tcPr>
          <w:p>
            <w:pPr>
              <w:pStyle w:val="18"/>
            </w:pPr>
            <w:r>
              <w:t>社会会影响力</w:t>
            </w:r>
          </w:p>
        </w:tc>
        <w:tc>
          <w:tcPr>
            <w:tcW w:w="3791" w:type="dxa"/>
            <w:noWrap w:val="0"/>
            <w:vAlign w:val="center"/>
          </w:tcPr>
          <w:p>
            <w:pPr>
              <w:pStyle w:val="18"/>
            </w:pPr>
            <w:r>
              <w:t>在本地区产生的重要影响，得到广大受众的充分认可</w:t>
            </w:r>
          </w:p>
        </w:tc>
        <w:tc>
          <w:tcPr>
            <w:tcW w:w="1445" w:type="dxa"/>
            <w:noWrap w:val="0"/>
            <w:vAlign w:val="center"/>
          </w:tcPr>
          <w:p>
            <w:pPr>
              <w:pStyle w:val="18"/>
            </w:pPr>
            <w:r>
              <w:t>≥90百分比</w:t>
            </w:r>
          </w:p>
        </w:tc>
        <w:tc>
          <w:tcPr>
            <w:tcW w:w="3778"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pPr>
              <w:pStyle w:val="19"/>
            </w:pPr>
            <w:r>
              <w:t>满意度指标</w:t>
            </w:r>
          </w:p>
        </w:tc>
        <w:tc>
          <w:tcPr>
            <w:tcW w:w="1309" w:type="dxa"/>
            <w:noWrap w:val="0"/>
            <w:vAlign w:val="center"/>
          </w:tcPr>
          <w:p>
            <w:pPr>
              <w:pStyle w:val="18"/>
            </w:pPr>
            <w:r>
              <w:t>服务对象满意度指标</w:t>
            </w:r>
          </w:p>
        </w:tc>
        <w:tc>
          <w:tcPr>
            <w:tcW w:w="1432" w:type="dxa"/>
            <w:noWrap w:val="0"/>
            <w:vAlign w:val="center"/>
          </w:tcPr>
          <w:p>
            <w:pPr>
              <w:pStyle w:val="18"/>
            </w:pPr>
            <w:r>
              <w:t>群众满意度</w:t>
            </w:r>
          </w:p>
        </w:tc>
        <w:tc>
          <w:tcPr>
            <w:tcW w:w="3791" w:type="dxa"/>
            <w:noWrap w:val="0"/>
            <w:vAlign w:val="center"/>
          </w:tcPr>
          <w:p>
            <w:pPr>
              <w:pStyle w:val="18"/>
            </w:pPr>
            <w:r>
              <w:t>群众对当年纪检监督工作的整体满意度</w:t>
            </w:r>
          </w:p>
        </w:tc>
        <w:tc>
          <w:tcPr>
            <w:tcW w:w="1445" w:type="dxa"/>
            <w:noWrap w:val="0"/>
            <w:vAlign w:val="center"/>
          </w:tcPr>
          <w:p>
            <w:pPr>
              <w:pStyle w:val="18"/>
            </w:pPr>
            <w:r>
              <w:t>≥90百分比</w:t>
            </w:r>
          </w:p>
        </w:tc>
        <w:tc>
          <w:tcPr>
            <w:tcW w:w="3778" w:type="dxa"/>
            <w:noWrap w:val="0"/>
            <w:vAlign w:val="center"/>
          </w:tcPr>
          <w:p>
            <w:pPr>
              <w:pStyle w:val="18"/>
            </w:pPr>
            <w:r>
              <w:t>依据工作方案</w:t>
            </w:r>
          </w:p>
        </w:tc>
      </w:tr>
    </w:tbl>
    <w:p>
      <w:pPr>
        <w:spacing w:line="2" w:lineRule="exact"/>
        <w:jc w:val="center"/>
      </w:pPr>
    </w:p>
    <w:p>
      <w:pPr>
        <w:bidi w:val="0"/>
        <w:rPr>
          <w:rFonts w:ascii="Times New Roman" w:hAnsi="Times New Roman" w:eastAsia="宋体" w:cs="Times New Roman"/>
          <w:sz w:val="24"/>
          <w:szCs w:val="24"/>
          <w:lang w:val="en-US" w:eastAsia="uk-UA" w:bidi="ar-SA"/>
        </w:rPr>
      </w:pPr>
    </w:p>
    <w:p>
      <w:pPr>
        <w:bidi w:val="0"/>
        <w:rPr>
          <w:lang w:val="en-US" w:eastAsia="uk-UA"/>
        </w:rPr>
      </w:pPr>
    </w:p>
    <w:p>
      <w:pPr>
        <w:tabs>
          <w:tab w:val="left" w:pos="854"/>
        </w:tabs>
        <w:bidi w:val="0"/>
        <w:jc w:val="left"/>
        <w:rPr>
          <w:rFonts w:hint="eastAsia" w:eastAsia="宋体"/>
          <w:lang w:val="en-US" w:eastAsia="zh-CN"/>
        </w:rPr>
        <w:sectPr>
          <w:pgSz w:w="16840" w:h="11900" w:orient="landscape"/>
          <w:pgMar w:top="1361" w:right="1020" w:bottom="1134" w:left="1020" w:header="720" w:footer="720" w:gutter="0"/>
          <w:cols w:space="720" w:num="1"/>
        </w:sectPr>
      </w:pPr>
    </w:p>
    <w:p>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gridSpan w:val="5"/>
            <w:tcBorders>
              <w:bottom w:val="single" w:color="FFFFFF" w:sz="6" w:space="0"/>
            </w:tcBorders>
            <w:vAlign w:val="center"/>
          </w:tcPr>
          <w:p>
            <w:pPr>
              <w:pStyle w:val="18"/>
            </w:pPr>
            <w:r>
              <w:rPr>
                <w:rFonts w:hint="eastAsia"/>
              </w:rPr>
              <w:t>1.加强文化队伍和村级文化阵地建设，营造镇域文化氛围，发掘民间艺术资源以及开展群娱活动。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pPr>
              <w:pStyle w:val="16"/>
            </w:pPr>
            <w:r>
              <w:t>一级指标</w:t>
            </w:r>
          </w:p>
        </w:tc>
        <w:tc>
          <w:tcPr>
            <w:tcW w:w="1135" w:type="dxa"/>
            <w:noWrap w:val="0"/>
            <w:vAlign w:val="center"/>
          </w:tcPr>
          <w:p>
            <w:pPr>
              <w:pStyle w:val="16"/>
            </w:pPr>
            <w:r>
              <w:t>二级指标</w:t>
            </w:r>
          </w:p>
        </w:tc>
        <w:tc>
          <w:tcPr>
            <w:tcW w:w="1884" w:type="dxa"/>
            <w:noWrap w:val="0"/>
            <w:vAlign w:val="center"/>
          </w:tcPr>
          <w:p>
            <w:pPr>
              <w:pStyle w:val="16"/>
            </w:pPr>
            <w:r>
              <w:t>三级指标</w:t>
            </w:r>
          </w:p>
        </w:tc>
        <w:tc>
          <w:tcPr>
            <w:tcW w:w="4091" w:type="dxa"/>
            <w:noWrap w:val="0"/>
            <w:vAlign w:val="center"/>
          </w:tcPr>
          <w:p>
            <w:pPr>
              <w:pStyle w:val="16"/>
            </w:pPr>
            <w:r>
              <w:t>绩效指标描述</w:t>
            </w:r>
          </w:p>
        </w:tc>
        <w:tc>
          <w:tcPr>
            <w:tcW w:w="1664" w:type="dxa"/>
            <w:noWrap w:val="0"/>
            <w:vAlign w:val="center"/>
          </w:tcPr>
          <w:p>
            <w:pPr>
              <w:pStyle w:val="16"/>
            </w:pPr>
            <w:r>
              <w:t>指标值</w:t>
            </w:r>
          </w:p>
        </w:tc>
        <w:tc>
          <w:tcPr>
            <w:tcW w:w="3982"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noWrap w:val="0"/>
            <w:vAlign w:val="center"/>
          </w:tcPr>
          <w:p>
            <w:pPr>
              <w:pStyle w:val="19"/>
            </w:pPr>
            <w:r>
              <w:t>产出指标</w:t>
            </w:r>
          </w:p>
        </w:tc>
        <w:tc>
          <w:tcPr>
            <w:tcW w:w="1135" w:type="dxa"/>
            <w:noWrap w:val="0"/>
            <w:vAlign w:val="center"/>
          </w:tcPr>
          <w:p>
            <w:pPr>
              <w:pStyle w:val="18"/>
            </w:pPr>
            <w:r>
              <w:t>数量指标</w:t>
            </w:r>
          </w:p>
        </w:tc>
        <w:tc>
          <w:tcPr>
            <w:tcW w:w="1884" w:type="dxa"/>
            <w:noWrap w:val="0"/>
            <w:vAlign w:val="center"/>
          </w:tcPr>
          <w:p>
            <w:pPr>
              <w:pStyle w:val="18"/>
            </w:pPr>
            <w:r>
              <w:t>公共文化服务活动数量</w:t>
            </w:r>
          </w:p>
        </w:tc>
        <w:tc>
          <w:tcPr>
            <w:tcW w:w="4091" w:type="dxa"/>
            <w:noWrap w:val="0"/>
            <w:vAlign w:val="center"/>
          </w:tcPr>
          <w:p>
            <w:pPr>
              <w:pStyle w:val="18"/>
            </w:pPr>
            <w:r>
              <w:t>各类公共文化服务活动组织开展的数量</w:t>
            </w:r>
          </w:p>
        </w:tc>
        <w:tc>
          <w:tcPr>
            <w:tcW w:w="1664" w:type="dxa"/>
            <w:noWrap w:val="0"/>
            <w:vAlign w:val="center"/>
          </w:tcPr>
          <w:p>
            <w:pPr>
              <w:pStyle w:val="18"/>
            </w:pPr>
            <w:r>
              <w:t>≥10次</w:t>
            </w:r>
          </w:p>
        </w:tc>
        <w:tc>
          <w:tcPr>
            <w:tcW w:w="3982"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tc>
        <w:tc>
          <w:tcPr>
            <w:tcW w:w="1135" w:type="dxa"/>
            <w:noWrap w:val="0"/>
            <w:vAlign w:val="center"/>
          </w:tcPr>
          <w:p>
            <w:pPr>
              <w:pStyle w:val="18"/>
            </w:pPr>
            <w:r>
              <w:t>质量指标</w:t>
            </w:r>
          </w:p>
        </w:tc>
        <w:tc>
          <w:tcPr>
            <w:tcW w:w="1884" w:type="dxa"/>
            <w:noWrap w:val="0"/>
            <w:vAlign w:val="center"/>
          </w:tcPr>
          <w:p>
            <w:pPr>
              <w:pStyle w:val="18"/>
            </w:pPr>
            <w:r>
              <w:t>文化设施达标率</w:t>
            </w:r>
          </w:p>
        </w:tc>
        <w:tc>
          <w:tcPr>
            <w:tcW w:w="4091" w:type="dxa"/>
            <w:noWrap w:val="0"/>
            <w:vAlign w:val="center"/>
          </w:tcPr>
          <w:p>
            <w:pPr>
              <w:pStyle w:val="18"/>
            </w:pPr>
            <w:r>
              <w:t>省内实际文化设施达标数量占文化设施总数的比率</w:t>
            </w:r>
          </w:p>
        </w:tc>
        <w:tc>
          <w:tcPr>
            <w:tcW w:w="1664" w:type="dxa"/>
            <w:noWrap w:val="0"/>
            <w:vAlign w:val="center"/>
          </w:tcPr>
          <w:p>
            <w:pPr>
              <w:pStyle w:val="18"/>
            </w:pPr>
            <w:r>
              <w:t>≥90百分比</w:t>
            </w:r>
          </w:p>
        </w:tc>
        <w:tc>
          <w:tcPr>
            <w:tcW w:w="3982"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tc>
        <w:tc>
          <w:tcPr>
            <w:tcW w:w="1135" w:type="dxa"/>
            <w:noWrap w:val="0"/>
            <w:vAlign w:val="center"/>
          </w:tcPr>
          <w:p>
            <w:pPr>
              <w:pStyle w:val="18"/>
            </w:pPr>
            <w:r>
              <w:t>时效指标</w:t>
            </w:r>
          </w:p>
        </w:tc>
        <w:tc>
          <w:tcPr>
            <w:tcW w:w="1884" w:type="dxa"/>
            <w:noWrap w:val="0"/>
            <w:vAlign w:val="center"/>
          </w:tcPr>
          <w:p>
            <w:pPr>
              <w:pStyle w:val="18"/>
            </w:pPr>
            <w:r>
              <w:t>年度项目完成情况</w:t>
            </w:r>
          </w:p>
        </w:tc>
        <w:tc>
          <w:tcPr>
            <w:tcW w:w="4091" w:type="dxa"/>
            <w:noWrap w:val="0"/>
            <w:vAlign w:val="center"/>
          </w:tcPr>
          <w:p>
            <w:pPr>
              <w:pStyle w:val="18"/>
            </w:pPr>
            <w:r>
              <w:t>年度项目按规定时间点完成</w:t>
            </w:r>
          </w:p>
        </w:tc>
        <w:tc>
          <w:tcPr>
            <w:tcW w:w="1664" w:type="dxa"/>
            <w:noWrap w:val="0"/>
            <w:vAlign w:val="center"/>
          </w:tcPr>
          <w:p>
            <w:pPr>
              <w:pStyle w:val="18"/>
            </w:pPr>
            <w:r>
              <w:t>≥90百分比</w:t>
            </w:r>
          </w:p>
        </w:tc>
        <w:tc>
          <w:tcPr>
            <w:tcW w:w="3982"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tc>
        <w:tc>
          <w:tcPr>
            <w:tcW w:w="1135" w:type="dxa"/>
            <w:noWrap w:val="0"/>
            <w:vAlign w:val="center"/>
          </w:tcPr>
          <w:p>
            <w:pPr>
              <w:pStyle w:val="18"/>
            </w:pPr>
            <w:r>
              <w:t>成本指标</w:t>
            </w:r>
          </w:p>
        </w:tc>
        <w:tc>
          <w:tcPr>
            <w:tcW w:w="1884" w:type="dxa"/>
            <w:noWrap w:val="0"/>
            <w:vAlign w:val="center"/>
          </w:tcPr>
          <w:p>
            <w:pPr>
              <w:pStyle w:val="18"/>
            </w:pPr>
            <w:r>
              <w:t>经费控制数</w:t>
            </w:r>
          </w:p>
        </w:tc>
        <w:tc>
          <w:tcPr>
            <w:tcW w:w="4091" w:type="dxa"/>
            <w:noWrap w:val="0"/>
            <w:vAlign w:val="center"/>
          </w:tcPr>
          <w:p>
            <w:pPr>
              <w:pStyle w:val="18"/>
            </w:pPr>
            <w:r>
              <w:t>经费控制数</w:t>
            </w:r>
          </w:p>
        </w:tc>
        <w:tc>
          <w:tcPr>
            <w:tcW w:w="1664" w:type="dxa"/>
            <w:noWrap w:val="0"/>
            <w:vAlign w:val="center"/>
          </w:tcPr>
          <w:p>
            <w:pPr>
              <w:pStyle w:val="18"/>
            </w:pPr>
            <w:r>
              <w:t>≤1.75万元</w:t>
            </w:r>
          </w:p>
        </w:tc>
        <w:tc>
          <w:tcPr>
            <w:tcW w:w="3982"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pPr>
              <w:pStyle w:val="19"/>
            </w:pPr>
            <w:r>
              <w:t>效益指标</w:t>
            </w:r>
          </w:p>
        </w:tc>
        <w:tc>
          <w:tcPr>
            <w:tcW w:w="1135" w:type="dxa"/>
            <w:noWrap w:val="0"/>
            <w:vAlign w:val="center"/>
          </w:tcPr>
          <w:p>
            <w:pPr>
              <w:pStyle w:val="18"/>
            </w:pPr>
            <w:r>
              <w:t>社会效益指标</w:t>
            </w:r>
          </w:p>
        </w:tc>
        <w:tc>
          <w:tcPr>
            <w:tcW w:w="1884" w:type="dxa"/>
            <w:noWrap w:val="0"/>
            <w:vAlign w:val="center"/>
          </w:tcPr>
          <w:p>
            <w:pPr>
              <w:pStyle w:val="18"/>
            </w:pPr>
            <w:r>
              <w:t>对宣传文化事业发展促进推动作用</w:t>
            </w:r>
          </w:p>
        </w:tc>
        <w:tc>
          <w:tcPr>
            <w:tcW w:w="4091" w:type="dxa"/>
            <w:noWrap w:val="0"/>
            <w:vAlign w:val="center"/>
          </w:tcPr>
          <w:p>
            <w:pPr>
              <w:pStyle w:val="18"/>
            </w:pPr>
            <w:r>
              <w:t>通过支持重点宣传文化项目建设，带动全省宣传文化事业发展的效果</w:t>
            </w:r>
          </w:p>
        </w:tc>
        <w:tc>
          <w:tcPr>
            <w:tcW w:w="1664" w:type="dxa"/>
            <w:noWrap w:val="0"/>
            <w:vAlign w:val="center"/>
          </w:tcPr>
          <w:p>
            <w:pPr>
              <w:pStyle w:val="18"/>
            </w:pPr>
            <w:r>
              <w:t>≥90百分比</w:t>
            </w:r>
          </w:p>
        </w:tc>
        <w:tc>
          <w:tcPr>
            <w:tcW w:w="3982"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pPr>
              <w:pStyle w:val="19"/>
            </w:pPr>
            <w:r>
              <w:t>满意度指标</w:t>
            </w:r>
          </w:p>
        </w:tc>
        <w:tc>
          <w:tcPr>
            <w:tcW w:w="1135" w:type="dxa"/>
            <w:noWrap w:val="0"/>
            <w:vAlign w:val="center"/>
          </w:tcPr>
          <w:p>
            <w:pPr>
              <w:pStyle w:val="18"/>
            </w:pPr>
            <w:r>
              <w:t>服务对象满意度指标</w:t>
            </w:r>
          </w:p>
        </w:tc>
        <w:tc>
          <w:tcPr>
            <w:tcW w:w="1884" w:type="dxa"/>
            <w:noWrap w:val="0"/>
            <w:vAlign w:val="center"/>
          </w:tcPr>
          <w:p>
            <w:pPr>
              <w:pStyle w:val="18"/>
            </w:pPr>
            <w:r>
              <w:t>群众满意度</w:t>
            </w:r>
          </w:p>
        </w:tc>
        <w:tc>
          <w:tcPr>
            <w:tcW w:w="4091" w:type="dxa"/>
            <w:noWrap w:val="0"/>
            <w:vAlign w:val="center"/>
          </w:tcPr>
          <w:p>
            <w:pPr>
              <w:pStyle w:val="18"/>
            </w:pPr>
            <w:r>
              <w:t>接受乡镇政府服务的人群对乡镇政府所提供服务的满意程度</w:t>
            </w:r>
          </w:p>
        </w:tc>
        <w:tc>
          <w:tcPr>
            <w:tcW w:w="1664" w:type="dxa"/>
            <w:noWrap w:val="0"/>
            <w:vAlign w:val="center"/>
          </w:tcPr>
          <w:p>
            <w:pPr>
              <w:pStyle w:val="18"/>
            </w:pPr>
            <w:r>
              <w:t>≥90百分比</w:t>
            </w:r>
          </w:p>
        </w:tc>
        <w:tc>
          <w:tcPr>
            <w:tcW w:w="3982" w:type="dxa"/>
            <w:noWrap w:val="0"/>
            <w:vAlign w:val="center"/>
          </w:tcPr>
          <w:p>
            <w:pPr>
              <w:pStyle w:val="18"/>
            </w:pPr>
            <w:r>
              <w:t>依据工作方案</w:t>
            </w:r>
          </w:p>
        </w:tc>
      </w:tr>
    </w:tbl>
    <w:p>
      <w:pPr>
        <w:spacing w:line="2" w:lineRule="exact"/>
        <w:jc w:val="center"/>
      </w:pPr>
      <w:r>
        <w:rPr>
          <w:rFonts w:ascii="方正书宋_GBK" w:hAnsi="方正书宋_GBK" w:eastAsia="方正书宋_GBK" w:cs="方正书宋_GBK"/>
          <w:color w:val="000000"/>
          <w:sz w:val="18"/>
        </w:rPr>
        <w:t xml:space="preserve"> </w:t>
      </w:r>
    </w:p>
    <w:p>
      <w:pPr>
        <w:sectPr>
          <w:pgSz w:w="16840" w:h="11900" w:orient="landscape"/>
          <w:pgMar w:top="1361" w:right="1020" w:bottom="1134" w:left="1020" w:header="720" w:footer="720" w:gutter="0"/>
          <w:cols w:space="720" w:num="1"/>
        </w:sectPr>
      </w:pPr>
    </w:p>
    <w:p>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pPr>
              <w:pStyle w:val="16"/>
            </w:pPr>
            <w:r>
              <w:t>绩效目标</w:t>
            </w:r>
          </w:p>
        </w:tc>
        <w:tc>
          <w:tcPr>
            <w:tcW w:w="12756" w:type="dxa"/>
            <w:gridSpan w:val="5"/>
            <w:tcBorders>
              <w:bottom w:val="single" w:color="FFFFFF" w:sz="6" w:space="0"/>
            </w:tcBorders>
            <w:vAlign w:val="center"/>
          </w:tcPr>
          <w:p>
            <w:pPr>
              <w:pStyle w:val="18"/>
            </w:pPr>
            <w:r>
              <w:rPr>
                <w:rFonts w:hint="eastAsia"/>
              </w:rPr>
              <w:t>1.落实中央2015（18）号文件精神和省委市委落实中央18号文件的意见，切实加强基层人大建设，保障乡人大主席团的正常运转。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pPr>
              <w:pStyle w:val="16"/>
            </w:pPr>
            <w:r>
              <w:t>一级指标</w:t>
            </w:r>
          </w:p>
        </w:tc>
        <w:tc>
          <w:tcPr>
            <w:tcW w:w="1276" w:type="dxa"/>
            <w:gridSpan w:val="2"/>
            <w:noWrap w:val="0"/>
            <w:vAlign w:val="center"/>
          </w:tcPr>
          <w:p>
            <w:pPr>
              <w:pStyle w:val="16"/>
            </w:pPr>
            <w:r>
              <w:t>二级指标</w:t>
            </w:r>
          </w:p>
        </w:tc>
        <w:tc>
          <w:tcPr>
            <w:tcW w:w="2239" w:type="dxa"/>
            <w:noWrap w:val="0"/>
            <w:vAlign w:val="center"/>
          </w:tcPr>
          <w:p>
            <w:pPr>
              <w:pStyle w:val="16"/>
            </w:pPr>
            <w:r>
              <w:t>三级指标</w:t>
            </w:r>
          </w:p>
        </w:tc>
        <w:tc>
          <w:tcPr>
            <w:tcW w:w="4227" w:type="dxa"/>
            <w:noWrap w:val="0"/>
            <w:vAlign w:val="center"/>
          </w:tcPr>
          <w:p>
            <w:pPr>
              <w:pStyle w:val="16"/>
            </w:pPr>
            <w:r>
              <w:t>绩效指标描述</w:t>
            </w:r>
          </w:p>
        </w:tc>
        <w:tc>
          <w:tcPr>
            <w:tcW w:w="1991" w:type="dxa"/>
            <w:noWrap w:val="0"/>
            <w:vAlign w:val="center"/>
          </w:tcPr>
          <w:p>
            <w:pPr>
              <w:pStyle w:val="16"/>
            </w:pPr>
            <w:r>
              <w:t>指标值</w:t>
            </w:r>
          </w:p>
        </w:tc>
        <w:tc>
          <w:tcPr>
            <w:tcW w:w="3164"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pPr>
              <w:pStyle w:val="19"/>
            </w:pPr>
            <w:r>
              <w:t>产出指标</w:t>
            </w:r>
          </w:p>
        </w:tc>
        <w:tc>
          <w:tcPr>
            <w:tcW w:w="1276" w:type="dxa"/>
            <w:gridSpan w:val="2"/>
            <w:noWrap w:val="0"/>
            <w:vAlign w:val="center"/>
          </w:tcPr>
          <w:p>
            <w:pPr>
              <w:pStyle w:val="18"/>
            </w:pPr>
            <w:r>
              <w:t>数量指标</w:t>
            </w:r>
          </w:p>
        </w:tc>
        <w:tc>
          <w:tcPr>
            <w:tcW w:w="2239" w:type="dxa"/>
            <w:noWrap w:val="0"/>
            <w:vAlign w:val="center"/>
          </w:tcPr>
          <w:p>
            <w:pPr>
              <w:pStyle w:val="18"/>
            </w:pPr>
            <w:r>
              <w:t>参与政府决策活动次数</w:t>
            </w:r>
          </w:p>
        </w:tc>
        <w:tc>
          <w:tcPr>
            <w:tcW w:w="4227" w:type="dxa"/>
            <w:noWrap w:val="0"/>
            <w:vAlign w:val="center"/>
          </w:tcPr>
          <w:p>
            <w:pPr>
              <w:pStyle w:val="18"/>
            </w:pPr>
            <w:r>
              <w:t>参与决策咨询活动次数</w:t>
            </w:r>
          </w:p>
        </w:tc>
        <w:tc>
          <w:tcPr>
            <w:tcW w:w="1991" w:type="dxa"/>
            <w:noWrap w:val="0"/>
            <w:vAlign w:val="center"/>
          </w:tcPr>
          <w:p>
            <w:pPr>
              <w:pStyle w:val="18"/>
            </w:pPr>
            <w:r>
              <w:t>≥5次</w:t>
            </w:r>
          </w:p>
        </w:tc>
        <w:tc>
          <w:tcPr>
            <w:tcW w:w="3164"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tc>
        <w:tc>
          <w:tcPr>
            <w:tcW w:w="1276" w:type="dxa"/>
            <w:gridSpan w:val="2"/>
            <w:noWrap w:val="0"/>
            <w:vAlign w:val="center"/>
          </w:tcPr>
          <w:p>
            <w:pPr>
              <w:pStyle w:val="18"/>
            </w:pPr>
            <w:r>
              <w:t>质量指标</w:t>
            </w:r>
          </w:p>
        </w:tc>
        <w:tc>
          <w:tcPr>
            <w:tcW w:w="2239" w:type="dxa"/>
            <w:noWrap w:val="0"/>
            <w:vAlign w:val="center"/>
          </w:tcPr>
          <w:p>
            <w:pPr>
              <w:pStyle w:val="18"/>
            </w:pPr>
            <w:r>
              <w:t>工作经费使用率</w:t>
            </w:r>
          </w:p>
        </w:tc>
        <w:tc>
          <w:tcPr>
            <w:tcW w:w="4227" w:type="dxa"/>
            <w:noWrap w:val="0"/>
            <w:vAlign w:val="center"/>
          </w:tcPr>
          <w:p>
            <w:pPr>
              <w:pStyle w:val="18"/>
            </w:pPr>
            <w:r>
              <w:t>经费使用占拨付经费的比率</w:t>
            </w:r>
          </w:p>
        </w:tc>
        <w:tc>
          <w:tcPr>
            <w:tcW w:w="1991" w:type="dxa"/>
            <w:noWrap w:val="0"/>
            <w:vAlign w:val="center"/>
          </w:tcPr>
          <w:p>
            <w:pPr>
              <w:pStyle w:val="18"/>
            </w:pPr>
            <w:r>
              <w:t>≥85百分比</w:t>
            </w:r>
          </w:p>
        </w:tc>
        <w:tc>
          <w:tcPr>
            <w:tcW w:w="3164"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tc>
        <w:tc>
          <w:tcPr>
            <w:tcW w:w="1276" w:type="dxa"/>
            <w:gridSpan w:val="2"/>
            <w:noWrap w:val="0"/>
            <w:vAlign w:val="center"/>
          </w:tcPr>
          <w:p>
            <w:pPr>
              <w:pStyle w:val="18"/>
            </w:pPr>
            <w:r>
              <w:t>时效指标</w:t>
            </w:r>
          </w:p>
        </w:tc>
        <w:tc>
          <w:tcPr>
            <w:tcW w:w="2239" w:type="dxa"/>
            <w:noWrap w:val="0"/>
            <w:vAlign w:val="center"/>
          </w:tcPr>
          <w:p>
            <w:pPr>
              <w:pStyle w:val="18"/>
            </w:pPr>
            <w:r>
              <w:t>年度项目完成情况</w:t>
            </w:r>
          </w:p>
        </w:tc>
        <w:tc>
          <w:tcPr>
            <w:tcW w:w="4227" w:type="dxa"/>
            <w:noWrap w:val="0"/>
            <w:vAlign w:val="center"/>
          </w:tcPr>
          <w:p>
            <w:pPr>
              <w:pStyle w:val="18"/>
            </w:pPr>
            <w:r>
              <w:t>年度项目按规定时间点完成</w:t>
            </w:r>
          </w:p>
        </w:tc>
        <w:tc>
          <w:tcPr>
            <w:tcW w:w="1991" w:type="dxa"/>
            <w:noWrap w:val="0"/>
            <w:vAlign w:val="center"/>
          </w:tcPr>
          <w:p>
            <w:pPr>
              <w:pStyle w:val="18"/>
            </w:pPr>
            <w:r>
              <w:t>≥90百分比</w:t>
            </w:r>
          </w:p>
        </w:tc>
        <w:tc>
          <w:tcPr>
            <w:tcW w:w="3164"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tc>
        <w:tc>
          <w:tcPr>
            <w:tcW w:w="1276" w:type="dxa"/>
            <w:gridSpan w:val="2"/>
            <w:noWrap w:val="0"/>
            <w:vAlign w:val="center"/>
          </w:tcPr>
          <w:p>
            <w:pPr>
              <w:pStyle w:val="18"/>
            </w:pPr>
            <w:r>
              <w:t>成本指标</w:t>
            </w:r>
          </w:p>
        </w:tc>
        <w:tc>
          <w:tcPr>
            <w:tcW w:w="2239" w:type="dxa"/>
            <w:noWrap w:val="0"/>
            <w:vAlign w:val="center"/>
          </w:tcPr>
          <w:p>
            <w:pPr>
              <w:pStyle w:val="18"/>
            </w:pPr>
            <w:r>
              <w:t>经费控制数</w:t>
            </w:r>
          </w:p>
        </w:tc>
        <w:tc>
          <w:tcPr>
            <w:tcW w:w="4227" w:type="dxa"/>
            <w:noWrap w:val="0"/>
            <w:vAlign w:val="center"/>
          </w:tcPr>
          <w:p>
            <w:pPr>
              <w:pStyle w:val="18"/>
            </w:pPr>
            <w:r>
              <w:t>经费控制数</w:t>
            </w:r>
          </w:p>
        </w:tc>
        <w:tc>
          <w:tcPr>
            <w:tcW w:w="1991" w:type="dxa"/>
            <w:noWrap w:val="0"/>
            <w:vAlign w:val="center"/>
          </w:tcPr>
          <w:p>
            <w:pPr>
              <w:pStyle w:val="18"/>
            </w:pPr>
            <w:r>
              <w:t>≤3万元</w:t>
            </w:r>
          </w:p>
        </w:tc>
        <w:tc>
          <w:tcPr>
            <w:tcW w:w="3164"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pPr>
              <w:pStyle w:val="19"/>
            </w:pPr>
            <w:r>
              <w:t>效益指标</w:t>
            </w:r>
          </w:p>
        </w:tc>
        <w:tc>
          <w:tcPr>
            <w:tcW w:w="1276" w:type="dxa"/>
            <w:gridSpan w:val="2"/>
            <w:noWrap w:val="0"/>
            <w:vAlign w:val="center"/>
          </w:tcPr>
          <w:p>
            <w:pPr>
              <w:pStyle w:val="18"/>
            </w:pPr>
            <w:r>
              <w:t>社会效益指标</w:t>
            </w:r>
          </w:p>
        </w:tc>
        <w:tc>
          <w:tcPr>
            <w:tcW w:w="2239" w:type="dxa"/>
            <w:noWrap w:val="0"/>
            <w:vAlign w:val="center"/>
          </w:tcPr>
          <w:p>
            <w:pPr>
              <w:pStyle w:val="18"/>
            </w:pPr>
            <w:r>
              <w:t>社会影响力</w:t>
            </w:r>
          </w:p>
        </w:tc>
        <w:tc>
          <w:tcPr>
            <w:tcW w:w="4227" w:type="dxa"/>
            <w:noWrap w:val="0"/>
            <w:vAlign w:val="center"/>
          </w:tcPr>
          <w:p>
            <w:pPr>
              <w:pStyle w:val="18"/>
            </w:pPr>
            <w:r>
              <w:t>在本地区产生的重要影响，得到广大受众的充分认可。</w:t>
            </w:r>
          </w:p>
        </w:tc>
        <w:tc>
          <w:tcPr>
            <w:tcW w:w="1991" w:type="dxa"/>
            <w:noWrap w:val="0"/>
            <w:vAlign w:val="center"/>
          </w:tcPr>
          <w:p>
            <w:pPr>
              <w:pStyle w:val="18"/>
            </w:pPr>
            <w:r>
              <w:t>≥85百分比</w:t>
            </w:r>
          </w:p>
        </w:tc>
        <w:tc>
          <w:tcPr>
            <w:tcW w:w="3164"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pPr>
              <w:pStyle w:val="19"/>
            </w:pPr>
            <w:r>
              <w:t>满意度指标</w:t>
            </w:r>
          </w:p>
        </w:tc>
        <w:tc>
          <w:tcPr>
            <w:tcW w:w="1276" w:type="dxa"/>
            <w:gridSpan w:val="2"/>
            <w:noWrap w:val="0"/>
            <w:vAlign w:val="center"/>
          </w:tcPr>
          <w:p>
            <w:pPr>
              <w:pStyle w:val="18"/>
            </w:pPr>
            <w:r>
              <w:t>服务对象满意度指标</w:t>
            </w:r>
          </w:p>
        </w:tc>
        <w:tc>
          <w:tcPr>
            <w:tcW w:w="2239" w:type="dxa"/>
            <w:noWrap w:val="0"/>
            <w:vAlign w:val="center"/>
          </w:tcPr>
          <w:p>
            <w:pPr>
              <w:pStyle w:val="18"/>
            </w:pPr>
            <w:r>
              <w:t>群众满意度</w:t>
            </w:r>
          </w:p>
        </w:tc>
        <w:tc>
          <w:tcPr>
            <w:tcW w:w="4227" w:type="dxa"/>
            <w:noWrap w:val="0"/>
            <w:vAlign w:val="center"/>
          </w:tcPr>
          <w:p>
            <w:pPr>
              <w:pStyle w:val="18"/>
            </w:pPr>
            <w:r>
              <w:t>群众对当年人大主席团工作的整体满意度</w:t>
            </w:r>
          </w:p>
        </w:tc>
        <w:tc>
          <w:tcPr>
            <w:tcW w:w="1991" w:type="dxa"/>
            <w:noWrap w:val="0"/>
            <w:vAlign w:val="center"/>
          </w:tcPr>
          <w:p>
            <w:pPr>
              <w:pStyle w:val="18"/>
            </w:pPr>
            <w:r>
              <w:t>≥85百分比</w:t>
            </w:r>
          </w:p>
        </w:tc>
        <w:tc>
          <w:tcPr>
            <w:tcW w:w="3164" w:type="dxa"/>
            <w:noWrap w:val="0"/>
            <w:vAlign w:val="center"/>
          </w:tcPr>
          <w:p>
            <w:pPr>
              <w:pStyle w:val="18"/>
            </w:pPr>
            <w:r>
              <w:t>依据工作方案</w:t>
            </w:r>
          </w:p>
        </w:tc>
      </w:tr>
    </w:tbl>
    <w:p>
      <w:pPr>
        <w:spacing w:line="2" w:lineRule="exact"/>
        <w:jc w:val="center"/>
      </w:pPr>
      <w:r>
        <w:rPr>
          <w:rFonts w:ascii="方正书宋_GBK" w:hAnsi="方正书宋_GBK" w:eastAsia="方正书宋_GBK" w:cs="方正书宋_GBK"/>
          <w:color w:val="000000"/>
          <w:sz w:val="18"/>
        </w:rPr>
        <w:t xml:space="preserve"> </w:t>
      </w:r>
    </w:p>
    <w:p>
      <w:pPr>
        <w:sectPr>
          <w:pgSz w:w="16840" w:h="11900" w:orient="landscape"/>
          <w:pgMar w:top="1361" w:right="1020" w:bottom="1134" w:left="1020" w:header="720" w:footer="720" w:gutter="0"/>
          <w:cols w:space="720" w:num="1"/>
        </w:sectPr>
      </w:pPr>
    </w:p>
    <w:p>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8"/>
            </w:pPr>
            <w:r>
              <w:rPr>
                <w:rFonts w:hint="eastAsia"/>
              </w:rPr>
              <w:t>1.进一步加强本镇食品安全工作，落实食品生产经营者主体责任，增强政府监管效能，发挥社会组织的作用。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noWrap w:val="0"/>
            <w:vAlign w:val="center"/>
          </w:tcPr>
          <w:p>
            <w:pPr>
              <w:pStyle w:val="16"/>
            </w:pPr>
            <w:r>
              <w:t>一级指标</w:t>
            </w:r>
          </w:p>
        </w:tc>
        <w:tc>
          <w:tcPr>
            <w:tcW w:w="2113" w:type="dxa"/>
            <w:noWrap w:val="0"/>
            <w:vAlign w:val="center"/>
          </w:tcPr>
          <w:p>
            <w:pPr>
              <w:pStyle w:val="16"/>
            </w:pPr>
            <w:r>
              <w:t>二级指标</w:t>
            </w:r>
          </w:p>
        </w:tc>
        <w:tc>
          <w:tcPr>
            <w:tcW w:w="2291" w:type="dxa"/>
            <w:noWrap w:val="0"/>
            <w:vAlign w:val="center"/>
          </w:tcPr>
          <w:p>
            <w:pPr>
              <w:pStyle w:val="16"/>
            </w:pPr>
            <w:r>
              <w:t>三级指标</w:t>
            </w:r>
          </w:p>
        </w:tc>
        <w:tc>
          <w:tcPr>
            <w:tcW w:w="3802" w:type="dxa"/>
            <w:noWrap w:val="0"/>
            <w:vAlign w:val="center"/>
          </w:tcPr>
          <w:p>
            <w:pPr>
              <w:pStyle w:val="16"/>
            </w:pPr>
            <w:r>
              <w:t>绩效指标描述</w:t>
            </w:r>
          </w:p>
        </w:tc>
        <w:tc>
          <w:tcPr>
            <w:tcW w:w="1276" w:type="dxa"/>
            <w:noWrap w:val="0"/>
            <w:vAlign w:val="center"/>
          </w:tcPr>
          <w:p>
            <w:pPr>
              <w:pStyle w:val="16"/>
            </w:pPr>
            <w:r>
              <w:t>指标值</w:t>
            </w:r>
          </w:p>
        </w:tc>
        <w:tc>
          <w:tcPr>
            <w:tcW w:w="3241"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noWrap w:val="0"/>
            <w:vAlign w:val="center"/>
          </w:tcPr>
          <w:p>
            <w:pPr>
              <w:pStyle w:val="19"/>
            </w:pPr>
            <w:r>
              <w:t>产出指标</w:t>
            </w:r>
          </w:p>
        </w:tc>
        <w:tc>
          <w:tcPr>
            <w:tcW w:w="2113" w:type="dxa"/>
            <w:noWrap w:val="0"/>
            <w:vAlign w:val="center"/>
          </w:tcPr>
          <w:p>
            <w:pPr>
              <w:pStyle w:val="18"/>
            </w:pPr>
            <w:r>
              <w:t>数量指标</w:t>
            </w:r>
          </w:p>
        </w:tc>
        <w:tc>
          <w:tcPr>
            <w:tcW w:w="2291" w:type="dxa"/>
            <w:noWrap w:val="0"/>
            <w:vAlign w:val="center"/>
          </w:tcPr>
          <w:p>
            <w:pPr>
              <w:pStyle w:val="18"/>
            </w:pPr>
            <w:r>
              <w:t>组织宣传活动次数（次）</w:t>
            </w:r>
          </w:p>
        </w:tc>
        <w:tc>
          <w:tcPr>
            <w:tcW w:w="3802" w:type="dxa"/>
            <w:noWrap w:val="0"/>
            <w:vAlign w:val="center"/>
          </w:tcPr>
          <w:p>
            <w:pPr>
              <w:pStyle w:val="18"/>
            </w:pPr>
            <w:r>
              <w:t>组织宣传活动次数</w:t>
            </w:r>
          </w:p>
        </w:tc>
        <w:tc>
          <w:tcPr>
            <w:tcW w:w="1276" w:type="dxa"/>
            <w:noWrap w:val="0"/>
            <w:vAlign w:val="center"/>
          </w:tcPr>
          <w:p>
            <w:pPr>
              <w:pStyle w:val="18"/>
            </w:pPr>
            <w:r>
              <w:t>≥5次</w:t>
            </w:r>
          </w:p>
        </w:tc>
        <w:tc>
          <w:tcPr>
            <w:tcW w:w="3241"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tc>
        <w:tc>
          <w:tcPr>
            <w:tcW w:w="2113" w:type="dxa"/>
            <w:noWrap w:val="0"/>
            <w:vAlign w:val="center"/>
          </w:tcPr>
          <w:p>
            <w:pPr>
              <w:pStyle w:val="18"/>
            </w:pPr>
            <w:r>
              <w:t>质量指标</w:t>
            </w:r>
          </w:p>
        </w:tc>
        <w:tc>
          <w:tcPr>
            <w:tcW w:w="2291" w:type="dxa"/>
            <w:noWrap w:val="0"/>
            <w:vAlign w:val="center"/>
          </w:tcPr>
          <w:p>
            <w:pPr>
              <w:pStyle w:val="18"/>
            </w:pPr>
            <w:r>
              <w:t>抽查覆盖率</w:t>
            </w:r>
          </w:p>
        </w:tc>
        <w:tc>
          <w:tcPr>
            <w:tcW w:w="3802" w:type="dxa"/>
            <w:noWrap w:val="0"/>
            <w:vAlign w:val="center"/>
          </w:tcPr>
          <w:p>
            <w:pPr>
              <w:pStyle w:val="18"/>
            </w:pPr>
            <w:r>
              <w:t>抽查对象的数量占全部对象的比率</w:t>
            </w:r>
          </w:p>
        </w:tc>
        <w:tc>
          <w:tcPr>
            <w:tcW w:w="1276" w:type="dxa"/>
            <w:noWrap w:val="0"/>
            <w:vAlign w:val="center"/>
          </w:tcPr>
          <w:p>
            <w:pPr>
              <w:pStyle w:val="18"/>
            </w:pPr>
            <w:r>
              <w:t>≥90百分比</w:t>
            </w:r>
          </w:p>
        </w:tc>
        <w:tc>
          <w:tcPr>
            <w:tcW w:w="3241"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tc>
        <w:tc>
          <w:tcPr>
            <w:tcW w:w="2113" w:type="dxa"/>
            <w:noWrap w:val="0"/>
            <w:vAlign w:val="center"/>
          </w:tcPr>
          <w:p>
            <w:pPr>
              <w:pStyle w:val="18"/>
            </w:pPr>
            <w:r>
              <w:t>时效指标</w:t>
            </w:r>
          </w:p>
        </w:tc>
        <w:tc>
          <w:tcPr>
            <w:tcW w:w="2291" w:type="dxa"/>
            <w:noWrap w:val="0"/>
            <w:vAlign w:val="center"/>
          </w:tcPr>
          <w:p>
            <w:pPr>
              <w:pStyle w:val="18"/>
            </w:pPr>
            <w:r>
              <w:t>年度项目完成情况</w:t>
            </w:r>
          </w:p>
        </w:tc>
        <w:tc>
          <w:tcPr>
            <w:tcW w:w="3802" w:type="dxa"/>
            <w:noWrap w:val="0"/>
            <w:vAlign w:val="center"/>
          </w:tcPr>
          <w:p>
            <w:pPr>
              <w:pStyle w:val="18"/>
            </w:pPr>
            <w:r>
              <w:t>年度项目按规定时间点完成</w:t>
            </w:r>
          </w:p>
        </w:tc>
        <w:tc>
          <w:tcPr>
            <w:tcW w:w="1276" w:type="dxa"/>
            <w:noWrap w:val="0"/>
            <w:vAlign w:val="center"/>
          </w:tcPr>
          <w:p>
            <w:pPr>
              <w:pStyle w:val="18"/>
            </w:pPr>
            <w:r>
              <w:t>≥90百分比</w:t>
            </w:r>
          </w:p>
        </w:tc>
        <w:tc>
          <w:tcPr>
            <w:tcW w:w="3241"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tc>
        <w:tc>
          <w:tcPr>
            <w:tcW w:w="2113" w:type="dxa"/>
            <w:noWrap w:val="0"/>
            <w:vAlign w:val="center"/>
          </w:tcPr>
          <w:p>
            <w:pPr>
              <w:pStyle w:val="18"/>
            </w:pPr>
            <w:r>
              <w:t>成本指标</w:t>
            </w:r>
          </w:p>
        </w:tc>
        <w:tc>
          <w:tcPr>
            <w:tcW w:w="2291" w:type="dxa"/>
            <w:noWrap w:val="0"/>
            <w:vAlign w:val="center"/>
          </w:tcPr>
          <w:p>
            <w:pPr>
              <w:pStyle w:val="18"/>
            </w:pPr>
            <w:r>
              <w:t>经费控制数</w:t>
            </w:r>
          </w:p>
        </w:tc>
        <w:tc>
          <w:tcPr>
            <w:tcW w:w="3802" w:type="dxa"/>
            <w:noWrap w:val="0"/>
            <w:vAlign w:val="center"/>
          </w:tcPr>
          <w:p>
            <w:pPr>
              <w:pStyle w:val="18"/>
            </w:pPr>
            <w:r>
              <w:t>经费控制数</w:t>
            </w:r>
          </w:p>
        </w:tc>
        <w:tc>
          <w:tcPr>
            <w:tcW w:w="1276" w:type="dxa"/>
            <w:noWrap w:val="0"/>
            <w:vAlign w:val="center"/>
          </w:tcPr>
          <w:p>
            <w:pPr>
              <w:pStyle w:val="18"/>
            </w:pPr>
            <w:r>
              <w:t>≤0.72万元</w:t>
            </w:r>
          </w:p>
        </w:tc>
        <w:tc>
          <w:tcPr>
            <w:tcW w:w="3241"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pPr>
              <w:pStyle w:val="19"/>
            </w:pPr>
            <w:r>
              <w:t>效益指标</w:t>
            </w:r>
          </w:p>
        </w:tc>
        <w:tc>
          <w:tcPr>
            <w:tcW w:w="2113" w:type="dxa"/>
            <w:noWrap w:val="0"/>
            <w:vAlign w:val="center"/>
          </w:tcPr>
          <w:p>
            <w:pPr>
              <w:pStyle w:val="18"/>
            </w:pPr>
            <w:r>
              <w:t>社会效益指标</w:t>
            </w:r>
          </w:p>
        </w:tc>
        <w:tc>
          <w:tcPr>
            <w:tcW w:w="2291" w:type="dxa"/>
            <w:noWrap w:val="0"/>
            <w:vAlign w:val="center"/>
          </w:tcPr>
          <w:p>
            <w:pPr>
              <w:pStyle w:val="18"/>
            </w:pPr>
            <w:r>
              <w:t>对食品安全的监管作用</w:t>
            </w:r>
          </w:p>
        </w:tc>
        <w:tc>
          <w:tcPr>
            <w:tcW w:w="3802" w:type="dxa"/>
            <w:noWrap w:val="0"/>
            <w:vAlign w:val="center"/>
          </w:tcPr>
          <w:p>
            <w:pPr>
              <w:pStyle w:val="18"/>
            </w:pPr>
            <w:r>
              <w:t>通过对食品安全的监管，确保本地区食品安全</w:t>
            </w:r>
          </w:p>
        </w:tc>
        <w:tc>
          <w:tcPr>
            <w:tcW w:w="1276" w:type="dxa"/>
            <w:noWrap w:val="0"/>
            <w:vAlign w:val="center"/>
          </w:tcPr>
          <w:p>
            <w:pPr>
              <w:pStyle w:val="18"/>
            </w:pPr>
            <w:r>
              <w:t>≥90百分比</w:t>
            </w:r>
          </w:p>
        </w:tc>
        <w:tc>
          <w:tcPr>
            <w:tcW w:w="3241"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pPr>
              <w:pStyle w:val="19"/>
            </w:pPr>
            <w:r>
              <w:t>满意度指标</w:t>
            </w:r>
          </w:p>
        </w:tc>
        <w:tc>
          <w:tcPr>
            <w:tcW w:w="2113" w:type="dxa"/>
            <w:noWrap w:val="0"/>
            <w:vAlign w:val="center"/>
          </w:tcPr>
          <w:p>
            <w:pPr>
              <w:pStyle w:val="18"/>
            </w:pPr>
            <w:r>
              <w:t>服务对象满意度指标</w:t>
            </w:r>
          </w:p>
        </w:tc>
        <w:tc>
          <w:tcPr>
            <w:tcW w:w="2291" w:type="dxa"/>
            <w:noWrap w:val="0"/>
            <w:vAlign w:val="center"/>
          </w:tcPr>
          <w:p>
            <w:pPr>
              <w:pStyle w:val="18"/>
            </w:pPr>
            <w:r>
              <w:t>服务对象满意度</w:t>
            </w:r>
          </w:p>
        </w:tc>
        <w:tc>
          <w:tcPr>
            <w:tcW w:w="3802" w:type="dxa"/>
            <w:noWrap w:val="0"/>
            <w:vAlign w:val="center"/>
          </w:tcPr>
          <w:p>
            <w:pPr>
              <w:pStyle w:val="18"/>
            </w:pPr>
            <w:r>
              <w:t>接受食品安全监管的人群对食品安全监管工作的满意程度</w:t>
            </w:r>
          </w:p>
        </w:tc>
        <w:tc>
          <w:tcPr>
            <w:tcW w:w="1276" w:type="dxa"/>
            <w:noWrap w:val="0"/>
            <w:vAlign w:val="center"/>
          </w:tcPr>
          <w:p>
            <w:pPr>
              <w:pStyle w:val="18"/>
            </w:pPr>
            <w:r>
              <w:t>≥90百分比</w:t>
            </w:r>
          </w:p>
        </w:tc>
        <w:tc>
          <w:tcPr>
            <w:tcW w:w="3241" w:type="dxa"/>
            <w:noWrap w:val="0"/>
            <w:vAlign w:val="center"/>
          </w:tcPr>
          <w:p>
            <w:pPr>
              <w:pStyle w:val="18"/>
            </w:pPr>
            <w:r>
              <w:t>依据工作方案</w:t>
            </w:r>
          </w:p>
        </w:tc>
      </w:tr>
    </w:tbl>
    <w:p/>
    <w:p/>
    <w:p>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8"/>
            </w:pPr>
            <w:r>
              <w:rPr>
                <w:rFonts w:hint="eastAsia"/>
              </w:rPr>
              <w:t>1.科学地继承和发扬共青团的优良传统，创新团的工作，找准新时代的中心定位，把各项改革措施不折不扣落实到位。</w:t>
            </w:r>
          </w:p>
        </w:tc>
      </w:tr>
    </w:tbl>
    <w:p>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noWrap w:val="0"/>
            <w:vAlign w:val="center"/>
          </w:tcPr>
          <w:p>
            <w:pPr>
              <w:pStyle w:val="16"/>
            </w:pPr>
            <w:r>
              <w:t>一级指标</w:t>
            </w:r>
          </w:p>
        </w:tc>
        <w:tc>
          <w:tcPr>
            <w:tcW w:w="2319" w:type="dxa"/>
            <w:noWrap w:val="0"/>
            <w:vAlign w:val="center"/>
          </w:tcPr>
          <w:p>
            <w:pPr>
              <w:pStyle w:val="16"/>
            </w:pPr>
            <w:r>
              <w:t>三级指标</w:t>
            </w:r>
          </w:p>
        </w:tc>
        <w:tc>
          <w:tcPr>
            <w:tcW w:w="5100" w:type="dxa"/>
            <w:noWrap w:val="0"/>
            <w:vAlign w:val="center"/>
          </w:tcPr>
          <w:p>
            <w:pPr>
              <w:pStyle w:val="16"/>
            </w:pPr>
            <w:r>
              <w:t>绩效指标描述</w:t>
            </w:r>
          </w:p>
        </w:tc>
        <w:tc>
          <w:tcPr>
            <w:tcW w:w="1936" w:type="dxa"/>
            <w:noWrap w:val="0"/>
            <w:vAlign w:val="center"/>
          </w:tcPr>
          <w:p>
            <w:pPr>
              <w:pStyle w:val="16"/>
            </w:pPr>
            <w:r>
              <w:t>指标值</w:t>
            </w:r>
          </w:p>
        </w:tc>
        <w:tc>
          <w:tcPr>
            <w:tcW w:w="3423"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noWrap w:val="0"/>
            <w:vAlign w:val="center"/>
          </w:tcPr>
          <w:p>
            <w:pPr>
              <w:pStyle w:val="19"/>
            </w:pPr>
            <w:r>
              <w:t>产出指标</w:t>
            </w:r>
          </w:p>
        </w:tc>
        <w:tc>
          <w:tcPr>
            <w:tcW w:w="2319" w:type="dxa"/>
            <w:noWrap w:val="0"/>
            <w:vAlign w:val="center"/>
          </w:tcPr>
          <w:p>
            <w:pPr>
              <w:pStyle w:val="18"/>
            </w:pPr>
            <w:r>
              <w:t>开办宣传专栏数</w:t>
            </w:r>
          </w:p>
        </w:tc>
        <w:tc>
          <w:tcPr>
            <w:tcW w:w="5100" w:type="dxa"/>
            <w:noWrap w:val="0"/>
            <w:vAlign w:val="center"/>
          </w:tcPr>
          <w:p>
            <w:pPr>
              <w:pStyle w:val="18"/>
            </w:pPr>
            <w:r>
              <w:t>在新闻媒体开办宣传专栏的数量</w:t>
            </w:r>
          </w:p>
        </w:tc>
        <w:tc>
          <w:tcPr>
            <w:tcW w:w="1936" w:type="dxa"/>
            <w:noWrap w:val="0"/>
            <w:vAlign w:val="center"/>
          </w:tcPr>
          <w:p>
            <w:pPr>
              <w:pStyle w:val="18"/>
            </w:pPr>
            <w:r>
              <w:t>≥5个</w:t>
            </w:r>
          </w:p>
        </w:tc>
        <w:tc>
          <w:tcPr>
            <w:tcW w:w="342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tc>
        <w:tc>
          <w:tcPr>
            <w:tcW w:w="2319" w:type="dxa"/>
            <w:noWrap w:val="0"/>
            <w:vAlign w:val="center"/>
          </w:tcPr>
          <w:p>
            <w:pPr>
              <w:pStyle w:val="18"/>
            </w:pPr>
            <w:r>
              <w:t>制作宣传品</w:t>
            </w:r>
          </w:p>
        </w:tc>
        <w:tc>
          <w:tcPr>
            <w:tcW w:w="5100" w:type="dxa"/>
            <w:noWrap w:val="0"/>
            <w:vAlign w:val="center"/>
          </w:tcPr>
          <w:p>
            <w:pPr>
              <w:pStyle w:val="18"/>
            </w:pPr>
            <w:r>
              <w:t>制作宣传品的数量</w:t>
            </w:r>
          </w:p>
        </w:tc>
        <w:tc>
          <w:tcPr>
            <w:tcW w:w="1936" w:type="dxa"/>
            <w:noWrap w:val="0"/>
            <w:vAlign w:val="center"/>
          </w:tcPr>
          <w:p>
            <w:pPr>
              <w:pStyle w:val="18"/>
            </w:pPr>
            <w:r>
              <w:t>≥1000份</w:t>
            </w:r>
          </w:p>
        </w:tc>
        <w:tc>
          <w:tcPr>
            <w:tcW w:w="342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tc>
        <w:tc>
          <w:tcPr>
            <w:tcW w:w="2319" w:type="dxa"/>
            <w:noWrap w:val="0"/>
            <w:vAlign w:val="center"/>
          </w:tcPr>
          <w:p>
            <w:pPr>
              <w:pStyle w:val="18"/>
            </w:pPr>
            <w:r>
              <w:t>年度项目完成情况</w:t>
            </w:r>
          </w:p>
        </w:tc>
        <w:tc>
          <w:tcPr>
            <w:tcW w:w="5100" w:type="dxa"/>
            <w:noWrap w:val="0"/>
            <w:vAlign w:val="center"/>
          </w:tcPr>
          <w:p>
            <w:pPr>
              <w:pStyle w:val="18"/>
            </w:pPr>
            <w:r>
              <w:t>年度项目按规定时间点完成</w:t>
            </w:r>
          </w:p>
        </w:tc>
        <w:tc>
          <w:tcPr>
            <w:tcW w:w="1936" w:type="dxa"/>
            <w:noWrap w:val="0"/>
            <w:vAlign w:val="center"/>
          </w:tcPr>
          <w:p>
            <w:pPr>
              <w:pStyle w:val="18"/>
            </w:pPr>
            <w:r>
              <w:t>≥90百分比</w:t>
            </w:r>
          </w:p>
        </w:tc>
        <w:tc>
          <w:tcPr>
            <w:tcW w:w="342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tc>
        <w:tc>
          <w:tcPr>
            <w:tcW w:w="2319" w:type="dxa"/>
            <w:noWrap w:val="0"/>
            <w:vAlign w:val="center"/>
          </w:tcPr>
          <w:p>
            <w:pPr>
              <w:pStyle w:val="18"/>
            </w:pPr>
            <w:r>
              <w:t>经费控制数</w:t>
            </w:r>
          </w:p>
        </w:tc>
        <w:tc>
          <w:tcPr>
            <w:tcW w:w="5100" w:type="dxa"/>
            <w:noWrap w:val="0"/>
            <w:vAlign w:val="center"/>
          </w:tcPr>
          <w:p>
            <w:pPr>
              <w:pStyle w:val="18"/>
            </w:pPr>
            <w:r>
              <w:t>经费控制数</w:t>
            </w:r>
          </w:p>
        </w:tc>
        <w:tc>
          <w:tcPr>
            <w:tcW w:w="1936" w:type="dxa"/>
            <w:noWrap w:val="0"/>
            <w:vAlign w:val="center"/>
          </w:tcPr>
          <w:p>
            <w:pPr>
              <w:pStyle w:val="18"/>
            </w:pPr>
            <w:r>
              <w:t>≤2万元</w:t>
            </w:r>
          </w:p>
        </w:tc>
        <w:tc>
          <w:tcPr>
            <w:tcW w:w="342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pPr>
              <w:pStyle w:val="19"/>
            </w:pPr>
            <w:r>
              <w:t>效益指标</w:t>
            </w:r>
          </w:p>
        </w:tc>
        <w:tc>
          <w:tcPr>
            <w:tcW w:w="2319" w:type="dxa"/>
            <w:noWrap w:val="0"/>
            <w:vAlign w:val="center"/>
          </w:tcPr>
          <w:p>
            <w:pPr>
              <w:pStyle w:val="18"/>
            </w:pPr>
            <w:r>
              <w:t>参与政府决策活动次数</w:t>
            </w:r>
          </w:p>
        </w:tc>
        <w:tc>
          <w:tcPr>
            <w:tcW w:w="5100" w:type="dxa"/>
            <w:noWrap w:val="0"/>
            <w:vAlign w:val="center"/>
          </w:tcPr>
          <w:p>
            <w:pPr>
              <w:pStyle w:val="18"/>
            </w:pPr>
            <w:r>
              <w:t>参与决策咨询活动次数</w:t>
            </w:r>
          </w:p>
        </w:tc>
        <w:tc>
          <w:tcPr>
            <w:tcW w:w="1936" w:type="dxa"/>
            <w:noWrap w:val="0"/>
            <w:vAlign w:val="center"/>
          </w:tcPr>
          <w:p>
            <w:pPr>
              <w:pStyle w:val="18"/>
            </w:pPr>
            <w:r>
              <w:t>≥5次</w:t>
            </w:r>
          </w:p>
        </w:tc>
        <w:tc>
          <w:tcPr>
            <w:tcW w:w="3423"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pPr>
              <w:pStyle w:val="19"/>
            </w:pPr>
            <w:r>
              <w:t>满意度指标</w:t>
            </w:r>
          </w:p>
        </w:tc>
        <w:tc>
          <w:tcPr>
            <w:tcW w:w="2319" w:type="dxa"/>
            <w:noWrap w:val="0"/>
            <w:vAlign w:val="center"/>
          </w:tcPr>
          <w:p>
            <w:pPr>
              <w:pStyle w:val="18"/>
            </w:pPr>
            <w:r>
              <w:t>服务对象满意度</w:t>
            </w:r>
          </w:p>
        </w:tc>
        <w:tc>
          <w:tcPr>
            <w:tcW w:w="5100" w:type="dxa"/>
            <w:noWrap w:val="0"/>
            <w:vAlign w:val="center"/>
          </w:tcPr>
          <w:p>
            <w:pPr>
              <w:pStyle w:val="18"/>
            </w:pPr>
            <w:r>
              <w:t>服务对象满意度</w:t>
            </w:r>
          </w:p>
        </w:tc>
        <w:tc>
          <w:tcPr>
            <w:tcW w:w="1936" w:type="dxa"/>
            <w:noWrap w:val="0"/>
            <w:vAlign w:val="center"/>
          </w:tcPr>
          <w:p>
            <w:pPr>
              <w:pStyle w:val="18"/>
            </w:pPr>
            <w:r>
              <w:t>≥90百分比</w:t>
            </w:r>
          </w:p>
        </w:tc>
        <w:tc>
          <w:tcPr>
            <w:tcW w:w="3423" w:type="dxa"/>
            <w:noWrap w:val="0"/>
            <w:vAlign w:val="center"/>
          </w:tcPr>
          <w:p>
            <w:pPr>
              <w:pStyle w:val="18"/>
            </w:pPr>
            <w:r>
              <w:t>依据工作方案</w:t>
            </w:r>
          </w:p>
        </w:tc>
      </w:tr>
    </w:tbl>
    <w:p>
      <w:pPr>
        <w:rPr>
          <w:rFonts w:hint="default" w:eastAsia="宋体"/>
          <w:lang w:val="en-US" w:eastAsia="zh-CN"/>
        </w:rPr>
      </w:pPr>
      <w:r>
        <w:rPr>
          <w:rFonts w:hint="eastAsia" w:eastAsia="宋体"/>
          <w:lang w:val="en-US" w:eastAsia="zh-CN"/>
        </w:rPr>
        <w:t xml:space="preserve">     </w:t>
      </w:r>
    </w:p>
    <w:p>
      <w:pPr>
        <w:rPr>
          <w:rFonts w:hint="default" w:eastAsia="宋体"/>
          <w:lang w:val="en-US" w:eastAsia="zh-CN"/>
        </w:rPr>
      </w:pPr>
    </w:p>
    <w:p/>
    <w:p>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8"/>
            </w:pPr>
            <w:r>
              <w:rPr>
                <w:rFonts w:hint="eastAsia"/>
              </w:rPr>
              <w:t>1.做好信访稳控工作，减少越级访、群访等恶性事件，有效的遏制非法上访；处理人民群众来信、来访，接待和处理人民群众反映的情况和问题。</w:t>
            </w:r>
          </w:p>
        </w:tc>
      </w:tr>
    </w:tbl>
    <w:p>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noWrap w:val="0"/>
            <w:vAlign w:val="center"/>
          </w:tcPr>
          <w:p>
            <w:pPr>
              <w:pStyle w:val="16"/>
            </w:pPr>
            <w:r>
              <w:t>一级指标</w:t>
            </w:r>
          </w:p>
        </w:tc>
        <w:tc>
          <w:tcPr>
            <w:tcW w:w="1104" w:type="dxa"/>
            <w:noWrap w:val="0"/>
            <w:vAlign w:val="center"/>
          </w:tcPr>
          <w:p>
            <w:pPr>
              <w:pStyle w:val="16"/>
            </w:pPr>
            <w:r>
              <w:t>二级指标</w:t>
            </w:r>
          </w:p>
        </w:tc>
        <w:tc>
          <w:tcPr>
            <w:tcW w:w="3109" w:type="dxa"/>
            <w:noWrap w:val="0"/>
            <w:vAlign w:val="center"/>
          </w:tcPr>
          <w:p>
            <w:pPr>
              <w:pStyle w:val="16"/>
            </w:pPr>
            <w:r>
              <w:t>三级指标</w:t>
            </w:r>
          </w:p>
        </w:tc>
        <w:tc>
          <w:tcPr>
            <w:tcW w:w="3764" w:type="dxa"/>
            <w:noWrap w:val="0"/>
            <w:vAlign w:val="center"/>
          </w:tcPr>
          <w:p>
            <w:pPr>
              <w:pStyle w:val="16"/>
            </w:pPr>
            <w:r>
              <w:t>绩效指标描述</w:t>
            </w:r>
          </w:p>
        </w:tc>
        <w:tc>
          <w:tcPr>
            <w:tcW w:w="1691" w:type="dxa"/>
            <w:noWrap w:val="0"/>
            <w:vAlign w:val="center"/>
          </w:tcPr>
          <w:p>
            <w:pPr>
              <w:pStyle w:val="16"/>
            </w:pPr>
            <w:r>
              <w:t>指标值</w:t>
            </w:r>
          </w:p>
        </w:tc>
        <w:tc>
          <w:tcPr>
            <w:tcW w:w="3053"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noWrap w:val="0"/>
            <w:vAlign w:val="center"/>
          </w:tcPr>
          <w:p>
            <w:pPr>
              <w:pStyle w:val="19"/>
            </w:pPr>
            <w:r>
              <w:t>产出指标</w:t>
            </w:r>
          </w:p>
        </w:tc>
        <w:tc>
          <w:tcPr>
            <w:tcW w:w="1104" w:type="dxa"/>
            <w:noWrap w:val="0"/>
            <w:vAlign w:val="center"/>
          </w:tcPr>
          <w:p>
            <w:pPr>
              <w:pStyle w:val="18"/>
            </w:pPr>
            <w:r>
              <w:t>数量指标</w:t>
            </w:r>
          </w:p>
        </w:tc>
        <w:tc>
          <w:tcPr>
            <w:tcW w:w="3109" w:type="dxa"/>
            <w:noWrap w:val="0"/>
            <w:vAlign w:val="center"/>
          </w:tcPr>
          <w:p>
            <w:pPr>
              <w:pStyle w:val="18"/>
            </w:pPr>
            <w:r>
              <w:t>重要时期专项护路任务次数（次）</w:t>
            </w:r>
          </w:p>
        </w:tc>
        <w:tc>
          <w:tcPr>
            <w:tcW w:w="3764" w:type="dxa"/>
            <w:noWrap w:val="0"/>
            <w:vAlign w:val="center"/>
          </w:tcPr>
          <w:p>
            <w:pPr>
              <w:pStyle w:val="18"/>
            </w:pPr>
            <w:r>
              <w:t>重要时期专项护路任务次数（次）</w:t>
            </w:r>
          </w:p>
        </w:tc>
        <w:tc>
          <w:tcPr>
            <w:tcW w:w="1691" w:type="dxa"/>
            <w:noWrap w:val="0"/>
            <w:vAlign w:val="center"/>
          </w:tcPr>
          <w:p>
            <w:pPr>
              <w:pStyle w:val="18"/>
            </w:pPr>
            <w:r>
              <w:t>≥2次</w:t>
            </w:r>
          </w:p>
        </w:tc>
        <w:tc>
          <w:tcPr>
            <w:tcW w:w="3053" w:type="dxa"/>
            <w:noWrap w:val="0"/>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tc>
        <w:tc>
          <w:tcPr>
            <w:tcW w:w="1104" w:type="dxa"/>
            <w:noWrap w:val="0"/>
            <w:vAlign w:val="center"/>
          </w:tcPr>
          <w:p>
            <w:pPr>
              <w:pStyle w:val="18"/>
            </w:pPr>
            <w:r>
              <w:t>质量指标</w:t>
            </w:r>
          </w:p>
        </w:tc>
        <w:tc>
          <w:tcPr>
            <w:tcW w:w="3109" w:type="dxa"/>
            <w:noWrap w:val="0"/>
            <w:vAlign w:val="center"/>
          </w:tcPr>
          <w:p>
            <w:pPr>
              <w:pStyle w:val="18"/>
            </w:pPr>
            <w:r>
              <w:t>矛盾纠纷调处率(%)</w:t>
            </w:r>
          </w:p>
        </w:tc>
        <w:tc>
          <w:tcPr>
            <w:tcW w:w="3764" w:type="dxa"/>
            <w:noWrap w:val="0"/>
            <w:vAlign w:val="center"/>
          </w:tcPr>
          <w:p>
            <w:pPr>
              <w:pStyle w:val="18"/>
            </w:pPr>
            <w:r>
              <w:t>矛盾纠纷调处率(%)</w:t>
            </w:r>
          </w:p>
        </w:tc>
        <w:tc>
          <w:tcPr>
            <w:tcW w:w="1691" w:type="dxa"/>
            <w:noWrap w:val="0"/>
            <w:vAlign w:val="center"/>
          </w:tcPr>
          <w:p>
            <w:pPr>
              <w:pStyle w:val="18"/>
            </w:pPr>
            <w:r>
              <w:t>≥90百分比</w:t>
            </w:r>
          </w:p>
        </w:tc>
        <w:tc>
          <w:tcPr>
            <w:tcW w:w="3053" w:type="dxa"/>
            <w:noWrap w:val="0"/>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tc>
        <w:tc>
          <w:tcPr>
            <w:tcW w:w="1104" w:type="dxa"/>
            <w:noWrap w:val="0"/>
            <w:vAlign w:val="center"/>
          </w:tcPr>
          <w:p>
            <w:pPr>
              <w:pStyle w:val="18"/>
            </w:pPr>
            <w:r>
              <w:t>成本指标</w:t>
            </w:r>
          </w:p>
        </w:tc>
        <w:tc>
          <w:tcPr>
            <w:tcW w:w="3109" w:type="dxa"/>
            <w:noWrap w:val="0"/>
            <w:vAlign w:val="center"/>
          </w:tcPr>
          <w:p>
            <w:pPr>
              <w:pStyle w:val="18"/>
            </w:pPr>
            <w:r>
              <w:t>经费控制数</w:t>
            </w:r>
          </w:p>
        </w:tc>
        <w:tc>
          <w:tcPr>
            <w:tcW w:w="3764" w:type="dxa"/>
            <w:noWrap w:val="0"/>
            <w:vAlign w:val="center"/>
          </w:tcPr>
          <w:p>
            <w:pPr>
              <w:pStyle w:val="18"/>
            </w:pPr>
            <w:r>
              <w:t>经费控制数</w:t>
            </w:r>
          </w:p>
        </w:tc>
        <w:tc>
          <w:tcPr>
            <w:tcW w:w="1691" w:type="dxa"/>
            <w:noWrap w:val="0"/>
            <w:vAlign w:val="center"/>
          </w:tcPr>
          <w:p>
            <w:pPr>
              <w:pStyle w:val="18"/>
            </w:pPr>
            <w:r>
              <w:t>≤8万元</w:t>
            </w:r>
          </w:p>
        </w:tc>
        <w:tc>
          <w:tcPr>
            <w:tcW w:w="3053" w:type="dxa"/>
            <w:noWrap w:val="0"/>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tc>
        <w:tc>
          <w:tcPr>
            <w:tcW w:w="1104" w:type="dxa"/>
            <w:noWrap w:val="0"/>
            <w:vAlign w:val="center"/>
          </w:tcPr>
          <w:p>
            <w:pPr>
              <w:pStyle w:val="18"/>
            </w:pPr>
            <w:r>
              <w:t>时效指标</w:t>
            </w:r>
          </w:p>
        </w:tc>
        <w:tc>
          <w:tcPr>
            <w:tcW w:w="3109" w:type="dxa"/>
            <w:noWrap w:val="0"/>
            <w:vAlign w:val="center"/>
          </w:tcPr>
          <w:p>
            <w:pPr>
              <w:pStyle w:val="18"/>
            </w:pPr>
            <w:r>
              <w:t>各项任务完成及时率（%）</w:t>
            </w:r>
          </w:p>
        </w:tc>
        <w:tc>
          <w:tcPr>
            <w:tcW w:w="3764" w:type="dxa"/>
            <w:noWrap w:val="0"/>
            <w:vAlign w:val="center"/>
          </w:tcPr>
          <w:p>
            <w:pPr>
              <w:pStyle w:val="18"/>
            </w:pPr>
            <w:r>
              <w:t>各项任务完成及时率（%）</w:t>
            </w:r>
          </w:p>
        </w:tc>
        <w:tc>
          <w:tcPr>
            <w:tcW w:w="1691" w:type="dxa"/>
            <w:noWrap w:val="0"/>
            <w:vAlign w:val="center"/>
          </w:tcPr>
          <w:p>
            <w:pPr>
              <w:pStyle w:val="18"/>
            </w:pPr>
            <w:r>
              <w:t>≥90百分比</w:t>
            </w:r>
          </w:p>
        </w:tc>
        <w:tc>
          <w:tcPr>
            <w:tcW w:w="3053" w:type="dxa"/>
            <w:noWrap w:val="0"/>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pPr>
              <w:pStyle w:val="19"/>
            </w:pPr>
            <w:r>
              <w:t>效益指标</w:t>
            </w:r>
          </w:p>
        </w:tc>
        <w:tc>
          <w:tcPr>
            <w:tcW w:w="1104" w:type="dxa"/>
            <w:noWrap w:val="0"/>
            <w:vAlign w:val="center"/>
          </w:tcPr>
          <w:p>
            <w:pPr>
              <w:pStyle w:val="18"/>
            </w:pPr>
            <w:r>
              <w:t>社会效益指标</w:t>
            </w:r>
          </w:p>
        </w:tc>
        <w:tc>
          <w:tcPr>
            <w:tcW w:w="3109" w:type="dxa"/>
            <w:noWrap w:val="0"/>
            <w:vAlign w:val="center"/>
          </w:tcPr>
          <w:p>
            <w:pPr>
              <w:pStyle w:val="18"/>
            </w:pPr>
            <w:r>
              <w:t>突发事件发生率(%)</w:t>
            </w:r>
          </w:p>
        </w:tc>
        <w:tc>
          <w:tcPr>
            <w:tcW w:w="3764" w:type="dxa"/>
            <w:noWrap w:val="0"/>
            <w:vAlign w:val="center"/>
          </w:tcPr>
          <w:p>
            <w:pPr>
              <w:pStyle w:val="18"/>
            </w:pPr>
            <w:r>
              <w:t>突发事件发生率(%)</w:t>
            </w:r>
          </w:p>
        </w:tc>
        <w:tc>
          <w:tcPr>
            <w:tcW w:w="1691" w:type="dxa"/>
            <w:noWrap w:val="0"/>
            <w:vAlign w:val="center"/>
          </w:tcPr>
          <w:p>
            <w:pPr>
              <w:pStyle w:val="18"/>
            </w:pPr>
            <w:r>
              <w:t>≤5百分比</w:t>
            </w:r>
          </w:p>
        </w:tc>
        <w:tc>
          <w:tcPr>
            <w:tcW w:w="3053" w:type="dxa"/>
            <w:noWrap w:val="0"/>
            <w:vAlign w:val="center"/>
          </w:tcPr>
          <w:p>
            <w:pPr>
              <w:pStyle w:val="18"/>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pPr>
              <w:pStyle w:val="19"/>
            </w:pPr>
            <w:r>
              <w:t>满意度指标</w:t>
            </w:r>
          </w:p>
        </w:tc>
        <w:tc>
          <w:tcPr>
            <w:tcW w:w="1104" w:type="dxa"/>
            <w:noWrap w:val="0"/>
            <w:vAlign w:val="center"/>
          </w:tcPr>
          <w:p>
            <w:pPr>
              <w:pStyle w:val="18"/>
            </w:pPr>
            <w:r>
              <w:t>服务对象满意度指标</w:t>
            </w:r>
          </w:p>
        </w:tc>
        <w:tc>
          <w:tcPr>
            <w:tcW w:w="3109" w:type="dxa"/>
            <w:noWrap w:val="0"/>
            <w:vAlign w:val="center"/>
          </w:tcPr>
          <w:p>
            <w:pPr>
              <w:pStyle w:val="18"/>
            </w:pPr>
            <w:r>
              <w:t>信访群众满意度</w:t>
            </w:r>
          </w:p>
        </w:tc>
        <w:tc>
          <w:tcPr>
            <w:tcW w:w="3764" w:type="dxa"/>
            <w:noWrap w:val="0"/>
            <w:vAlign w:val="center"/>
          </w:tcPr>
          <w:p>
            <w:pPr>
              <w:pStyle w:val="18"/>
            </w:pPr>
            <w:r>
              <w:t>信访群众满意度</w:t>
            </w:r>
          </w:p>
        </w:tc>
        <w:tc>
          <w:tcPr>
            <w:tcW w:w="1691" w:type="dxa"/>
            <w:noWrap w:val="0"/>
            <w:vAlign w:val="center"/>
          </w:tcPr>
          <w:p>
            <w:pPr>
              <w:pStyle w:val="18"/>
            </w:pPr>
            <w:r>
              <w:t>≥90百分比</w:t>
            </w:r>
          </w:p>
        </w:tc>
        <w:tc>
          <w:tcPr>
            <w:tcW w:w="3053" w:type="dxa"/>
            <w:noWrap w:val="0"/>
            <w:vAlign w:val="center"/>
          </w:tcPr>
          <w:p>
            <w:pPr>
              <w:pStyle w:val="18"/>
            </w:pPr>
            <w:r>
              <w:t>工作方案</w:t>
            </w:r>
          </w:p>
        </w:tc>
      </w:tr>
    </w:tbl>
    <w:p/>
    <w:p/>
    <w:p/>
    <w:p>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8"/>
            </w:pPr>
            <w:r>
              <w:rPr>
                <w:rFonts w:hint="eastAsia"/>
              </w:rPr>
              <w:t>为加强节约型机关建设，改善乡镇干部职工办公条件，保障干部职工及广大人民群众生命财产安全，提供安全、必要的办公条件</w:t>
            </w:r>
          </w:p>
        </w:tc>
      </w:tr>
    </w:tbl>
    <w:tbl>
      <w:tblPr>
        <w:tblStyle w:val="9"/>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noWrap w:val="0"/>
            <w:vAlign w:val="center"/>
          </w:tcPr>
          <w:p>
            <w:pPr>
              <w:pStyle w:val="16"/>
            </w:pPr>
            <w:r>
              <w:t>一级指标</w:t>
            </w:r>
          </w:p>
        </w:tc>
        <w:tc>
          <w:tcPr>
            <w:tcW w:w="1127" w:type="dxa"/>
            <w:noWrap w:val="0"/>
            <w:vAlign w:val="center"/>
          </w:tcPr>
          <w:p>
            <w:pPr>
              <w:pStyle w:val="16"/>
            </w:pPr>
            <w:r>
              <w:t>二级指标</w:t>
            </w:r>
          </w:p>
        </w:tc>
        <w:tc>
          <w:tcPr>
            <w:tcW w:w="2569" w:type="dxa"/>
            <w:noWrap w:val="0"/>
            <w:vAlign w:val="center"/>
          </w:tcPr>
          <w:p>
            <w:pPr>
              <w:pStyle w:val="16"/>
            </w:pPr>
            <w:r>
              <w:t>三级指标</w:t>
            </w:r>
          </w:p>
        </w:tc>
        <w:tc>
          <w:tcPr>
            <w:tcW w:w="4309" w:type="dxa"/>
            <w:noWrap w:val="0"/>
            <w:vAlign w:val="center"/>
          </w:tcPr>
          <w:p>
            <w:pPr>
              <w:pStyle w:val="16"/>
            </w:pPr>
            <w:r>
              <w:t>绩效指标描述</w:t>
            </w:r>
          </w:p>
        </w:tc>
        <w:tc>
          <w:tcPr>
            <w:tcW w:w="2059" w:type="dxa"/>
            <w:noWrap w:val="0"/>
            <w:vAlign w:val="center"/>
          </w:tcPr>
          <w:p>
            <w:pPr>
              <w:pStyle w:val="16"/>
            </w:pPr>
            <w:r>
              <w:t>指标值</w:t>
            </w:r>
          </w:p>
        </w:tc>
        <w:tc>
          <w:tcPr>
            <w:tcW w:w="2686" w:type="dxa"/>
            <w:noWrap w:val="0"/>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noWrap w:val="0"/>
            <w:vAlign w:val="center"/>
          </w:tcPr>
          <w:p>
            <w:pPr>
              <w:pStyle w:val="19"/>
            </w:pPr>
            <w:r>
              <w:t>产出指标</w:t>
            </w:r>
          </w:p>
        </w:tc>
        <w:tc>
          <w:tcPr>
            <w:tcW w:w="1127" w:type="dxa"/>
            <w:noWrap w:val="0"/>
            <w:vAlign w:val="center"/>
          </w:tcPr>
          <w:p>
            <w:pPr>
              <w:pStyle w:val="18"/>
            </w:pPr>
            <w:r>
              <w:t>数量指标</w:t>
            </w:r>
          </w:p>
        </w:tc>
        <w:tc>
          <w:tcPr>
            <w:tcW w:w="2569" w:type="dxa"/>
            <w:noWrap w:val="0"/>
            <w:vAlign w:val="center"/>
          </w:tcPr>
          <w:p>
            <w:pPr>
              <w:pStyle w:val="18"/>
            </w:pPr>
            <w:r>
              <w:t>修缮项目验收合格率</w:t>
            </w:r>
          </w:p>
        </w:tc>
        <w:tc>
          <w:tcPr>
            <w:tcW w:w="4309" w:type="dxa"/>
            <w:noWrap w:val="0"/>
            <w:vAlign w:val="center"/>
          </w:tcPr>
          <w:p>
            <w:pPr>
              <w:pStyle w:val="18"/>
            </w:pPr>
            <w:r>
              <w:t>通过验收的工程量占建设、改造、修缮总量的比率</w:t>
            </w:r>
          </w:p>
        </w:tc>
        <w:tc>
          <w:tcPr>
            <w:tcW w:w="2059" w:type="dxa"/>
            <w:noWrap w:val="0"/>
            <w:vAlign w:val="center"/>
          </w:tcPr>
          <w:p>
            <w:pPr>
              <w:pStyle w:val="18"/>
            </w:pPr>
            <w:r>
              <w:t>≥90百分比</w:t>
            </w:r>
          </w:p>
        </w:tc>
        <w:tc>
          <w:tcPr>
            <w:tcW w:w="2686"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tc>
        <w:tc>
          <w:tcPr>
            <w:tcW w:w="1127" w:type="dxa"/>
            <w:noWrap w:val="0"/>
            <w:vAlign w:val="center"/>
          </w:tcPr>
          <w:p>
            <w:pPr>
              <w:pStyle w:val="18"/>
            </w:pPr>
            <w:r>
              <w:t>质量指标</w:t>
            </w:r>
          </w:p>
        </w:tc>
        <w:tc>
          <w:tcPr>
            <w:tcW w:w="2569" w:type="dxa"/>
            <w:noWrap w:val="0"/>
            <w:vAlign w:val="center"/>
          </w:tcPr>
          <w:p>
            <w:pPr>
              <w:pStyle w:val="18"/>
            </w:pPr>
            <w:r>
              <w:t>修缮项目完成率</w:t>
            </w:r>
          </w:p>
        </w:tc>
        <w:tc>
          <w:tcPr>
            <w:tcW w:w="4309" w:type="dxa"/>
            <w:noWrap w:val="0"/>
            <w:vAlign w:val="center"/>
          </w:tcPr>
          <w:p>
            <w:pPr>
              <w:pStyle w:val="18"/>
            </w:pPr>
            <w:r>
              <w:t>实际完成工程量占计划完成工程量的比率</w:t>
            </w:r>
          </w:p>
        </w:tc>
        <w:tc>
          <w:tcPr>
            <w:tcW w:w="2059" w:type="dxa"/>
            <w:noWrap w:val="0"/>
            <w:vAlign w:val="center"/>
          </w:tcPr>
          <w:p>
            <w:pPr>
              <w:pStyle w:val="18"/>
            </w:pPr>
            <w:r>
              <w:t>≥90百分比</w:t>
            </w:r>
          </w:p>
        </w:tc>
        <w:tc>
          <w:tcPr>
            <w:tcW w:w="2686"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tc>
        <w:tc>
          <w:tcPr>
            <w:tcW w:w="1127" w:type="dxa"/>
            <w:noWrap w:val="0"/>
            <w:vAlign w:val="center"/>
          </w:tcPr>
          <w:p>
            <w:pPr>
              <w:pStyle w:val="18"/>
            </w:pPr>
            <w:r>
              <w:t>时效指标</w:t>
            </w:r>
          </w:p>
        </w:tc>
        <w:tc>
          <w:tcPr>
            <w:tcW w:w="2569" w:type="dxa"/>
            <w:noWrap w:val="0"/>
            <w:vAlign w:val="center"/>
          </w:tcPr>
          <w:p>
            <w:pPr>
              <w:pStyle w:val="18"/>
            </w:pPr>
            <w:r>
              <w:t>年度项目完成情况</w:t>
            </w:r>
          </w:p>
        </w:tc>
        <w:tc>
          <w:tcPr>
            <w:tcW w:w="4309" w:type="dxa"/>
            <w:noWrap w:val="0"/>
            <w:vAlign w:val="center"/>
          </w:tcPr>
          <w:p>
            <w:pPr>
              <w:pStyle w:val="18"/>
            </w:pPr>
            <w:r>
              <w:t>年度项目按规定时间点完成</w:t>
            </w:r>
          </w:p>
        </w:tc>
        <w:tc>
          <w:tcPr>
            <w:tcW w:w="2059" w:type="dxa"/>
            <w:noWrap w:val="0"/>
            <w:vAlign w:val="center"/>
          </w:tcPr>
          <w:p>
            <w:pPr>
              <w:pStyle w:val="18"/>
            </w:pPr>
            <w:r>
              <w:t>≥90百分比</w:t>
            </w:r>
          </w:p>
        </w:tc>
        <w:tc>
          <w:tcPr>
            <w:tcW w:w="2686"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tc>
        <w:tc>
          <w:tcPr>
            <w:tcW w:w="1127" w:type="dxa"/>
            <w:noWrap w:val="0"/>
            <w:vAlign w:val="center"/>
          </w:tcPr>
          <w:p>
            <w:pPr>
              <w:pStyle w:val="18"/>
            </w:pPr>
            <w:r>
              <w:t>成本指标</w:t>
            </w:r>
          </w:p>
        </w:tc>
        <w:tc>
          <w:tcPr>
            <w:tcW w:w="2569" w:type="dxa"/>
            <w:noWrap w:val="0"/>
            <w:vAlign w:val="center"/>
          </w:tcPr>
          <w:p>
            <w:pPr>
              <w:pStyle w:val="18"/>
            </w:pPr>
            <w:r>
              <w:t>经费控制数</w:t>
            </w:r>
          </w:p>
        </w:tc>
        <w:tc>
          <w:tcPr>
            <w:tcW w:w="4309" w:type="dxa"/>
            <w:noWrap w:val="0"/>
            <w:vAlign w:val="center"/>
          </w:tcPr>
          <w:p>
            <w:pPr>
              <w:pStyle w:val="18"/>
            </w:pPr>
            <w:r>
              <w:t>经费控制数</w:t>
            </w:r>
          </w:p>
        </w:tc>
        <w:tc>
          <w:tcPr>
            <w:tcW w:w="2059" w:type="dxa"/>
            <w:noWrap w:val="0"/>
            <w:vAlign w:val="center"/>
          </w:tcPr>
          <w:p>
            <w:pPr>
              <w:pStyle w:val="18"/>
            </w:pPr>
            <w:r>
              <w:t>≤3.53万元</w:t>
            </w:r>
          </w:p>
        </w:tc>
        <w:tc>
          <w:tcPr>
            <w:tcW w:w="2686"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pPr>
              <w:pStyle w:val="19"/>
            </w:pPr>
            <w:r>
              <w:t>效益指标</w:t>
            </w:r>
          </w:p>
        </w:tc>
        <w:tc>
          <w:tcPr>
            <w:tcW w:w="1127" w:type="dxa"/>
            <w:noWrap w:val="0"/>
            <w:vAlign w:val="center"/>
          </w:tcPr>
          <w:p>
            <w:pPr>
              <w:pStyle w:val="18"/>
            </w:pPr>
            <w:r>
              <w:t>社会效益指标</w:t>
            </w:r>
          </w:p>
        </w:tc>
        <w:tc>
          <w:tcPr>
            <w:tcW w:w="2569" w:type="dxa"/>
            <w:noWrap w:val="0"/>
            <w:vAlign w:val="center"/>
          </w:tcPr>
          <w:p>
            <w:pPr>
              <w:pStyle w:val="18"/>
            </w:pPr>
            <w:r>
              <w:t>办公设施的改善成效</w:t>
            </w:r>
          </w:p>
        </w:tc>
        <w:tc>
          <w:tcPr>
            <w:tcW w:w="4309" w:type="dxa"/>
            <w:noWrap w:val="0"/>
            <w:vAlign w:val="center"/>
          </w:tcPr>
          <w:p>
            <w:pPr>
              <w:pStyle w:val="18"/>
            </w:pPr>
            <w:r>
              <w:t>反映修缮后办公设施改善情况</w:t>
            </w:r>
          </w:p>
        </w:tc>
        <w:tc>
          <w:tcPr>
            <w:tcW w:w="2059" w:type="dxa"/>
            <w:noWrap w:val="0"/>
            <w:vAlign w:val="center"/>
          </w:tcPr>
          <w:p>
            <w:pPr>
              <w:pStyle w:val="18"/>
            </w:pPr>
            <w:r>
              <w:t>≥90百分比</w:t>
            </w:r>
          </w:p>
        </w:tc>
        <w:tc>
          <w:tcPr>
            <w:tcW w:w="2686" w:type="dxa"/>
            <w:noWrap w:val="0"/>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pPr>
              <w:pStyle w:val="19"/>
            </w:pPr>
            <w:r>
              <w:t>满意度指标</w:t>
            </w:r>
          </w:p>
        </w:tc>
        <w:tc>
          <w:tcPr>
            <w:tcW w:w="1127" w:type="dxa"/>
            <w:noWrap w:val="0"/>
            <w:vAlign w:val="center"/>
          </w:tcPr>
          <w:p>
            <w:pPr>
              <w:pStyle w:val="18"/>
            </w:pPr>
            <w:r>
              <w:t>服务对象满意度指标</w:t>
            </w:r>
          </w:p>
        </w:tc>
        <w:tc>
          <w:tcPr>
            <w:tcW w:w="2569" w:type="dxa"/>
            <w:noWrap w:val="0"/>
            <w:vAlign w:val="center"/>
          </w:tcPr>
          <w:p>
            <w:pPr>
              <w:pStyle w:val="18"/>
            </w:pPr>
            <w:r>
              <w:t>服务对象满意度</w:t>
            </w:r>
          </w:p>
        </w:tc>
        <w:tc>
          <w:tcPr>
            <w:tcW w:w="4309" w:type="dxa"/>
            <w:noWrap w:val="0"/>
            <w:vAlign w:val="center"/>
          </w:tcPr>
          <w:p>
            <w:pPr>
              <w:pStyle w:val="18"/>
            </w:pPr>
            <w:r>
              <w:t>服务对象满意度</w:t>
            </w:r>
          </w:p>
        </w:tc>
        <w:tc>
          <w:tcPr>
            <w:tcW w:w="2059" w:type="dxa"/>
            <w:noWrap w:val="0"/>
            <w:vAlign w:val="center"/>
          </w:tcPr>
          <w:p>
            <w:pPr>
              <w:pStyle w:val="18"/>
            </w:pPr>
            <w:r>
              <w:t>≥90百分比</w:t>
            </w:r>
          </w:p>
        </w:tc>
        <w:tc>
          <w:tcPr>
            <w:tcW w:w="2686" w:type="dxa"/>
            <w:noWrap w:val="0"/>
            <w:vAlign w:val="center"/>
          </w:tcPr>
          <w:p>
            <w:pPr>
              <w:pStyle w:val="18"/>
            </w:pPr>
            <w:r>
              <w:t>依据工作方案</w:t>
            </w:r>
          </w:p>
        </w:tc>
      </w:tr>
    </w:tbl>
    <w:p>
      <w:pPr>
        <w:sectPr>
          <w:type w:val="continuous"/>
          <w:pgSz w:w="16840" w:h="11900" w:orient="landscape"/>
          <w:pgMar w:top="1361" w:right="1021" w:bottom="1134" w:left="1021" w:header="720" w:footer="720" w:gutter="0"/>
          <w:cols w:space="720" w:num="1"/>
        </w:sectPr>
      </w:pPr>
    </w:p>
    <w:p>
      <w:pPr>
        <w:spacing w:before="10" w:after="10"/>
        <w:ind w:firstLine="640"/>
        <w:outlineLvl w:val="5"/>
        <w:rPr>
          <w:rFonts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320" w:firstLineChars="100"/>
        <w:outlineLvl w:val="5"/>
        <w:rPr>
          <w:rFonts w:ascii="方正仿宋_GBK" w:hAnsi="方正仿宋_GBK" w:eastAsia="方正仿宋_GBK" w:cs="方正仿宋_GBK"/>
          <w:color w:val="000000"/>
          <w:sz w:val="28"/>
        </w:rPr>
      </w:pPr>
      <w:r>
        <w:rPr>
          <w:rFonts w:hint="eastAsia" w:ascii="黑体" w:hAnsi="黑体" w:eastAsia="黑体" w:cs="黑体"/>
          <w:color w:val="000000"/>
          <w:sz w:val="32"/>
          <w:lang w:val="en-US" w:eastAsia="zh-CN"/>
        </w:rPr>
        <w:t>9、</w:t>
      </w:r>
      <w:r>
        <w:rPr>
          <w:rFonts w:ascii="方正仿宋_GBK" w:hAnsi="方正仿宋_GBK" w:eastAsia="方正仿宋_GBK" w:cs="方正仿宋_GBK"/>
          <w:color w:val="000000"/>
          <w:sz w:val="28"/>
        </w:rPr>
        <w:t>2023年胡家庄乡扶持壮大村集体经济项目绩效目标表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2815"/>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2" w:type="dxa"/>
            <w:vAlign w:val="center"/>
          </w:tcPr>
          <w:p>
            <w:pPr>
              <w:pStyle w:val="16"/>
            </w:pPr>
            <w:r>
              <w:t>绩效目标</w:t>
            </w:r>
          </w:p>
        </w:tc>
        <w:tc>
          <w:tcPr>
            <w:tcW w:w="12815" w:type="dxa"/>
            <w:vAlign w:val="center"/>
          </w:tcPr>
          <w:p>
            <w:pPr>
              <w:pStyle w:val="18"/>
            </w:pPr>
            <w:r>
              <w:t>1.进一步提升我乡经济增速。</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200"/>
        <w:gridCol w:w="2565"/>
        <w:gridCol w:w="4290"/>
        <w:gridCol w:w="2085"/>
        <w:gridCol w:w="26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22" w:type="dxa"/>
            <w:vAlign w:val="center"/>
          </w:tcPr>
          <w:p>
            <w:pPr>
              <w:pStyle w:val="16"/>
            </w:pPr>
            <w:r>
              <w:t>一级指标</w:t>
            </w:r>
          </w:p>
        </w:tc>
        <w:tc>
          <w:tcPr>
            <w:tcW w:w="1200" w:type="dxa"/>
            <w:vAlign w:val="center"/>
          </w:tcPr>
          <w:p>
            <w:pPr>
              <w:pStyle w:val="16"/>
            </w:pPr>
            <w:r>
              <w:t>二级指标</w:t>
            </w:r>
          </w:p>
        </w:tc>
        <w:tc>
          <w:tcPr>
            <w:tcW w:w="2565" w:type="dxa"/>
            <w:vAlign w:val="center"/>
          </w:tcPr>
          <w:p>
            <w:pPr>
              <w:pStyle w:val="16"/>
            </w:pPr>
            <w:r>
              <w:t>三级指标</w:t>
            </w:r>
          </w:p>
        </w:tc>
        <w:tc>
          <w:tcPr>
            <w:tcW w:w="4290" w:type="dxa"/>
            <w:vAlign w:val="center"/>
          </w:tcPr>
          <w:p>
            <w:pPr>
              <w:pStyle w:val="16"/>
            </w:pPr>
            <w:r>
              <w:t>绩效指标描述</w:t>
            </w:r>
          </w:p>
        </w:tc>
        <w:tc>
          <w:tcPr>
            <w:tcW w:w="2085" w:type="dxa"/>
            <w:vAlign w:val="center"/>
          </w:tcPr>
          <w:p>
            <w:pPr>
              <w:pStyle w:val="16"/>
            </w:pPr>
            <w:r>
              <w:t>指标值</w:t>
            </w:r>
          </w:p>
        </w:tc>
        <w:tc>
          <w:tcPr>
            <w:tcW w:w="2695"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pPr>
              <w:pStyle w:val="19"/>
            </w:pPr>
            <w:r>
              <w:t>产出指标</w:t>
            </w:r>
          </w:p>
        </w:tc>
        <w:tc>
          <w:tcPr>
            <w:tcW w:w="1200" w:type="dxa"/>
            <w:vAlign w:val="center"/>
          </w:tcPr>
          <w:p>
            <w:pPr>
              <w:pStyle w:val="18"/>
            </w:pPr>
            <w:r>
              <w:t>数量指标</w:t>
            </w:r>
          </w:p>
        </w:tc>
        <w:tc>
          <w:tcPr>
            <w:tcW w:w="2565" w:type="dxa"/>
            <w:vAlign w:val="center"/>
          </w:tcPr>
          <w:p>
            <w:pPr>
              <w:pStyle w:val="18"/>
            </w:pPr>
            <w:r>
              <w:t>完成率</w:t>
            </w:r>
          </w:p>
        </w:tc>
        <w:tc>
          <w:tcPr>
            <w:tcW w:w="4290" w:type="dxa"/>
            <w:vAlign w:val="center"/>
          </w:tcPr>
          <w:p>
            <w:pPr>
              <w:pStyle w:val="18"/>
            </w:pPr>
            <w:r>
              <w:t>按照要求和计划完成研究任务的项目在确保时间内完成</w:t>
            </w:r>
          </w:p>
        </w:tc>
        <w:tc>
          <w:tcPr>
            <w:tcW w:w="2085" w:type="dxa"/>
            <w:vAlign w:val="center"/>
          </w:tcPr>
          <w:p>
            <w:pPr>
              <w:pStyle w:val="18"/>
            </w:pPr>
            <w:r>
              <w:t>≥85%</w:t>
            </w:r>
          </w:p>
        </w:tc>
        <w:tc>
          <w:tcPr>
            <w:tcW w:w="2695" w:type="dxa"/>
            <w:vAlign w:val="center"/>
          </w:tcPr>
          <w:p>
            <w:pPr>
              <w:pStyle w:val="18"/>
            </w:pPr>
            <w: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tc>
        <w:tc>
          <w:tcPr>
            <w:tcW w:w="1200" w:type="dxa"/>
            <w:vAlign w:val="center"/>
          </w:tcPr>
          <w:p>
            <w:pPr>
              <w:pStyle w:val="18"/>
            </w:pPr>
            <w:r>
              <w:t>质量指标</w:t>
            </w:r>
          </w:p>
        </w:tc>
        <w:tc>
          <w:tcPr>
            <w:tcW w:w="2565" w:type="dxa"/>
            <w:vAlign w:val="center"/>
          </w:tcPr>
          <w:p>
            <w:pPr>
              <w:pStyle w:val="18"/>
            </w:pPr>
            <w:r>
              <w:t>覆盖率</w:t>
            </w:r>
          </w:p>
        </w:tc>
        <w:tc>
          <w:tcPr>
            <w:tcW w:w="4290" w:type="dxa"/>
            <w:vAlign w:val="center"/>
          </w:tcPr>
          <w:p>
            <w:pPr>
              <w:pStyle w:val="18"/>
            </w:pPr>
            <w:r>
              <w:t>确保全村项目全覆盖</w:t>
            </w:r>
          </w:p>
        </w:tc>
        <w:tc>
          <w:tcPr>
            <w:tcW w:w="2085" w:type="dxa"/>
            <w:vAlign w:val="center"/>
          </w:tcPr>
          <w:p>
            <w:pPr>
              <w:pStyle w:val="18"/>
            </w:pPr>
            <w:r>
              <w:t>≥85%</w:t>
            </w:r>
          </w:p>
        </w:tc>
        <w:tc>
          <w:tcPr>
            <w:tcW w:w="2695" w:type="dxa"/>
            <w:vAlign w:val="center"/>
          </w:tcPr>
          <w:p>
            <w:pPr>
              <w:pStyle w:val="18"/>
            </w:pPr>
            <w: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tc>
        <w:tc>
          <w:tcPr>
            <w:tcW w:w="1200" w:type="dxa"/>
            <w:vAlign w:val="center"/>
          </w:tcPr>
          <w:p>
            <w:pPr>
              <w:pStyle w:val="18"/>
            </w:pPr>
            <w:r>
              <w:t>时效指标</w:t>
            </w:r>
          </w:p>
        </w:tc>
        <w:tc>
          <w:tcPr>
            <w:tcW w:w="2565" w:type="dxa"/>
            <w:vAlign w:val="center"/>
          </w:tcPr>
          <w:p>
            <w:pPr>
              <w:pStyle w:val="18"/>
            </w:pPr>
            <w:r>
              <w:t>总成本</w:t>
            </w:r>
          </w:p>
        </w:tc>
        <w:tc>
          <w:tcPr>
            <w:tcW w:w="4290" w:type="dxa"/>
            <w:vAlign w:val="center"/>
          </w:tcPr>
          <w:p>
            <w:pPr>
              <w:pStyle w:val="18"/>
            </w:pPr>
            <w:r>
              <w:t>总成本</w:t>
            </w:r>
          </w:p>
        </w:tc>
        <w:tc>
          <w:tcPr>
            <w:tcW w:w="2085" w:type="dxa"/>
            <w:vAlign w:val="center"/>
          </w:tcPr>
          <w:p>
            <w:pPr>
              <w:pStyle w:val="18"/>
            </w:pPr>
            <w:r>
              <w:t>≥90%</w:t>
            </w:r>
          </w:p>
        </w:tc>
        <w:tc>
          <w:tcPr>
            <w:tcW w:w="2695" w:type="dxa"/>
            <w:vAlign w:val="center"/>
          </w:tcPr>
          <w:p>
            <w:pPr>
              <w:pStyle w:val="18"/>
            </w:pPr>
            <w: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tc>
        <w:tc>
          <w:tcPr>
            <w:tcW w:w="1200" w:type="dxa"/>
            <w:vAlign w:val="center"/>
          </w:tcPr>
          <w:p>
            <w:pPr>
              <w:pStyle w:val="18"/>
            </w:pPr>
            <w:r>
              <w:t>成本指标</w:t>
            </w:r>
          </w:p>
        </w:tc>
        <w:tc>
          <w:tcPr>
            <w:tcW w:w="2565" w:type="dxa"/>
            <w:vAlign w:val="center"/>
          </w:tcPr>
          <w:p>
            <w:pPr>
              <w:pStyle w:val="18"/>
            </w:pPr>
            <w:r>
              <w:t>质量达标率</w:t>
            </w:r>
          </w:p>
        </w:tc>
        <w:tc>
          <w:tcPr>
            <w:tcW w:w="4290" w:type="dxa"/>
            <w:vAlign w:val="center"/>
          </w:tcPr>
          <w:p>
            <w:pPr>
              <w:pStyle w:val="18"/>
            </w:pPr>
            <w:r>
              <w:t>质量达标率</w:t>
            </w:r>
          </w:p>
        </w:tc>
        <w:tc>
          <w:tcPr>
            <w:tcW w:w="2085" w:type="dxa"/>
            <w:vAlign w:val="center"/>
          </w:tcPr>
          <w:p>
            <w:pPr>
              <w:pStyle w:val="18"/>
            </w:pPr>
            <w:r>
              <w:t>≥92%</w:t>
            </w:r>
          </w:p>
        </w:tc>
        <w:tc>
          <w:tcPr>
            <w:tcW w:w="2695" w:type="dxa"/>
            <w:vAlign w:val="center"/>
          </w:tcPr>
          <w:p>
            <w:pPr>
              <w:pStyle w:val="18"/>
            </w:pPr>
            <w: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pPr>
              <w:pStyle w:val="19"/>
            </w:pPr>
            <w:r>
              <w:t>效益指标</w:t>
            </w:r>
          </w:p>
        </w:tc>
        <w:tc>
          <w:tcPr>
            <w:tcW w:w="1200" w:type="dxa"/>
            <w:vAlign w:val="center"/>
          </w:tcPr>
          <w:p>
            <w:pPr>
              <w:pStyle w:val="18"/>
            </w:pPr>
            <w:r>
              <w:t>社会效益指标</w:t>
            </w:r>
          </w:p>
        </w:tc>
        <w:tc>
          <w:tcPr>
            <w:tcW w:w="2565" w:type="dxa"/>
            <w:vAlign w:val="center"/>
          </w:tcPr>
          <w:p>
            <w:pPr>
              <w:pStyle w:val="18"/>
            </w:pPr>
            <w:r>
              <w:t>经济效益指标</w:t>
            </w:r>
          </w:p>
        </w:tc>
        <w:tc>
          <w:tcPr>
            <w:tcW w:w="4290" w:type="dxa"/>
            <w:vAlign w:val="center"/>
          </w:tcPr>
          <w:p>
            <w:pPr>
              <w:pStyle w:val="18"/>
            </w:pPr>
            <w:r>
              <w:t>经济效益指标</w:t>
            </w:r>
          </w:p>
        </w:tc>
        <w:tc>
          <w:tcPr>
            <w:tcW w:w="2085" w:type="dxa"/>
            <w:vAlign w:val="center"/>
          </w:tcPr>
          <w:p>
            <w:pPr>
              <w:pStyle w:val="18"/>
            </w:pPr>
            <w:r>
              <w:t>≥91%</w:t>
            </w:r>
          </w:p>
        </w:tc>
        <w:tc>
          <w:tcPr>
            <w:tcW w:w="2695" w:type="dxa"/>
            <w:vAlign w:val="center"/>
          </w:tcPr>
          <w:p>
            <w:pPr>
              <w:pStyle w:val="18"/>
            </w:pPr>
            <w: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tc>
        <w:tc>
          <w:tcPr>
            <w:tcW w:w="1200" w:type="dxa"/>
            <w:vAlign w:val="center"/>
          </w:tcPr>
          <w:p>
            <w:pPr>
              <w:pStyle w:val="18"/>
            </w:pPr>
            <w:r>
              <w:t>社会效益指标</w:t>
            </w:r>
          </w:p>
        </w:tc>
        <w:tc>
          <w:tcPr>
            <w:tcW w:w="2565" w:type="dxa"/>
            <w:vAlign w:val="center"/>
          </w:tcPr>
          <w:p>
            <w:pPr>
              <w:pStyle w:val="18"/>
            </w:pPr>
            <w:r>
              <w:t>社会影响力</w:t>
            </w:r>
          </w:p>
        </w:tc>
        <w:tc>
          <w:tcPr>
            <w:tcW w:w="4290" w:type="dxa"/>
            <w:vAlign w:val="center"/>
          </w:tcPr>
          <w:p>
            <w:pPr>
              <w:pStyle w:val="18"/>
            </w:pPr>
            <w:r>
              <w:t>社会影响力</w:t>
            </w:r>
          </w:p>
        </w:tc>
        <w:tc>
          <w:tcPr>
            <w:tcW w:w="2085" w:type="dxa"/>
            <w:vAlign w:val="center"/>
          </w:tcPr>
          <w:p>
            <w:pPr>
              <w:pStyle w:val="18"/>
            </w:pPr>
            <w:r>
              <w:t>≥94%</w:t>
            </w:r>
          </w:p>
        </w:tc>
        <w:tc>
          <w:tcPr>
            <w:tcW w:w="2695" w:type="dxa"/>
            <w:vAlign w:val="center"/>
          </w:tcPr>
          <w:p>
            <w:pPr>
              <w:pStyle w:val="18"/>
            </w:pPr>
            <w: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pPr>
              <w:pStyle w:val="19"/>
            </w:pPr>
            <w:r>
              <w:t>满意度指标</w:t>
            </w:r>
          </w:p>
        </w:tc>
        <w:tc>
          <w:tcPr>
            <w:tcW w:w="1200" w:type="dxa"/>
            <w:vAlign w:val="center"/>
          </w:tcPr>
          <w:p>
            <w:pPr>
              <w:pStyle w:val="18"/>
            </w:pPr>
            <w:r>
              <w:t>服务对象满意度指标</w:t>
            </w:r>
          </w:p>
        </w:tc>
        <w:tc>
          <w:tcPr>
            <w:tcW w:w="2565" w:type="dxa"/>
            <w:vAlign w:val="center"/>
          </w:tcPr>
          <w:p>
            <w:pPr>
              <w:pStyle w:val="18"/>
            </w:pPr>
            <w:r>
              <w:t>社会公众满意度</w:t>
            </w:r>
          </w:p>
        </w:tc>
        <w:tc>
          <w:tcPr>
            <w:tcW w:w="4290" w:type="dxa"/>
            <w:vAlign w:val="center"/>
          </w:tcPr>
          <w:p>
            <w:pPr>
              <w:pStyle w:val="18"/>
            </w:pPr>
            <w:r>
              <w:t>社会公众满意度</w:t>
            </w:r>
          </w:p>
        </w:tc>
        <w:tc>
          <w:tcPr>
            <w:tcW w:w="2085" w:type="dxa"/>
            <w:vAlign w:val="center"/>
          </w:tcPr>
          <w:p>
            <w:pPr>
              <w:pStyle w:val="18"/>
            </w:pPr>
            <w:r>
              <w:t>≥96%</w:t>
            </w:r>
          </w:p>
        </w:tc>
        <w:tc>
          <w:tcPr>
            <w:tcW w:w="2695" w:type="dxa"/>
            <w:vAlign w:val="center"/>
          </w:tcPr>
          <w:p>
            <w:pPr>
              <w:pStyle w:val="18"/>
            </w:pPr>
            <w:r>
              <w:t>依据相关文件</w:t>
            </w:r>
          </w:p>
        </w:tc>
      </w:tr>
    </w:tbl>
    <w:p>
      <w:pPr>
        <w:spacing w:before="10" w:after="10"/>
        <w:ind w:firstLine="280" w:firstLineChars="100"/>
        <w:outlineLvl w:val="5"/>
        <w:rPr>
          <w:rFonts w:hint="default" w:ascii="方正仿宋_GBK" w:hAnsi="方正仿宋_GBK" w:eastAsia="方正仿宋_GBK" w:cs="方正仿宋_GBK"/>
          <w:color w:val="000000"/>
          <w:sz w:val="28"/>
          <w:lang w:val="en-US" w:eastAsia="zh-CN"/>
        </w:rPr>
      </w:pPr>
    </w:p>
    <w:p>
      <w:pPr>
        <w:numPr>
          <w:ilvl w:val="0"/>
          <w:numId w:val="2"/>
        </w:numPr>
        <w:spacing w:before="10" w:after="10"/>
        <w:ind w:firstLine="280" w:firstLineChars="100"/>
        <w:outlineLvl w:val="5"/>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乡镇行政执法专项经费绩效目标表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90"/>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pPr>
              <w:pStyle w:val="16"/>
            </w:pPr>
            <w:r>
              <w:t>绩效目标</w:t>
            </w:r>
          </w:p>
        </w:tc>
        <w:tc>
          <w:tcPr>
            <w:tcW w:w="12690" w:type="dxa"/>
            <w:vAlign w:val="center"/>
          </w:tcPr>
          <w:p>
            <w:pPr>
              <w:pStyle w:val="18"/>
            </w:pPr>
            <w:r>
              <w:t>1.为了更好地推动乡镇行政执法的力度</w:t>
            </w:r>
            <w:r>
              <w:tab/>
            </w:r>
            <w:r>
              <w:tab/>
            </w:r>
            <w:r>
              <w:tab/>
            </w:r>
            <w:r>
              <w:tab/>
            </w:r>
            <w:r>
              <w:tab/>
            </w:r>
            <w:r>
              <w:tab/>
            </w:r>
          </w:p>
          <w:p>
            <w:pPr>
              <w:pStyle w:val="18"/>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0"/>
        <w:gridCol w:w="2490"/>
        <w:gridCol w:w="4305"/>
        <w:gridCol w:w="2115"/>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07" w:type="dxa"/>
            <w:vAlign w:val="center"/>
          </w:tcPr>
          <w:p>
            <w:pPr>
              <w:pStyle w:val="16"/>
            </w:pPr>
            <w:r>
              <w:t>一级指标</w:t>
            </w:r>
          </w:p>
        </w:tc>
        <w:tc>
          <w:tcPr>
            <w:tcW w:w="1260" w:type="dxa"/>
            <w:vAlign w:val="center"/>
          </w:tcPr>
          <w:p>
            <w:pPr>
              <w:pStyle w:val="16"/>
            </w:pPr>
            <w:r>
              <w:t>二级指标</w:t>
            </w:r>
          </w:p>
        </w:tc>
        <w:tc>
          <w:tcPr>
            <w:tcW w:w="2490" w:type="dxa"/>
            <w:vAlign w:val="center"/>
          </w:tcPr>
          <w:p>
            <w:pPr>
              <w:pStyle w:val="16"/>
            </w:pPr>
            <w:r>
              <w:t>三级指标</w:t>
            </w:r>
          </w:p>
        </w:tc>
        <w:tc>
          <w:tcPr>
            <w:tcW w:w="4305" w:type="dxa"/>
            <w:vAlign w:val="center"/>
          </w:tcPr>
          <w:p>
            <w:pPr>
              <w:pStyle w:val="16"/>
            </w:pPr>
            <w:r>
              <w:t>绩效指标描述</w:t>
            </w:r>
          </w:p>
        </w:tc>
        <w:tc>
          <w:tcPr>
            <w:tcW w:w="2115" w:type="dxa"/>
            <w:vAlign w:val="center"/>
          </w:tcPr>
          <w:p>
            <w:pPr>
              <w:pStyle w:val="16"/>
            </w:pPr>
            <w:r>
              <w:t>指标值</w:t>
            </w:r>
          </w:p>
        </w:tc>
        <w:tc>
          <w:tcPr>
            <w:tcW w:w="2551"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restart"/>
            <w:vAlign w:val="center"/>
          </w:tcPr>
          <w:p>
            <w:pPr>
              <w:pStyle w:val="19"/>
            </w:pPr>
            <w:r>
              <w:t>产出指标</w:t>
            </w:r>
          </w:p>
        </w:tc>
        <w:tc>
          <w:tcPr>
            <w:tcW w:w="1260" w:type="dxa"/>
            <w:vAlign w:val="center"/>
          </w:tcPr>
          <w:p>
            <w:pPr>
              <w:pStyle w:val="18"/>
            </w:pPr>
            <w:r>
              <w:t>数量指标</w:t>
            </w:r>
          </w:p>
        </w:tc>
        <w:tc>
          <w:tcPr>
            <w:tcW w:w="2490" w:type="dxa"/>
            <w:vAlign w:val="center"/>
          </w:tcPr>
          <w:p>
            <w:pPr>
              <w:pStyle w:val="18"/>
            </w:pPr>
            <w:r>
              <w:t>完成率</w:t>
            </w:r>
          </w:p>
        </w:tc>
        <w:tc>
          <w:tcPr>
            <w:tcW w:w="4305" w:type="dxa"/>
            <w:vAlign w:val="center"/>
          </w:tcPr>
          <w:p>
            <w:pPr>
              <w:pStyle w:val="18"/>
            </w:pPr>
            <w:r>
              <w:t>完成率</w:t>
            </w:r>
          </w:p>
        </w:tc>
        <w:tc>
          <w:tcPr>
            <w:tcW w:w="2115" w:type="dxa"/>
            <w:vAlign w:val="center"/>
          </w:tcPr>
          <w:p>
            <w:pPr>
              <w:pStyle w:val="18"/>
            </w:pPr>
            <w:r>
              <w:t>≥96%</w:t>
            </w:r>
          </w:p>
        </w:tc>
        <w:tc>
          <w:tcPr>
            <w:tcW w:w="255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tc>
        <w:tc>
          <w:tcPr>
            <w:tcW w:w="1260" w:type="dxa"/>
            <w:vAlign w:val="center"/>
          </w:tcPr>
          <w:p>
            <w:pPr>
              <w:pStyle w:val="18"/>
            </w:pPr>
            <w:r>
              <w:t>质量指标</w:t>
            </w:r>
          </w:p>
        </w:tc>
        <w:tc>
          <w:tcPr>
            <w:tcW w:w="2490" w:type="dxa"/>
            <w:vAlign w:val="center"/>
          </w:tcPr>
          <w:p>
            <w:pPr>
              <w:pStyle w:val="18"/>
            </w:pPr>
            <w:r>
              <w:t>质量达标率</w:t>
            </w:r>
          </w:p>
        </w:tc>
        <w:tc>
          <w:tcPr>
            <w:tcW w:w="4305" w:type="dxa"/>
            <w:vAlign w:val="center"/>
          </w:tcPr>
          <w:p>
            <w:pPr>
              <w:pStyle w:val="18"/>
            </w:pPr>
            <w:r>
              <w:t>质量达标率</w:t>
            </w:r>
          </w:p>
        </w:tc>
        <w:tc>
          <w:tcPr>
            <w:tcW w:w="2115" w:type="dxa"/>
            <w:vAlign w:val="center"/>
          </w:tcPr>
          <w:p>
            <w:pPr>
              <w:pStyle w:val="18"/>
            </w:pPr>
            <w:r>
              <w:t>≥93%</w:t>
            </w:r>
          </w:p>
        </w:tc>
        <w:tc>
          <w:tcPr>
            <w:tcW w:w="255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tc>
        <w:tc>
          <w:tcPr>
            <w:tcW w:w="1260" w:type="dxa"/>
            <w:vAlign w:val="center"/>
          </w:tcPr>
          <w:p>
            <w:pPr>
              <w:pStyle w:val="18"/>
            </w:pPr>
            <w:r>
              <w:t>时效指标</w:t>
            </w:r>
          </w:p>
        </w:tc>
        <w:tc>
          <w:tcPr>
            <w:tcW w:w="2490" w:type="dxa"/>
            <w:vAlign w:val="center"/>
          </w:tcPr>
          <w:p>
            <w:pPr>
              <w:pStyle w:val="18"/>
            </w:pPr>
            <w:r>
              <w:t>及时性</w:t>
            </w:r>
          </w:p>
        </w:tc>
        <w:tc>
          <w:tcPr>
            <w:tcW w:w="4305" w:type="dxa"/>
            <w:vAlign w:val="center"/>
          </w:tcPr>
          <w:p>
            <w:pPr>
              <w:pStyle w:val="18"/>
            </w:pPr>
            <w:r>
              <w:t>及时性</w:t>
            </w:r>
          </w:p>
        </w:tc>
        <w:tc>
          <w:tcPr>
            <w:tcW w:w="2115" w:type="dxa"/>
            <w:vAlign w:val="center"/>
          </w:tcPr>
          <w:p>
            <w:pPr>
              <w:pStyle w:val="18"/>
            </w:pPr>
            <w:r>
              <w:t>≥93%</w:t>
            </w:r>
          </w:p>
        </w:tc>
        <w:tc>
          <w:tcPr>
            <w:tcW w:w="255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tc>
        <w:tc>
          <w:tcPr>
            <w:tcW w:w="1260" w:type="dxa"/>
            <w:vAlign w:val="center"/>
          </w:tcPr>
          <w:p>
            <w:pPr>
              <w:pStyle w:val="18"/>
            </w:pPr>
            <w:r>
              <w:t>成本指标</w:t>
            </w:r>
          </w:p>
        </w:tc>
        <w:tc>
          <w:tcPr>
            <w:tcW w:w="2490" w:type="dxa"/>
            <w:vAlign w:val="center"/>
          </w:tcPr>
          <w:p>
            <w:pPr>
              <w:pStyle w:val="18"/>
            </w:pPr>
            <w:r>
              <w:t>完成工作目标需要资金</w:t>
            </w:r>
          </w:p>
        </w:tc>
        <w:tc>
          <w:tcPr>
            <w:tcW w:w="4305" w:type="dxa"/>
            <w:vAlign w:val="center"/>
          </w:tcPr>
          <w:p>
            <w:pPr>
              <w:pStyle w:val="18"/>
            </w:pPr>
            <w:r>
              <w:t>完成工作目标需要资金</w:t>
            </w:r>
          </w:p>
        </w:tc>
        <w:tc>
          <w:tcPr>
            <w:tcW w:w="2115" w:type="dxa"/>
            <w:vAlign w:val="center"/>
          </w:tcPr>
          <w:p>
            <w:pPr>
              <w:pStyle w:val="18"/>
            </w:pPr>
            <w:r>
              <w:t>5万元</w:t>
            </w:r>
          </w:p>
        </w:tc>
        <w:tc>
          <w:tcPr>
            <w:tcW w:w="2551" w:type="dxa"/>
            <w:vAlign w:val="center"/>
          </w:tcPr>
          <w:p>
            <w:pPr>
              <w:pStyle w:val="18"/>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pPr>
              <w:pStyle w:val="19"/>
            </w:pPr>
            <w:r>
              <w:t>效益指标</w:t>
            </w:r>
          </w:p>
        </w:tc>
        <w:tc>
          <w:tcPr>
            <w:tcW w:w="1260" w:type="dxa"/>
            <w:vAlign w:val="center"/>
          </w:tcPr>
          <w:p>
            <w:pPr>
              <w:pStyle w:val="18"/>
            </w:pPr>
            <w:r>
              <w:t>社会效益指标</w:t>
            </w:r>
          </w:p>
        </w:tc>
        <w:tc>
          <w:tcPr>
            <w:tcW w:w="2490" w:type="dxa"/>
            <w:vAlign w:val="center"/>
          </w:tcPr>
          <w:p>
            <w:pPr>
              <w:pStyle w:val="18"/>
            </w:pPr>
            <w:r>
              <w:t>社会影响力</w:t>
            </w:r>
          </w:p>
        </w:tc>
        <w:tc>
          <w:tcPr>
            <w:tcW w:w="4305" w:type="dxa"/>
            <w:vAlign w:val="center"/>
          </w:tcPr>
          <w:p>
            <w:pPr>
              <w:pStyle w:val="18"/>
            </w:pPr>
            <w:r>
              <w:t>社会影响力</w:t>
            </w:r>
          </w:p>
        </w:tc>
        <w:tc>
          <w:tcPr>
            <w:tcW w:w="2115" w:type="dxa"/>
            <w:vAlign w:val="center"/>
          </w:tcPr>
          <w:p>
            <w:pPr>
              <w:pStyle w:val="18"/>
            </w:pPr>
            <w:r>
              <w:t>≥93%</w:t>
            </w:r>
          </w:p>
        </w:tc>
        <w:tc>
          <w:tcPr>
            <w:tcW w:w="2551" w:type="dxa"/>
            <w:vAlign w:val="center"/>
          </w:tcPr>
          <w:p>
            <w:pPr>
              <w:pStyle w:val="18"/>
            </w:pPr>
            <w:r>
              <w:t>依据工作方案</w:t>
            </w:r>
          </w:p>
        </w:tc>
      </w:tr>
    </w:tbl>
    <w:p>
      <w:pPr>
        <w:numPr>
          <w:ilvl w:val="0"/>
          <w:numId w:val="0"/>
        </w:numPr>
        <w:spacing w:before="10" w:after="10"/>
        <w:outlineLvl w:val="5"/>
        <w:rPr>
          <w:rFonts w:hint="default" w:ascii="方正仿宋_GBK" w:hAnsi="方正仿宋_GBK" w:eastAsia="方正仿宋_GBK" w:cs="方正仿宋_GBK"/>
          <w:color w:val="000000"/>
          <w:sz w:val="28"/>
          <w:lang w:val="en-US" w:eastAsia="zh-CN"/>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涞水县胡家庄乡人民政府本级无政府采购预算安排。</w:t>
      </w:r>
    </w:p>
    <w:p>
      <w:pPr>
        <w:jc w:val="both"/>
        <w:rPr>
          <w:rFonts w:ascii="方正小标宋_GBK" w:hAnsi="方正小标宋_GBK" w:eastAsia="方正小标宋_GBK" w:cs="方正小标宋_GBK"/>
          <w:color w:val="000000"/>
          <w:sz w:val="36"/>
        </w:rPr>
      </w:pPr>
    </w:p>
    <w:p>
      <w:pPr>
        <w:jc w:val="center"/>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4"/>
        <w:gridCol w:w="1027"/>
        <w:gridCol w:w="1027"/>
        <w:gridCol w:w="641"/>
        <w:gridCol w:w="769"/>
        <w:gridCol w:w="776"/>
        <w:gridCol w:w="873"/>
        <w:gridCol w:w="873"/>
        <w:gridCol w:w="873"/>
        <w:gridCol w:w="873"/>
        <w:gridCol w:w="873"/>
        <w:gridCol w:w="873"/>
        <w:gridCol w:w="873"/>
        <w:gridCol w:w="879"/>
        <w:gridCol w:w="8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3" w:hRule="atLeast"/>
          <w:tblHeader/>
          <w:jc w:val="center"/>
        </w:trPr>
        <w:tc>
          <w:tcPr>
            <w:tcW w:w="6655" w:type="dxa"/>
            <w:gridSpan w:val="7"/>
            <w:tcBorders>
              <w:top w:val="single" w:color="FFFFFF" w:sz="6" w:space="0"/>
              <w:left w:val="single" w:color="FFFFFF" w:sz="6" w:space="0"/>
              <w:right w:val="single" w:color="FFFFFF" w:sz="6" w:space="0"/>
            </w:tcBorders>
            <w:vAlign w:val="center"/>
          </w:tcPr>
          <w:p>
            <w:pPr>
              <w:pStyle w:val="15"/>
              <w:rPr>
                <w:rFonts w:hint="default" w:eastAsia="方正小标宋_GBK"/>
                <w:lang w:val="en-US" w:eastAsia="zh-CN"/>
              </w:rPr>
            </w:pPr>
            <w:r>
              <w:rPr>
                <w:rFonts w:hint="eastAsia"/>
                <w:lang w:val="en-US" w:eastAsia="zh-CN"/>
              </w:rPr>
              <w:t>809涞水县胡家庄乡人民政府本级</w:t>
            </w:r>
          </w:p>
        </w:tc>
        <w:tc>
          <w:tcPr>
            <w:tcW w:w="7864" w:type="dxa"/>
            <w:gridSpan w:val="9"/>
            <w:tcBorders>
              <w:top w:val="single" w:color="FFFFFF" w:sz="6" w:space="0"/>
              <w:left w:val="single" w:color="FFFFFF" w:sz="6" w:space="0"/>
              <w:right w:val="single" w:color="FFFFFF" w:sz="6" w:space="0"/>
            </w:tcBorders>
            <w:vAlign w:val="center"/>
          </w:tcPr>
          <w:p>
            <w:pPr>
              <w:pStyle w:val="3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tblHeader/>
          <w:jc w:val="center"/>
        </w:trPr>
        <w:tc>
          <w:tcPr>
            <w:tcW w:w="2415" w:type="dxa"/>
            <w:gridSpan w:val="2"/>
            <w:vAlign w:val="center"/>
          </w:tcPr>
          <w:p>
            <w:pPr>
              <w:pStyle w:val="16"/>
            </w:pPr>
            <w:r>
              <w:t>政府采购项目来源</w:t>
            </w:r>
          </w:p>
        </w:tc>
        <w:tc>
          <w:tcPr>
            <w:tcW w:w="1027" w:type="dxa"/>
            <w:vMerge w:val="restart"/>
            <w:vAlign w:val="center"/>
          </w:tcPr>
          <w:p>
            <w:pPr>
              <w:pStyle w:val="16"/>
            </w:pPr>
            <w:r>
              <w:t>采购物品名称</w:t>
            </w:r>
          </w:p>
        </w:tc>
        <w:tc>
          <w:tcPr>
            <w:tcW w:w="1027" w:type="dxa"/>
            <w:vMerge w:val="restart"/>
            <w:vAlign w:val="center"/>
          </w:tcPr>
          <w:p>
            <w:pPr>
              <w:pStyle w:val="16"/>
            </w:pPr>
            <w:r>
              <w:t>政府采购目录序号</w:t>
            </w:r>
          </w:p>
        </w:tc>
        <w:tc>
          <w:tcPr>
            <w:tcW w:w="641" w:type="dxa"/>
            <w:vMerge w:val="restart"/>
            <w:vAlign w:val="center"/>
          </w:tcPr>
          <w:p>
            <w:pPr>
              <w:pStyle w:val="16"/>
            </w:pPr>
            <w:r>
              <w:t>计量  单位</w:t>
            </w:r>
          </w:p>
        </w:tc>
        <w:tc>
          <w:tcPr>
            <w:tcW w:w="769" w:type="dxa"/>
            <w:vMerge w:val="restart"/>
            <w:vAlign w:val="center"/>
          </w:tcPr>
          <w:p>
            <w:pPr>
              <w:pStyle w:val="16"/>
            </w:pPr>
            <w:r>
              <w:t>数量</w:t>
            </w:r>
          </w:p>
        </w:tc>
        <w:tc>
          <w:tcPr>
            <w:tcW w:w="776" w:type="dxa"/>
            <w:vMerge w:val="restart"/>
            <w:vAlign w:val="center"/>
          </w:tcPr>
          <w:p>
            <w:pPr>
              <w:pStyle w:val="16"/>
            </w:pPr>
            <w:r>
              <w:t>单价</w:t>
            </w:r>
          </w:p>
        </w:tc>
        <w:tc>
          <w:tcPr>
            <w:tcW w:w="6990" w:type="dxa"/>
            <w:gridSpan w:val="8"/>
            <w:vAlign w:val="center"/>
          </w:tcPr>
          <w:p>
            <w:pPr>
              <w:pStyle w:val="16"/>
            </w:pPr>
            <w:r>
              <w:t>政府采购金额（当年部门预算安排资金）</w:t>
            </w:r>
          </w:p>
        </w:tc>
        <w:tc>
          <w:tcPr>
            <w:tcW w:w="874" w:type="dxa"/>
            <w:vMerge w:val="restart"/>
            <w:vAlign w:val="center"/>
          </w:tcPr>
          <w:p>
            <w:pPr>
              <w:pStyle w:val="16"/>
            </w:pPr>
            <w:r>
              <w:t>202</w:t>
            </w:r>
            <w:r>
              <w:rPr>
                <w:rFonts w:hint="eastAsia"/>
                <w:lang w:val="en-US" w:eastAsia="zh-CN"/>
              </w:rPr>
              <w:t>3</w:t>
            </w:r>
            <w:r>
              <w:t>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2" w:hRule="atLeast"/>
          <w:tblHeader/>
          <w:jc w:val="center"/>
        </w:trPr>
        <w:tc>
          <w:tcPr>
            <w:tcW w:w="1541" w:type="dxa"/>
            <w:vAlign w:val="center"/>
          </w:tcPr>
          <w:p>
            <w:pPr>
              <w:pStyle w:val="16"/>
            </w:pPr>
            <w:r>
              <w:t>项目名称</w:t>
            </w:r>
          </w:p>
        </w:tc>
        <w:tc>
          <w:tcPr>
            <w:tcW w:w="874" w:type="dxa"/>
            <w:vAlign w:val="center"/>
          </w:tcPr>
          <w:p>
            <w:pPr>
              <w:pStyle w:val="16"/>
            </w:pPr>
            <w:r>
              <w:t>预算    资金</w:t>
            </w:r>
          </w:p>
        </w:tc>
        <w:tc>
          <w:tcPr>
            <w:tcW w:w="1027" w:type="dxa"/>
            <w:vMerge w:val="continue"/>
          </w:tcPr>
          <w:p/>
        </w:tc>
        <w:tc>
          <w:tcPr>
            <w:tcW w:w="1027" w:type="dxa"/>
            <w:vMerge w:val="continue"/>
          </w:tcPr>
          <w:p/>
        </w:tc>
        <w:tc>
          <w:tcPr>
            <w:tcW w:w="641" w:type="dxa"/>
            <w:vMerge w:val="continue"/>
          </w:tcPr>
          <w:p/>
        </w:tc>
        <w:tc>
          <w:tcPr>
            <w:tcW w:w="769" w:type="dxa"/>
            <w:vMerge w:val="continue"/>
          </w:tcPr>
          <w:p/>
        </w:tc>
        <w:tc>
          <w:tcPr>
            <w:tcW w:w="776" w:type="dxa"/>
            <w:vMerge w:val="continue"/>
          </w:tcPr>
          <w:p/>
        </w:tc>
        <w:tc>
          <w:tcPr>
            <w:tcW w:w="873" w:type="dxa"/>
            <w:vAlign w:val="center"/>
          </w:tcPr>
          <w:p>
            <w:pPr>
              <w:pStyle w:val="16"/>
            </w:pPr>
            <w:r>
              <w:t>合计</w:t>
            </w:r>
          </w:p>
        </w:tc>
        <w:tc>
          <w:tcPr>
            <w:tcW w:w="873" w:type="dxa"/>
            <w:vAlign w:val="center"/>
          </w:tcPr>
          <w:p>
            <w:pPr>
              <w:pStyle w:val="16"/>
            </w:pPr>
            <w:r>
              <w:t>一般公共预算拨款</w:t>
            </w:r>
          </w:p>
        </w:tc>
        <w:tc>
          <w:tcPr>
            <w:tcW w:w="873" w:type="dxa"/>
            <w:vAlign w:val="center"/>
          </w:tcPr>
          <w:p>
            <w:pPr>
              <w:pStyle w:val="16"/>
            </w:pPr>
            <w:r>
              <w:t>基金预算拨款</w:t>
            </w:r>
          </w:p>
        </w:tc>
        <w:tc>
          <w:tcPr>
            <w:tcW w:w="873" w:type="dxa"/>
            <w:vAlign w:val="center"/>
          </w:tcPr>
          <w:p>
            <w:pPr>
              <w:pStyle w:val="16"/>
            </w:pPr>
            <w:r>
              <w:t>国有资本经营预算拨款</w:t>
            </w:r>
          </w:p>
        </w:tc>
        <w:tc>
          <w:tcPr>
            <w:tcW w:w="873" w:type="dxa"/>
            <w:vAlign w:val="center"/>
          </w:tcPr>
          <w:p>
            <w:pPr>
              <w:pStyle w:val="16"/>
            </w:pPr>
            <w:r>
              <w:t>财政专户核拨</w:t>
            </w:r>
          </w:p>
        </w:tc>
        <w:tc>
          <w:tcPr>
            <w:tcW w:w="873" w:type="dxa"/>
            <w:vAlign w:val="center"/>
          </w:tcPr>
          <w:p>
            <w:pPr>
              <w:pStyle w:val="16"/>
            </w:pPr>
            <w:r>
              <w:t>单位    资金</w:t>
            </w:r>
          </w:p>
        </w:tc>
        <w:tc>
          <w:tcPr>
            <w:tcW w:w="873" w:type="dxa"/>
            <w:vAlign w:val="center"/>
          </w:tcPr>
          <w:p>
            <w:pPr>
              <w:pStyle w:val="16"/>
            </w:pPr>
            <w:r>
              <w:t>财政拨    款结转</w:t>
            </w:r>
          </w:p>
        </w:tc>
        <w:tc>
          <w:tcPr>
            <w:tcW w:w="879" w:type="dxa"/>
            <w:vAlign w:val="center"/>
          </w:tcPr>
          <w:p>
            <w:pPr>
              <w:pStyle w:val="16"/>
            </w:pPr>
            <w:r>
              <w:t>非财政    拨款结    转结余</w:t>
            </w:r>
          </w:p>
        </w:tc>
        <w:tc>
          <w:tcPr>
            <w:tcW w:w="87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pPr>
              <w:pStyle w:val="20"/>
            </w:pPr>
          </w:p>
        </w:tc>
        <w:tc>
          <w:tcPr>
            <w:tcW w:w="874" w:type="dxa"/>
            <w:vAlign w:val="center"/>
          </w:tcPr>
          <w:p>
            <w:pPr>
              <w:pStyle w:val="21"/>
            </w:pPr>
          </w:p>
        </w:tc>
        <w:tc>
          <w:tcPr>
            <w:tcW w:w="1027" w:type="dxa"/>
            <w:vAlign w:val="center"/>
          </w:tcPr>
          <w:p>
            <w:pPr>
              <w:pStyle w:val="22"/>
            </w:pPr>
          </w:p>
        </w:tc>
        <w:tc>
          <w:tcPr>
            <w:tcW w:w="1027" w:type="dxa"/>
            <w:vAlign w:val="center"/>
          </w:tcPr>
          <w:p>
            <w:pPr>
              <w:pStyle w:val="22"/>
            </w:pPr>
          </w:p>
        </w:tc>
        <w:tc>
          <w:tcPr>
            <w:tcW w:w="641" w:type="dxa"/>
            <w:vAlign w:val="center"/>
          </w:tcPr>
          <w:p>
            <w:pPr>
              <w:pStyle w:val="20"/>
            </w:pPr>
          </w:p>
        </w:tc>
        <w:tc>
          <w:tcPr>
            <w:tcW w:w="769" w:type="dxa"/>
            <w:vAlign w:val="center"/>
          </w:tcPr>
          <w:p>
            <w:pPr>
              <w:pStyle w:val="21"/>
            </w:pPr>
          </w:p>
        </w:tc>
        <w:tc>
          <w:tcPr>
            <w:tcW w:w="776"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9" w:type="dxa"/>
            <w:vAlign w:val="center"/>
          </w:tcPr>
          <w:p>
            <w:pPr>
              <w:pStyle w:val="21"/>
            </w:pPr>
          </w:p>
        </w:tc>
        <w:tc>
          <w:tcPr>
            <w:tcW w:w="8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pPr>
              <w:pStyle w:val="20"/>
            </w:pPr>
          </w:p>
        </w:tc>
        <w:tc>
          <w:tcPr>
            <w:tcW w:w="874" w:type="dxa"/>
            <w:vAlign w:val="center"/>
          </w:tcPr>
          <w:p>
            <w:pPr>
              <w:pStyle w:val="21"/>
            </w:pPr>
          </w:p>
        </w:tc>
        <w:tc>
          <w:tcPr>
            <w:tcW w:w="1027" w:type="dxa"/>
            <w:vAlign w:val="center"/>
          </w:tcPr>
          <w:p>
            <w:pPr>
              <w:pStyle w:val="22"/>
            </w:pPr>
          </w:p>
        </w:tc>
        <w:tc>
          <w:tcPr>
            <w:tcW w:w="1027" w:type="dxa"/>
            <w:vAlign w:val="center"/>
          </w:tcPr>
          <w:p>
            <w:pPr>
              <w:pStyle w:val="22"/>
            </w:pPr>
          </w:p>
        </w:tc>
        <w:tc>
          <w:tcPr>
            <w:tcW w:w="641" w:type="dxa"/>
            <w:vAlign w:val="center"/>
          </w:tcPr>
          <w:p>
            <w:pPr>
              <w:pStyle w:val="20"/>
            </w:pPr>
          </w:p>
        </w:tc>
        <w:tc>
          <w:tcPr>
            <w:tcW w:w="769" w:type="dxa"/>
            <w:vAlign w:val="center"/>
          </w:tcPr>
          <w:p>
            <w:pPr>
              <w:pStyle w:val="21"/>
            </w:pPr>
          </w:p>
        </w:tc>
        <w:tc>
          <w:tcPr>
            <w:tcW w:w="776"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3" w:type="dxa"/>
            <w:vAlign w:val="center"/>
          </w:tcPr>
          <w:p>
            <w:pPr>
              <w:pStyle w:val="21"/>
            </w:pPr>
          </w:p>
        </w:tc>
        <w:tc>
          <w:tcPr>
            <w:tcW w:w="879" w:type="dxa"/>
            <w:vAlign w:val="center"/>
          </w:tcPr>
          <w:p>
            <w:pPr>
              <w:pStyle w:val="21"/>
            </w:pPr>
          </w:p>
        </w:tc>
        <w:tc>
          <w:tcPr>
            <w:tcW w:w="874" w:type="dxa"/>
            <w:vAlign w:val="center"/>
          </w:tcPr>
          <w:p>
            <w:pPr>
              <w:pStyle w:val="2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6" w:hRule="atLeast"/>
          <w:jc w:val="center"/>
        </w:trPr>
        <w:tc>
          <w:tcPr>
            <w:tcW w:w="1541" w:type="dxa"/>
            <w:vAlign w:val="center"/>
          </w:tcPr>
          <w:p>
            <w:pPr>
              <w:pStyle w:val="18"/>
            </w:pPr>
          </w:p>
        </w:tc>
        <w:tc>
          <w:tcPr>
            <w:tcW w:w="874" w:type="dxa"/>
            <w:vAlign w:val="center"/>
          </w:tcPr>
          <w:p>
            <w:pPr>
              <w:pStyle w:val="17"/>
            </w:pPr>
          </w:p>
        </w:tc>
        <w:tc>
          <w:tcPr>
            <w:tcW w:w="1027" w:type="dxa"/>
            <w:vAlign w:val="center"/>
          </w:tcPr>
          <w:p>
            <w:pPr>
              <w:pStyle w:val="18"/>
            </w:pPr>
          </w:p>
        </w:tc>
        <w:tc>
          <w:tcPr>
            <w:tcW w:w="1027" w:type="dxa"/>
            <w:vAlign w:val="center"/>
          </w:tcPr>
          <w:p>
            <w:pPr>
              <w:pStyle w:val="18"/>
            </w:pPr>
          </w:p>
        </w:tc>
        <w:tc>
          <w:tcPr>
            <w:tcW w:w="641" w:type="dxa"/>
            <w:vAlign w:val="center"/>
          </w:tcPr>
          <w:p>
            <w:pPr>
              <w:pStyle w:val="19"/>
            </w:pPr>
          </w:p>
        </w:tc>
        <w:tc>
          <w:tcPr>
            <w:tcW w:w="769" w:type="dxa"/>
            <w:vAlign w:val="center"/>
          </w:tcPr>
          <w:p>
            <w:pPr>
              <w:pStyle w:val="17"/>
            </w:pPr>
          </w:p>
        </w:tc>
        <w:tc>
          <w:tcPr>
            <w:tcW w:w="776" w:type="dxa"/>
            <w:vAlign w:val="center"/>
          </w:tcPr>
          <w:p>
            <w:pPr>
              <w:pStyle w:val="17"/>
            </w:pPr>
          </w:p>
        </w:tc>
        <w:tc>
          <w:tcPr>
            <w:tcW w:w="873" w:type="dxa"/>
            <w:vAlign w:val="center"/>
          </w:tcPr>
          <w:p>
            <w:pPr>
              <w:pStyle w:val="17"/>
            </w:pPr>
          </w:p>
        </w:tc>
        <w:tc>
          <w:tcPr>
            <w:tcW w:w="873" w:type="dxa"/>
            <w:vAlign w:val="center"/>
          </w:tcPr>
          <w:p>
            <w:pPr>
              <w:pStyle w:val="17"/>
            </w:pPr>
          </w:p>
        </w:tc>
        <w:tc>
          <w:tcPr>
            <w:tcW w:w="873" w:type="dxa"/>
            <w:vAlign w:val="center"/>
          </w:tcPr>
          <w:p>
            <w:pPr>
              <w:pStyle w:val="17"/>
            </w:pPr>
          </w:p>
        </w:tc>
        <w:tc>
          <w:tcPr>
            <w:tcW w:w="873" w:type="dxa"/>
            <w:vAlign w:val="center"/>
          </w:tcPr>
          <w:p>
            <w:pPr>
              <w:pStyle w:val="17"/>
            </w:pPr>
          </w:p>
        </w:tc>
        <w:tc>
          <w:tcPr>
            <w:tcW w:w="873" w:type="dxa"/>
            <w:vAlign w:val="center"/>
          </w:tcPr>
          <w:p>
            <w:pPr>
              <w:pStyle w:val="17"/>
            </w:pPr>
          </w:p>
        </w:tc>
        <w:tc>
          <w:tcPr>
            <w:tcW w:w="873" w:type="dxa"/>
            <w:vAlign w:val="center"/>
          </w:tcPr>
          <w:p>
            <w:pPr>
              <w:pStyle w:val="17"/>
            </w:pPr>
          </w:p>
        </w:tc>
        <w:tc>
          <w:tcPr>
            <w:tcW w:w="873" w:type="dxa"/>
            <w:vAlign w:val="center"/>
          </w:tcPr>
          <w:p>
            <w:pPr>
              <w:pStyle w:val="17"/>
            </w:pPr>
          </w:p>
        </w:tc>
        <w:tc>
          <w:tcPr>
            <w:tcW w:w="879" w:type="dxa"/>
            <w:vAlign w:val="center"/>
          </w:tcPr>
          <w:p>
            <w:pPr>
              <w:pStyle w:val="17"/>
            </w:pPr>
          </w:p>
        </w:tc>
        <w:tc>
          <w:tcPr>
            <w:tcW w:w="874" w:type="dxa"/>
            <w:vAlign w:val="center"/>
          </w:tcPr>
          <w:p>
            <w:pPr>
              <w:pStyle w:val="17"/>
            </w:pPr>
          </w:p>
        </w:tc>
      </w:tr>
    </w:tbl>
    <w:p>
      <w:pPr>
        <w:spacing w:line="500" w:lineRule="exact"/>
        <w:ind w:firstLine="420"/>
        <w:rPr>
          <w:rFonts w:hint="eastAsia"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pPr>
        <w:ind w:firstLine="640"/>
      </w:pPr>
      <w:r>
        <w:rPr>
          <w:rFonts w:eastAsia="方正仿宋_GBK"/>
          <w:color w:val="000000"/>
          <w:sz w:val="32"/>
        </w:rPr>
        <w:t xml:space="preserve"> </w:t>
      </w:r>
    </w:p>
    <w:p>
      <w:pPr>
        <w:spacing w:before="10" w:after="10"/>
        <w:outlineLvl w:val="2"/>
        <w:rPr>
          <w:rFonts w:ascii="黑体" w:hAnsi="黑体" w:eastAsia="黑体" w:cs="黑体"/>
          <w:color w:val="000000"/>
          <w:sz w:val="32"/>
        </w:rPr>
      </w:pPr>
      <w:bookmarkStart w:id="1" w:name="_Toc_3_3_0000000016"/>
    </w:p>
    <w:p>
      <w:pPr>
        <w:spacing w:before="10" w:after="10"/>
        <w:outlineLvl w:val="2"/>
        <w:rPr>
          <w:rFonts w:ascii="黑体" w:hAnsi="黑体" w:eastAsia="黑体" w:cs="黑体"/>
          <w:color w:val="000000"/>
          <w:sz w:val="32"/>
        </w:rPr>
      </w:pPr>
    </w:p>
    <w:p>
      <w:pPr>
        <w:spacing w:before="10" w:after="10"/>
        <w:outlineLvl w:val="2"/>
        <w:rPr>
          <w:rFonts w:ascii="黑体" w:hAnsi="黑体" w:eastAsia="黑体" w:cs="黑体"/>
          <w:color w:val="000000"/>
          <w:sz w:val="32"/>
        </w:rPr>
      </w:pPr>
    </w:p>
    <w:p>
      <w:pPr>
        <w:spacing w:before="10" w:after="10"/>
        <w:outlineLvl w:val="2"/>
        <w:rPr>
          <w:rFonts w:ascii="黑体" w:hAnsi="黑体" w:eastAsia="黑体" w:cs="黑体"/>
          <w:color w:val="000000"/>
          <w:sz w:val="32"/>
        </w:rPr>
      </w:pPr>
    </w:p>
    <w:p>
      <w:pPr>
        <w:spacing w:before="10" w:after="10"/>
        <w:outlineLvl w:val="2"/>
        <w:rPr>
          <w:rFonts w:ascii="黑体" w:hAnsi="黑体" w:eastAsia="黑体" w:cs="黑体"/>
          <w:color w:val="000000"/>
          <w:sz w:val="32"/>
        </w:rPr>
      </w:pPr>
    </w:p>
    <w:p>
      <w:pPr>
        <w:spacing w:before="10" w:after="10"/>
        <w:outlineLvl w:val="2"/>
        <w:rPr>
          <w:rFonts w:ascii="黑体" w:hAnsi="黑体" w:eastAsia="黑体" w:cs="黑体"/>
          <w:color w:val="000000"/>
          <w:sz w:val="32"/>
        </w:rPr>
      </w:pPr>
    </w:p>
    <w:p>
      <w:pPr>
        <w:spacing w:before="10" w:after="10"/>
        <w:outlineLvl w:val="2"/>
      </w:pPr>
      <w:r>
        <w:rPr>
          <w:rFonts w:ascii="黑体" w:hAnsi="黑体" w:eastAsia="黑体" w:cs="黑体"/>
          <w:color w:val="000000"/>
          <w:sz w:val="32"/>
        </w:rPr>
        <w:t>七、国有资产信息</w:t>
      </w:r>
      <w:bookmarkEnd w:id="1"/>
    </w:p>
    <w:p>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val="en-US" w:eastAsia="zh-CN"/>
        </w:rPr>
        <w:t>98.48</w:t>
      </w:r>
      <w:r>
        <w:rPr>
          <w:rFonts w:eastAsia="方正仿宋_GBK"/>
          <w:color w:val="000000"/>
          <w:sz w:val="28"/>
        </w:rPr>
        <w:t>万元（详见下表）。本年度</w:t>
      </w:r>
      <w:r>
        <w:rPr>
          <w:rFonts w:hint="eastAsia" w:eastAsia="方正仿宋_GBK"/>
          <w:color w:val="000000"/>
          <w:sz w:val="28"/>
          <w:lang w:eastAsia="zh-CN"/>
        </w:rPr>
        <w:t>无固定资产购置计划。</w:t>
      </w: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pPr>
        <w:spacing w:line="500" w:lineRule="exact"/>
        <w:ind w:firstLine="1050" w:firstLineChars="500"/>
        <w:rPr>
          <w:rFonts w:hint="default" w:eastAsia="方正仿宋_GBK"/>
          <w:color w:val="000000"/>
          <w:sz w:val="28"/>
          <w:lang w:val="en-US" w:eastAsia="zh-CN"/>
        </w:rPr>
      </w:pPr>
      <w:r>
        <w:rPr>
          <w:rFonts w:hint="eastAsia" w:eastAsia="方正仿宋_GBK"/>
          <w:color w:val="000000"/>
          <w:sz w:val="21"/>
          <w:szCs w:val="21"/>
          <w:lang w:eastAsia="zh-CN"/>
        </w:rPr>
        <w:t>涞水县胡家庄乡人民政府本级</w:t>
      </w:r>
      <w:r>
        <w:rPr>
          <w:rFonts w:hint="eastAsia" w:eastAsia="方正仿宋_GBK"/>
          <w:color w:val="000000"/>
          <w:sz w:val="21"/>
          <w:szCs w:val="21"/>
          <w:lang w:val="en-US" w:eastAsia="zh-CN"/>
        </w:rPr>
        <w:t xml:space="preserve">                                                                                                                                  截止时间：2022-12-31</w:t>
      </w: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pPr>
              <w:pStyle w:val="16"/>
            </w:pPr>
            <w:r>
              <w:rPr>
                <w:rFonts w:hint="eastAsia"/>
                <w:lang w:val="en-US" w:eastAsia="zh-CN"/>
              </w:rPr>
              <w:t xml:space="preserve">  </w:t>
            </w:r>
            <w:r>
              <w:rPr>
                <w:rFonts w:hint="eastAsia"/>
              </w:rPr>
              <w:t>项  目</w:t>
            </w:r>
          </w:p>
        </w:tc>
        <w:tc>
          <w:tcPr>
            <w:tcW w:w="2835" w:type="dxa"/>
            <w:tcBorders>
              <w:top w:val="single" w:color="auto" w:sz="4" w:space="0"/>
              <w:left w:val="nil"/>
              <w:bottom w:val="nil"/>
              <w:right w:val="single" w:color="auto" w:sz="4" w:space="0"/>
            </w:tcBorders>
            <w:vAlign w:val="center"/>
          </w:tcPr>
          <w:p>
            <w:pPr>
              <w:pStyle w:val="16"/>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pPr>
              <w:pStyle w:val="16"/>
            </w:pPr>
            <w:r>
              <w:rPr>
                <w:rFonts w:hint="eastAsia"/>
              </w:rPr>
              <w:t>价值（金额单位：万元）</w:t>
            </w:r>
          </w:p>
        </w:tc>
      </w:tr>
      <w:tr>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color w:val="000000"/>
                <w:sz w:val="21"/>
                <w:szCs w:val="21"/>
                <w:lang w:val="en-US" w:eastAsia="zh-CN"/>
              </w:rPr>
            </w:pP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Calibri" w:hAnsi="Calibri" w:eastAsia="宋体" w:cs="宋体"/>
                <w:kern w:val="2"/>
                <w:sz w:val="21"/>
                <w:szCs w:val="21"/>
                <w:lang w:val="en-US" w:eastAsia="zh-CN"/>
              </w:rPr>
            </w:pPr>
            <w:r>
              <w:rPr>
                <w:rFonts w:hint="eastAsia" w:ascii="Calibri" w:hAnsi="Calibri" w:cs="宋体"/>
                <w:kern w:val="2"/>
                <w:sz w:val="21"/>
                <w:szCs w:val="21"/>
                <w:lang w:val="en-US" w:eastAsia="zh-CN"/>
              </w:rPr>
              <w:t>98.48</w:t>
            </w:r>
          </w:p>
        </w:tc>
      </w:tr>
      <w:tr>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color w:val="000000"/>
                <w:sz w:val="21"/>
                <w:szCs w:val="21"/>
                <w:lang w:val="en-US" w:eastAsia="zh-CN" w:bidi="ar-SA"/>
              </w:rPr>
            </w:pPr>
            <w:r>
              <w:rPr>
                <w:rFonts w:hint="eastAsia" w:ascii="宋体" w:hAnsi="宋体"/>
                <w:color w:val="000000"/>
                <w:sz w:val="21"/>
                <w:szCs w:val="21"/>
                <w:lang w:val="en-US" w:eastAsia="zh-CN"/>
              </w:rPr>
              <w:t>1148</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72.50</w:t>
            </w:r>
          </w:p>
        </w:tc>
      </w:tr>
      <w:tr>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ascii="宋体" w:hAnsi="宋体" w:cs="宋体" w:eastAsiaTheme="minorEastAsia"/>
                <w:color w:val="000000"/>
                <w:sz w:val="21"/>
                <w:szCs w:val="21"/>
                <w:lang w:val="en-US" w:eastAsia="zh-CN" w:bidi="ar-SA"/>
              </w:rPr>
            </w:pPr>
            <w:r>
              <w:rPr>
                <w:rFonts w:hint="eastAsia" w:ascii="宋体" w:hAnsi="宋体" w:eastAsiaTheme="minorEastAsia"/>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12</w:t>
            </w:r>
          </w:p>
        </w:tc>
      </w:tr>
      <w:tr>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13.98</w:t>
            </w:r>
          </w:p>
        </w:tc>
      </w:tr>
    </w:tbl>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outlineLvl w:val="5"/>
        <w:rPr>
          <w:rFonts w:hint="eastAsia"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before="10" w:after="10"/>
        <w:ind w:firstLine="640"/>
        <w:outlineLvl w:val="5"/>
      </w:pPr>
      <w:r>
        <w:rPr>
          <w:rFonts w:hint="eastAsia" w:ascii="黑体" w:hAnsi="黑体" w:eastAsia="黑体" w:cs="黑体"/>
          <w:color w:val="000000"/>
          <w:sz w:val="32"/>
        </w:rPr>
        <w:t>九、其他需要说明的事项</w:t>
      </w:r>
    </w:p>
    <w:p>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p>
    <w:p>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pPr>
                      <w:pStyle w:val="4"/>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1C289"/>
    <w:multiLevelType w:val="singleLevel"/>
    <w:tmpl w:val="D9F1C289"/>
    <w:lvl w:ilvl="0" w:tentative="0">
      <w:start w:val="10"/>
      <w:numFmt w:val="decimal"/>
      <w:suff w:val="nothing"/>
      <w:lvlText w:val="%1、"/>
      <w:lvlJc w:val="left"/>
    </w:lvl>
  </w:abstractNum>
  <w:abstractNum w:abstractNumId="1">
    <w:nsid w:val="3A8E4728"/>
    <w:multiLevelType w:val="singleLevel"/>
    <w:tmpl w:val="3A8E472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g3YTdmNTRjN2RhNTdjNDdiNjcxZDg5OWY0NzgifQ=="/>
  </w:docVars>
  <w:rsids>
    <w:rsidRoot w:val="00781D3A"/>
    <w:rsid w:val="00064159"/>
    <w:rsid w:val="00120163"/>
    <w:rsid w:val="00182D82"/>
    <w:rsid w:val="001B15F6"/>
    <w:rsid w:val="00201266"/>
    <w:rsid w:val="004A692B"/>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3AB1B08"/>
    <w:rsid w:val="052B4646"/>
    <w:rsid w:val="10D1007D"/>
    <w:rsid w:val="12B86E70"/>
    <w:rsid w:val="14B96F9F"/>
    <w:rsid w:val="158F5031"/>
    <w:rsid w:val="16204738"/>
    <w:rsid w:val="1AE063EE"/>
    <w:rsid w:val="1B7A032D"/>
    <w:rsid w:val="20E92B59"/>
    <w:rsid w:val="21F13F06"/>
    <w:rsid w:val="22090B6C"/>
    <w:rsid w:val="267C2AD7"/>
    <w:rsid w:val="279D013C"/>
    <w:rsid w:val="28C26B2C"/>
    <w:rsid w:val="28F10CB3"/>
    <w:rsid w:val="2B0B2850"/>
    <w:rsid w:val="303F5CC1"/>
    <w:rsid w:val="309D49DC"/>
    <w:rsid w:val="35EF7071"/>
    <w:rsid w:val="391B70EA"/>
    <w:rsid w:val="3A4B0C5C"/>
    <w:rsid w:val="3B8F458E"/>
    <w:rsid w:val="3CC66316"/>
    <w:rsid w:val="3F033BBB"/>
    <w:rsid w:val="3F6F4CEE"/>
    <w:rsid w:val="44175780"/>
    <w:rsid w:val="48390A7E"/>
    <w:rsid w:val="4B3B20A7"/>
    <w:rsid w:val="4D211275"/>
    <w:rsid w:val="539404AE"/>
    <w:rsid w:val="550E11EB"/>
    <w:rsid w:val="562A7E7A"/>
    <w:rsid w:val="57C02F50"/>
    <w:rsid w:val="5C720816"/>
    <w:rsid w:val="5E472D4C"/>
    <w:rsid w:val="5F5544C0"/>
    <w:rsid w:val="617B055D"/>
    <w:rsid w:val="61B05593"/>
    <w:rsid w:val="6FE5312D"/>
    <w:rsid w:val="73647B06"/>
    <w:rsid w:val="74745854"/>
    <w:rsid w:val="763D3C1F"/>
    <w:rsid w:val="781B010E"/>
    <w:rsid w:val="78A4526E"/>
    <w:rsid w:val="7A26319A"/>
    <w:rsid w:val="7B5B65BE"/>
    <w:rsid w:val="7B61375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6"/>
    <w:qFormat/>
    <w:uiPriority w:val="99"/>
    <w:pPr>
      <w:tabs>
        <w:tab w:val="center" w:pos="4153"/>
        <w:tab w:val="right" w:pos="8306"/>
      </w:tabs>
      <w:snapToGrid w:val="0"/>
    </w:pPr>
    <w:rPr>
      <w:sz w:val="18"/>
      <w:szCs w:val="18"/>
    </w:rPr>
  </w:style>
  <w:style w:type="paragraph" w:styleId="5">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toc 4"/>
    <w:basedOn w:val="1"/>
    <w:next w:val="1"/>
    <w:qFormat/>
    <w:uiPriority w:val="99"/>
    <w:pPr>
      <w:ind w:left="720"/>
    </w:pPr>
  </w:style>
  <w:style w:type="paragraph" w:styleId="8">
    <w:name w:val="toc 2"/>
    <w:basedOn w:val="1"/>
    <w:next w:val="1"/>
    <w:qFormat/>
    <w:uiPriority w:val="99"/>
    <w:pPr>
      <w:ind w:left="240"/>
    </w:p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5"/>
    <w:qFormat/>
    <w:locked/>
    <w:uiPriority w:val="99"/>
    <w:rPr>
      <w:rFonts w:eastAsia="Times New Roman" w:cs="Times New Roman"/>
      <w:sz w:val="18"/>
      <w:szCs w:val="18"/>
      <w:lang w:eastAsia="uk-UA"/>
    </w:rPr>
  </w:style>
  <w:style w:type="character" w:customStyle="1" w:styleId="36">
    <w:name w:val="页脚 Char"/>
    <w:basedOn w:val="11"/>
    <w:link w:val="4"/>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12885</Words>
  <Characters>15249</Characters>
  <Lines>127</Lines>
  <Paragraphs>36</Paragraphs>
  <TotalTime>6</TotalTime>
  <ScaleCrop>false</ScaleCrop>
  <LinksUpToDate>false</LinksUpToDate>
  <CharactersWithSpaces>19182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lenovo</cp:lastModifiedBy>
  <dcterms:modified xsi:type="dcterms:W3CDTF">2023-11-10T01:31:55Z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46ED276FE4EF4CE3A3626E9D681ADC56</vt:lpwstr>
  </property>
</Properties>
</file>