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758A0E">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涞水县残疾人联合会</w:t>
      </w:r>
    </w:p>
    <w:p w14:paraId="7FCE013C">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2018年预算公开有关事项的说明</w:t>
      </w:r>
    </w:p>
    <w:p w14:paraId="3D0E937A">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sz w:val="32"/>
          <w:szCs w:val="32"/>
        </w:rPr>
      </w:pPr>
    </w:p>
    <w:p w14:paraId="2D03CA2E">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部门职责、机构设置等基本情况</w:t>
      </w:r>
    </w:p>
    <w:p w14:paraId="709F031B">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根据保定市委、保定市人民政府《关于印发&lt;涞水县机构改革方案&gt;的通知》（保字〔2002〕39号）精神，结合我县残疾人联合会工作实际，确定残联的职责配置，内设机构和人员编制。（一）、主要职责</w:t>
      </w:r>
    </w:p>
    <w:p w14:paraId="4D93523E">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残联是中国残疾的地方组织，是将残疾人自身代表组织、社会、福利团体和事业管理机构融为一体的残疾人事业团体。具有代表残疾人共同利益，维护残疾人合法权益，受政府委托行驶对残疾人的管理服务职能，协助政府制定和实施有关法规、政策和规划，协调和推动残疾人事业的发展，主要职责是：</w:t>
      </w:r>
    </w:p>
    <w:p w14:paraId="451D0C26">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1、通过残疾人法律援助中心依法维护和保障残疾人的合法权益。</w:t>
      </w:r>
    </w:p>
    <w:p w14:paraId="3335CC66">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2、依法开展残疾人分散按比例就业工作，鼓励残疾人个体开业，依法征收就业保障金，提高我县残疾人就业率。加强残疾人职业技能培训。</w:t>
      </w:r>
    </w:p>
    <w:p w14:paraId="602302F6">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3、开展残疾人康复、教育（特教）、用品用具供应和残疾预防等项工作，创造良好的环境和条件，扶助残疾人平等地参与社会生活，提高适龄残疾儿童入学率。</w:t>
      </w:r>
    </w:p>
    <w:p w14:paraId="62FD7B93">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4、充分开展残疾人扶贫解困工作，全面提高我县残疾人的生活水平和生存质量。</w:t>
      </w:r>
    </w:p>
    <w:p w14:paraId="54DD8992">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5、充分发动社会力量，开展志愿者助残工作，推动我县残疾人工作社会化的进程。</w:t>
      </w:r>
    </w:p>
    <w:p w14:paraId="6A54A41C">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6、按照国家五类残疾标准，做好换发残疾人证工作，加大信访工作力度，反应残疾人的要求，团结教育残疾人遵纪守法，履行应尽义务，发扬乐观进取精神，为我县建设贡献力量。</w:t>
      </w:r>
    </w:p>
    <w:p w14:paraId="2CCF6449">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7、定期对全县残疾人状况进行调查摸底，为政府制定和实施残疾人事业的地方性法规、政策提供依据，对乡镇残联进行义务培训和指导。</w:t>
      </w:r>
    </w:p>
    <w:p w14:paraId="0872F83B">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8、承担</w:t>
      </w:r>
      <w:bookmarkStart w:id="0" w:name="_GoBack"/>
      <w:bookmarkEnd w:id="0"/>
      <w:r>
        <w:rPr>
          <w:rFonts w:hint="eastAsia" w:ascii="仿宋_GB2312" w:hAnsi="仿宋_GB2312" w:eastAsia="仿宋_GB2312" w:cs="仿宋_GB2312"/>
          <w:sz w:val="32"/>
          <w:szCs w:val="32"/>
        </w:rPr>
        <w:t>县委、</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政府及上级残联交办的其他工作。</w:t>
      </w:r>
    </w:p>
    <w:p w14:paraId="125C4CA4">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（二）、内设机构及职责</w:t>
      </w:r>
    </w:p>
    <w:tbl>
      <w:tblPr>
        <w:tblStyle w:val="25"/>
        <w:tblW w:w="9796" w:type="dxa"/>
        <w:tblInd w:w="93" w:type="dxa"/>
        <w:tblLayout w:type="fixed"/>
        <w:tblCellMar>
          <w:top w:w="0" w:type="dxa"/>
          <w:left w:w="108" w:type="dxa"/>
          <w:bottom w:w="0" w:type="dxa"/>
          <w:right w:w="108" w:type="dxa"/>
        </w:tblCellMar>
      </w:tblPr>
      <w:tblGrid>
        <w:gridCol w:w="1080"/>
        <w:gridCol w:w="2320"/>
        <w:gridCol w:w="2120"/>
        <w:gridCol w:w="1900"/>
        <w:gridCol w:w="2376"/>
      </w:tblGrid>
      <w:tr w14:paraId="66E8B529">
        <w:tblPrEx>
          <w:tblCellMar>
            <w:top w:w="0" w:type="dxa"/>
            <w:left w:w="108" w:type="dxa"/>
            <w:bottom w:w="0" w:type="dxa"/>
            <w:right w:w="108" w:type="dxa"/>
          </w:tblCellMar>
        </w:tblPrEx>
        <w:trPr>
          <w:trHeight w:val="810" w:hRule="atLeast"/>
        </w:trPr>
        <w:tc>
          <w:tcPr>
            <w:tcW w:w="9796" w:type="dxa"/>
            <w:gridSpan w:val="5"/>
            <w:tcBorders>
              <w:top w:val="nil"/>
              <w:left w:val="nil"/>
              <w:bottom w:val="single" w:color="auto" w:sz="4" w:space="0"/>
              <w:right w:val="nil"/>
            </w:tcBorders>
            <w:shd w:val="clear" w:color="000000" w:fill="auto"/>
            <w:vAlign w:val="center"/>
          </w:tcPr>
          <w:p w14:paraId="7D5DB7B2">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部门机构设置情况</w:t>
            </w:r>
          </w:p>
        </w:tc>
      </w:tr>
      <w:tr w14:paraId="2F4F495B">
        <w:tblPrEx>
          <w:tblCellMar>
            <w:top w:w="0" w:type="dxa"/>
            <w:left w:w="108" w:type="dxa"/>
            <w:bottom w:w="0" w:type="dxa"/>
            <w:right w:w="108" w:type="dxa"/>
          </w:tblCellMar>
        </w:tblPrEx>
        <w:trPr>
          <w:trHeight w:val="720" w:hRule="atLeast"/>
        </w:trPr>
        <w:tc>
          <w:tcPr>
            <w:tcW w:w="1080" w:type="dxa"/>
            <w:tcBorders>
              <w:top w:val="nil"/>
              <w:left w:val="single" w:color="auto" w:sz="4" w:space="0"/>
              <w:bottom w:val="single" w:color="000000" w:sz="4" w:space="0"/>
              <w:right w:val="single" w:color="auto" w:sz="4" w:space="0"/>
            </w:tcBorders>
            <w:shd w:val="clear" w:color="000000" w:fill="auto"/>
            <w:vAlign w:val="center"/>
          </w:tcPr>
          <w:p w14:paraId="4678811F">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序号</w:t>
            </w:r>
          </w:p>
        </w:tc>
        <w:tc>
          <w:tcPr>
            <w:tcW w:w="2320" w:type="dxa"/>
            <w:tcBorders>
              <w:top w:val="nil"/>
              <w:left w:val="single" w:color="auto" w:sz="4" w:space="0"/>
              <w:bottom w:val="single" w:color="000000" w:sz="4" w:space="0"/>
              <w:right w:val="single" w:color="auto" w:sz="4" w:space="0"/>
            </w:tcBorders>
            <w:shd w:val="clear" w:color="000000" w:fill="auto"/>
            <w:vAlign w:val="center"/>
          </w:tcPr>
          <w:p w14:paraId="630C3704">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单位名称</w:t>
            </w:r>
          </w:p>
        </w:tc>
        <w:tc>
          <w:tcPr>
            <w:tcW w:w="2120" w:type="dxa"/>
            <w:tcBorders>
              <w:top w:val="nil"/>
              <w:left w:val="single" w:color="auto" w:sz="4" w:space="0"/>
              <w:bottom w:val="single" w:color="000000" w:sz="4" w:space="0"/>
              <w:right w:val="single" w:color="auto" w:sz="4" w:space="0"/>
            </w:tcBorders>
            <w:shd w:val="clear" w:color="000000" w:fill="auto"/>
            <w:vAlign w:val="center"/>
          </w:tcPr>
          <w:p w14:paraId="509FB863">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单位性质</w:t>
            </w:r>
          </w:p>
        </w:tc>
        <w:tc>
          <w:tcPr>
            <w:tcW w:w="1900" w:type="dxa"/>
            <w:tcBorders>
              <w:top w:val="nil"/>
              <w:left w:val="single" w:color="auto" w:sz="4" w:space="0"/>
              <w:bottom w:val="single" w:color="000000" w:sz="4" w:space="0"/>
              <w:right w:val="single" w:color="auto" w:sz="4" w:space="0"/>
            </w:tcBorders>
            <w:shd w:val="clear" w:color="000000" w:fill="auto"/>
            <w:vAlign w:val="center"/>
          </w:tcPr>
          <w:p w14:paraId="5EAD1D8D">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单位规格</w:t>
            </w:r>
          </w:p>
        </w:tc>
        <w:tc>
          <w:tcPr>
            <w:tcW w:w="2376" w:type="dxa"/>
            <w:tcBorders>
              <w:top w:val="nil"/>
              <w:left w:val="single" w:color="auto" w:sz="4" w:space="0"/>
              <w:bottom w:val="single" w:color="000000" w:sz="4" w:space="0"/>
              <w:right w:val="single" w:color="auto" w:sz="4" w:space="0"/>
            </w:tcBorders>
            <w:shd w:val="clear" w:color="000000" w:fill="auto"/>
            <w:vAlign w:val="center"/>
          </w:tcPr>
          <w:p w14:paraId="1F23EC50">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经费保障形式</w:t>
            </w:r>
          </w:p>
        </w:tc>
      </w:tr>
      <w:tr w14:paraId="3DA0CD45">
        <w:tblPrEx>
          <w:tblCellMar>
            <w:top w:w="0" w:type="dxa"/>
            <w:left w:w="108" w:type="dxa"/>
            <w:bottom w:w="0" w:type="dxa"/>
            <w:right w:w="108" w:type="dxa"/>
          </w:tblCellMar>
        </w:tblPrEx>
        <w:trPr>
          <w:trHeight w:val="720" w:hRule="atLeast"/>
        </w:trPr>
        <w:tc>
          <w:tcPr>
            <w:tcW w:w="1080" w:type="dxa"/>
            <w:tcBorders>
              <w:top w:val="nil"/>
              <w:left w:val="single" w:color="auto" w:sz="4" w:space="0"/>
              <w:bottom w:val="single" w:color="auto" w:sz="4" w:space="0"/>
              <w:right w:val="single" w:color="auto" w:sz="4" w:space="0"/>
            </w:tcBorders>
            <w:shd w:val="clear" w:color="000000" w:fill="auto"/>
            <w:vAlign w:val="center"/>
          </w:tcPr>
          <w:p w14:paraId="0F13446D">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p>
        </w:tc>
        <w:tc>
          <w:tcPr>
            <w:tcW w:w="2320" w:type="dxa"/>
            <w:tcBorders>
              <w:top w:val="nil"/>
              <w:left w:val="nil"/>
              <w:bottom w:val="single" w:color="auto" w:sz="4" w:space="0"/>
              <w:right w:val="single" w:color="auto" w:sz="4" w:space="0"/>
            </w:tcBorders>
            <w:shd w:val="clear" w:color="000000" w:fill="auto"/>
            <w:vAlign w:val="center"/>
          </w:tcPr>
          <w:p w14:paraId="429FA336">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涞水县残疾人联合会</w:t>
            </w:r>
          </w:p>
        </w:tc>
        <w:tc>
          <w:tcPr>
            <w:tcW w:w="2120" w:type="dxa"/>
            <w:tcBorders>
              <w:top w:val="nil"/>
              <w:left w:val="nil"/>
              <w:bottom w:val="single" w:color="auto" w:sz="4" w:space="0"/>
              <w:right w:val="single" w:color="auto" w:sz="4" w:space="0"/>
            </w:tcBorders>
            <w:shd w:val="clear" w:color="000000" w:fill="auto"/>
            <w:vAlign w:val="center"/>
          </w:tcPr>
          <w:p w14:paraId="4A586D7F">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事业</w:t>
            </w:r>
          </w:p>
        </w:tc>
        <w:tc>
          <w:tcPr>
            <w:tcW w:w="1900" w:type="dxa"/>
            <w:tcBorders>
              <w:top w:val="nil"/>
              <w:left w:val="nil"/>
              <w:bottom w:val="single" w:color="auto" w:sz="4" w:space="0"/>
              <w:right w:val="single" w:color="auto" w:sz="4" w:space="0"/>
            </w:tcBorders>
            <w:shd w:val="clear" w:color="000000" w:fill="auto"/>
            <w:vAlign w:val="center"/>
          </w:tcPr>
          <w:p w14:paraId="675A6A99">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正科级</w:t>
            </w:r>
          </w:p>
        </w:tc>
        <w:tc>
          <w:tcPr>
            <w:tcW w:w="2376" w:type="dxa"/>
            <w:tcBorders>
              <w:top w:val="nil"/>
              <w:left w:val="nil"/>
              <w:bottom w:val="single" w:color="auto" w:sz="4" w:space="0"/>
              <w:right w:val="single" w:color="auto" w:sz="4" w:space="0"/>
            </w:tcBorders>
            <w:shd w:val="clear" w:color="000000" w:fill="auto"/>
            <w:vAlign w:val="center"/>
          </w:tcPr>
          <w:p w14:paraId="7E1132F6">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财政性资金基本保障</w:t>
            </w:r>
          </w:p>
        </w:tc>
      </w:tr>
    </w:tbl>
    <w:p w14:paraId="5990C81B">
      <w:pPr>
        <w:keepNext w:val="0"/>
        <w:keepLines w:val="0"/>
        <w:pageBreakBefore w:val="0"/>
        <w:widowControl/>
        <w:kinsoku/>
        <w:overflowPunct/>
        <w:topLinePunct w:val="0"/>
        <w:autoSpaceDE/>
        <w:autoSpaceDN/>
        <w:bidi w:val="0"/>
        <w:adjustRightInd/>
        <w:spacing w:line="600" w:lineRule="exact"/>
        <w:ind w:right="0" w:rightChars="0" w:firstLine="560"/>
        <w:textAlignment w:val="auto"/>
        <w:rPr>
          <w:rFonts w:hint="eastAsia" w:ascii="仿宋_GB2312" w:hAnsi="仿宋_GB2312" w:eastAsia="仿宋_GB2312" w:cs="仿宋_GB2312"/>
          <w:sz w:val="32"/>
          <w:szCs w:val="32"/>
        </w:rPr>
      </w:pPr>
    </w:p>
    <w:p w14:paraId="590B560E">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32"/>
          <w:szCs w:val="32"/>
        </w:rPr>
      </w:pPr>
    </w:p>
    <w:p w14:paraId="3D0247C7">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二、部门预算安排总体情况</w:t>
      </w:r>
    </w:p>
    <w:p w14:paraId="2EC2C8B9">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我单位一般预算拨款收入355.33万元，部门预算支出355.33万元，其中，人员经费110.01万元，日常公用经费17.49万元，专项公用经费227.83万元。</w:t>
      </w:r>
    </w:p>
    <w:p w14:paraId="08AAB145">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1、人员经费情况</w:t>
      </w:r>
    </w:p>
    <w:p w14:paraId="64B0DE63">
      <w:pPr>
        <w:keepNext w:val="0"/>
        <w:keepLines w:val="0"/>
        <w:pageBreakBefore w:val="0"/>
        <w:widowControl/>
        <w:kinsoku/>
        <w:overflowPunct/>
        <w:topLinePunct w:val="0"/>
        <w:autoSpaceDE/>
        <w:autoSpaceDN/>
        <w:bidi w:val="0"/>
        <w:adjustRightInd/>
        <w:spacing w:line="600" w:lineRule="exact"/>
        <w:ind w:right="0" w:rightChars="0" w:firstLine="6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工资福利支出110.01万元，其中，基本工资47.26万元，津贴补贴31.20万元，社会保障缴费25.11万元。对个人和家庭的补助支出6.44万元，其中，物业补贴3.12万元，取暖补贴1.66万元，年终一次性奖金1.66万元。</w:t>
      </w:r>
    </w:p>
    <w:p w14:paraId="59ED6501">
      <w:pPr>
        <w:keepNext w:val="0"/>
        <w:keepLines w:val="0"/>
        <w:pageBreakBefore w:val="0"/>
        <w:widowControl/>
        <w:tabs>
          <w:tab w:val="left" w:pos="1140"/>
          <w:tab w:val="left" w:pos="6645"/>
        </w:tabs>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2、正常公用经费情况</w:t>
      </w:r>
    </w:p>
    <w:p w14:paraId="0ED90E04">
      <w:pPr>
        <w:keepNext w:val="0"/>
        <w:keepLines w:val="0"/>
        <w:pageBreakBefore w:val="0"/>
        <w:widowControl/>
        <w:tabs>
          <w:tab w:val="left" w:pos="6645"/>
        </w:tabs>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正常公用经费17.49万元，其中，部门办公费4.62万元，邮电费0.36万元，公务车运行维护费2.0万元。工会经费1.19万元，职工福利费2.1万元,取暖费1.34万元，差旅费2.1万元，公务交通补贴3.78。</w:t>
      </w:r>
    </w:p>
    <w:p w14:paraId="2646796C">
      <w:pPr>
        <w:keepNext w:val="0"/>
        <w:keepLines w:val="0"/>
        <w:pageBreakBefore w:val="0"/>
        <w:widowControl/>
        <w:tabs>
          <w:tab w:val="left" w:pos="6645"/>
        </w:tabs>
        <w:kinsoku/>
        <w:overflowPunct/>
        <w:topLinePunct w:val="0"/>
        <w:autoSpaceDE/>
        <w:autoSpaceDN/>
        <w:bidi w:val="0"/>
        <w:adjustRightInd/>
        <w:spacing w:line="600" w:lineRule="exact"/>
        <w:ind w:left="750" w:right="0" w:rightChars="0" w:hanging="7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3、专项公用经费情况</w:t>
      </w:r>
    </w:p>
    <w:p w14:paraId="0B082310">
      <w:pPr>
        <w:keepNext w:val="0"/>
        <w:keepLines w:val="0"/>
        <w:pageBreakBefore w:val="0"/>
        <w:widowControl/>
        <w:tabs>
          <w:tab w:val="left" w:pos="6645"/>
        </w:tabs>
        <w:kinsoku/>
        <w:overflowPunct/>
        <w:topLinePunct w:val="0"/>
        <w:autoSpaceDE/>
        <w:autoSpaceDN/>
        <w:bidi w:val="0"/>
        <w:adjustRightInd/>
        <w:spacing w:line="600" w:lineRule="exact"/>
        <w:ind w:right="0" w:rightChars="0" w:firstLine="6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专项公用经费227.83万元，其中，省政厅提前下达2018年中央财政资金132.83万元，专项收入支出95万元。</w:t>
      </w:r>
    </w:p>
    <w:p w14:paraId="095B14CD">
      <w:pPr>
        <w:keepNext w:val="0"/>
        <w:keepLines w:val="0"/>
        <w:pageBreakBefore w:val="0"/>
        <w:widowControl/>
        <w:tabs>
          <w:tab w:val="left" w:pos="6645"/>
        </w:tabs>
        <w:kinsoku/>
        <w:overflowPunct/>
        <w:topLinePunct w:val="0"/>
        <w:autoSpaceDE/>
        <w:autoSpaceDN/>
        <w:bidi w:val="0"/>
        <w:adjustRightInd/>
        <w:spacing w:line="60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4、比上年增减情况</w:t>
      </w:r>
    </w:p>
    <w:p w14:paraId="2E548220">
      <w:pPr>
        <w:keepNext w:val="0"/>
        <w:keepLines w:val="0"/>
        <w:pageBreakBefore w:val="0"/>
        <w:widowControl/>
        <w:tabs>
          <w:tab w:val="left" w:pos="6645"/>
        </w:tabs>
        <w:kinsoku/>
        <w:overflowPunct/>
        <w:topLinePunct w:val="0"/>
        <w:autoSpaceDE/>
        <w:autoSpaceDN/>
        <w:bidi w:val="0"/>
        <w:adjustRightInd/>
        <w:spacing w:line="60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本年度预算收支安排355.83万元，较上年增加74.16万元。其中：基本支出127.5万元，比去年增加1.75，增加主要原因社会保障缴费。其中项目支出社会保障支出227.83万元，较上年增加71.91万元，增加原因残疾人事业和残疾人社会保障支出增加。</w:t>
      </w:r>
    </w:p>
    <w:p w14:paraId="14213240">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三、机关运行经费安排情况</w:t>
      </w:r>
    </w:p>
    <w:p w14:paraId="62B5DFD3">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机关运行经费17.49万元，其中，办公费4.62万元，邮电费0.36万元，公务用车维护费2.0万元,工会经费1.19万元，职工福利费2.1万元，取暖费1.34万元，公务交通补贴3.78万元。</w:t>
      </w:r>
    </w:p>
    <w:p w14:paraId="666E7AEF">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四、财政拨款“三公”经费预算情况</w:t>
      </w:r>
    </w:p>
    <w:p w14:paraId="67177987">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我单位2018年三公经费预算拨款2万元，其中公务车运行维护费2万元，无公务接待费，无因公出国（境）费。</w:t>
      </w:r>
    </w:p>
    <w:p w14:paraId="7C7D5E1A">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我单位2017年“三公经费”合计4万元，其中公务用车运行维护费3万元，公务接待费1万元，无因公出国（境）费。</w:t>
      </w:r>
    </w:p>
    <w:p w14:paraId="2D5498B0">
      <w:pPr>
        <w:keepNext w:val="0"/>
        <w:keepLines w:val="0"/>
        <w:pageBreakBefore w:val="0"/>
        <w:widowControl/>
        <w:kinsoku/>
        <w:overflowPunct/>
        <w:topLinePunct w:val="0"/>
        <w:autoSpaceDE/>
        <w:autoSpaceDN/>
        <w:bidi w:val="0"/>
        <w:adjustRightInd/>
        <w:spacing w:line="600" w:lineRule="exact"/>
        <w:ind w:right="0" w:rightChars="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2018年“三公经费”总额比2017年减少了2万元。其中2018年公务用车运行维护费比2017年减少1万元；2018年公务接待费比2017年减少了1万元。</w:t>
      </w:r>
    </w:p>
    <w:p w14:paraId="3C495E45">
      <w:pPr>
        <w:keepNext w:val="0"/>
        <w:keepLines w:val="0"/>
        <w:pageBreakBefore w:val="0"/>
        <w:widowControl/>
        <w:kinsoku/>
        <w:overflowPunct/>
        <w:topLinePunct w:val="0"/>
        <w:autoSpaceDE/>
        <w:autoSpaceDN/>
        <w:bidi w:val="0"/>
        <w:adjustRightInd/>
        <w:spacing w:line="600" w:lineRule="exact"/>
        <w:ind w:right="0" w:rightChars="0" w:firstLine="7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我单位计划对公车加强管理、控制车辆使用，对公车日常养护、加油实行定点专人管理，因此公务用车运行维护费比2017年减少。我单位2018年计划对公务接待的次数和人数进行缩减，严格控制公务接待的规模，深入贯彻落实《党政机关厉行节约反对浪费条例》，因此比2017年减少。</w:t>
      </w:r>
    </w:p>
    <w:p w14:paraId="0978680F">
      <w:pPr>
        <w:keepNext w:val="0"/>
        <w:keepLines w:val="0"/>
        <w:pageBreakBefore w:val="0"/>
        <w:widowControl/>
        <w:kinsoku/>
        <w:overflowPunct/>
        <w:topLinePunct w:val="0"/>
        <w:autoSpaceDE/>
        <w:autoSpaceDN/>
        <w:bidi w:val="0"/>
        <w:adjustRightInd/>
        <w:spacing w:line="600" w:lineRule="exact"/>
        <w:ind w:right="0" w:rightChars="0" w:firstLine="7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“三公”经费预算情况及增减</w:t>
      </w:r>
      <w:r>
        <w:rPr>
          <w:rFonts w:hint="eastAsia" w:ascii="仿宋_GB2312" w:hAnsi="仿宋_GB2312" w:eastAsia="仿宋_GB2312" w:cs="仿宋_GB2312"/>
          <w:sz w:val="32"/>
          <w:szCs w:val="32"/>
          <w:lang w:eastAsia="zh-CN"/>
        </w:rPr>
        <w:t>变化情况</w:t>
      </w:r>
    </w:p>
    <w:p w14:paraId="3F96AA81">
      <w:pPr>
        <w:keepNext w:val="0"/>
        <w:keepLines w:val="0"/>
        <w:pageBreakBefore w:val="0"/>
        <w:widowControl/>
        <w:kinsoku/>
        <w:overflowPunct/>
        <w:topLinePunct w:val="0"/>
        <w:autoSpaceDE/>
        <w:autoSpaceDN/>
        <w:bidi w:val="0"/>
        <w:adjustRightInd/>
        <w:spacing w:line="600" w:lineRule="exact"/>
        <w:ind w:right="0" w:rightChars="0" w:firstLine="7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单位：万元</w:t>
      </w:r>
    </w:p>
    <w:tbl>
      <w:tblPr>
        <w:tblStyle w:val="25"/>
        <w:tblpPr w:leftFromText="180" w:rightFromText="180" w:vertAnchor="text" w:horzAnchor="page" w:tblpX="817" w:tblpY="557"/>
        <w:tblOverlap w:val="never"/>
        <w:tblW w:w="1054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08"/>
        <w:gridCol w:w="912"/>
        <w:gridCol w:w="1226"/>
        <w:gridCol w:w="987"/>
        <w:gridCol w:w="5307"/>
      </w:tblGrid>
      <w:tr w14:paraId="71FF5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6" w:hRule="atLeast"/>
        </w:trPr>
        <w:tc>
          <w:tcPr>
            <w:tcW w:w="2108" w:type="dxa"/>
          </w:tcPr>
          <w:p w14:paraId="5DB3B4FE">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912" w:type="dxa"/>
          </w:tcPr>
          <w:p w14:paraId="72E9CFB8">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2017年度预算</w:t>
            </w:r>
          </w:p>
        </w:tc>
        <w:tc>
          <w:tcPr>
            <w:tcW w:w="1226" w:type="dxa"/>
          </w:tcPr>
          <w:p w14:paraId="6D4E823F">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2018年度预算</w:t>
            </w:r>
          </w:p>
        </w:tc>
        <w:tc>
          <w:tcPr>
            <w:tcW w:w="987" w:type="dxa"/>
          </w:tcPr>
          <w:p w14:paraId="5101607D">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增减全额</w:t>
            </w:r>
          </w:p>
        </w:tc>
        <w:tc>
          <w:tcPr>
            <w:tcW w:w="5307" w:type="dxa"/>
          </w:tcPr>
          <w:p w14:paraId="13DCDDA7">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变化情况</w:t>
            </w:r>
          </w:p>
        </w:tc>
      </w:tr>
      <w:tr w14:paraId="7DAF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trPr>
        <w:tc>
          <w:tcPr>
            <w:tcW w:w="2108" w:type="dxa"/>
          </w:tcPr>
          <w:p w14:paraId="07EB7D81">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因公出国经费</w:t>
            </w:r>
          </w:p>
        </w:tc>
        <w:tc>
          <w:tcPr>
            <w:tcW w:w="912" w:type="dxa"/>
          </w:tcPr>
          <w:p w14:paraId="56E819E4">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0</w:t>
            </w:r>
          </w:p>
        </w:tc>
        <w:tc>
          <w:tcPr>
            <w:tcW w:w="1226" w:type="dxa"/>
          </w:tcPr>
          <w:p w14:paraId="578D0932">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0</w:t>
            </w:r>
          </w:p>
        </w:tc>
        <w:tc>
          <w:tcPr>
            <w:tcW w:w="987" w:type="dxa"/>
          </w:tcPr>
          <w:p w14:paraId="52230B9B">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0</w:t>
            </w:r>
          </w:p>
        </w:tc>
        <w:tc>
          <w:tcPr>
            <w:tcW w:w="5307" w:type="dxa"/>
          </w:tcPr>
          <w:p w14:paraId="51B06D09">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无增减变化</w:t>
            </w:r>
          </w:p>
        </w:tc>
      </w:tr>
      <w:tr w14:paraId="60FB26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2108" w:type="dxa"/>
          </w:tcPr>
          <w:p w14:paraId="7578B3B7">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公务用车购置经费</w:t>
            </w:r>
          </w:p>
        </w:tc>
        <w:tc>
          <w:tcPr>
            <w:tcW w:w="912" w:type="dxa"/>
          </w:tcPr>
          <w:p w14:paraId="2867833F">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0</w:t>
            </w:r>
          </w:p>
        </w:tc>
        <w:tc>
          <w:tcPr>
            <w:tcW w:w="1226" w:type="dxa"/>
          </w:tcPr>
          <w:p w14:paraId="54F86942">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0</w:t>
            </w:r>
          </w:p>
        </w:tc>
        <w:tc>
          <w:tcPr>
            <w:tcW w:w="987" w:type="dxa"/>
          </w:tcPr>
          <w:p w14:paraId="3F4477F1">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0</w:t>
            </w:r>
          </w:p>
        </w:tc>
        <w:tc>
          <w:tcPr>
            <w:tcW w:w="5307" w:type="dxa"/>
          </w:tcPr>
          <w:p w14:paraId="3A92DFBC">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无增减变化</w:t>
            </w:r>
          </w:p>
        </w:tc>
      </w:tr>
      <w:tr w14:paraId="507BC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2" w:hRule="atLeast"/>
        </w:trPr>
        <w:tc>
          <w:tcPr>
            <w:tcW w:w="2108" w:type="dxa"/>
            <w:tcBorders>
              <w:bottom w:val="single" w:color="000000" w:sz="4" w:space="0"/>
            </w:tcBorders>
          </w:tcPr>
          <w:p w14:paraId="3C0DFBD5">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公务用车运行费</w:t>
            </w:r>
          </w:p>
        </w:tc>
        <w:tc>
          <w:tcPr>
            <w:tcW w:w="912" w:type="dxa"/>
            <w:tcBorders>
              <w:bottom w:val="single" w:color="000000" w:sz="4" w:space="0"/>
            </w:tcBorders>
          </w:tcPr>
          <w:p w14:paraId="1A20DCC1">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1226" w:type="dxa"/>
            <w:tcBorders>
              <w:bottom w:val="single" w:color="000000" w:sz="4" w:space="0"/>
            </w:tcBorders>
          </w:tcPr>
          <w:p w14:paraId="571FBD4C">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987" w:type="dxa"/>
            <w:tcBorders>
              <w:bottom w:val="single" w:color="000000" w:sz="4" w:space="0"/>
            </w:tcBorders>
          </w:tcPr>
          <w:p w14:paraId="233C563F">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5307" w:type="dxa"/>
            <w:tcBorders>
              <w:bottom w:val="single" w:color="000000" w:sz="4" w:space="0"/>
            </w:tcBorders>
          </w:tcPr>
          <w:p w14:paraId="61919702">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2018年我单位计划对公车加强管理、控制车辆使用，对公车日常养护、加油实行定点专人管理，因此公务用车运行维护费比2017年减少。</w:t>
            </w:r>
          </w:p>
        </w:tc>
      </w:tr>
      <w:tr w14:paraId="7E236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69" w:hRule="atLeast"/>
        </w:trPr>
        <w:tc>
          <w:tcPr>
            <w:tcW w:w="2108" w:type="dxa"/>
            <w:tcBorders>
              <w:top w:val="single" w:color="000000" w:sz="4" w:space="0"/>
            </w:tcBorders>
          </w:tcPr>
          <w:p w14:paraId="1FD1CF20">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公务接待</w:t>
            </w:r>
          </w:p>
        </w:tc>
        <w:tc>
          <w:tcPr>
            <w:tcW w:w="912" w:type="dxa"/>
            <w:tcBorders>
              <w:top w:val="single" w:color="000000" w:sz="4" w:space="0"/>
            </w:tcBorders>
          </w:tcPr>
          <w:p w14:paraId="4582AE2E">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1226" w:type="dxa"/>
            <w:tcBorders>
              <w:top w:val="single" w:color="000000" w:sz="4" w:space="0"/>
            </w:tcBorders>
          </w:tcPr>
          <w:p w14:paraId="01AB3D71">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0</w:t>
            </w:r>
          </w:p>
        </w:tc>
        <w:tc>
          <w:tcPr>
            <w:tcW w:w="987" w:type="dxa"/>
            <w:tcBorders>
              <w:top w:val="single" w:color="000000" w:sz="4" w:space="0"/>
            </w:tcBorders>
          </w:tcPr>
          <w:p w14:paraId="386CDC06">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5307" w:type="dxa"/>
            <w:tcBorders>
              <w:top w:val="single" w:color="000000" w:sz="4" w:space="0"/>
            </w:tcBorders>
          </w:tcPr>
          <w:p w14:paraId="630AAD14">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2018年我单位严格执行涞水县委、县政府印发《涞水县级机关差旅费管理办法（试行）》等四个经费管理办法的通知</w:t>
            </w:r>
          </w:p>
        </w:tc>
      </w:tr>
      <w:tr w14:paraId="5D0482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8" w:hRule="atLeast"/>
        </w:trPr>
        <w:tc>
          <w:tcPr>
            <w:tcW w:w="2108" w:type="dxa"/>
          </w:tcPr>
          <w:p w14:paraId="66DFFB92">
            <w:pPr>
              <w:keepNext w:val="0"/>
              <w:keepLines w:val="0"/>
              <w:pageBreakBefore w:val="0"/>
              <w:widowControl/>
              <w:kinsoku/>
              <w:overflowPunct/>
              <w:topLinePunct w:val="0"/>
              <w:autoSpaceDE/>
              <w:autoSpaceDN/>
              <w:bidi w:val="0"/>
              <w:adjustRightInd/>
              <w:spacing w:line="600" w:lineRule="exact"/>
              <w:ind w:left="108" w:right="0" w:rightChars="0" w:firstLine="6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合计</w:t>
            </w:r>
          </w:p>
        </w:tc>
        <w:tc>
          <w:tcPr>
            <w:tcW w:w="912" w:type="dxa"/>
          </w:tcPr>
          <w:p w14:paraId="00C0039A">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1226" w:type="dxa"/>
          </w:tcPr>
          <w:p w14:paraId="0B761C89">
            <w:pPr>
              <w:keepNext w:val="0"/>
              <w:keepLines w:val="0"/>
              <w:pageBreakBefore w:val="0"/>
              <w:widowControl/>
              <w:kinsoku/>
              <w:overflowPunct/>
              <w:topLinePunct w:val="0"/>
              <w:autoSpaceDE/>
              <w:autoSpaceDN/>
              <w:bidi w:val="0"/>
              <w:adjustRightInd/>
              <w:spacing w:line="600" w:lineRule="exact"/>
              <w:ind w:left="108" w:right="0" w:rightChars="0" w:firstLine="6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987" w:type="dxa"/>
          </w:tcPr>
          <w:p w14:paraId="5E94B30D">
            <w:pPr>
              <w:keepNext w:val="0"/>
              <w:keepLines w:val="0"/>
              <w:pageBreakBefore w:val="0"/>
              <w:widowControl/>
              <w:kinsoku/>
              <w:overflowPunct/>
              <w:topLinePunct w:val="0"/>
              <w:autoSpaceDE/>
              <w:autoSpaceDN/>
              <w:bidi w:val="0"/>
              <w:adjustRightInd/>
              <w:spacing w:line="600" w:lineRule="exact"/>
              <w:ind w:left="108"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5307" w:type="dxa"/>
          </w:tcPr>
          <w:p w14:paraId="7B5978C1">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深入贯彻落实《党政机关厉行节约反对浪费条例》，因此比2016年减少。</w:t>
            </w:r>
          </w:p>
          <w:p w14:paraId="0856581A">
            <w:pPr>
              <w:keepNext w:val="0"/>
              <w:keepLines w:val="0"/>
              <w:pageBreakBefore w:val="0"/>
              <w:widowControl/>
              <w:kinsoku/>
              <w:overflowPunct/>
              <w:topLinePunct w:val="0"/>
              <w:autoSpaceDE/>
              <w:autoSpaceDN/>
              <w:bidi w:val="0"/>
              <w:adjustRightInd/>
              <w:spacing w:line="600" w:lineRule="exact"/>
              <w:ind w:left="108" w:right="0" w:rightChars="0" w:firstLine="600"/>
              <w:textAlignment w:val="auto"/>
              <w:rPr>
                <w:rFonts w:hint="eastAsia" w:ascii="仿宋_GB2312" w:hAnsi="仿宋_GB2312" w:eastAsia="仿宋_GB2312" w:cs="仿宋_GB2312"/>
                <w:sz w:val="28"/>
                <w:szCs w:val="28"/>
              </w:rPr>
            </w:pPr>
          </w:p>
        </w:tc>
      </w:tr>
    </w:tbl>
    <w:p w14:paraId="1A4D3EA6">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五、绩效预算信息情况</w:t>
      </w:r>
    </w:p>
    <w:p w14:paraId="41764CE1">
      <w:pPr>
        <w:keepNext w:val="0"/>
        <w:keepLines w:val="0"/>
        <w:pageBreakBefore w:val="0"/>
        <w:widowControl/>
        <w:kinsoku/>
        <w:overflowPunct/>
        <w:topLinePunct w:val="0"/>
        <w:autoSpaceDE/>
        <w:autoSpaceDN/>
        <w:bidi w:val="0"/>
        <w:adjustRightInd/>
        <w:spacing w:line="600" w:lineRule="exact"/>
        <w:ind w:right="0" w:rightChars="0" w:firstLine="600"/>
        <w:jc w:val="left"/>
        <w:textAlignment w:val="auto"/>
        <w:outlineLvl w:val="0"/>
        <w:rPr>
          <w:rFonts w:hint="eastAsia" w:ascii="仿宋_GB2312" w:hAnsi="仿宋_GB2312" w:eastAsia="仿宋_GB2312" w:cs="仿宋_GB2312"/>
          <w:sz w:val="32"/>
          <w:szCs w:val="32"/>
          <w:shd w:val="clear" w:color="FFFFFF" w:fill="FFFFFF"/>
        </w:rPr>
      </w:pPr>
      <w:r>
        <w:rPr>
          <w:rFonts w:hint="eastAsia" w:ascii="仿宋_GB2312" w:hAnsi="仿宋_GB2312" w:eastAsia="仿宋_GB2312" w:cs="仿宋_GB2312"/>
          <w:sz w:val="32"/>
          <w:szCs w:val="32"/>
          <w:shd w:val="clear" w:color="FFFFFF" w:fill="FFFFFF"/>
        </w:rPr>
        <w:t>继续加大残疾人事业宣传力度，推进无障碍建设，努力夯实残疾人事业发展的基础是进一步夯实基层残疾人组织基础，我们将进一步深入贯彻落实党的十九大和十九届五中、六中全会精神，以推进残疾人精准扶贫、脱贫为载体，以深入开展党的群众路线教育实践活动为主线，以为民务实，切实强化我县残疾人小康进程，以服务残疾人民生工程为着力点，强基础，谋长远，不断完善发展思路，勇于创新，努力提升广大残疾人的幸福感和满意度，为加快建设幸福生活而做出积极贡献。</w:t>
      </w:r>
    </w:p>
    <w:p w14:paraId="6E10DF4A">
      <w:pPr>
        <w:keepNext w:val="0"/>
        <w:keepLines w:val="0"/>
        <w:pageBreakBefore w:val="0"/>
        <w:widowControl/>
        <w:kinsoku/>
        <w:wordWrap w:val="0"/>
        <w:overflowPunct/>
        <w:topLinePunct w:val="0"/>
        <w:autoSpaceDE/>
        <w:autoSpaceDN/>
        <w:bidi w:val="0"/>
        <w:adjustRightInd/>
        <w:snapToGrid w:val="0"/>
        <w:spacing w:line="600" w:lineRule="exact"/>
        <w:ind w:right="0" w:rightChars="0"/>
        <w:jc w:val="left"/>
        <w:textAlignment w:val="auto"/>
        <w:rPr>
          <w:rFonts w:hint="eastAsia" w:ascii="仿宋_GB2312" w:hAnsi="仿宋_GB2312" w:eastAsia="仿宋_GB2312" w:cs="仿宋_GB2312"/>
          <w:sz w:val="32"/>
          <w:szCs w:val="32"/>
          <w:shd w:val="clear" w:color="FFFFFF" w:fill="FFFFFF"/>
        </w:rPr>
      </w:pPr>
      <w:r>
        <w:rPr>
          <w:rFonts w:hint="eastAsia" w:ascii="仿宋_GB2312" w:hAnsi="仿宋_GB2312" w:eastAsia="仿宋_GB2312" w:cs="仿宋_GB2312"/>
          <w:sz w:val="32"/>
          <w:szCs w:val="32"/>
          <w:shd w:val="clear" w:color="FFFFFF" w:fill="FFFFFF"/>
        </w:rPr>
        <w:t xml:space="preserve">    紧紧围绕我县残疾人基本服务状况和需求开展专项调查，根据中残联指示精神，对我县残疾人人口基础数据库中登记并持有第二代《中华人民共和国残疾人证》的残疾人，重点了解他们在生活救助等内容。</w:t>
      </w:r>
    </w:p>
    <w:p w14:paraId="4F04BB63">
      <w:pPr>
        <w:keepNext w:val="0"/>
        <w:keepLines w:val="0"/>
        <w:pageBreakBefore w:val="0"/>
        <w:widowControl/>
        <w:kinsoku/>
        <w:wordWrap w:val="0"/>
        <w:overflowPunct/>
        <w:topLinePunct w:val="0"/>
        <w:autoSpaceDE/>
        <w:autoSpaceDN/>
        <w:bidi w:val="0"/>
        <w:adjustRightInd/>
        <w:snapToGrid w:val="0"/>
        <w:spacing w:line="600" w:lineRule="exact"/>
        <w:ind w:right="0" w:rightChars="0"/>
        <w:jc w:val="left"/>
        <w:textAlignment w:val="auto"/>
        <w:rPr>
          <w:rFonts w:hint="eastAsia" w:ascii="仿宋_GB2312" w:hAnsi="仿宋_GB2312" w:eastAsia="仿宋_GB2312" w:cs="仿宋_GB2312"/>
          <w:sz w:val="32"/>
          <w:szCs w:val="32"/>
          <w:shd w:val="clear" w:color="FFFFFF" w:fill="FFFFFF"/>
        </w:rPr>
      </w:pPr>
      <w:r>
        <w:rPr>
          <w:rFonts w:hint="eastAsia" w:ascii="仿宋_GB2312" w:hAnsi="仿宋_GB2312" w:eastAsia="仿宋_GB2312" w:cs="仿宋_GB2312"/>
          <w:sz w:val="32"/>
          <w:szCs w:val="32"/>
          <w:shd w:val="clear" w:color="FFFFFF" w:fill="FFFFFF"/>
        </w:rPr>
        <w:t xml:space="preserve">    并且1、扶持带动残疾人脱贫，救助困难残疾人家庭，扶持残疾人创业。2、通过残疾人技能培训安置有能力的残疾人就业。3、为残疾人提供残疾用品用具帮助残疾人康复训练。4、维护残疾人合法权益做好“二代残疾证”换发工作。5、加强村级残协建设扩大残疾人组织覆盖面。</w:t>
      </w:r>
    </w:p>
    <w:p w14:paraId="508661EB">
      <w:pPr>
        <w:keepNext w:val="0"/>
        <w:keepLines w:val="0"/>
        <w:pageBreakBefore w:val="0"/>
        <w:widowControl/>
        <w:kinsoku/>
        <w:wordWrap w:val="0"/>
        <w:overflowPunct/>
        <w:topLinePunct w:val="0"/>
        <w:autoSpaceDE/>
        <w:autoSpaceDN/>
        <w:bidi w:val="0"/>
        <w:adjustRightInd/>
        <w:snapToGrid w:val="0"/>
        <w:spacing w:line="600" w:lineRule="exact"/>
        <w:ind w:right="0" w:rightChars="0"/>
        <w:jc w:val="left"/>
        <w:textAlignment w:val="auto"/>
        <w:rPr>
          <w:rFonts w:ascii="仿宋" w:hAnsi="仿宋" w:eastAsia="仿宋" w:cs="仿宋"/>
          <w:sz w:val="32"/>
          <w:szCs w:val="32"/>
        </w:rPr>
      </w:pPr>
    </w:p>
    <w:p w14:paraId="226124A6">
      <w:pPr>
        <w:keepNext w:val="0"/>
        <w:keepLines w:val="0"/>
        <w:pageBreakBefore w:val="0"/>
        <w:widowControl/>
        <w:kinsoku/>
        <w:overflowPunct/>
        <w:topLinePunct w:val="0"/>
        <w:autoSpaceDE/>
        <w:autoSpaceDN/>
        <w:bidi w:val="0"/>
        <w:adjustRightInd/>
        <w:spacing w:line="600" w:lineRule="exact"/>
        <w:ind w:right="0" w:rightChars="0"/>
        <w:textAlignment w:val="auto"/>
        <w:rPr>
          <w:rFonts w:ascii="仿宋" w:hAnsi="仿宋" w:eastAsia="仿宋" w:cs="仿宋"/>
          <w:sz w:val="32"/>
          <w:szCs w:val="32"/>
        </w:rPr>
      </w:pPr>
    </w:p>
    <w:p w14:paraId="68D37535">
      <w:pPr>
        <w:keepNext w:val="0"/>
        <w:keepLines w:val="0"/>
        <w:pageBreakBefore w:val="0"/>
        <w:widowControl/>
        <w:kinsoku/>
        <w:overflowPunct/>
        <w:topLinePunct w:val="0"/>
        <w:autoSpaceDE/>
        <w:autoSpaceDN/>
        <w:bidi w:val="0"/>
        <w:adjustRightInd/>
        <w:spacing w:line="600" w:lineRule="exact"/>
        <w:ind w:right="0" w:rightChars="0"/>
        <w:textAlignment w:val="auto"/>
        <w:rPr>
          <w:rFonts w:ascii="仿宋" w:hAnsi="仿宋" w:eastAsia="仿宋" w:cs="仿宋"/>
          <w:sz w:val="32"/>
          <w:szCs w:val="32"/>
        </w:rPr>
        <w:sectPr>
          <w:pgSz w:w="11906" w:h="16838"/>
          <w:pgMar w:top="1440" w:right="1800" w:bottom="1440" w:left="1800" w:header="851" w:footer="992" w:gutter="0"/>
          <w:cols w:space="720" w:num="1"/>
          <w:docGrid w:type="lines" w:linePitch="312" w:charSpace="0"/>
        </w:sectPr>
      </w:pPr>
    </w:p>
    <w:p w14:paraId="35A886E1">
      <w:pPr>
        <w:keepNext w:val="0"/>
        <w:keepLines w:val="0"/>
        <w:pageBreakBefore w:val="0"/>
        <w:widowControl/>
        <w:kinsoku/>
        <w:overflowPunct/>
        <w:topLinePunct w:val="0"/>
        <w:autoSpaceDE/>
        <w:autoSpaceDN/>
        <w:bidi w:val="0"/>
        <w:adjustRightInd/>
        <w:spacing w:line="600" w:lineRule="exact"/>
        <w:ind w:right="0" w:rightChars="0"/>
        <w:jc w:val="center"/>
        <w:textAlignment w:val="auto"/>
        <w:outlineLvl w:val="0"/>
        <w:rPr>
          <w:rFonts w:ascii="方正小标宋_GBK" w:hAnsi="方正小标宋_GBK" w:eastAsia="方正小标宋_GBK"/>
          <w:sz w:val="32"/>
          <w:szCs w:val="32"/>
        </w:rPr>
      </w:pPr>
      <w:r>
        <w:rPr>
          <w:rFonts w:ascii="方正小标宋_GBK" w:hAnsi="宋体" w:eastAsia="宋体"/>
          <w:sz w:val="32"/>
          <w:szCs w:val="32"/>
        </w:rPr>
        <w:t>二、</w:t>
      </w:r>
      <w:r>
        <w:rPr>
          <w:rFonts w:ascii="方正小标宋_GBK" w:hAnsi="方正小标宋_GBK" w:eastAsia="方正小标宋_GBK"/>
          <w:sz w:val="32"/>
          <w:szCs w:val="32"/>
        </w:rPr>
        <w:t>部门职责-工作活动绩效目标</w:t>
      </w:r>
    </w:p>
    <w:tbl>
      <w:tblPr>
        <w:tblStyle w:val="25"/>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77300C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7C864B4A">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小标宋_GBK" w:hAnsi="方正小标宋_GBK" w:eastAsia="方正小标宋_GBK"/>
                <w:sz w:val="24"/>
                <w:szCs w:val="24"/>
              </w:rPr>
            </w:pPr>
            <w:r>
              <w:rPr>
                <w:rFonts w:ascii="方正小标宋_GBK" w:hAnsi="方正小标宋_GBK" w:eastAsia="方正小标宋_GBK"/>
                <w:sz w:val="24"/>
                <w:szCs w:val="24"/>
              </w:rPr>
              <w:t>762涞水县残疾人联合会</w:t>
            </w:r>
          </w:p>
        </w:tc>
        <w:tc>
          <w:tcPr>
            <w:tcW w:w="2948" w:type="dxa"/>
            <w:gridSpan w:val="4"/>
            <w:tcBorders>
              <w:top w:val="single" w:color="FFFFFF" w:sz="6" w:space="0"/>
              <w:left w:val="single" w:color="FFFFFF" w:sz="6" w:space="0"/>
              <w:right w:val="single" w:color="FFFFFF" w:sz="6" w:space="0"/>
            </w:tcBorders>
            <w:vAlign w:val="center"/>
          </w:tcPr>
          <w:p w14:paraId="7A6BF501">
            <w:pPr>
              <w:keepNext w:val="0"/>
              <w:keepLines w:val="0"/>
              <w:pageBreakBefore w:val="0"/>
              <w:widowControl/>
              <w:kinsoku/>
              <w:overflowPunct/>
              <w:topLinePunct w:val="0"/>
              <w:autoSpaceDE/>
              <w:autoSpaceDN/>
              <w:bidi w:val="0"/>
              <w:adjustRightInd/>
              <w:spacing w:line="600" w:lineRule="exact"/>
              <w:ind w:right="0" w:rightChars="0"/>
              <w:jc w:val="right"/>
              <w:textAlignment w:val="auto"/>
              <w:rPr>
                <w:rFonts w:ascii="方正书宋_GBK" w:hAnsi="方正书宋_GBK" w:eastAsia="方正书宋_GBK"/>
                <w:sz w:val="24"/>
                <w:szCs w:val="24"/>
              </w:rPr>
            </w:pPr>
            <w:r>
              <w:rPr>
                <w:rFonts w:ascii="方正书宋_GBK" w:hAnsi="方正书宋_GBK" w:eastAsia="方正书宋_GBK"/>
                <w:sz w:val="24"/>
                <w:szCs w:val="24"/>
              </w:rPr>
              <w:t>单位：万元</w:t>
            </w:r>
          </w:p>
        </w:tc>
      </w:tr>
      <w:tr w14:paraId="7A1E6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1C7C5BDD">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b/>
              </w:rPr>
            </w:pPr>
            <w:r>
              <w:rPr>
                <w:rFonts w:ascii="方正书宋_GBK" w:hAnsi="方正书宋_GBK" w:eastAsia="方正书宋_GBK"/>
                <w:b/>
              </w:rPr>
              <w:t>职责活动</w:t>
            </w:r>
          </w:p>
        </w:tc>
        <w:tc>
          <w:tcPr>
            <w:tcW w:w="1276" w:type="dxa"/>
            <w:vMerge w:val="restart"/>
            <w:vAlign w:val="center"/>
          </w:tcPr>
          <w:p w14:paraId="3FDA4C11">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b/>
              </w:rPr>
            </w:pPr>
            <w:r>
              <w:rPr>
                <w:rFonts w:ascii="方正书宋_GBK" w:hAnsi="方正书宋_GBK" w:eastAsia="方正书宋_GBK"/>
                <w:b/>
              </w:rPr>
              <w:t>年度预算数</w:t>
            </w:r>
          </w:p>
        </w:tc>
        <w:tc>
          <w:tcPr>
            <w:tcW w:w="2976" w:type="dxa"/>
            <w:vMerge w:val="restart"/>
            <w:vAlign w:val="center"/>
          </w:tcPr>
          <w:p w14:paraId="2EAD682F">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b/>
              </w:rPr>
            </w:pPr>
            <w:r>
              <w:rPr>
                <w:rFonts w:ascii="方正书宋_GBK" w:hAnsi="方正书宋_GBK" w:eastAsia="方正书宋_GBK"/>
                <w:b/>
              </w:rPr>
              <w:t>内容描述</w:t>
            </w:r>
          </w:p>
        </w:tc>
        <w:tc>
          <w:tcPr>
            <w:tcW w:w="2976" w:type="dxa"/>
            <w:vMerge w:val="restart"/>
            <w:vAlign w:val="center"/>
          </w:tcPr>
          <w:p w14:paraId="08C3ADBB">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b/>
              </w:rPr>
            </w:pPr>
            <w:r>
              <w:rPr>
                <w:rFonts w:ascii="方正书宋_GBK" w:hAnsi="方正书宋_GBK" w:eastAsia="方正书宋_GBK"/>
                <w:b/>
              </w:rPr>
              <w:t>绩效目标</w:t>
            </w:r>
          </w:p>
        </w:tc>
        <w:tc>
          <w:tcPr>
            <w:tcW w:w="1417" w:type="dxa"/>
            <w:vMerge w:val="restart"/>
            <w:vAlign w:val="center"/>
          </w:tcPr>
          <w:p w14:paraId="1A467D1D">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b/>
              </w:rPr>
            </w:pPr>
            <w:r>
              <w:rPr>
                <w:rFonts w:ascii="方正书宋_GBK" w:hAnsi="方正书宋_GBK" w:eastAsia="方正书宋_GBK"/>
                <w:b/>
              </w:rPr>
              <w:t>绩效指标</w:t>
            </w:r>
          </w:p>
        </w:tc>
        <w:tc>
          <w:tcPr>
            <w:tcW w:w="2948" w:type="dxa"/>
            <w:gridSpan w:val="4"/>
            <w:vAlign w:val="center"/>
          </w:tcPr>
          <w:p w14:paraId="348EE203">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b/>
              </w:rPr>
            </w:pPr>
            <w:r>
              <w:rPr>
                <w:rFonts w:ascii="方正书宋_GBK" w:hAnsi="方正书宋_GBK" w:eastAsia="方正书宋_GBK"/>
                <w:b/>
              </w:rPr>
              <w:t>评价标准</w:t>
            </w:r>
          </w:p>
        </w:tc>
      </w:tr>
      <w:tr w14:paraId="67EC38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3B685C77">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276" w:type="dxa"/>
            <w:vMerge w:val="continue"/>
            <w:vAlign w:val="center"/>
          </w:tcPr>
          <w:p w14:paraId="7012A5DB">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10573896">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2A019505">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417" w:type="dxa"/>
            <w:vMerge w:val="continue"/>
            <w:vAlign w:val="center"/>
          </w:tcPr>
          <w:p w14:paraId="37BC9275">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737" w:type="dxa"/>
            <w:vAlign w:val="center"/>
          </w:tcPr>
          <w:p w14:paraId="499C3BB5">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b/>
              </w:rPr>
            </w:pPr>
            <w:r>
              <w:rPr>
                <w:rFonts w:ascii="方正书宋_GBK" w:hAnsi="方正书宋_GBK" w:eastAsia="方正书宋_GBK"/>
                <w:b/>
              </w:rPr>
              <w:t>优</w:t>
            </w:r>
          </w:p>
        </w:tc>
        <w:tc>
          <w:tcPr>
            <w:tcW w:w="737" w:type="dxa"/>
            <w:vAlign w:val="center"/>
          </w:tcPr>
          <w:p w14:paraId="2F90B31B">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b/>
              </w:rPr>
            </w:pPr>
            <w:r>
              <w:rPr>
                <w:rFonts w:ascii="方正书宋_GBK" w:hAnsi="方正书宋_GBK" w:eastAsia="方正书宋_GBK"/>
                <w:b/>
              </w:rPr>
              <w:t>良</w:t>
            </w:r>
          </w:p>
        </w:tc>
        <w:tc>
          <w:tcPr>
            <w:tcW w:w="737" w:type="dxa"/>
            <w:vAlign w:val="center"/>
          </w:tcPr>
          <w:p w14:paraId="172C43F2">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b/>
              </w:rPr>
            </w:pPr>
            <w:r>
              <w:rPr>
                <w:rFonts w:ascii="方正书宋_GBK" w:hAnsi="方正书宋_GBK" w:eastAsia="方正书宋_GBK"/>
                <w:b/>
              </w:rPr>
              <w:t>中</w:t>
            </w:r>
          </w:p>
        </w:tc>
        <w:tc>
          <w:tcPr>
            <w:tcW w:w="737" w:type="dxa"/>
            <w:vAlign w:val="center"/>
          </w:tcPr>
          <w:p w14:paraId="69A5FF8F">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b/>
              </w:rPr>
            </w:pPr>
            <w:r>
              <w:rPr>
                <w:rFonts w:ascii="方正书宋_GBK" w:hAnsi="方正书宋_GBK" w:eastAsia="方正书宋_GBK"/>
                <w:b/>
              </w:rPr>
              <w:t>差</w:t>
            </w:r>
          </w:p>
        </w:tc>
      </w:tr>
      <w:tr w14:paraId="668A77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4C2EFEA">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b/>
              </w:rPr>
            </w:pPr>
            <w:r>
              <w:rPr>
                <w:rFonts w:ascii="方正书宋_GBK" w:hAnsi="方正书宋_GBK" w:eastAsia="方正书宋_GBK"/>
                <w:b/>
              </w:rPr>
              <w:t>残疾人服务</w:t>
            </w:r>
          </w:p>
        </w:tc>
        <w:tc>
          <w:tcPr>
            <w:tcW w:w="1276" w:type="dxa"/>
            <w:vAlign w:val="center"/>
          </w:tcPr>
          <w:p w14:paraId="480FC1AA">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227.83</w:t>
            </w:r>
          </w:p>
        </w:tc>
        <w:tc>
          <w:tcPr>
            <w:tcW w:w="2976" w:type="dxa"/>
            <w:vAlign w:val="center"/>
          </w:tcPr>
          <w:p w14:paraId="333C93AC">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健全残疾人法律服务体系，切实保障残疾人合法权益；全面推进城乡无障碍环境建设；开展康复、扶贫、教育培训等活动，直接为残疾人服务</w:t>
            </w:r>
          </w:p>
        </w:tc>
        <w:tc>
          <w:tcPr>
            <w:tcW w:w="2976" w:type="dxa"/>
            <w:vAlign w:val="center"/>
          </w:tcPr>
          <w:p w14:paraId="2546915A">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保障残疾人的诉求能够得到及时解决，保障残疾人出行权利；逐步实现残疾人“人人享有康复服务”，保障贫困和重度残疾人基本生活，提高残疾儿童义务教育入学率和残疾人就业率，丰富残疾人文体生活</w:t>
            </w:r>
          </w:p>
        </w:tc>
        <w:tc>
          <w:tcPr>
            <w:tcW w:w="1417" w:type="dxa"/>
            <w:vAlign w:val="center"/>
          </w:tcPr>
          <w:p w14:paraId="565CEDED">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p>
        </w:tc>
        <w:tc>
          <w:tcPr>
            <w:tcW w:w="737" w:type="dxa"/>
            <w:vAlign w:val="center"/>
          </w:tcPr>
          <w:p w14:paraId="6E389319">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p>
        </w:tc>
        <w:tc>
          <w:tcPr>
            <w:tcW w:w="737" w:type="dxa"/>
            <w:vAlign w:val="center"/>
          </w:tcPr>
          <w:p w14:paraId="401CA6A1">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p>
        </w:tc>
        <w:tc>
          <w:tcPr>
            <w:tcW w:w="737" w:type="dxa"/>
            <w:vAlign w:val="center"/>
          </w:tcPr>
          <w:p w14:paraId="72CF87C2">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p>
        </w:tc>
        <w:tc>
          <w:tcPr>
            <w:tcW w:w="737" w:type="dxa"/>
            <w:vAlign w:val="center"/>
          </w:tcPr>
          <w:p w14:paraId="5E8C1D18">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p>
        </w:tc>
      </w:tr>
      <w:tr w14:paraId="7C701D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D4CB8FC">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b/>
              </w:rPr>
            </w:pPr>
            <w:r>
              <w:rPr>
                <w:rFonts w:ascii="方正书宋_GBK" w:hAnsi="方正书宋_GBK" w:eastAsia="方正书宋_GBK"/>
                <w:b/>
              </w:rPr>
              <w:t>　　残疾人法律维权及无障碍环境建设</w:t>
            </w:r>
          </w:p>
        </w:tc>
        <w:tc>
          <w:tcPr>
            <w:tcW w:w="1276" w:type="dxa"/>
            <w:vAlign w:val="center"/>
          </w:tcPr>
          <w:p w14:paraId="0CDEF94B">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p>
        </w:tc>
        <w:tc>
          <w:tcPr>
            <w:tcW w:w="2976" w:type="dxa"/>
            <w:vAlign w:val="center"/>
          </w:tcPr>
          <w:p w14:paraId="13213837">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接待残疾人来信来访，处理残疾人维权案件，为有需求的残疾人提供法律援助和临时救助；推动无障碍环境建设，方便残疾人生活和参与社会活动。</w:t>
            </w:r>
          </w:p>
        </w:tc>
        <w:tc>
          <w:tcPr>
            <w:tcW w:w="2976" w:type="dxa"/>
            <w:vAlign w:val="center"/>
          </w:tcPr>
          <w:p w14:paraId="5271EBA9">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维护残疾人合法权益，对特困残疾人进行救助，对有需求的贫困残疾人家庭进行无障碍改造促进社会和谐稳定。</w:t>
            </w:r>
          </w:p>
        </w:tc>
        <w:tc>
          <w:tcPr>
            <w:tcW w:w="1417" w:type="dxa"/>
            <w:vAlign w:val="center"/>
          </w:tcPr>
          <w:p w14:paraId="2C31B15D">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上访特困残疾人救助率</w:t>
            </w:r>
          </w:p>
        </w:tc>
        <w:tc>
          <w:tcPr>
            <w:tcW w:w="737" w:type="dxa"/>
            <w:vAlign w:val="center"/>
          </w:tcPr>
          <w:p w14:paraId="58492071">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≥90%</w:t>
            </w:r>
          </w:p>
        </w:tc>
        <w:tc>
          <w:tcPr>
            <w:tcW w:w="737" w:type="dxa"/>
            <w:vAlign w:val="center"/>
          </w:tcPr>
          <w:p w14:paraId="35810943">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≥80%</w:t>
            </w:r>
          </w:p>
        </w:tc>
        <w:tc>
          <w:tcPr>
            <w:tcW w:w="737" w:type="dxa"/>
            <w:vAlign w:val="center"/>
          </w:tcPr>
          <w:p w14:paraId="0BE240FB">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≥70%</w:t>
            </w:r>
          </w:p>
        </w:tc>
        <w:tc>
          <w:tcPr>
            <w:tcW w:w="737" w:type="dxa"/>
            <w:vAlign w:val="center"/>
          </w:tcPr>
          <w:p w14:paraId="2A8271CC">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＜70%</w:t>
            </w:r>
          </w:p>
        </w:tc>
      </w:tr>
      <w:tr w14:paraId="7A6A15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648692FB">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b/>
              </w:rPr>
            </w:pPr>
            <w:r>
              <w:rPr>
                <w:rFonts w:ascii="方正书宋_GBK" w:hAnsi="方正书宋_GBK" w:eastAsia="方正书宋_GBK"/>
                <w:b/>
              </w:rPr>
              <w:t>　　残疾人康复</w:t>
            </w:r>
          </w:p>
        </w:tc>
        <w:tc>
          <w:tcPr>
            <w:tcW w:w="1276" w:type="dxa"/>
            <w:vMerge w:val="restart"/>
            <w:vAlign w:val="center"/>
          </w:tcPr>
          <w:p w14:paraId="3E07F1DF">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65.56</w:t>
            </w:r>
          </w:p>
        </w:tc>
        <w:tc>
          <w:tcPr>
            <w:tcW w:w="2976" w:type="dxa"/>
            <w:vMerge w:val="restart"/>
            <w:vAlign w:val="center"/>
          </w:tcPr>
          <w:p w14:paraId="6A319018">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加强残疾人康复设施、机构建设，实施康复重点项目,为贫困残疾人、重度残疾人、残疾儿童、农村残疾人提供基本的康复服务。</w:t>
            </w:r>
          </w:p>
        </w:tc>
        <w:tc>
          <w:tcPr>
            <w:tcW w:w="2976" w:type="dxa"/>
            <w:vMerge w:val="restart"/>
            <w:vAlign w:val="center"/>
          </w:tcPr>
          <w:p w14:paraId="2FA7849C">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逐步实现残疾人“人人享有基本康复服务”</w:t>
            </w:r>
          </w:p>
        </w:tc>
        <w:tc>
          <w:tcPr>
            <w:tcW w:w="1417" w:type="dxa"/>
            <w:vAlign w:val="center"/>
          </w:tcPr>
          <w:p w14:paraId="26E71BE1">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残疾人康复后对生活质量满意率</w:t>
            </w:r>
          </w:p>
        </w:tc>
        <w:tc>
          <w:tcPr>
            <w:tcW w:w="737" w:type="dxa"/>
            <w:vAlign w:val="center"/>
          </w:tcPr>
          <w:p w14:paraId="3AA4A159">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≥90%</w:t>
            </w:r>
          </w:p>
        </w:tc>
        <w:tc>
          <w:tcPr>
            <w:tcW w:w="737" w:type="dxa"/>
            <w:vAlign w:val="center"/>
          </w:tcPr>
          <w:p w14:paraId="41AAAC6B">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≥70%</w:t>
            </w:r>
          </w:p>
        </w:tc>
        <w:tc>
          <w:tcPr>
            <w:tcW w:w="737" w:type="dxa"/>
            <w:vAlign w:val="center"/>
          </w:tcPr>
          <w:p w14:paraId="4A147A55">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≥60%</w:t>
            </w:r>
          </w:p>
        </w:tc>
        <w:tc>
          <w:tcPr>
            <w:tcW w:w="737" w:type="dxa"/>
            <w:vAlign w:val="center"/>
          </w:tcPr>
          <w:p w14:paraId="62311780">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＜60%</w:t>
            </w:r>
          </w:p>
        </w:tc>
      </w:tr>
      <w:tr w14:paraId="18761D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3F4C57A4">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276" w:type="dxa"/>
            <w:vMerge w:val="continue"/>
            <w:vAlign w:val="center"/>
          </w:tcPr>
          <w:p w14:paraId="09991258">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603958A6">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4C67B35E">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417" w:type="dxa"/>
            <w:vAlign w:val="center"/>
          </w:tcPr>
          <w:p w14:paraId="5D717577">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为残疾人提供的基本康复服务显效率</w:t>
            </w:r>
          </w:p>
        </w:tc>
        <w:tc>
          <w:tcPr>
            <w:tcW w:w="737" w:type="dxa"/>
            <w:vAlign w:val="center"/>
          </w:tcPr>
          <w:p w14:paraId="3960CC84">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≥90%</w:t>
            </w:r>
          </w:p>
        </w:tc>
        <w:tc>
          <w:tcPr>
            <w:tcW w:w="737" w:type="dxa"/>
            <w:vAlign w:val="center"/>
          </w:tcPr>
          <w:p w14:paraId="4E6CFE1B">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≥70%</w:t>
            </w:r>
          </w:p>
        </w:tc>
        <w:tc>
          <w:tcPr>
            <w:tcW w:w="737" w:type="dxa"/>
            <w:vAlign w:val="center"/>
          </w:tcPr>
          <w:p w14:paraId="43FD0DB5">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≥60%</w:t>
            </w:r>
          </w:p>
        </w:tc>
        <w:tc>
          <w:tcPr>
            <w:tcW w:w="737" w:type="dxa"/>
            <w:vAlign w:val="center"/>
          </w:tcPr>
          <w:p w14:paraId="28609C1B">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＜60%</w:t>
            </w:r>
          </w:p>
        </w:tc>
      </w:tr>
      <w:tr w14:paraId="361B62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00B7DBD2">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276" w:type="dxa"/>
            <w:vMerge w:val="continue"/>
            <w:vAlign w:val="center"/>
          </w:tcPr>
          <w:p w14:paraId="51194F4D">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612E5148">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71EB1941">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417" w:type="dxa"/>
            <w:vAlign w:val="center"/>
          </w:tcPr>
          <w:p w14:paraId="49F06A86">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康复机构规范达标率</w:t>
            </w:r>
          </w:p>
        </w:tc>
        <w:tc>
          <w:tcPr>
            <w:tcW w:w="737" w:type="dxa"/>
            <w:vAlign w:val="center"/>
          </w:tcPr>
          <w:p w14:paraId="3C116078">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100%</w:t>
            </w:r>
          </w:p>
        </w:tc>
        <w:tc>
          <w:tcPr>
            <w:tcW w:w="737" w:type="dxa"/>
            <w:vAlign w:val="center"/>
          </w:tcPr>
          <w:p w14:paraId="055B5CE9">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≥90%</w:t>
            </w:r>
          </w:p>
        </w:tc>
        <w:tc>
          <w:tcPr>
            <w:tcW w:w="737" w:type="dxa"/>
            <w:vAlign w:val="center"/>
          </w:tcPr>
          <w:p w14:paraId="7A2C7F0A">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≥80%</w:t>
            </w:r>
          </w:p>
        </w:tc>
        <w:tc>
          <w:tcPr>
            <w:tcW w:w="737" w:type="dxa"/>
            <w:vAlign w:val="center"/>
          </w:tcPr>
          <w:p w14:paraId="4D50964B">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＜80%</w:t>
            </w:r>
          </w:p>
        </w:tc>
      </w:tr>
      <w:tr w14:paraId="4E57CE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0FC78BD">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276" w:type="dxa"/>
            <w:vMerge w:val="continue"/>
            <w:vAlign w:val="center"/>
          </w:tcPr>
          <w:p w14:paraId="40B4F3C6">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7091ED37">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23417C3B">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417" w:type="dxa"/>
            <w:vAlign w:val="center"/>
          </w:tcPr>
          <w:p w14:paraId="58E1344F">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康复人员业务开展率和服务能力测评通过率</w:t>
            </w:r>
          </w:p>
        </w:tc>
        <w:tc>
          <w:tcPr>
            <w:tcW w:w="737" w:type="dxa"/>
            <w:vAlign w:val="center"/>
          </w:tcPr>
          <w:p w14:paraId="695E3528">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100%</w:t>
            </w:r>
          </w:p>
        </w:tc>
        <w:tc>
          <w:tcPr>
            <w:tcW w:w="737" w:type="dxa"/>
            <w:vAlign w:val="center"/>
          </w:tcPr>
          <w:p w14:paraId="73E5471D">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≥80%</w:t>
            </w:r>
          </w:p>
        </w:tc>
        <w:tc>
          <w:tcPr>
            <w:tcW w:w="737" w:type="dxa"/>
            <w:vAlign w:val="center"/>
          </w:tcPr>
          <w:p w14:paraId="778770A9">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≥60%</w:t>
            </w:r>
          </w:p>
        </w:tc>
        <w:tc>
          <w:tcPr>
            <w:tcW w:w="737" w:type="dxa"/>
            <w:vAlign w:val="center"/>
          </w:tcPr>
          <w:p w14:paraId="6FABB8B9">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＜60%</w:t>
            </w:r>
          </w:p>
        </w:tc>
      </w:tr>
      <w:tr w14:paraId="2862C7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7021C164">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b/>
              </w:rPr>
            </w:pPr>
            <w:r>
              <w:rPr>
                <w:rFonts w:ascii="方正书宋_GBK" w:hAnsi="方正书宋_GBK" w:eastAsia="方正书宋_GBK"/>
                <w:b/>
              </w:rPr>
              <w:t>　　残疾人教育就业扶贫和社会保障</w:t>
            </w:r>
          </w:p>
        </w:tc>
        <w:tc>
          <w:tcPr>
            <w:tcW w:w="1276" w:type="dxa"/>
            <w:vMerge w:val="restart"/>
            <w:vAlign w:val="center"/>
          </w:tcPr>
          <w:p w14:paraId="773C4F08">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162.27</w:t>
            </w:r>
          </w:p>
        </w:tc>
        <w:tc>
          <w:tcPr>
            <w:tcW w:w="2976" w:type="dxa"/>
            <w:vMerge w:val="restart"/>
            <w:vAlign w:val="center"/>
          </w:tcPr>
          <w:p w14:paraId="623E5A92">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加强农村残疾人扶贫开发，实施精准扶贫；对各类残疾人实施职业技能教育和培训，对当年考入高等学校残疾大学生及残疾人家庭子女实施资助。</w:t>
            </w:r>
          </w:p>
        </w:tc>
        <w:tc>
          <w:tcPr>
            <w:tcW w:w="2976" w:type="dxa"/>
            <w:vMerge w:val="restart"/>
            <w:vAlign w:val="center"/>
          </w:tcPr>
          <w:p w14:paraId="71A971D6">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促进残疾人增收致富；提高残疾人就业率；确保考入高等学校的贫困残疾学生及残疾人家庭子女基本生活</w:t>
            </w:r>
          </w:p>
        </w:tc>
        <w:tc>
          <w:tcPr>
            <w:tcW w:w="1417" w:type="dxa"/>
            <w:vAlign w:val="center"/>
          </w:tcPr>
          <w:p w14:paraId="34C28286">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通过培训的残疾人就业率</w:t>
            </w:r>
          </w:p>
        </w:tc>
        <w:tc>
          <w:tcPr>
            <w:tcW w:w="737" w:type="dxa"/>
            <w:vAlign w:val="center"/>
          </w:tcPr>
          <w:p w14:paraId="2857A0A6">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≥85%</w:t>
            </w:r>
          </w:p>
        </w:tc>
        <w:tc>
          <w:tcPr>
            <w:tcW w:w="737" w:type="dxa"/>
            <w:vAlign w:val="center"/>
          </w:tcPr>
          <w:p w14:paraId="7F0A30B4">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≥75%</w:t>
            </w:r>
          </w:p>
        </w:tc>
        <w:tc>
          <w:tcPr>
            <w:tcW w:w="737" w:type="dxa"/>
            <w:vAlign w:val="center"/>
          </w:tcPr>
          <w:p w14:paraId="45F76875">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≥60%</w:t>
            </w:r>
          </w:p>
        </w:tc>
        <w:tc>
          <w:tcPr>
            <w:tcW w:w="737" w:type="dxa"/>
            <w:vAlign w:val="center"/>
          </w:tcPr>
          <w:p w14:paraId="148E29C2">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＜60%</w:t>
            </w:r>
          </w:p>
        </w:tc>
      </w:tr>
      <w:tr w14:paraId="282178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77D5EE19">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276" w:type="dxa"/>
            <w:vMerge w:val="continue"/>
            <w:vAlign w:val="center"/>
          </w:tcPr>
          <w:p w14:paraId="3249872F">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7E8AE470">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023BF54E">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417" w:type="dxa"/>
            <w:vAlign w:val="center"/>
          </w:tcPr>
          <w:p w14:paraId="077E00B8">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残疾人及子女对资助满意度</w:t>
            </w:r>
          </w:p>
        </w:tc>
        <w:tc>
          <w:tcPr>
            <w:tcW w:w="737" w:type="dxa"/>
            <w:vAlign w:val="center"/>
          </w:tcPr>
          <w:p w14:paraId="36437EF7">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≥85%</w:t>
            </w:r>
          </w:p>
        </w:tc>
        <w:tc>
          <w:tcPr>
            <w:tcW w:w="737" w:type="dxa"/>
            <w:vAlign w:val="center"/>
          </w:tcPr>
          <w:p w14:paraId="1840CE53">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≥75%</w:t>
            </w:r>
          </w:p>
        </w:tc>
        <w:tc>
          <w:tcPr>
            <w:tcW w:w="737" w:type="dxa"/>
            <w:vAlign w:val="center"/>
          </w:tcPr>
          <w:p w14:paraId="32078794">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≥60%</w:t>
            </w:r>
          </w:p>
        </w:tc>
        <w:tc>
          <w:tcPr>
            <w:tcW w:w="737" w:type="dxa"/>
            <w:vAlign w:val="center"/>
          </w:tcPr>
          <w:p w14:paraId="4415BFA6">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＜60%</w:t>
            </w:r>
          </w:p>
        </w:tc>
      </w:tr>
      <w:tr w14:paraId="1AB7C0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C6AA65B">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276" w:type="dxa"/>
            <w:vMerge w:val="continue"/>
            <w:vAlign w:val="center"/>
          </w:tcPr>
          <w:p w14:paraId="35774D98">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79989E6C">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5F461E5A">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417" w:type="dxa"/>
            <w:vAlign w:val="center"/>
          </w:tcPr>
          <w:p w14:paraId="1C0F7D8B">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残疾人就业洽谈会达成就业意向的残疾人比例</w:t>
            </w:r>
          </w:p>
        </w:tc>
        <w:tc>
          <w:tcPr>
            <w:tcW w:w="737" w:type="dxa"/>
            <w:vAlign w:val="center"/>
          </w:tcPr>
          <w:p w14:paraId="626E4599">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≥30%</w:t>
            </w:r>
          </w:p>
        </w:tc>
        <w:tc>
          <w:tcPr>
            <w:tcW w:w="737" w:type="dxa"/>
            <w:vAlign w:val="center"/>
          </w:tcPr>
          <w:p w14:paraId="0382D716">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≥20%</w:t>
            </w:r>
          </w:p>
        </w:tc>
        <w:tc>
          <w:tcPr>
            <w:tcW w:w="737" w:type="dxa"/>
            <w:vAlign w:val="center"/>
          </w:tcPr>
          <w:p w14:paraId="6B3D259B">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≥10%</w:t>
            </w:r>
          </w:p>
        </w:tc>
        <w:tc>
          <w:tcPr>
            <w:tcW w:w="737" w:type="dxa"/>
            <w:vAlign w:val="center"/>
          </w:tcPr>
          <w:p w14:paraId="00E6B368">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＜10%</w:t>
            </w:r>
          </w:p>
        </w:tc>
      </w:tr>
      <w:tr w14:paraId="5EEF12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41393BA6">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276" w:type="dxa"/>
            <w:vMerge w:val="continue"/>
            <w:vAlign w:val="center"/>
          </w:tcPr>
          <w:p w14:paraId="7B71306B">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5B1B8AE0">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6C2DEF60">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417" w:type="dxa"/>
            <w:vAlign w:val="center"/>
          </w:tcPr>
          <w:p w14:paraId="17C07B26">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增收的残疾人占年度被扶持的残疾人比率</w:t>
            </w:r>
          </w:p>
        </w:tc>
        <w:tc>
          <w:tcPr>
            <w:tcW w:w="737" w:type="dxa"/>
            <w:vAlign w:val="center"/>
          </w:tcPr>
          <w:p w14:paraId="6057E004">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≥90%</w:t>
            </w:r>
          </w:p>
        </w:tc>
        <w:tc>
          <w:tcPr>
            <w:tcW w:w="737" w:type="dxa"/>
            <w:vAlign w:val="center"/>
          </w:tcPr>
          <w:p w14:paraId="5ADD7EF6">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≥85%</w:t>
            </w:r>
          </w:p>
        </w:tc>
        <w:tc>
          <w:tcPr>
            <w:tcW w:w="737" w:type="dxa"/>
            <w:vAlign w:val="center"/>
          </w:tcPr>
          <w:p w14:paraId="3D1AEC04">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≥80%</w:t>
            </w:r>
          </w:p>
        </w:tc>
        <w:tc>
          <w:tcPr>
            <w:tcW w:w="737" w:type="dxa"/>
            <w:vAlign w:val="center"/>
          </w:tcPr>
          <w:p w14:paraId="100E05EE">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＜80%</w:t>
            </w:r>
          </w:p>
        </w:tc>
      </w:tr>
      <w:tr w14:paraId="771FC8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994B147">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276" w:type="dxa"/>
            <w:vMerge w:val="continue"/>
            <w:vAlign w:val="center"/>
          </w:tcPr>
          <w:p w14:paraId="225753BD">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5B755253">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0D068E33">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417" w:type="dxa"/>
            <w:vAlign w:val="center"/>
          </w:tcPr>
          <w:p w14:paraId="050E60FD">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对当年考入高等学校残疾学生及残疾人家庭子女资助率</w:t>
            </w:r>
          </w:p>
        </w:tc>
        <w:tc>
          <w:tcPr>
            <w:tcW w:w="737" w:type="dxa"/>
            <w:vAlign w:val="center"/>
          </w:tcPr>
          <w:p w14:paraId="278C4288">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100%</w:t>
            </w:r>
          </w:p>
        </w:tc>
        <w:tc>
          <w:tcPr>
            <w:tcW w:w="737" w:type="dxa"/>
            <w:vAlign w:val="center"/>
          </w:tcPr>
          <w:p w14:paraId="1D6E37D1">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≥80%</w:t>
            </w:r>
          </w:p>
        </w:tc>
        <w:tc>
          <w:tcPr>
            <w:tcW w:w="737" w:type="dxa"/>
            <w:vAlign w:val="center"/>
          </w:tcPr>
          <w:p w14:paraId="7C03C20C">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≥70%</w:t>
            </w:r>
          </w:p>
        </w:tc>
        <w:tc>
          <w:tcPr>
            <w:tcW w:w="737" w:type="dxa"/>
            <w:vAlign w:val="center"/>
          </w:tcPr>
          <w:p w14:paraId="00225A40">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＜70%</w:t>
            </w:r>
          </w:p>
        </w:tc>
      </w:tr>
      <w:tr w14:paraId="2BC861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2147028F">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b/>
              </w:rPr>
            </w:pPr>
            <w:r>
              <w:rPr>
                <w:rFonts w:ascii="方正书宋_GBK" w:hAnsi="方正书宋_GBK" w:eastAsia="方正书宋_GBK"/>
                <w:b/>
              </w:rPr>
              <w:t>　　残疾人宣传文体和志愿者助残</w:t>
            </w:r>
          </w:p>
        </w:tc>
        <w:tc>
          <w:tcPr>
            <w:tcW w:w="1276" w:type="dxa"/>
            <w:vMerge w:val="restart"/>
            <w:vAlign w:val="center"/>
          </w:tcPr>
          <w:p w14:paraId="399C20A2">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p>
        </w:tc>
        <w:tc>
          <w:tcPr>
            <w:tcW w:w="2976" w:type="dxa"/>
            <w:vMerge w:val="restart"/>
            <w:vAlign w:val="center"/>
          </w:tcPr>
          <w:p w14:paraId="265D28DA">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弘扬人道主义，倡导残疾人平等参与社会生活的理念，营造有利于残疾人事业发展的舆论环境；组织开展群众性文体活动，发展残疾人竞技体育；建立残疾人志愿者服务体系</w:t>
            </w:r>
          </w:p>
        </w:tc>
        <w:tc>
          <w:tcPr>
            <w:tcW w:w="2976" w:type="dxa"/>
            <w:vMerge w:val="restart"/>
            <w:vAlign w:val="center"/>
          </w:tcPr>
          <w:p w14:paraId="0E3AE254">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媒体宣传广泛深入，残疾人文体生活丰富，残疾人文化体育比赛成绩优良，助残志愿者与残疾人对接良好</w:t>
            </w:r>
          </w:p>
        </w:tc>
        <w:tc>
          <w:tcPr>
            <w:tcW w:w="1417" w:type="dxa"/>
            <w:vAlign w:val="center"/>
          </w:tcPr>
          <w:p w14:paraId="4CA81EA9">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开展志愿者助残服务活动的种类（种）</w:t>
            </w:r>
          </w:p>
        </w:tc>
        <w:tc>
          <w:tcPr>
            <w:tcW w:w="737" w:type="dxa"/>
            <w:vAlign w:val="center"/>
          </w:tcPr>
          <w:p w14:paraId="7D177712">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≥5</w:t>
            </w:r>
          </w:p>
        </w:tc>
        <w:tc>
          <w:tcPr>
            <w:tcW w:w="737" w:type="dxa"/>
            <w:vAlign w:val="center"/>
          </w:tcPr>
          <w:p w14:paraId="3446BDD9">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4</w:t>
            </w:r>
          </w:p>
        </w:tc>
        <w:tc>
          <w:tcPr>
            <w:tcW w:w="737" w:type="dxa"/>
            <w:vAlign w:val="center"/>
          </w:tcPr>
          <w:p w14:paraId="4B53DF02">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3</w:t>
            </w:r>
          </w:p>
        </w:tc>
        <w:tc>
          <w:tcPr>
            <w:tcW w:w="737" w:type="dxa"/>
            <w:vAlign w:val="center"/>
          </w:tcPr>
          <w:p w14:paraId="7589229C">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&lt;3</w:t>
            </w:r>
          </w:p>
        </w:tc>
      </w:tr>
      <w:tr w14:paraId="4A1E21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2845DC0C">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276" w:type="dxa"/>
            <w:vMerge w:val="continue"/>
            <w:vAlign w:val="center"/>
          </w:tcPr>
          <w:p w14:paraId="44D237D2">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4D98AEDD">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4435C586">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417" w:type="dxa"/>
            <w:vAlign w:val="center"/>
          </w:tcPr>
          <w:p w14:paraId="40B241E5">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助残公益广告的制作和播放数量（条数）</w:t>
            </w:r>
          </w:p>
        </w:tc>
        <w:tc>
          <w:tcPr>
            <w:tcW w:w="737" w:type="dxa"/>
            <w:vAlign w:val="center"/>
          </w:tcPr>
          <w:p w14:paraId="7185AE1B">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≥300</w:t>
            </w:r>
          </w:p>
        </w:tc>
        <w:tc>
          <w:tcPr>
            <w:tcW w:w="737" w:type="dxa"/>
            <w:vAlign w:val="center"/>
          </w:tcPr>
          <w:p w14:paraId="2A7C381D">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≥200</w:t>
            </w:r>
          </w:p>
        </w:tc>
        <w:tc>
          <w:tcPr>
            <w:tcW w:w="737" w:type="dxa"/>
            <w:vAlign w:val="center"/>
          </w:tcPr>
          <w:p w14:paraId="6D1BE35C">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≥100</w:t>
            </w:r>
          </w:p>
        </w:tc>
        <w:tc>
          <w:tcPr>
            <w:tcW w:w="737" w:type="dxa"/>
            <w:vAlign w:val="center"/>
          </w:tcPr>
          <w:p w14:paraId="747682A9">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＜100</w:t>
            </w:r>
          </w:p>
        </w:tc>
      </w:tr>
      <w:tr w14:paraId="1B256D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44308C4">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b/>
              </w:rPr>
            </w:pPr>
            <w:r>
              <w:rPr>
                <w:rFonts w:ascii="方正书宋_GBK" w:hAnsi="方正书宋_GBK" w:eastAsia="方正书宋_GBK"/>
                <w:b/>
              </w:rPr>
              <w:t>残疾人综合业务管理</w:t>
            </w:r>
          </w:p>
        </w:tc>
        <w:tc>
          <w:tcPr>
            <w:tcW w:w="1276" w:type="dxa"/>
            <w:vAlign w:val="center"/>
          </w:tcPr>
          <w:p w14:paraId="1A89F247">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p>
        </w:tc>
        <w:tc>
          <w:tcPr>
            <w:tcW w:w="2976" w:type="dxa"/>
            <w:vAlign w:val="center"/>
          </w:tcPr>
          <w:p w14:paraId="483D8EF6">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对持证残疾人需求情况进行调查，加强和规范残疾人基层组织建设，协调残疾人就业保障金的征收，加强残疾人工作建设。</w:t>
            </w:r>
          </w:p>
        </w:tc>
        <w:tc>
          <w:tcPr>
            <w:tcW w:w="2976" w:type="dxa"/>
            <w:vAlign w:val="center"/>
          </w:tcPr>
          <w:p w14:paraId="5C8B71A2">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摸清残疾人底数，增强基层服务残疾人的能力，协调促进残疾人就业保障金的征收。</w:t>
            </w:r>
          </w:p>
        </w:tc>
        <w:tc>
          <w:tcPr>
            <w:tcW w:w="1417" w:type="dxa"/>
            <w:vAlign w:val="center"/>
          </w:tcPr>
          <w:p w14:paraId="35BF8A71">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p>
        </w:tc>
        <w:tc>
          <w:tcPr>
            <w:tcW w:w="737" w:type="dxa"/>
            <w:vAlign w:val="center"/>
          </w:tcPr>
          <w:p w14:paraId="69608394">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p>
        </w:tc>
        <w:tc>
          <w:tcPr>
            <w:tcW w:w="737" w:type="dxa"/>
            <w:vAlign w:val="center"/>
          </w:tcPr>
          <w:p w14:paraId="74B46744">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p>
        </w:tc>
        <w:tc>
          <w:tcPr>
            <w:tcW w:w="737" w:type="dxa"/>
            <w:vAlign w:val="center"/>
          </w:tcPr>
          <w:p w14:paraId="64D12A8F">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p>
        </w:tc>
        <w:tc>
          <w:tcPr>
            <w:tcW w:w="737" w:type="dxa"/>
            <w:vAlign w:val="center"/>
          </w:tcPr>
          <w:p w14:paraId="71C80D6E">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p>
        </w:tc>
      </w:tr>
      <w:tr w14:paraId="69CB1E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20E174A3">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b/>
              </w:rPr>
            </w:pPr>
            <w:r>
              <w:rPr>
                <w:rFonts w:ascii="方正书宋_GBK" w:hAnsi="方正书宋_GBK" w:eastAsia="方正书宋_GBK"/>
                <w:b/>
              </w:rPr>
              <w:t>　　协调残疾人就业保障金征收及其他综合性业务</w:t>
            </w:r>
          </w:p>
        </w:tc>
        <w:tc>
          <w:tcPr>
            <w:tcW w:w="1276" w:type="dxa"/>
            <w:vMerge w:val="restart"/>
            <w:vAlign w:val="center"/>
          </w:tcPr>
          <w:p w14:paraId="45166483">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p>
        </w:tc>
        <w:tc>
          <w:tcPr>
            <w:tcW w:w="2976" w:type="dxa"/>
            <w:vMerge w:val="restart"/>
            <w:vAlign w:val="center"/>
          </w:tcPr>
          <w:p w14:paraId="7B8A3EF2">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对残疾人就业保障金征收工作进行协调；设施设备运转保障、残疾人组织建设。</w:t>
            </w:r>
          </w:p>
        </w:tc>
        <w:tc>
          <w:tcPr>
            <w:tcW w:w="2976" w:type="dxa"/>
            <w:vMerge w:val="restart"/>
            <w:vAlign w:val="center"/>
          </w:tcPr>
          <w:p w14:paraId="0DC45969">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协调残疾人就业保障金征收，发挥专门协会桥梁纽带作用，联系广大残疾人；提高残疾人证办证率；增强基层服务残疾人的能力；保障正常运转，促进残疾人事业发展</w:t>
            </w:r>
          </w:p>
        </w:tc>
        <w:tc>
          <w:tcPr>
            <w:tcW w:w="1417" w:type="dxa"/>
            <w:vAlign w:val="center"/>
          </w:tcPr>
          <w:p w14:paraId="50693DF8">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残疾人情况抽查核实准确率</w:t>
            </w:r>
          </w:p>
        </w:tc>
        <w:tc>
          <w:tcPr>
            <w:tcW w:w="737" w:type="dxa"/>
            <w:vAlign w:val="center"/>
          </w:tcPr>
          <w:p w14:paraId="0DD63439">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≥95%</w:t>
            </w:r>
          </w:p>
        </w:tc>
        <w:tc>
          <w:tcPr>
            <w:tcW w:w="737" w:type="dxa"/>
            <w:vAlign w:val="center"/>
          </w:tcPr>
          <w:p w14:paraId="74BA1B08">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≥85%</w:t>
            </w:r>
          </w:p>
        </w:tc>
        <w:tc>
          <w:tcPr>
            <w:tcW w:w="737" w:type="dxa"/>
            <w:vAlign w:val="center"/>
          </w:tcPr>
          <w:p w14:paraId="7EFD903B">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≥75%</w:t>
            </w:r>
          </w:p>
        </w:tc>
        <w:tc>
          <w:tcPr>
            <w:tcW w:w="737" w:type="dxa"/>
            <w:vAlign w:val="center"/>
          </w:tcPr>
          <w:p w14:paraId="03FB908B">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＜75%</w:t>
            </w:r>
          </w:p>
        </w:tc>
      </w:tr>
      <w:tr w14:paraId="284030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0FB8D5A0">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276" w:type="dxa"/>
            <w:vMerge w:val="continue"/>
            <w:vAlign w:val="center"/>
          </w:tcPr>
          <w:p w14:paraId="69668C0B">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5B6427FF">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2976" w:type="dxa"/>
            <w:vMerge w:val="continue"/>
            <w:vAlign w:val="center"/>
          </w:tcPr>
          <w:p w14:paraId="314109DB">
            <w:pPr>
              <w:keepNext w:val="0"/>
              <w:keepLines w:val="0"/>
              <w:pageBreakBefore w:val="0"/>
              <w:widowControl/>
              <w:kinsoku/>
              <w:overflowPunct/>
              <w:topLinePunct w:val="0"/>
              <w:autoSpaceDE/>
              <w:autoSpaceDN/>
              <w:bidi w:val="0"/>
              <w:adjustRightInd/>
              <w:spacing w:line="600" w:lineRule="exact"/>
              <w:ind w:right="0" w:rightChars="0"/>
              <w:textAlignment w:val="auto"/>
            </w:pPr>
          </w:p>
        </w:tc>
        <w:tc>
          <w:tcPr>
            <w:tcW w:w="1417" w:type="dxa"/>
            <w:vAlign w:val="center"/>
          </w:tcPr>
          <w:p w14:paraId="4F95214B">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ascii="方正书宋_GBK" w:hAnsi="方正书宋_GBK" w:eastAsia="方正书宋_GBK"/>
              </w:rPr>
            </w:pPr>
            <w:r>
              <w:rPr>
                <w:rFonts w:ascii="方正书宋_GBK" w:hAnsi="方正书宋_GBK" w:eastAsia="方正书宋_GBK"/>
              </w:rPr>
              <w:t>残疾人就业保障金征收协调次数</w:t>
            </w:r>
          </w:p>
        </w:tc>
        <w:tc>
          <w:tcPr>
            <w:tcW w:w="737" w:type="dxa"/>
            <w:vAlign w:val="center"/>
          </w:tcPr>
          <w:p w14:paraId="07EB53C3">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≥4</w:t>
            </w:r>
          </w:p>
        </w:tc>
        <w:tc>
          <w:tcPr>
            <w:tcW w:w="737" w:type="dxa"/>
            <w:vAlign w:val="center"/>
          </w:tcPr>
          <w:p w14:paraId="68D82FB0">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3</w:t>
            </w:r>
          </w:p>
        </w:tc>
        <w:tc>
          <w:tcPr>
            <w:tcW w:w="737" w:type="dxa"/>
            <w:vAlign w:val="center"/>
          </w:tcPr>
          <w:p w14:paraId="74CF3A8D">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2</w:t>
            </w:r>
          </w:p>
        </w:tc>
        <w:tc>
          <w:tcPr>
            <w:tcW w:w="737" w:type="dxa"/>
            <w:vAlign w:val="center"/>
          </w:tcPr>
          <w:p w14:paraId="734BC7EE">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ascii="方正书宋_GBK" w:hAnsi="方正书宋_GBK" w:eastAsia="方正书宋_GBK"/>
              </w:rPr>
            </w:pPr>
            <w:r>
              <w:rPr>
                <w:rFonts w:ascii="方正书宋_GBK" w:hAnsi="方正书宋_GBK" w:eastAsia="方正书宋_GBK"/>
              </w:rPr>
              <w:t>&lt;2</w:t>
            </w:r>
          </w:p>
        </w:tc>
      </w:tr>
    </w:tbl>
    <w:p w14:paraId="20DC5DE4">
      <w:pPr>
        <w:keepNext w:val="0"/>
        <w:keepLines w:val="0"/>
        <w:pageBreakBefore w:val="0"/>
        <w:widowControl/>
        <w:kinsoku/>
        <w:overflowPunct/>
        <w:topLinePunct w:val="0"/>
        <w:autoSpaceDE/>
        <w:autoSpaceDN/>
        <w:bidi w:val="0"/>
        <w:adjustRightInd/>
        <w:spacing w:line="600" w:lineRule="exact"/>
        <w:ind w:right="0" w:rightChars="0"/>
        <w:textAlignment w:val="auto"/>
      </w:pPr>
    </w:p>
    <w:p w14:paraId="532C1006">
      <w:pPr>
        <w:keepNext w:val="0"/>
        <w:keepLines w:val="0"/>
        <w:pageBreakBefore w:val="0"/>
        <w:widowControl/>
        <w:kinsoku/>
        <w:overflowPunct/>
        <w:topLinePunct w:val="0"/>
        <w:autoSpaceDE/>
        <w:autoSpaceDN/>
        <w:bidi w:val="0"/>
        <w:adjustRightInd/>
        <w:spacing w:line="600" w:lineRule="exact"/>
        <w:ind w:right="0" w:rightChars="0"/>
        <w:textAlignment w:val="auto"/>
        <w:rPr>
          <w:rFonts w:ascii="仿宋" w:hAnsi="仿宋" w:eastAsia="仿宋"/>
          <w:b/>
          <w:sz w:val="32"/>
          <w:szCs w:val="32"/>
        </w:rPr>
      </w:pPr>
    </w:p>
    <w:p w14:paraId="780400B5">
      <w:pPr>
        <w:keepNext w:val="0"/>
        <w:keepLines w:val="0"/>
        <w:pageBreakBefore w:val="0"/>
        <w:widowControl/>
        <w:kinsoku/>
        <w:overflowPunct/>
        <w:topLinePunct w:val="0"/>
        <w:autoSpaceDE/>
        <w:autoSpaceDN/>
        <w:bidi w:val="0"/>
        <w:adjustRightInd/>
        <w:spacing w:line="600" w:lineRule="exact"/>
        <w:ind w:right="0" w:rightChars="0"/>
        <w:textAlignment w:val="auto"/>
        <w:rPr>
          <w:rFonts w:ascii="仿宋" w:hAnsi="仿宋_GB2312" w:eastAsia="仿宋_GB2312"/>
          <w:sz w:val="30"/>
          <w:szCs w:val="30"/>
        </w:rPr>
        <w:sectPr>
          <w:pgSz w:w="16838" w:h="11906" w:orient="landscape"/>
          <w:pgMar w:top="1797" w:right="1440" w:bottom="1797" w:left="1440" w:header="851" w:footer="992" w:gutter="0"/>
          <w:cols w:space="720" w:num="1"/>
          <w:docGrid w:type="lines" w:linePitch="312" w:charSpace="0"/>
        </w:sectPr>
      </w:pPr>
    </w:p>
    <w:p w14:paraId="64C8A51C">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六、政府采购预算情况</w:t>
      </w:r>
    </w:p>
    <w:p w14:paraId="67999DBA">
      <w:pPr>
        <w:keepNext w:val="0"/>
        <w:keepLines w:val="0"/>
        <w:pageBreakBefore w:val="0"/>
        <w:widowControl/>
        <w:kinsoku/>
        <w:overflowPunct/>
        <w:topLinePunct w:val="0"/>
        <w:autoSpaceDE/>
        <w:autoSpaceDN/>
        <w:bidi w:val="0"/>
        <w:adjustRightInd/>
        <w:spacing w:line="600" w:lineRule="exact"/>
        <w:ind w:right="0" w:rightChars="0"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2018年我单位无政府采购项目。</w:t>
      </w:r>
    </w:p>
    <w:p w14:paraId="34206F83">
      <w:pPr>
        <w:keepNext w:val="0"/>
        <w:keepLines w:val="0"/>
        <w:pageBreakBefore w:val="0"/>
        <w:widowControl/>
        <w:kinsoku/>
        <w:overflowPunct/>
        <w:topLinePunct w:val="0"/>
        <w:autoSpaceDE/>
        <w:autoSpaceDN/>
        <w:bidi w:val="0"/>
        <w:adjustRightInd/>
        <w:spacing w:line="600" w:lineRule="exact"/>
        <w:ind w:right="0" w:rightChars="0" w:firstLine="66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七、国有资产信息情况</w:t>
      </w:r>
    </w:p>
    <w:p w14:paraId="2CE3C70E">
      <w:pPr>
        <w:keepNext w:val="0"/>
        <w:keepLines w:val="0"/>
        <w:pageBreakBefore w:val="0"/>
        <w:widowControl/>
        <w:kinsoku/>
        <w:overflowPunct/>
        <w:topLinePunct w:val="0"/>
        <w:autoSpaceDE/>
        <w:autoSpaceDN/>
        <w:bidi w:val="0"/>
        <w:adjustRightInd/>
        <w:spacing w:line="600" w:lineRule="exact"/>
        <w:ind w:right="0" w:rightChars="0" w:firstLine="549"/>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涞水县残联2017年末固定资产总金额88.44万元（详见下表）。 2018年拟购置固定资产为零。</w:t>
      </w:r>
    </w:p>
    <w:p w14:paraId="72DFA80A">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b/>
          <w:sz w:val="32"/>
          <w:szCs w:val="32"/>
        </w:rPr>
      </w:pPr>
    </w:p>
    <w:tbl>
      <w:tblPr>
        <w:tblStyle w:val="25"/>
        <w:tblW w:w="8804" w:type="dxa"/>
        <w:tblInd w:w="93" w:type="dxa"/>
        <w:tblLayout w:type="fixed"/>
        <w:tblCellMar>
          <w:top w:w="0" w:type="dxa"/>
          <w:left w:w="108" w:type="dxa"/>
          <w:bottom w:w="0" w:type="dxa"/>
          <w:right w:w="108" w:type="dxa"/>
        </w:tblCellMar>
      </w:tblPr>
      <w:tblGrid>
        <w:gridCol w:w="3811"/>
        <w:gridCol w:w="1591"/>
        <w:gridCol w:w="3402"/>
      </w:tblGrid>
      <w:tr w14:paraId="214938A6">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shd w:val="clear" w:color="000000" w:fill="auto"/>
            <w:vAlign w:val="center"/>
          </w:tcPr>
          <w:p w14:paraId="3DFC40D8">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涞水县残疾人联合会固定资产占用情况表</w:t>
            </w:r>
          </w:p>
        </w:tc>
      </w:tr>
      <w:tr w14:paraId="7BD680B6">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shd w:val="clear" w:color="000000" w:fill="auto"/>
            <w:vAlign w:val="center"/>
          </w:tcPr>
          <w:p w14:paraId="0515D634">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截止时间：2017年12月31日</w:t>
            </w:r>
          </w:p>
        </w:tc>
      </w:tr>
      <w:tr w14:paraId="14B49799">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shd w:val="clear" w:color="000000" w:fill="auto"/>
            <w:vAlign w:val="center"/>
          </w:tcPr>
          <w:p w14:paraId="11E1D698">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项　　目</w:t>
            </w:r>
          </w:p>
        </w:tc>
        <w:tc>
          <w:tcPr>
            <w:tcW w:w="1591" w:type="dxa"/>
            <w:tcBorders>
              <w:top w:val="nil"/>
              <w:left w:val="nil"/>
              <w:bottom w:val="single" w:color="auto" w:sz="4" w:space="0"/>
              <w:right w:val="single" w:color="auto" w:sz="4" w:space="0"/>
            </w:tcBorders>
            <w:shd w:val="clear" w:color="000000" w:fill="auto"/>
            <w:vAlign w:val="center"/>
          </w:tcPr>
          <w:p w14:paraId="41B56152">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数量</w:t>
            </w:r>
          </w:p>
        </w:tc>
        <w:tc>
          <w:tcPr>
            <w:tcW w:w="3402" w:type="dxa"/>
            <w:tcBorders>
              <w:top w:val="nil"/>
              <w:left w:val="nil"/>
              <w:bottom w:val="single" w:color="auto" w:sz="4" w:space="0"/>
              <w:right w:val="single" w:color="auto" w:sz="4" w:space="0"/>
            </w:tcBorders>
            <w:shd w:val="clear" w:color="000000" w:fill="auto"/>
            <w:vAlign w:val="center"/>
          </w:tcPr>
          <w:p w14:paraId="4FF45683">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价值（单位：万元）</w:t>
            </w:r>
          </w:p>
        </w:tc>
      </w:tr>
      <w:tr w14:paraId="20403C24">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000000" w:fill="auto"/>
            <w:vAlign w:val="center"/>
          </w:tcPr>
          <w:p w14:paraId="222ED24F">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固定资产总额</w:t>
            </w:r>
          </w:p>
        </w:tc>
        <w:tc>
          <w:tcPr>
            <w:tcW w:w="1591" w:type="dxa"/>
            <w:tcBorders>
              <w:top w:val="nil"/>
              <w:left w:val="nil"/>
              <w:bottom w:val="single" w:color="auto" w:sz="4" w:space="0"/>
              <w:right w:val="single" w:color="auto" w:sz="4" w:space="0"/>
            </w:tcBorders>
            <w:shd w:val="clear" w:color="000000" w:fill="auto"/>
            <w:vAlign w:val="center"/>
          </w:tcPr>
          <w:p w14:paraId="726E6726">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p>
        </w:tc>
        <w:tc>
          <w:tcPr>
            <w:tcW w:w="3402" w:type="dxa"/>
            <w:tcBorders>
              <w:top w:val="nil"/>
              <w:left w:val="nil"/>
              <w:bottom w:val="single" w:color="auto" w:sz="4" w:space="0"/>
              <w:right w:val="single" w:color="auto" w:sz="4" w:space="0"/>
            </w:tcBorders>
            <w:shd w:val="clear" w:color="000000" w:fill="auto"/>
            <w:vAlign w:val="center"/>
          </w:tcPr>
          <w:p w14:paraId="1A2221A4">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88.84</w:t>
            </w:r>
          </w:p>
        </w:tc>
      </w:tr>
      <w:tr w14:paraId="1376E78F">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shd w:val="clear" w:color="000000" w:fill="auto"/>
            <w:vAlign w:val="center"/>
          </w:tcPr>
          <w:p w14:paraId="6170B582">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1、房屋（平方米）</w:t>
            </w:r>
          </w:p>
        </w:tc>
        <w:tc>
          <w:tcPr>
            <w:tcW w:w="1591" w:type="dxa"/>
            <w:tcBorders>
              <w:top w:val="nil"/>
              <w:left w:val="nil"/>
              <w:bottom w:val="single" w:color="auto" w:sz="4" w:space="0"/>
              <w:right w:val="single" w:color="auto" w:sz="4" w:space="0"/>
            </w:tcBorders>
            <w:shd w:val="clear" w:color="000000" w:fill="auto"/>
            <w:vAlign w:val="center"/>
          </w:tcPr>
          <w:p w14:paraId="1E99327B">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326</w:t>
            </w:r>
          </w:p>
        </w:tc>
        <w:tc>
          <w:tcPr>
            <w:tcW w:w="3402" w:type="dxa"/>
            <w:tcBorders>
              <w:top w:val="nil"/>
              <w:left w:val="nil"/>
              <w:bottom w:val="single" w:color="auto" w:sz="4" w:space="0"/>
              <w:right w:val="single" w:color="auto" w:sz="4" w:space="0"/>
            </w:tcBorders>
            <w:shd w:val="clear" w:color="000000" w:fill="auto"/>
            <w:vAlign w:val="center"/>
          </w:tcPr>
          <w:p w14:paraId="55C4DDE5">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58.45</w:t>
            </w:r>
          </w:p>
        </w:tc>
      </w:tr>
      <w:tr w14:paraId="4400B893">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shd w:val="clear" w:color="000000" w:fill="auto"/>
            <w:vAlign w:val="center"/>
          </w:tcPr>
          <w:p w14:paraId="4E9D1A77">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其中：办公用房（平方米）</w:t>
            </w:r>
          </w:p>
        </w:tc>
        <w:tc>
          <w:tcPr>
            <w:tcW w:w="1591" w:type="dxa"/>
            <w:tcBorders>
              <w:top w:val="single" w:color="auto" w:sz="4" w:space="0"/>
              <w:left w:val="nil"/>
              <w:bottom w:val="single" w:color="auto" w:sz="4" w:space="0"/>
              <w:right w:val="single" w:color="auto" w:sz="4" w:space="0"/>
            </w:tcBorders>
            <w:shd w:val="clear" w:color="000000" w:fill="auto"/>
            <w:vAlign w:val="center"/>
          </w:tcPr>
          <w:p w14:paraId="06231E0B">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326</w:t>
            </w:r>
          </w:p>
        </w:tc>
        <w:tc>
          <w:tcPr>
            <w:tcW w:w="3402" w:type="dxa"/>
            <w:tcBorders>
              <w:top w:val="single" w:color="auto" w:sz="4" w:space="0"/>
              <w:left w:val="nil"/>
              <w:bottom w:val="single" w:color="auto" w:sz="4" w:space="0"/>
              <w:right w:val="single" w:color="auto" w:sz="4" w:space="0"/>
            </w:tcBorders>
            <w:shd w:val="clear" w:color="000000" w:fill="auto"/>
            <w:vAlign w:val="center"/>
          </w:tcPr>
          <w:p w14:paraId="7B459AA8">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58.45</w:t>
            </w:r>
          </w:p>
        </w:tc>
      </w:tr>
      <w:tr w14:paraId="072AA9D9">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000000" w:fill="auto"/>
            <w:vAlign w:val="center"/>
          </w:tcPr>
          <w:p w14:paraId="0B44D414">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2、车辆（台、辆）</w:t>
            </w:r>
          </w:p>
        </w:tc>
        <w:tc>
          <w:tcPr>
            <w:tcW w:w="1591" w:type="dxa"/>
            <w:tcBorders>
              <w:top w:val="nil"/>
              <w:left w:val="nil"/>
              <w:bottom w:val="single" w:color="auto" w:sz="4" w:space="0"/>
              <w:right w:val="single" w:color="auto" w:sz="4" w:space="0"/>
            </w:tcBorders>
            <w:shd w:val="clear" w:color="000000" w:fill="auto"/>
            <w:vAlign w:val="center"/>
          </w:tcPr>
          <w:p w14:paraId="21FB4BAE">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p>
        </w:tc>
        <w:tc>
          <w:tcPr>
            <w:tcW w:w="3402" w:type="dxa"/>
            <w:tcBorders>
              <w:top w:val="nil"/>
              <w:left w:val="nil"/>
              <w:bottom w:val="single" w:color="auto" w:sz="4" w:space="0"/>
              <w:right w:val="single" w:color="auto" w:sz="4" w:space="0"/>
            </w:tcBorders>
            <w:shd w:val="clear" w:color="000000" w:fill="auto"/>
            <w:vAlign w:val="center"/>
          </w:tcPr>
          <w:p w14:paraId="6AB265D2">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21.02</w:t>
            </w:r>
          </w:p>
        </w:tc>
      </w:tr>
      <w:tr w14:paraId="5EA21034">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shd w:val="clear" w:color="000000" w:fill="auto"/>
            <w:vAlign w:val="center"/>
          </w:tcPr>
          <w:p w14:paraId="1B5D77AE">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3、单价在20万元以上的设备</w:t>
            </w:r>
          </w:p>
        </w:tc>
        <w:tc>
          <w:tcPr>
            <w:tcW w:w="1591" w:type="dxa"/>
            <w:tcBorders>
              <w:top w:val="nil"/>
              <w:left w:val="nil"/>
              <w:bottom w:val="single" w:color="auto" w:sz="4" w:space="0"/>
              <w:right w:val="single" w:color="auto" w:sz="4" w:space="0"/>
            </w:tcBorders>
            <w:shd w:val="clear" w:color="000000" w:fill="auto"/>
            <w:vAlign w:val="center"/>
          </w:tcPr>
          <w:p w14:paraId="5CADA160">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p>
        </w:tc>
        <w:tc>
          <w:tcPr>
            <w:tcW w:w="3402" w:type="dxa"/>
            <w:tcBorders>
              <w:top w:val="nil"/>
              <w:left w:val="nil"/>
              <w:bottom w:val="single" w:color="auto" w:sz="4" w:space="0"/>
              <w:right w:val="single" w:color="auto" w:sz="4" w:space="0"/>
            </w:tcBorders>
            <w:shd w:val="clear" w:color="000000" w:fill="auto"/>
            <w:vAlign w:val="center"/>
          </w:tcPr>
          <w:p w14:paraId="4448BBC7">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p>
        </w:tc>
      </w:tr>
      <w:tr w14:paraId="5F833308">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shd w:val="clear" w:color="000000" w:fill="auto"/>
            <w:vAlign w:val="center"/>
          </w:tcPr>
          <w:p w14:paraId="0AAD9711">
            <w:pPr>
              <w:keepNext w:val="0"/>
              <w:keepLines w:val="0"/>
              <w:pageBreakBefore w:val="0"/>
              <w:widowControl/>
              <w:kinsoku/>
              <w:overflowPunct/>
              <w:topLinePunct w:val="0"/>
              <w:autoSpaceDE/>
              <w:autoSpaceDN/>
              <w:bidi w:val="0"/>
              <w:adjustRightInd/>
              <w:spacing w:line="60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4、其他固定资产</w:t>
            </w:r>
          </w:p>
        </w:tc>
        <w:tc>
          <w:tcPr>
            <w:tcW w:w="1591" w:type="dxa"/>
            <w:tcBorders>
              <w:top w:val="single" w:color="auto" w:sz="4" w:space="0"/>
              <w:left w:val="nil"/>
              <w:bottom w:val="single" w:color="auto" w:sz="4" w:space="0"/>
              <w:right w:val="single" w:color="auto" w:sz="4" w:space="0"/>
            </w:tcBorders>
            <w:shd w:val="clear" w:color="000000" w:fill="auto"/>
            <w:vAlign w:val="center"/>
          </w:tcPr>
          <w:p w14:paraId="7C153FE9">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p>
        </w:tc>
        <w:tc>
          <w:tcPr>
            <w:tcW w:w="3402" w:type="dxa"/>
            <w:tcBorders>
              <w:top w:val="single" w:color="auto" w:sz="4" w:space="0"/>
              <w:left w:val="nil"/>
              <w:bottom w:val="single" w:color="auto" w:sz="4" w:space="0"/>
              <w:right w:val="single" w:color="auto" w:sz="4" w:space="0"/>
            </w:tcBorders>
            <w:shd w:val="clear" w:color="000000" w:fill="auto"/>
            <w:vAlign w:val="center"/>
          </w:tcPr>
          <w:p w14:paraId="139085CD">
            <w:pPr>
              <w:keepNext w:val="0"/>
              <w:keepLines w:val="0"/>
              <w:pageBreakBefore w:val="0"/>
              <w:widowControl/>
              <w:kinsoku/>
              <w:overflowPunct/>
              <w:topLinePunct w:val="0"/>
              <w:autoSpaceDE/>
              <w:autoSpaceDN/>
              <w:bidi w:val="0"/>
              <w:adjustRightInd/>
              <w:spacing w:line="600" w:lineRule="exact"/>
              <w:ind w:right="0" w:right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9.37</w:t>
            </w:r>
          </w:p>
        </w:tc>
      </w:tr>
    </w:tbl>
    <w:p w14:paraId="5B870DE9">
      <w:pPr>
        <w:keepNext w:val="0"/>
        <w:keepLines w:val="0"/>
        <w:pageBreakBefore w:val="0"/>
        <w:widowControl/>
        <w:kinsoku/>
        <w:overflowPunct/>
        <w:topLinePunct w:val="0"/>
        <w:autoSpaceDE/>
        <w:autoSpaceDN/>
        <w:bidi w:val="0"/>
        <w:adjustRightInd/>
        <w:spacing w:line="600" w:lineRule="exact"/>
        <w:ind w:right="0" w:rightChars="0" w:firstLine="643"/>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其他固定资产为空调、电脑、康复用具等。</w:t>
      </w:r>
    </w:p>
    <w:p w14:paraId="3EB00CE0">
      <w:pPr>
        <w:keepNext w:val="0"/>
        <w:keepLines w:val="0"/>
        <w:pageBreakBefore w:val="0"/>
        <w:widowControl/>
        <w:kinsoku/>
        <w:overflowPunct/>
        <w:topLinePunct w:val="0"/>
        <w:autoSpaceDE/>
        <w:autoSpaceDN/>
        <w:bidi w:val="0"/>
        <w:adjustRightInd/>
        <w:spacing w:line="600" w:lineRule="exact"/>
        <w:ind w:right="0" w:rightChars="0" w:firstLine="63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八、专业名词解释</w:t>
      </w:r>
    </w:p>
    <w:p w14:paraId="1F7F8420">
      <w:pPr>
        <w:keepNext w:val="0"/>
        <w:keepLines w:val="0"/>
        <w:pageBreakBefore w:val="0"/>
        <w:widowControl/>
        <w:kinsoku/>
        <w:overflowPunct/>
        <w:topLinePunct w:val="0"/>
        <w:autoSpaceDE/>
        <w:autoSpaceDN/>
        <w:bidi w:val="0"/>
        <w:adjustRightInd/>
        <w:spacing w:line="600" w:lineRule="exact"/>
        <w:ind w:right="0" w:rightChars="0" w:firstLine="63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1、一般公共预算财政拨款收入：</w:t>
      </w:r>
      <w:r>
        <w:rPr>
          <w:rFonts w:hint="eastAsia" w:ascii="仿宋_GB2312" w:hAnsi="仿宋_GB2312" w:eastAsia="仿宋_GB2312" w:cs="仿宋_GB2312"/>
          <w:sz w:val="32"/>
          <w:szCs w:val="32"/>
        </w:rPr>
        <w:t>县级财政当年拨付的资金。</w:t>
      </w:r>
    </w:p>
    <w:p w14:paraId="039D0045">
      <w:pPr>
        <w:pStyle w:val="23"/>
        <w:keepNext w:val="0"/>
        <w:keepLines w:val="0"/>
        <w:pageBreakBefore w:val="0"/>
        <w:widowControl/>
        <w:kinsoku/>
        <w:overflowPunct/>
        <w:topLinePunct w:val="0"/>
        <w:autoSpaceDE/>
        <w:autoSpaceDN/>
        <w:bidi w:val="0"/>
        <w:adjustRightInd/>
        <w:spacing w:line="600" w:lineRule="exact"/>
        <w:ind w:right="0" w:rightChars="0" w:firstLine="578"/>
        <w:jc w:val="left"/>
        <w:textAlignment w:val="auto"/>
        <w:rPr>
          <w:rFonts w:hint="eastAsia" w:ascii="仿宋_GB2312" w:hAnsi="仿宋_GB2312" w:eastAsia="仿宋_GB2312" w:cs="仿宋_GB2312"/>
          <w:sz w:val="32"/>
          <w:szCs w:val="32"/>
        </w:rPr>
      </w:pPr>
      <w:r>
        <w:rPr>
          <w:rStyle w:val="28"/>
          <w:rFonts w:hint="eastAsia" w:ascii="仿宋_GB2312" w:hAnsi="仿宋_GB2312" w:eastAsia="仿宋_GB2312" w:cs="仿宋_GB2312"/>
          <w:sz w:val="32"/>
          <w:szCs w:val="32"/>
          <w:shd w:val="clear" w:color="000000" w:fill="FFFFFF"/>
        </w:rPr>
        <w:t>2、其他收入：</w:t>
      </w:r>
      <w:r>
        <w:rPr>
          <w:rFonts w:hint="eastAsia" w:ascii="仿宋_GB2312" w:hAnsi="仿宋_GB2312" w:eastAsia="仿宋_GB2312" w:cs="仿宋_GB2312"/>
          <w:sz w:val="32"/>
          <w:szCs w:val="32"/>
          <w:shd w:val="clear" w:color="000000" w:fill="FFFFFF"/>
        </w:rPr>
        <w:t>指除上述财政拨款收入以外的收入。主要是存款利息收入。</w:t>
      </w:r>
    </w:p>
    <w:p w14:paraId="37768168">
      <w:pPr>
        <w:pStyle w:val="23"/>
        <w:keepNext w:val="0"/>
        <w:keepLines w:val="0"/>
        <w:pageBreakBefore w:val="0"/>
        <w:widowControl/>
        <w:kinsoku/>
        <w:overflowPunct/>
        <w:topLinePunct w:val="0"/>
        <w:autoSpaceDE/>
        <w:autoSpaceDN/>
        <w:bidi w:val="0"/>
        <w:adjustRightInd/>
        <w:spacing w:line="600" w:lineRule="exact"/>
        <w:ind w:right="0" w:rightChars="0" w:firstLine="578"/>
        <w:jc w:val="left"/>
        <w:textAlignment w:val="auto"/>
        <w:rPr>
          <w:rFonts w:hint="eastAsia" w:ascii="仿宋_GB2312" w:hAnsi="仿宋_GB2312" w:eastAsia="仿宋_GB2312" w:cs="仿宋_GB2312"/>
          <w:sz w:val="32"/>
          <w:szCs w:val="32"/>
        </w:rPr>
      </w:pPr>
      <w:r>
        <w:rPr>
          <w:rStyle w:val="28"/>
          <w:rFonts w:hint="eastAsia" w:ascii="仿宋_GB2312" w:hAnsi="仿宋_GB2312" w:eastAsia="仿宋_GB2312" w:cs="仿宋_GB2312"/>
          <w:color w:val="000000"/>
          <w:sz w:val="32"/>
          <w:szCs w:val="32"/>
          <w:shd w:val="clear" w:color="000000" w:fill="FFFFFF"/>
        </w:rPr>
        <w:t>3</w:t>
      </w:r>
      <w:r>
        <w:rPr>
          <w:rFonts w:hint="eastAsia" w:ascii="仿宋_GB2312" w:hAnsi="仿宋_GB2312" w:eastAsia="仿宋_GB2312" w:cs="仿宋_GB2312"/>
          <w:b/>
          <w:sz w:val="32"/>
          <w:szCs w:val="32"/>
        </w:rPr>
        <w:t>、基本支出：</w:t>
      </w:r>
      <w:r>
        <w:rPr>
          <w:rFonts w:hint="eastAsia" w:ascii="仿宋_GB2312" w:hAnsi="仿宋_GB2312" w:eastAsia="仿宋_GB2312" w:cs="仿宋_GB2312"/>
          <w:sz w:val="32"/>
          <w:szCs w:val="32"/>
        </w:rPr>
        <w:t>指为保障机构正常运转、完成日常工作任务而发生的人员支出和公用支出。</w:t>
      </w:r>
    </w:p>
    <w:p w14:paraId="42D8A7C5">
      <w:pPr>
        <w:pStyle w:val="23"/>
        <w:keepNext w:val="0"/>
        <w:keepLines w:val="0"/>
        <w:pageBreakBefore w:val="0"/>
        <w:widowControl/>
        <w:kinsoku/>
        <w:overflowPunct/>
        <w:topLinePunct w:val="0"/>
        <w:autoSpaceDE/>
        <w:autoSpaceDN/>
        <w:bidi w:val="0"/>
        <w:adjustRightInd/>
        <w:spacing w:line="60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    4、项目支出</w:t>
      </w:r>
      <w:r>
        <w:rPr>
          <w:rFonts w:hint="eastAsia" w:ascii="仿宋_GB2312" w:hAnsi="仿宋_GB2312" w:eastAsia="仿宋_GB2312" w:cs="仿宋_GB2312"/>
          <w:sz w:val="32"/>
          <w:szCs w:val="32"/>
        </w:rPr>
        <w:t>：指在基本支出之外为完成特定行政任务和事业发展目标所发生的支出。</w:t>
      </w:r>
    </w:p>
    <w:p w14:paraId="10E8FBB3">
      <w:pPr>
        <w:pStyle w:val="23"/>
        <w:keepNext w:val="0"/>
        <w:keepLines w:val="0"/>
        <w:pageBreakBefore w:val="0"/>
        <w:widowControl/>
        <w:kinsoku/>
        <w:overflowPunct/>
        <w:topLinePunct w:val="0"/>
        <w:autoSpaceDE/>
        <w:autoSpaceDN/>
        <w:bidi w:val="0"/>
        <w:adjustRightInd/>
        <w:spacing w:line="600" w:lineRule="exact"/>
        <w:ind w:right="0" w:rightChars="0" w:firstLine="643"/>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5、“三公”经费：</w:t>
      </w:r>
      <w:r>
        <w:rPr>
          <w:rFonts w:hint="eastAsia" w:ascii="仿宋_GB2312" w:hAnsi="仿宋_GB2312" w:eastAsia="仿宋_GB2312" w:cs="仿宋_GB2312"/>
          <w:sz w:val="32"/>
          <w:szCs w:val="32"/>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6DEB03FD">
      <w:pPr>
        <w:pStyle w:val="23"/>
        <w:keepNext w:val="0"/>
        <w:keepLines w:val="0"/>
        <w:pageBreakBefore w:val="0"/>
        <w:widowControl/>
        <w:kinsoku/>
        <w:overflowPunct/>
        <w:topLinePunct w:val="0"/>
        <w:autoSpaceDE/>
        <w:autoSpaceDN/>
        <w:bidi w:val="0"/>
        <w:adjustRightInd/>
        <w:spacing w:line="600" w:lineRule="exact"/>
        <w:ind w:right="0" w:rightChars="0" w:firstLine="643"/>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6、机关运行经费：</w:t>
      </w:r>
      <w:r>
        <w:rPr>
          <w:rFonts w:hint="eastAsia" w:ascii="仿宋_GB2312" w:hAnsi="仿宋_GB2312" w:eastAsia="仿宋_GB2312" w:cs="仿宋_GB2312"/>
          <w:sz w:val="32"/>
          <w:szCs w:val="32"/>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2DF2EC6">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九、其他需要说明的事项</w:t>
      </w:r>
    </w:p>
    <w:p w14:paraId="5FDD8E23">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我部门无国有资本经营预算，空表列示。</w:t>
      </w:r>
    </w:p>
    <w:p w14:paraId="5D333969">
      <w:pPr>
        <w:keepNext w:val="0"/>
        <w:keepLines w:val="0"/>
        <w:pageBreakBefore w:val="0"/>
        <w:widowControl/>
        <w:kinsoku/>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sz w:val="32"/>
          <w:szCs w:val="32"/>
        </w:rPr>
      </w:pP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00"/>
    <w:family w:val="auto"/>
    <w:pitch w:val="default"/>
    <w:sig w:usb0="00000000" w:usb1="00000000" w:usb2="00000000" w:usb3="00000000" w:csb0="FFFFFFFF" w:csb1="00000000"/>
  </w:font>
  <w:font w:name="Arial Unicode MS">
    <w:altName w:val="宋体"/>
    <w:panose1 w:val="020B0604020202020204"/>
    <w:charset w:val="86"/>
    <w:family w:val="auto"/>
    <w:pitch w:val="default"/>
    <w:sig w:usb0="00000000" w:usb1="00000000" w:usb2="0000003F" w:usb3="00000000" w:csb0="603F01FF" w:csb1="FFFF0000"/>
  </w:font>
  <w:font w:name="方正书宋_GBK">
    <w:altName w:val="微软雅黑"/>
    <w:panose1 w:val="00000000000000000000"/>
    <w:charset w:val="00"/>
    <w:family w:val="auto"/>
    <w:pitch w:val="default"/>
    <w:sig w:usb0="00000000" w:usb1="00000000" w:usb2="00000000" w:usb3="00000000" w:csb0="FFFFFFF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isplayHorizontalDrawingGridEvery w:val="0"/>
  <w:displayVerticalDrawingGridEvery w:val="2"/>
  <w:characterSpacingControl w:val="compressPunctuation"/>
  <w:noLineBreaksAfter w:lang="zh-CN" w:val="$([{£¥·‘“〈《「『【〔〖〝﹙﹛﹝＄（．［｛￡￥"/>
  <w:noLineBreaksBefore w:lang="zh-CN" w:val="$([{£¥·‘“〈《「『【〔〖〝﹙﹛﹝＄（．［｛￡￥"/>
  <w:compat>
    <w:balanceSingleByteDoubleByteWidth/>
    <w:ulTrailSpace/>
    <w:adjustLineHeightInTable/>
    <w:useFELayout/>
    <w:compatSetting w:name="compatibilityMode" w:uri="http://schemas.microsoft.com/office/word" w:val="12"/>
  </w:compat>
  <w:rsids>
    <w:rsidRoot w:val="004079A4"/>
    <w:rsid w:val="004079A4"/>
    <w:rsid w:val="00811391"/>
    <w:rsid w:val="00A56C0B"/>
    <w:rsid w:val="00BB6698"/>
    <w:rsid w:val="00C12BB4"/>
    <w:rsid w:val="0B0A5119"/>
    <w:rsid w:val="19CE6FAC"/>
    <w:rsid w:val="209C5E42"/>
    <w:rsid w:val="224A184C"/>
    <w:rsid w:val="258513CA"/>
    <w:rsid w:val="32FB5C1C"/>
    <w:rsid w:val="38AE5964"/>
    <w:rsid w:val="3E9A2FB3"/>
    <w:rsid w:val="52A62374"/>
    <w:rsid w:val="600A6F22"/>
    <w:rsid w:val="64D500E0"/>
    <w:rsid w:val="68CF175B"/>
  </w:rsids>
  <m:mathPr>
    <m:mathFont m:val="Cambria Math"/>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7"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imes New Roman" w:hAnsi="Times New Roman" w:eastAsia="Times New Roman" w:cs="Times New Roman"/>
      <w:sz w:val="21"/>
      <w:szCs w:val="21"/>
      <w:lang w:val="en-US" w:eastAsia="zh-CN" w:bidi="ar-SA"/>
    </w:rPr>
  </w:style>
  <w:style w:type="paragraph" w:styleId="2">
    <w:name w:val="heading 1"/>
    <w:next w:val="1"/>
    <w:qFormat/>
    <w:uiPriority w:val="7"/>
    <w:pPr>
      <w:jc w:val="both"/>
      <w:outlineLvl w:val="0"/>
    </w:pPr>
    <w:rPr>
      <w:rFonts w:ascii="Calibri" w:hAnsi="Calibri" w:eastAsia="宋体" w:cs="Times New Roman"/>
      <w:sz w:val="28"/>
      <w:szCs w:val="28"/>
      <w:lang w:val="en-US" w:eastAsia="zh-CN" w:bidi="ar-SA"/>
    </w:rPr>
  </w:style>
  <w:style w:type="paragraph" w:styleId="3">
    <w:name w:val="heading 2"/>
    <w:next w:val="1"/>
    <w:qFormat/>
    <w:uiPriority w:val="8"/>
    <w:pPr>
      <w:jc w:val="both"/>
      <w:outlineLvl w:val="1"/>
    </w:pPr>
    <w:rPr>
      <w:rFonts w:ascii="Calibri" w:hAnsi="Calibri" w:eastAsia="宋体" w:cs="Times New Roman"/>
      <w:sz w:val="21"/>
      <w:szCs w:val="21"/>
      <w:lang w:val="en-US" w:eastAsia="zh-CN" w:bidi="ar-SA"/>
    </w:rPr>
  </w:style>
  <w:style w:type="paragraph" w:styleId="4">
    <w:name w:val="heading 3"/>
    <w:next w:val="1"/>
    <w:qFormat/>
    <w:uiPriority w:val="9"/>
    <w:pPr>
      <w:ind w:left="1000" w:hanging="400"/>
      <w:jc w:val="both"/>
      <w:outlineLvl w:val="2"/>
    </w:pPr>
    <w:rPr>
      <w:rFonts w:ascii="Calibri" w:hAnsi="Calibri" w:eastAsia="宋体" w:cs="Times New Roman"/>
      <w:sz w:val="21"/>
      <w:szCs w:val="21"/>
      <w:lang w:val="en-US" w:eastAsia="zh-CN" w:bidi="ar-SA"/>
    </w:rPr>
  </w:style>
  <w:style w:type="paragraph" w:styleId="5">
    <w:name w:val="heading 4"/>
    <w:next w:val="1"/>
    <w:qFormat/>
    <w:uiPriority w:val="10"/>
    <w:pPr>
      <w:ind w:left="1200" w:hanging="400"/>
      <w:jc w:val="both"/>
      <w:outlineLvl w:val="3"/>
    </w:pPr>
    <w:rPr>
      <w:rFonts w:ascii="Calibri" w:hAnsi="Calibri" w:eastAsia="宋体" w:cs="Times New Roman"/>
      <w:b/>
      <w:sz w:val="21"/>
      <w:szCs w:val="21"/>
      <w:lang w:val="en-US" w:eastAsia="zh-CN" w:bidi="ar-SA"/>
    </w:rPr>
  </w:style>
  <w:style w:type="paragraph" w:styleId="6">
    <w:name w:val="heading 5"/>
    <w:next w:val="1"/>
    <w:qFormat/>
    <w:uiPriority w:val="11"/>
    <w:pPr>
      <w:ind w:left="1400" w:hanging="400"/>
      <w:jc w:val="both"/>
      <w:outlineLvl w:val="4"/>
    </w:pPr>
    <w:rPr>
      <w:rFonts w:ascii="Calibri" w:hAnsi="Calibri" w:eastAsia="宋体" w:cs="Times New Roman"/>
      <w:sz w:val="21"/>
      <w:szCs w:val="21"/>
      <w:lang w:val="en-US" w:eastAsia="zh-CN" w:bidi="ar-SA"/>
    </w:rPr>
  </w:style>
  <w:style w:type="paragraph" w:styleId="7">
    <w:name w:val="heading 6"/>
    <w:next w:val="1"/>
    <w:qFormat/>
    <w:uiPriority w:val="12"/>
    <w:pPr>
      <w:ind w:left="1600" w:hanging="400"/>
      <w:jc w:val="both"/>
      <w:outlineLvl w:val="5"/>
    </w:pPr>
    <w:rPr>
      <w:rFonts w:ascii="Calibri" w:hAnsi="Calibri" w:eastAsia="宋体" w:cs="Times New Roman"/>
      <w:b/>
      <w:sz w:val="21"/>
      <w:szCs w:val="21"/>
      <w:lang w:val="en-US" w:eastAsia="zh-CN" w:bidi="ar-SA"/>
    </w:rPr>
  </w:style>
  <w:style w:type="paragraph" w:styleId="8">
    <w:name w:val="heading 7"/>
    <w:next w:val="1"/>
    <w:qFormat/>
    <w:uiPriority w:val="13"/>
    <w:pPr>
      <w:ind w:left="1800" w:hanging="400"/>
      <w:jc w:val="both"/>
      <w:outlineLvl w:val="6"/>
    </w:pPr>
    <w:rPr>
      <w:rFonts w:ascii="Calibri" w:hAnsi="Calibri" w:eastAsia="宋体" w:cs="Times New Roman"/>
      <w:sz w:val="21"/>
      <w:szCs w:val="21"/>
      <w:lang w:val="en-US" w:eastAsia="zh-CN" w:bidi="ar-SA"/>
    </w:rPr>
  </w:style>
  <w:style w:type="paragraph" w:styleId="9">
    <w:name w:val="heading 8"/>
    <w:next w:val="1"/>
    <w:qFormat/>
    <w:uiPriority w:val="14"/>
    <w:pPr>
      <w:ind w:left="2000" w:hanging="400"/>
      <w:jc w:val="both"/>
      <w:outlineLvl w:val="7"/>
    </w:pPr>
    <w:rPr>
      <w:rFonts w:ascii="Calibri" w:hAnsi="Calibri" w:eastAsia="宋体" w:cs="Times New Roman"/>
      <w:sz w:val="21"/>
      <w:szCs w:val="21"/>
      <w:lang w:val="en-US" w:eastAsia="zh-CN" w:bidi="ar-SA"/>
    </w:rPr>
  </w:style>
  <w:style w:type="paragraph" w:styleId="10">
    <w:name w:val="heading 9"/>
    <w:next w:val="1"/>
    <w:qFormat/>
    <w:uiPriority w:val="15"/>
    <w:pPr>
      <w:ind w:left="2200" w:hanging="400"/>
      <w:jc w:val="both"/>
      <w:outlineLvl w:val="8"/>
    </w:pPr>
    <w:rPr>
      <w:rFonts w:ascii="Calibri" w:hAnsi="Calibri" w:eastAsia="宋体" w:cs="Times New Roman"/>
      <w:sz w:val="21"/>
      <w:szCs w:val="21"/>
      <w:lang w:val="en-US" w:eastAsia="zh-CN" w:bidi="ar-SA"/>
    </w:rPr>
  </w:style>
  <w:style w:type="character" w:default="1" w:styleId="27">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Calibri" w:hAnsi="Calibri" w:eastAsia="宋体" w:cs="Times New Roman"/>
      <w:sz w:val="21"/>
      <w:szCs w:val="21"/>
      <w:lang w:val="en-US" w:eastAsia="zh-CN" w:bidi="ar-SA"/>
    </w:rPr>
  </w:style>
  <w:style w:type="paragraph" w:styleId="12">
    <w:name w:val="toc 5"/>
    <w:next w:val="1"/>
    <w:unhideWhenUsed/>
    <w:qFormat/>
    <w:uiPriority w:val="32"/>
    <w:pPr>
      <w:ind w:left="1700"/>
      <w:jc w:val="both"/>
    </w:pPr>
    <w:rPr>
      <w:rFonts w:ascii="Calibri" w:hAnsi="Calibri" w:eastAsia="宋体" w:cs="Times New Roman"/>
      <w:sz w:val="21"/>
      <w:szCs w:val="21"/>
      <w:lang w:val="en-US" w:eastAsia="zh-CN" w:bidi="ar-SA"/>
    </w:rPr>
  </w:style>
  <w:style w:type="paragraph" w:styleId="13">
    <w:name w:val="toc 3"/>
    <w:next w:val="1"/>
    <w:unhideWhenUsed/>
    <w:qFormat/>
    <w:uiPriority w:val="30"/>
    <w:pPr>
      <w:ind w:left="850"/>
      <w:jc w:val="both"/>
    </w:pPr>
    <w:rPr>
      <w:rFonts w:ascii="Calibri" w:hAnsi="Calibri" w:eastAsia="宋体" w:cs="Times New Roman"/>
      <w:sz w:val="21"/>
      <w:szCs w:val="21"/>
      <w:lang w:val="en-US" w:eastAsia="zh-CN" w:bidi="ar-SA"/>
    </w:rPr>
  </w:style>
  <w:style w:type="paragraph" w:styleId="14">
    <w:name w:val="toc 8"/>
    <w:next w:val="1"/>
    <w:unhideWhenUsed/>
    <w:qFormat/>
    <w:uiPriority w:val="35"/>
    <w:pPr>
      <w:ind w:left="2975"/>
      <w:jc w:val="both"/>
    </w:pPr>
    <w:rPr>
      <w:rFonts w:ascii="Calibri" w:hAnsi="Calibri" w:eastAsia="宋体" w:cs="Times New Roman"/>
      <w:sz w:val="21"/>
      <w:szCs w:val="21"/>
      <w:lang w:val="en-US" w:eastAsia="zh-CN" w:bidi="ar-SA"/>
    </w:rPr>
  </w:style>
  <w:style w:type="paragraph" w:styleId="15">
    <w:name w:val="footer"/>
    <w:basedOn w:val="1"/>
    <w:link w:val="50"/>
    <w:semiHidden/>
    <w:qFormat/>
    <w:uiPriority w:val="0"/>
    <w:pPr>
      <w:tabs>
        <w:tab w:val="center" w:pos="4153"/>
        <w:tab w:val="right" w:pos="8306"/>
      </w:tabs>
    </w:pPr>
    <w:rPr>
      <w:rFonts w:ascii="Calibri" w:hAnsi="Calibri" w:eastAsia="Calibri"/>
      <w:sz w:val="18"/>
      <w:szCs w:val="18"/>
    </w:rPr>
  </w:style>
  <w:style w:type="paragraph" w:styleId="16">
    <w:name w:val="header"/>
    <w:basedOn w:val="1"/>
    <w:link w:val="49"/>
    <w:semiHidden/>
    <w:qFormat/>
    <w:uiPriority w:val="0"/>
    <w:pPr>
      <w:tabs>
        <w:tab w:val="center" w:pos="4153"/>
        <w:tab w:val="right" w:pos="8306"/>
      </w:tabs>
      <w:jc w:val="center"/>
    </w:pPr>
    <w:rPr>
      <w:rFonts w:ascii="Calibri" w:hAnsi="Calibri" w:eastAsia="Calibri"/>
      <w:sz w:val="18"/>
      <w:szCs w:val="18"/>
    </w:rPr>
  </w:style>
  <w:style w:type="paragraph" w:styleId="17">
    <w:name w:val="toc 1"/>
    <w:next w:val="1"/>
    <w:unhideWhenUsed/>
    <w:qFormat/>
    <w:uiPriority w:val="28"/>
    <w:pPr>
      <w:jc w:val="both"/>
    </w:pPr>
    <w:rPr>
      <w:rFonts w:ascii="Calibri" w:hAnsi="Calibri" w:eastAsia="宋体" w:cs="Times New Roman"/>
      <w:sz w:val="21"/>
      <w:szCs w:val="21"/>
      <w:lang w:val="en-US" w:eastAsia="zh-CN" w:bidi="ar-SA"/>
    </w:rPr>
  </w:style>
  <w:style w:type="paragraph" w:styleId="18">
    <w:name w:val="toc 4"/>
    <w:next w:val="1"/>
    <w:unhideWhenUsed/>
    <w:qFormat/>
    <w:uiPriority w:val="31"/>
    <w:pPr>
      <w:ind w:left="1275"/>
      <w:jc w:val="both"/>
    </w:pPr>
    <w:rPr>
      <w:rFonts w:ascii="Calibri" w:hAnsi="Calibri" w:eastAsia="宋体" w:cs="Times New Roman"/>
      <w:sz w:val="21"/>
      <w:szCs w:val="21"/>
      <w:lang w:val="en-US" w:eastAsia="zh-CN" w:bidi="ar-SA"/>
    </w:rPr>
  </w:style>
  <w:style w:type="paragraph" w:styleId="19">
    <w:name w:val="Subtitle"/>
    <w:qFormat/>
    <w:uiPriority w:val="16"/>
    <w:pPr>
      <w:jc w:val="center"/>
    </w:pPr>
    <w:rPr>
      <w:rFonts w:ascii="Calibri" w:hAnsi="Calibri" w:eastAsia="宋体" w:cs="Times New Roman"/>
      <w:sz w:val="24"/>
      <w:szCs w:val="24"/>
      <w:lang w:val="en-US" w:eastAsia="zh-CN" w:bidi="ar-SA"/>
    </w:rPr>
  </w:style>
  <w:style w:type="paragraph" w:styleId="20">
    <w:name w:val="toc 6"/>
    <w:next w:val="1"/>
    <w:unhideWhenUsed/>
    <w:qFormat/>
    <w:uiPriority w:val="33"/>
    <w:pPr>
      <w:ind w:left="2125"/>
      <w:jc w:val="both"/>
    </w:pPr>
    <w:rPr>
      <w:rFonts w:ascii="Calibri" w:hAnsi="Calibri" w:eastAsia="宋体" w:cs="Times New Roman"/>
      <w:sz w:val="21"/>
      <w:szCs w:val="21"/>
      <w:lang w:val="en-US" w:eastAsia="zh-CN" w:bidi="ar-SA"/>
    </w:rPr>
  </w:style>
  <w:style w:type="paragraph" w:styleId="21">
    <w:name w:val="toc 2"/>
    <w:next w:val="1"/>
    <w:unhideWhenUsed/>
    <w:qFormat/>
    <w:uiPriority w:val="29"/>
    <w:pPr>
      <w:ind w:left="425"/>
      <w:jc w:val="both"/>
    </w:pPr>
    <w:rPr>
      <w:rFonts w:ascii="Calibri" w:hAnsi="Calibri" w:eastAsia="宋体" w:cs="Times New Roman"/>
      <w:sz w:val="21"/>
      <w:szCs w:val="21"/>
      <w:lang w:val="en-US" w:eastAsia="zh-CN" w:bidi="ar-SA"/>
    </w:rPr>
  </w:style>
  <w:style w:type="paragraph" w:styleId="22">
    <w:name w:val="toc 9"/>
    <w:next w:val="1"/>
    <w:unhideWhenUsed/>
    <w:qFormat/>
    <w:uiPriority w:val="36"/>
    <w:pPr>
      <w:ind w:left="3400"/>
      <w:jc w:val="both"/>
    </w:pPr>
    <w:rPr>
      <w:rFonts w:ascii="Calibri" w:hAnsi="Calibri" w:eastAsia="宋体" w:cs="Times New Roman"/>
      <w:sz w:val="21"/>
      <w:szCs w:val="21"/>
      <w:lang w:val="en-US" w:eastAsia="zh-CN" w:bidi="ar-SA"/>
    </w:rPr>
  </w:style>
  <w:style w:type="paragraph" w:styleId="23">
    <w:name w:val="Normal (Web)"/>
    <w:basedOn w:val="1"/>
    <w:unhideWhenUsed/>
    <w:qFormat/>
    <w:uiPriority w:val="0"/>
    <w:rPr>
      <w:sz w:val="24"/>
      <w:szCs w:val="24"/>
    </w:rPr>
  </w:style>
  <w:style w:type="paragraph" w:styleId="24">
    <w:name w:val="Title"/>
    <w:qFormat/>
    <w:uiPriority w:val="6"/>
    <w:pPr>
      <w:jc w:val="center"/>
    </w:pPr>
    <w:rPr>
      <w:rFonts w:ascii="Calibri" w:hAnsi="Calibri" w:eastAsia="宋体" w:cs="Times New Roman"/>
      <w:b/>
      <w:sz w:val="32"/>
      <w:szCs w:val="32"/>
      <w:lang w:val="en-US" w:eastAsia="zh-CN" w:bidi="ar-SA"/>
    </w:rPr>
  </w:style>
  <w:style w:type="table" w:styleId="26">
    <w:name w:val="Table Grid"/>
    <w:basedOn w:val="25"/>
    <w:qFormat/>
    <w:uiPriority w:val="3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0"/>
      <w:szCs w:val="20"/>
      <w:shd w:val="clear" w:color="auto" w:fill="auto"/>
    </w:rPr>
  </w:style>
  <w:style w:type="character" w:styleId="29">
    <w:name w:val="Emphasis"/>
    <w:qFormat/>
    <w:uiPriority w:val="18"/>
    <w:rPr>
      <w:i/>
      <w:w w:val="100"/>
      <w:sz w:val="21"/>
      <w:szCs w:val="21"/>
      <w:shd w:val="clear" w:color="auto" w:fill="auto"/>
    </w:rPr>
  </w:style>
  <w:style w:type="paragraph" w:customStyle="1" w:styleId="30">
    <w:name w:val="无间隔1"/>
    <w:qFormat/>
    <w:uiPriority w:val="5"/>
    <w:pPr>
      <w:jc w:val="both"/>
    </w:pPr>
    <w:rPr>
      <w:rFonts w:ascii="Calibri" w:hAnsi="Calibri" w:eastAsia="宋体" w:cs="Times New Roman"/>
      <w:sz w:val="21"/>
      <w:szCs w:val="21"/>
      <w:lang w:val="en-US" w:eastAsia="zh-CN" w:bidi="ar-SA"/>
    </w:rPr>
  </w:style>
  <w:style w:type="character" w:customStyle="1" w:styleId="31">
    <w:name w:val="不明显强调1"/>
    <w:qFormat/>
    <w:uiPriority w:val="17"/>
    <w:rPr>
      <w:i/>
      <w:color w:val="404040"/>
      <w:w w:val="100"/>
      <w:sz w:val="21"/>
      <w:szCs w:val="21"/>
      <w:shd w:val="clear" w:color="auto" w:fill="auto"/>
    </w:rPr>
  </w:style>
  <w:style w:type="character" w:customStyle="1" w:styleId="32">
    <w:name w:val="明显强调1"/>
    <w:qFormat/>
    <w:uiPriority w:val="19"/>
    <w:rPr>
      <w:i/>
      <w:color w:val="5B9BD5"/>
      <w:w w:val="100"/>
      <w:sz w:val="21"/>
      <w:szCs w:val="21"/>
      <w:shd w:val="clear" w:color="auto" w:fill="auto"/>
    </w:rPr>
  </w:style>
  <w:style w:type="paragraph" w:customStyle="1" w:styleId="33">
    <w:name w:val="引用1"/>
    <w:qFormat/>
    <w:uiPriority w:val="21"/>
    <w:pPr>
      <w:ind w:left="864" w:right="864"/>
      <w:jc w:val="center"/>
    </w:pPr>
    <w:rPr>
      <w:rFonts w:ascii="Calibri" w:hAnsi="Calibri" w:eastAsia="宋体" w:cs="Times New Roman"/>
      <w:i/>
      <w:color w:val="404040"/>
      <w:sz w:val="21"/>
      <w:szCs w:val="21"/>
      <w:lang w:val="en-US" w:eastAsia="zh-CN" w:bidi="ar-SA"/>
    </w:rPr>
  </w:style>
  <w:style w:type="paragraph" w:customStyle="1" w:styleId="34">
    <w:name w:val="明显引用1"/>
    <w:qFormat/>
    <w:uiPriority w:val="22"/>
    <w:pPr>
      <w:ind w:left="950" w:right="950"/>
      <w:jc w:val="center"/>
    </w:pPr>
    <w:rPr>
      <w:rFonts w:ascii="Calibri" w:hAnsi="Calibri" w:eastAsia="宋体" w:cs="Times New Roman"/>
      <w:i/>
      <w:color w:val="5B9BD5"/>
      <w:sz w:val="21"/>
      <w:szCs w:val="21"/>
      <w:lang w:val="en-US" w:eastAsia="zh-CN" w:bidi="ar-SA"/>
    </w:rPr>
  </w:style>
  <w:style w:type="character" w:customStyle="1" w:styleId="35">
    <w:name w:val="不明显参考1"/>
    <w:qFormat/>
    <w:uiPriority w:val="23"/>
    <w:rPr>
      <w:smallCaps/>
      <w:color w:val="5A5A5A"/>
      <w:w w:val="100"/>
      <w:sz w:val="21"/>
      <w:szCs w:val="21"/>
      <w:shd w:val="clear" w:color="auto" w:fill="auto"/>
    </w:rPr>
  </w:style>
  <w:style w:type="character" w:customStyle="1" w:styleId="36">
    <w:name w:val="明显参考1"/>
    <w:qFormat/>
    <w:uiPriority w:val="24"/>
    <w:rPr>
      <w:b/>
      <w:smallCaps/>
      <w:color w:val="5B9BD5"/>
      <w:w w:val="100"/>
      <w:sz w:val="21"/>
      <w:szCs w:val="21"/>
      <w:shd w:val="clear" w:color="auto" w:fill="auto"/>
    </w:rPr>
  </w:style>
  <w:style w:type="character" w:customStyle="1" w:styleId="37">
    <w:name w:val="书籍标题1"/>
    <w:qFormat/>
    <w:uiPriority w:val="25"/>
    <w:rPr>
      <w:b/>
      <w:i/>
      <w:w w:val="100"/>
      <w:sz w:val="21"/>
      <w:szCs w:val="21"/>
      <w:shd w:val="clear" w:color="auto" w:fill="auto"/>
    </w:rPr>
  </w:style>
  <w:style w:type="paragraph" w:customStyle="1" w:styleId="38">
    <w:name w:val="列出段落1"/>
    <w:qFormat/>
    <w:uiPriority w:val="26"/>
    <w:pPr>
      <w:ind w:left="850"/>
      <w:jc w:val="both"/>
    </w:pPr>
    <w:rPr>
      <w:rFonts w:ascii="Calibri" w:hAnsi="Calibri" w:eastAsia="宋体" w:cs="Times New Roman"/>
      <w:sz w:val="21"/>
      <w:szCs w:val="21"/>
      <w:lang w:val="en-US" w:eastAsia="zh-CN" w:bidi="ar-SA"/>
    </w:rPr>
  </w:style>
  <w:style w:type="paragraph" w:customStyle="1" w:styleId="39">
    <w:name w:val="TOC 标题1"/>
    <w:unhideWhenUsed/>
    <w:qFormat/>
    <w:uiPriority w:val="27"/>
    <w:rPr>
      <w:rFonts w:ascii="Calibri" w:hAnsi="Calibri" w:eastAsia="宋体" w:cs="Times New Roman"/>
      <w:color w:val="2E74B5"/>
      <w:sz w:val="32"/>
      <w:szCs w:val="32"/>
      <w:lang w:val="en-US" w:eastAsia="zh-CN" w:bidi="ar-SA"/>
    </w:rPr>
  </w:style>
  <w:style w:type="table" w:customStyle="1" w:styleId="40">
    <w:name w:val="Calendar1"/>
    <w:basedOn w:val="25"/>
    <w:qFormat/>
    <w:uiPriority w:val="0"/>
    <w:rPr>
      <w:sz w:val="22"/>
      <w:szCs w:val="22"/>
    </w:rPr>
    <w:tblPr>
      <w:tblCellMar>
        <w:top w:w="0" w:type="dxa"/>
        <w:left w:w="108" w:type="dxa"/>
        <w:bottom w:w="0" w:type="dxa"/>
        <w:right w:w="108" w:type="dxa"/>
      </w:tblCellMar>
    </w:tblPr>
    <w:tblStylePr w:type="firstRow">
      <w:pPr>
        <w:jc w:val="both"/>
      </w:pPr>
      <w:rPr>
        <w:w w:val="100"/>
        <w:sz w:val="44"/>
        <w:szCs w:val="44"/>
        <w:shd w:val="clear" w:color="auto" w:fill="auto"/>
      </w:r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color="000000" w:themeColor="text1" w:sz="24" w:space="0"/>
          <w:left w:val="nil"/>
          <w:bottom w:val="single" w:color="000000" w:themeColor="text1" w:sz="24" w:space="0"/>
          <w:right w:val="nil"/>
          <w:insideH w:val="nil"/>
          <w:insideV w:val="nil"/>
          <w:tl2br w:val="nil"/>
          <w:tr2bl w:val="nil"/>
        </w:tcBorders>
        <w:shd w:val="clear" w:color="auto" w:fill="auto"/>
      </w:tcPr>
    </w:tblStylePr>
  </w:style>
  <w:style w:type="table" w:customStyle="1" w:styleId="41">
    <w:name w:val="Calendar2"/>
    <w:basedOn w:val="25"/>
    <w:qFormat/>
    <w:uiPriority w:val="0"/>
    <w:pPr>
      <w:jc w:val="center"/>
    </w:pPr>
    <w:rPr>
      <w:sz w:val="28"/>
      <w:szCs w:val="28"/>
    </w:rPr>
    <w:tblPr>
      <w:tblBorders>
        <w:insideV w:val="single" w:color="95B3D7" w:themeColor="accent1" w:themeTint="99" w:sz="4" w:space="0"/>
      </w:tblBorders>
      <w:tblCellMar>
        <w:top w:w="0" w:type="dxa"/>
        <w:left w:w="108" w:type="dxa"/>
        <w:bottom w:w="0" w:type="dxa"/>
        <w:right w:w="108" w:type="dxa"/>
      </w:tblCellMar>
    </w:tblPr>
    <w:tblStylePr w:type="firstRow">
      <w:rPr>
        <w:color w:val="4F81BD" w:themeColor="accent1"/>
        <w:w w:val="100"/>
        <w:sz w:val="32"/>
        <w:szCs w:val="32"/>
        <w:shd w:val="clear" w:color="auto" w:fill="auto"/>
      </w:rPr>
      <w:tblPr/>
      <w:tcPr>
        <w:tcBorders>
          <w:top w:val="nil"/>
          <w:left w:val="nil"/>
          <w:bottom w:val="nil"/>
          <w:right w:val="nil"/>
          <w:insideH w:val="nil"/>
          <w:insideV w:val="nil"/>
          <w:tl2br w:val="nil"/>
          <w:tr2bl w:val="nil"/>
        </w:tcBorders>
      </w:tcPr>
    </w:tblStylePr>
  </w:style>
  <w:style w:type="table" w:customStyle="1" w:styleId="42">
    <w:name w:val="Calendar3"/>
    <w:basedOn w:val="25"/>
    <w:qFormat/>
    <w:uiPriority w:val="0"/>
    <w:pPr>
      <w:jc w:val="right"/>
    </w:pPr>
    <w:rPr>
      <w:color w:val="000000" w:themeColor="text1"/>
      <w:sz w:val="22"/>
      <w:szCs w:val="22"/>
    </w:rPr>
    <w:tblPr>
      <w:tblCellMar>
        <w:top w:w="0" w:type="dxa"/>
        <w:left w:w="108" w:type="dxa"/>
        <w:bottom w:w="0" w:type="dxa"/>
        <w:right w:w="108" w:type="dxa"/>
      </w:tblCellMar>
    </w:tblPr>
    <w:tblStylePr w:type="firstRow">
      <w:pPr>
        <w:jc w:val="right"/>
      </w:pPr>
      <w:rPr>
        <w:color w:val="4F81BD" w:themeColor="accent1"/>
        <w:w w:val="100"/>
        <w:sz w:val="20"/>
        <w:szCs w:val="20"/>
        <w:shd w:val="clear" w:color="auto" w:fill="auto"/>
      </w:rPr>
    </w:tblStylePr>
    <w:tblStylePr w:type="firstCol">
      <w:rPr>
        <w:color w:val="4F81BD" w:themeColor="accent1"/>
        <w:w w:val="100"/>
        <w:sz w:val="20"/>
        <w:szCs w:val="20"/>
        <w:shd w:val="clear" w:color="auto" w:fill="auto"/>
      </w:rPr>
    </w:tblStylePr>
    <w:tblStylePr w:type="lastCol">
      <w:rPr>
        <w:color w:val="4F81BD" w:themeColor="accent1"/>
        <w:w w:val="100"/>
        <w:sz w:val="20"/>
        <w:szCs w:val="20"/>
        <w:shd w:val="clear" w:color="auto" w:fill="auto"/>
      </w:rPr>
    </w:tblStylePr>
  </w:style>
  <w:style w:type="table" w:customStyle="1" w:styleId="43">
    <w:name w:val="Calendar4"/>
    <w:basedOn w:val="25"/>
    <w:qFormat/>
    <w:uiPriority w:val="0"/>
    <w:rPr>
      <w:b/>
      <w:color w:val="FFFFFF" w:themeColor="background1"/>
      <w:sz w:val="16"/>
      <w:szCs w:val="16"/>
    </w:rPr>
    <w:tblPr>
      <w:tblBorders>
        <w:top w:val="single" w:color="C0504D" w:themeColor="accent2" w:sz="4" w:space="0"/>
        <w:left w:val="single" w:color="C0504D" w:themeColor="accent2" w:sz="4" w:space="0"/>
        <w:bottom w:val="single" w:color="C0504D" w:themeColor="accent2" w:sz="4" w:space="0"/>
        <w:right w:val="single" w:color="C0504D" w:themeColor="accent2" w:sz="4" w:space="0"/>
      </w:tblBorders>
      <w:tblCellMar>
        <w:top w:w="0" w:type="dxa"/>
        <w:left w:w="108" w:type="dxa"/>
        <w:bottom w:w="0" w:type="dxa"/>
        <w:right w:w="108" w:type="dxa"/>
      </w:tblCellMar>
    </w:tblPr>
    <w:tcPr>
      <w:shd w:val="clear" w:color="000000" w:fill="244062" w:themeFill="accent1" w:themeFillShade="81"/>
    </w:tcPr>
    <w:tblStylePr w:type="firstRow">
      <w:rPr>
        <w:color w:val="4F81BD" w:themeColor="accent1"/>
        <w:w w:val="100"/>
        <w:sz w:val="8"/>
        <w:szCs w:val="8"/>
        <w:shd w:val="clear" w:color="auto" w:fill="auto"/>
      </w:rPr>
    </w:tblStylePr>
    <w:tblStylePr w:type="firstCol">
      <w:pPr>
        <w:jc w:val="both"/>
      </w:pPr>
      <w:rPr>
        <w:b/>
        <w:color w:val="4F81BD" w:themeColor="accent1"/>
        <w:w w:val="100"/>
        <w:sz w:val="20"/>
        <w:szCs w:val="20"/>
        <w:shd w:val="clear" w:color="auto" w:fill="auto"/>
      </w:rPr>
    </w:tblStylePr>
    <w:tblStylePr w:type="band1Horz">
      <w:rPr>
        <w:w w:val="100"/>
        <w:sz w:val="16"/>
        <w:szCs w:val="16"/>
        <w:shd w:val="clear" w:color="auto" w:fill="auto"/>
      </w:rPr>
    </w:tblStylePr>
    <w:tblStylePr w:type="band2Horz">
      <w:rPr>
        <w:w w:val="100"/>
        <w:sz w:val="28"/>
        <w:szCs w:val="28"/>
        <w:shd w:val="clear" w:color="auto" w:fill="auto"/>
      </w:rPr>
      <w:tblPr/>
      <w:tcPr>
        <w:tcMar>
          <w:top w:w="115" w:type="dxa"/>
          <w:left w:w="0" w:type="dxa"/>
          <w:bottom w:w="115" w:type="dxa"/>
          <w:right w:w="86" w:type="dxa"/>
        </w:tcMar>
      </w:tcPr>
    </w:tblStylePr>
    <w:tblStylePr w:type="nwCell">
      <w:rPr>
        <w:w w:val="100"/>
        <w:sz w:val="8"/>
        <w:szCs w:val="8"/>
        <w:shd w:val="clear" w:color="auto" w:fill="auto"/>
      </w:rPr>
    </w:tblStylePr>
  </w:style>
  <w:style w:type="table" w:customStyle="1" w:styleId="44">
    <w:name w:val="LightShading-Accent1"/>
    <w:basedOn w:val="25"/>
    <w:qFormat/>
    <w:uiPriority w:val="0"/>
    <w:rPr>
      <w:color w:val="3D6CA5" w:themeColor="accent1" w:themeShade="D8"/>
      <w:sz w:val="22"/>
      <w:szCs w:val="22"/>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jc w:val="both"/>
      </w:pPr>
      <w:rPr>
        <w:b/>
        <w:w w:val="100"/>
        <w:sz w:val="20"/>
        <w:szCs w:val="20"/>
        <w:shd w:val="clear" w:color="auto" w:fill="auto"/>
      </w:rPr>
      <w:tblPr/>
      <w:tcPr>
        <w:tcBorders>
          <w:top w:val="single" w:color="4F81BD" w:themeColor="accent1" w:sz="8" w:space="0"/>
          <w:left w:val="nil"/>
          <w:bottom w:val="single" w:color="4F81BD" w:themeColor="accent1" w:sz="8" w:space="0"/>
          <w:right w:val="nil"/>
          <w:insideH w:val="nil"/>
          <w:insideV w:val="nil"/>
        </w:tcBorders>
      </w:tcPr>
    </w:tblStylePr>
    <w:tblStylePr w:type="lastRow">
      <w:pPr>
        <w:jc w:val="both"/>
      </w:pPr>
      <w:tblPr/>
      <w:tcPr>
        <w:tcBorders>
          <w:top w:val="single" w:color="4F81BD" w:themeColor="accent1" w:sz="8" w:space="0"/>
          <w:left w:val="nil"/>
          <w:bottom w:val="single" w:color="4F81BD" w:themeColor="accent1" w:sz="8" w:space="0"/>
          <w:right w:val="nil"/>
          <w:insideH w:val="nil"/>
          <w:insideV w:val="nil"/>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tcBorders>
          <w:left w:val="nil"/>
          <w:right w:val="nil"/>
          <w:insideH w:val="nil"/>
          <w:insideV w:val="nil"/>
        </w:tcBorders>
        <w:shd w:val="clear" w:color="000000" w:fill="D4E0EE" w:themeFill="accent1" w:themeFillTint="3E"/>
      </w:tcPr>
    </w:tblStylePr>
    <w:tblStylePr w:type="band1Horz">
      <w:tblPr/>
      <w:tcPr>
        <w:tcBorders>
          <w:left w:val="nil"/>
          <w:right w:val="nil"/>
          <w:insideH w:val="nil"/>
          <w:insideV w:val="nil"/>
        </w:tcBorders>
        <w:shd w:val="clear" w:color="000000" w:fill="D4E0EE" w:themeFill="accent1" w:themeFillTint="3E"/>
      </w:tcPr>
    </w:tblStylePr>
  </w:style>
  <w:style w:type="table" w:customStyle="1" w:styleId="45">
    <w:name w:val="MediumShading2-Accent5"/>
    <w:basedOn w:val="25"/>
    <w:qFormat/>
    <w:uiPriority w:val="0"/>
    <w:rPr>
      <w:sz w:val="22"/>
      <w:szCs w:val="22"/>
    </w:rPr>
    <w:tblPr>
      <w:tblBorders>
        <w:top w:val="single" w:color="4F81BD" w:themeColor="accent1" w:sz="18" w:space="0"/>
        <w:bottom w:val="single" w:color="4F81BD" w:themeColor="accent1" w:sz="18" w:space="0"/>
      </w:tblBorders>
      <w:tblCellMar>
        <w:top w:w="0" w:type="dxa"/>
        <w:left w:w="108" w:type="dxa"/>
        <w:bottom w:w="0" w:type="dxa"/>
        <w:right w:w="108" w:type="dxa"/>
      </w:tblCellMar>
    </w:tblPr>
    <w:tblStylePr w:type="firstRow">
      <w:pPr>
        <w:jc w:val="both"/>
      </w:pPr>
      <w:rPr>
        <w:b/>
        <w:color w:val="FFFFFF" w:themeColor="background1"/>
        <w:w w:val="100"/>
        <w:sz w:val="20"/>
        <w:szCs w:val="20"/>
        <w:shd w:val="clear" w:color="auto" w:fill="auto"/>
      </w:rPr>
      <w:tblPr/>
      <w:tcPr>
        <w:tcBorders>
          <w:top w:val="single" w:color="auto" w:sz="18" w:space="0"/>
          <w:left w:val="nil"/>
          <w:bottom w:val="single" w:color="auto" w:sz="18" w:space="0"/>
          <w:right w:val="nil"/>
          <w:insideH w:val="nil"/>
          <w:insideV w:val="nil"/>
        </w:tcBorders>
        <w:shd w:val="clear" w:color="000000" w:fill="4BACC6" w:themeFill="accent5"/>
      </w:tcPr>
    </w:tblStylePr>
    <w:tblStylePr w:type="lastRow">
      <w:pPr>
        <w:jc w:val="both"/>
      </w:pPr>
      <w:rPr>
        <w:b/>
        <w:w w:val="100"/>
        <w:sz w:val="20"/>
        <w:szCs w:val="20"/>
        <w:shd w:val="clear" w:color="auto" w:fill="auto"/>
      </w:rPr>
      <w:tblPr/>
      <w:tcPr>
        <w:tcBorders>
          <w:top w:val="double" w:color="auto" w:sz="6" w:space="0"/>
          <w:left w:val="nil"/>
          <w:bottom w:val="single" w:color="auto" w:sz="18" w:space="0"/>
          <w:right w:val="nil"/>
          <w:insideH w:val="nil"/>
          <w:insideV w:val="nil"/>
        </w:tcBorders>
        <w:shd w:val="clear" w:color="000000" w:fill="FFFFFF" w:themeFill="background1"/>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tcBorders>
          <w:left w:val="nil"/>
          <w:right w:val="nil"/>
          <w:insideH w:val="nil"/>
          <w:insideV w:val="nil"/>
        </w:tcBorders>
        <w:shd w:val="clear" w:color="000000" w:fill="D4E0EE" w:themeFill="accent1" w:themeFillTint="3E"/>
      </w:tcPr>
    </w:tblStylePr>
    <w:tblStylePr w:type="band1Horz">
      <w:tblPr/>
      <w:tcPr>
        <w:tcBorders>
          <w:left w:val="nil"/>
          <w:right w:val="nil"/>
          <w:insideH w:val="nil"/>
          <w:insideV w:val="nil"/>
        </w:tcBorders>
        <w:shd w:val="clear" w:color="000000" w:fill="D4E0EE" w:themeFill="accent1" w:themeFillTint="3E"/>
      </w:tcPr>
    </w:tblStylePr>
  </w:style>
  <w:style w:type="table" w:customStyle="1" w:styleId="46">
    <w:name w:val="LightList"/>
    <w:basedOn w:val="25"/>
    <w:qFormat/>
    <w:uiPriority w:val="0"/>
    <w:rPr>
      <w:sz w:val="22"/>
      <w:szCs w:val="22"/>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jc w:val="both"/>
      </w:pPr>
      <w:rPr>
        <w:b/>
        <w:color w:val="FFFFFF" w:themeColor="background1"/>
        <w:w w:val="100"/>
        <w:sz w:val="20"/>
        <w:szCs w:val="20"/>
        <w:shd w:val="clear" w:color="auto" w:fill="auto"/>
      </w:rPr>
      <w:tblPr/>
      <w:tcPr>
        <w:shd w:val="clear" w:color="000000" w:fill="000000" w:themeFill="text1"/>
      </w:tcPr>
    </w:tblStylePr>
    <w:tblStylePr w:type="lastRow">
      <w:pPr>
        <w:jc w:val="both"/>
      </w:pPr>
      <w:rPr>
        <w:b/>
        <w:w w:val="100"/>
        <w:sz w:val="20"/>
        <w:szCs w:val="20"/>
        <w:shd w:val="clear" w:color="auto" w:fill="auto"/>
      </w:rPr>
      <w:tblPr/>
      <w:tcPr>
        <w:tcBorders>
          <w:top w:val="double" w:color="000000" w:themeColor="text1" w:sz="6" w:space="0"/>
          <w:left w:val="single" w:color="000000" w:themeColor="text1" w:sz="6" w:space="0"/>
          <w:bottom w:val="single" w:color="000000" w:themeColor="text1" w:sz="6" w:space="0"/>
          <w:right w:val="single" w:color="000000" w:themeColor="text1" w:sz="6" w:space="0"/>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tcBorders>
          <w:top w:val="single" w:color="D4E0EE" w:themeColor="accent1" w:themeTint="3E" w:sz="8" w:space="0"/>
          <w:left w:val="single" w:color="D4E0EE" w:themeColor="accent1" w:themeTint="3E" w:sz="8" w:space="0"/>
          <w:bottom w:val="single" w:color="D4E0EE" w:themeColor="accent1" w:themeTint="3E" w:sz="8" w:space="0"/>
          <w:right w:val="single" w:color="D4E0EE" w:themeColor="accent1" w:themeTint="3E" w:sz="8" w:space="0"/>
        </w:tcBorders>
      </w:tcPr>
    </w:tblStylePr>
    <w:tblStylePr w:type="band1Horz">
      <w:tblPr/>
      <w:tcPr>
        <w:tcBorders>
          <w:top w:val="single" w:color="D4E0EE" w:themeColor="accent1" w:themeTint="3E" w:sz="8" w:space="0"/>
          <w:left w:val="single" w:color="D4E0EE" w:themeColor="accent1" w:themeTint="3E" w:sz="8" w:space="0"/>
          <w:bottom w:val="single" w:color="D4E0EE" w:themeColor="accent1" w:themeTint="3E" w:sz="8" w:space="0"/>
          <w:right w:val="single" w:color="D4E0EE" w:themeColor="accent1" w:themeTint="3E" w:sz="8" w:space="0"/>
        </w:tcBorders>
      </w:tcPr>
    </w:tblStylePr>
  </w:style>
  <w:style w:type="table" w:customStyle="1" w:styleId="47">
    <w:name w:val="LightList-Accent3"/>
    <w:basedOn w:val="25"/>
    <w:qFormat/>
    <w:uiPriority w:val="0"/>
    <w:pPr>
      <w:jc w:val="both"/>
    </w:pPr>
    <w:rPr>
      <w:sz w:val="22"/>
      <w:szCs w:val="22"/>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jc w:val="both"/>
      </w:pPr>
      <w:rPr>
        <w:b/>
        <w:color w:val="FFFFFF" w:themeColor="background1"/>
        <w:w w:val="100"/>
        <w:sz w:val="20"/>
        <w:szCs w:val="20"/>
        <w:shd w:val="clear" w:color="auto" w:fill="auto"/>
      </w:rPr>
      <w:tblPr/>
      <w:tcPr>
        <w:shd w:val="clear" w:color="000000" w:fill="9BBB59" w:themeFill="accent3"/>
      </w:tcPr>
    </w:tblStylePr>
    <w:tblStylePr w:type="lastRow">
      <w:pPr>
        <w:jc w:val="both"/>
      </w:pPr>
      <w:rPr>
        <w:b/>
        <w:w w:val="100"/>
        <w:sz w:val="20"/>
        <w:szCs w:val="20"/>
        <w:shd w:val="clear" w:color="auto" w:fill="auto"/>
      </w:rPr>
      <w:tblPr/>
      <w:tcPr>
        <w:tcBorders>
          <w:top w:val="double" w:color="9BBB59" w:themeColor="accent3" w:sz="6" w:space="0"/>
          <w:left w:val="single" w:color="9BBB59" w:themeColor="accent3" w:sz="6" w:space="0"/>
          <w:bottom w:val="single" w:color="9BBB59" w:themeColor="accent3" w:sz="6" w:space="0"/>
          <w:right w:val="single" w:color="9BBB59" w:themeColor="accent3" w:sz="6" w:space="0"/>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customStyle="1" w:styleId="48">
    <w:name w:val="MediumList2-Accent1"/>
    <w:basedOn w:val="25"/>
    <w:qFormat/>
    <w:uiPriority w:val="0"/>
    <w:pPr>
      <w:jc w:val="both"/>
    </w:pPr>
    <w:rPr>
      <w:color w:val="000000" w:themeColor="text1"/>
      <w:sz w:val="22"/>
      <w:szCs w:val="22"/>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tblPr/>
      <w:tcPr>
        <w:tcBorders>
          <w:top w:val="nil"/>
          <w:left w:val="nil"/>
          <w:bottom w:val="single" w:color="4F81BD" w:themeColor="accent1" w:sz="24" w:space="0"/>
          <w:right w:val="nil"/>
          <w:insideH w:val="nil"/>
          <w:insideV w:val="nil"/>
        </w:tcBorders>
        <w:shd w:val="clear" w:color="000000" w:fill="FFFFFF" w:themeFill="background1"/>
      </w:tcPr>
    </w:tblStylePr>
    <w:tblStylePr w:type="lastRow">
      <w:tblPr/>
      <w:tcPr>
        <w:tcBorders>
          <w:top w:val="single" w:color="4F81BD" w:themeColor="accent1" w:sz="4" w:space="0"/>
          <w:left w:val="nil"/>
          <w:bottom w:val="nil"/>
          <w:right w:val="nil"/>
          <w:insideH w:val="nil"/>
          <w:insideV w:val="nil"/>
        </w:tcBorders>
        <w:shd w:val="clear" w:color="000000" w:fill="FFFFFF" w:themeFill="background1"/>
      </w:tcPr>
    </w:tblStylePr>
    <w:tblStylePr w:type="firstCol">
      <w:tblPr/>
      <w:tcPr>
        <w:tcBorders>
          <w:top w:val="nil"/>
          <w:left w:val="nil"/>
          <w:bottom w:val="nil"/>
          <w:right w:val="single" w:color="4F81BD" w:themeColor="accent1" w:sz="4" w:space="0"/>
          <w:insideH w:val="nil"/>
          <w:insideV w:val="nil"/>
        </w:tcBorders>
        <w:shd w:val="clear" w:color="000000" w:fill="FFFFFF" w:themeFill="background1"/>
      </w:tcPr>
    </w:tblStylePr>
    <w:tblStylePr w:type="lastCol">
      <w:tblPr/>
      <w:tcPr>
        <w:tcBorders>
          <w:top w:val="nil"/>
          <w:left w:val="single" w:color="4F81BD" w:themeColor="accent1" w:sz="4" w:space="0"/>
          <w:bottom w:val="nil"/>
          <w:right w:val="nil"/>
          <w:insideH w:val="nil"/>
          <w:insideV w:val="nil"/>
        </w:tcBorders>
        <w:shd w:val="clear" w:color="000000" w:fill="FFFFFF" w:themeFill="background1"/>
      </w:tcPr>
    </w:tblStylePr>
    <w:tblStylePr w:type="band1Vert">
      <w:tblPr/>
      <w:tcPr>
        <w:tcBorders>
          <w:left w:val="nil"/>
          <w:right w:val="nil"/>
          <w:insideH w:val="nil"/>
          <w:insideV w:val="nil"/>
        </w:tcBorders>
        <w:shd w:val="clear" w:color="000000" w:fill="D4E0EE" w:themeFill="accent1" w:themeFillTint="3E"/>
      </w:tcPr>
    </w:tblStylePr>
    <w:tblStylePr w:type="band1Horz">
      <w:tblPr/>
      <w:tcPr>
        <w:tcBorders>
          <w:top w:val="nil"/>
          <w:bottom w:val="nil"/>
          <w:insideH w:val="nil"/>
          <w:insideV w:val="nil"/>
        </w:tcBorders>
        <w:shd w:val="clear" w:color="000000" w:fill="D4E0EE" w:themeFill="accent1" w:themeFillTint="3E"/>
      </w:tcPr>
    </w:tblStylePr>
    <w:tblStylePr w:type="nwCell">
      <w:tblPr/>
      <w:tcPr>
        <w:shd w:val="clear" w:color="000000" w:fill="FFFFFF" w:themeFill="background1"/>
      </w:tcPr>
    </w:tblStylePr>
    <w:tblStylePr w:type="swCell">
      <w:tblPr/>
      <w:tcPr>
        <w:tcBorders>
          <w:top w:val="nil"/>
        </w:tcBorders>
      </w:tcPr>
    </w:tblStylePr>
  </w:style>
  <w:style w:type="character" w:customStyle="1" w:styleId="49">
    <w:name w:val="页眉 Char"/>
    <w:link w:val="16"/>
    <w:semiHidden/>
    <w:qFormat/>
    <w:uiPriority w:val="0"/>
    <w:rPr>
      <w:rFonts w:ascii="宋体" w:hAnsi="宋体" w:eastAsia="Times New Roman"/>
      <w:w w:val="100"/>
      <w:sz w:val="18"/>
      <w:szCs w:val="18"/>
      <w:shd w:val="clear" w:color="auto" w:fill="auto"/>
    </w:rPr>
  </w:style>
  <w:style w:type="character" w:customStyle="1" w:styleId="50">
    <w:name w:val="页脚 Char"/>
    <w:link w:val="15"/>
    <w:semiHidden/>
    <w:qFormat/>
    <w:uiPriority w:val="0"/>
    <w:rPr>
      <w:rFonts w:ascii="宋体" w:hAnsi="宋体" w:eastAsia="Times New Roman"/>
      <w:w w:val="100"/>
      <w:sz w:val="18"/>
      <w:szCs w:val="18"/>
      <w:shd w:val="clear" w:color="auto" w:fill="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4130</Words>
  <Characters>4493</Characters>
  <Lines>35</Lines>
  <Paragraphs>9</Paragraphs>
  <TotalTime>1</TotalTime>
  <ScaleCrop>false</ScaleCrop>
  <LinksUpToDate>false</LinksUpToDate>
  <CharactersWithSpaces>4613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2018-03-06T01:58:00Z</dcterms:created>
  <dc:creator>Administrator</dc:creator>
  <cp:lastModifiedBy>八爪小鱼</cp:lastModifiedBy>
  <cp:lastPrinted>2018-03-06T08:25:00Z</cp:lastPrinted>
  <dcterms:modified xsi:type="dcterms:W3CDTF">2024-12-09T06:54:05Z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4FF35800E78B482288D00F398CC6AAD8_12</vt:lpwstr>
  </property>
</Properties>
</file>