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9478A9">
      <w:pPr>
        <w:widowControl/>
        <w:spacing w:line="560" w:lineRule="exact"/>
        <w:jc w:val="center"/>
        <w:rPr>
          <w:rFonts w:asciiTheme="majorEastAsia" w:hAnsiTheme="majorEastAsia" w:eastAsiaTheme="majorEastAsia" w:cstheme="majorEastAsia"/>
          <w:b/>
          <w:bCs/>
          <w:kern w:val="0"/>
          <w:sz w:val="44"/>
          <w:szCs w:val="44"/>
        </w:rPr>
      </w:pPr>
      <w:r>
        <w:rPr>
          <w:rFonts w:hint="eastAsia" w:asciiTheme="majorEastAsia" w:hAnsiTheme="majorEastAsia" w:eastAsiaTheme="majorEastAsia" w:cstheme="majorEastAsia"/>
          <w:b/>
          <w:bCs/>
          <w:kern w:val="0"/>
          <w:sz w:val="44"/>
          <w:szCs w:val="44"/>
        </w:rPr>
        <w:t>中国共产主义青年团涞水县委员会</w:t>
      </w:r>
    </w:p>
    <w:p w14:paraId="1B66BA09">
      <w:pPr>
        <w:widowControl/>
        <w:spacing w:line="560" w:lineRule="exact"/>
        <w:jc w:val="center"/>
        <w:rPr>
          <w:rFonts w:asciiTheme="majorEastAsia" w:hAnsiTheme="majorEastAsia" w:eastAsiaTheme="majorEastAsia" w:cstheme="majorEastAsia"/>
          <w:b/>
          <w:bCs/>
          <w:kern w:val="0"/>
          <w:sz w:val="44"/>
          <w:szCs w:val="44"/>
        </w:rPr>
      </w:pPr>
      <w:r>
        <w:rPr>
          <w:rFonts w:hint="eastAsia" w:asciiTheme="majorEastAsia" w:hAnsiTheme="majorEastAsia" w:eastAsiaTheme="majorEastAsia" w:cstheme="majorEastAsia"/>
          <w:b/>
          <w:bCs/>
          <w:kern w:val="0"/>
          <w:sz w:val="44"/>
          <w:szCs w:val="44"/>
        </w:rPr>
        <w:t>2019年部门预算公开有关事项的说明</w:t>
      </w:r>
    </w:p>
    <w:p w14:paraId="0EB6164E">
      <w:pPr>
        <w:widowControl/>
        <w:spacing w:line="560" w:lineRule="exact"/>
        <w:jc w:val="center"/>
        <w:rPr>
          <w:rFonts w:asciiTheme="majorEastAsia" w:hAnsiTheme="majorEastAsia" w:eastAsiaTheme="majorEastAsia" w:cstheme="majorEastAsia"/>
          <w:b/>
          <w:bCs/>
          <w:kern w:val="0"/>
          <w:sz w:val="44"/>
          <w:szCs w:val="44"/>
        </w:rPr>
      </w:pPr>
    </w:p>
    <w:p w14:paraId="33DA7CE9">
      <w:pPr>
        <w:widowControl/>
        <w:spacing w:line="560" w:lineRule="exact"/>
        <w:rPr>
          <w:rFonts w:ascii="黑体" w:hAnsi="黑体" w:eastAsia="黑体" w:cs="黑体"/>
          <w:sz w:val="30"/>
          <w:szCs w:val="30"/>
        </w:rPr>
      </w:pPr>
      <w:r>
        <w:rPr>
          <w:rFonts w:hint="eastAsia" w:ascii="黑体" w:hAnsi="黑体" w:eastAsia="黑体" w:cs="黑体"/>
          <w:b/>
          <w:bCs/>
          <w:kern w:val="0"/>
          <w:sz w:val="30"/>
          <w:szCs w:val="30"/>
        </w:rPr>
        <w:t>一、部门职责及机构设置情况</w:t>
      </w:r>
    </w:p>
    <w:p w14:paraId="5A358443">
      <w:p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中国共产主义青年团是中国共产党领导下的先进青年的群众组织，是广大青年在实践中学习共产主义的学校，是党的助手和后备军，是联系青年的桥梁和纽带，是国家政权的社会支柱之一。</w:t>
      </w:r>
    </w:p>
    <w:p w14:paraId="1ECFEEE4">
      <w:pPr>
        <w:spacing w:line="560" w:lineRule="exact"/>
        <w:rPr>
          <w:rFonts w:ascii="仿宋_GB2312" w:hAnsi="仿宋_GB2312" w:eastAsia="仿宋_GB2312" w:cs="仿宋_GB2312"/>
          <w:sz w:val="30"/>
          <w:szCs w:val="30"/>
        </w:rPr>
      </w:pPr>
      <w:r>
        <w:rPr>
          <w:rFonts w:hint="eastAsia" w:ascii="仿宋_GB2312" w:hAnsi="仿宋" w:eastAsia="仿宋_GB2312" w:cs="仿宋"/>
          <w:b/>
          <w:kern w:val="0"/>
          <w:sz w:val="30"/>
          <w:szCs w:val="30"/>
        </w:rPr>
        <w:t xml:space="preserve">   （一）部门职责。</w:t>
      </w:r>
      <w:r>
        <w:rPr>
          <w:rFonts w:hint="eastAsia" w:ascii="仿宋_GB2312" w:hAnsi="仿宋_GB2312" w:eastAsia="仿宋_GB2312" w:cs="仿宋_GB2312"/>
          <w:sz w:val="30"/>
          <w:szCs w:val="30"/>
        </w:rPr>
        <w:t>根据党的中心任务和团市委的部署，提出每个时期的全县工作的方针、任务，负责筹备、召开全县团代表大会，全委会和工作会议。</w:t>
      </w:r>
    </w:p>
    <w:p w14:paraId="21AC48D2">
      <w:pPr>
        <w:numPr>
          <w:ilvl w:val="0"/>
          <w:numId w:val="1"/>
        </w:num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负责指导、督促、检查全县各级团的工作总结交流，推广团的工作经验、树立典型。</w:t>
      </w:r>
    </w:p>
    <w:p w14:paraId="7571F186">
      <w:pPr>
        <w:numPr>
          <w:ilvl w:val="0"/>
          <w:numId w:val="1"/>
        </w:num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对广大青少年进行马克思主义理论教育，进行理想、道德教育，积极倡导社会新风，带领青少年在社会主义精神文明建设中发挥先锋作用。</w:t>
      </w:r>
    </w:p>
    <w:p w14:paraId="588AA626">
      <w:pPr>
        <w:numPr>
          <w:ilvl w:val="0"/>
          <w:numId w:val="1"/>
        </w:num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紧紧围绕四化建设中心和农业产业结构调整，开展各种活动促进青年对科学、文化和业务知识的学习，发挥农村青年的模范带头作用。</w:t>
      </w:r>
    </w:p>
    <w:p w14:paraId="308FFEE6">
      <w:pPr>
        <w:numPr>
          <w:ilvl w:val="0"/>
          <w:numId w:val="1"/>
        </w:num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加强团县委的思想建设和组织建设，做好青年统战工作，广泛团结各族各界青年，并不断扩大同国际青年的友好往来。</w:t>
      </w:r>
    </w:p>
    <w:p w14:paraId="668C9D91">
      <w:pPr>
        <w:numPr>
          <w:ilvl w:val="0"/>
          <w:numId w:val="1"/>
        </w:num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培养团干部，积极向党和政府有关部门输送合格的青年干部。并了解青年的学习生活情况，研究青年运动工作并及时向县委团市委反映。</w:t>
      </w:r>
    </w:p>
    <w:tbl>
      <w:tblPr>
        <w:tblStyle w:val="6"/>
        <w:tblpPr w:leftFromText="180" w:rightFromText="180" w:vertAnchor="text" w:horzAnchor="page" w:tblpX="1098" w:tblpY="729"/>
        <w:tblOverlap w:val="never"/>
        <w:tblW w:w="9900" w:type="dxa"/>
        <w:tblInd w:w="0" w:type="dxa"/>
        <w:tblLayout w:type="fixed"/>
        <w:tblCellMar>
          <w:top w:w="0" w:type="dxa"/>
          <w:left w:w="108" w:type="dxa"/>
          <w:bottom w:w="0" w:type="dxa"/>
          <w:right w:w="108" w:type="dxa"/>
        </w:tblCellMar>
      </w:tblPr>
      <w:tblGrid>
        <w:gridCol w:w="1091"/>
        <w:gridCol w:w="2345"/>
        <w:gridCol w:w="2143"/>
        <w:gridCol w:w="1920"/>
        <w:gridCol w:w="2401"/>
      </w:tblGrid>
      <w:tr w14:paraId="3E870C3C">
        <w:tblPrEx>
          <w:tblCellMar>
            <w:top w:w="0" w:type="dxa"/>
            <w:left w:w="108" w:type="dxa"/>
            <w:bottom w:w="0" w:type="dxa"/>
            <w:right w:w="108" w:type="dxa"/>
          </w:tblCellMar>
        </w:tblPrEx>
        <w:trPr>
          <w:trHeight w:val="280" w:hRule="atLeast"/>
        </w:trPr>
        <w:tc>
          <w:tcPr>
            <w:tcW w:w="9900" w:type="dxa"/>
            <w:gridSpan w:val="5"/>
            <w:tcBorders>
              <w:top w:val="nil"/>
              <w:left w:val="nil"/>
              <w:bottom w:val="single" w:color="auto" w:sz="4" w:space="0"/>
              <w:right w:val="nil"/>
            </w:tcBorders>
            <w:shd w:val="clear" w:color="auto" w:fill="auto"/>
            <w:vAlign w:val="center"/>
          </w:tcPr>
          <w:p w14:paraId="067293C0">
            <w:pPr>
              <w:widowControl/>
              <w:jc w:val="center"/>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部门机构设置情况</w:t>
            </w:r>
          </w:p>
        </w:tc>
      </w:tr>
      <w:tr w14:paraId="431C486B">
        <w:tblPrEx>
          <w:tblCellMar>
            <w:top w:w="0" w:type="dxa"/>
            <w:left w:w="108" w:type="dxa"/>
            <w:bottom w:w="0" w:type="dxa"/>
            <w:right w:w="108" w:type="dxa"/>
          </w:tblCellMar>
        </w:tblPrEx>
        <w:trPr>
          <w:trHeight w:val="624" w:hRule="atLeast"/>
        </w:trPr>
        <w:tc>
          <w:tcPr>
            <w:tcW w:w="1091" w:type="dxa"/>
            <w:vMerge w:val="restart"/>
            <w:tcBorders>
              <w:top w:val="nil"/>
              <w:left w:val="single" w:color="auto" w:sz="4" w:space="0"/>
              <w:bottom w:val="single" w:color="000000" w:sz="4" w:space="0"/>
              <w:right w:val="single" w:color="auto" w:sz="4" w:space="0"/>
            </w:tcBorders>
            <w:shd w:val="clear" w:color="auto" w:fill="auto"/>
            <w:vAlign w:val="center"/>
          </w:tcPr>
          <w:p w14:paraId="2DCA7151">
            <w:pPr>
              <w:widowControl/>
              <w:jc w:val="center"/>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序号</w:t>
            </w:r>
          </w:p>
        </w:tc>
        <w:tc>
          <w:tcPr>
            <w:tcW w:w="2345" w:type="dxa"/>
            <w:vMerge w:val="restart"/>
            <w:tcBorders>
              <w:top w:val="nil"/>
              <w:left w:val="single" w:color="auto" w:sz="4" w:space="0"/>
              <w:bottom w:val="single" w:color="000000" w:sz="4" w:space="0"/>
              <w:right w:val="single" w:color="auto" w:sz="4" w:space="0"/>
            </w:tcBorders>
            <w:shd w:val="clear" w:color="auto" w:fill="auto"/>
            <w:vAlign w:val="center"/>
          </w:tcPr>
          <w:p w14:paraId="7DE0E862">
            <w:pPr>
              <w:widowControl/>
              <w:jc w:val="center"/>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单位名称</w:t>
            </w:r>
          </w:p>
        </w:tc>
        <w:tc>
          <w:tcPr>
            <w:tcW w:w="2143" w:type="dxa"/>
            <w:vMerge w:val="restart"/>
            <w:tcBorders>
              <w:top w:val="nil"/>
              <w:left w:val="single" w:color="auto" w:sz="4" w:space="0"/>
              <w:bottom w:val="single" w:color="000000" w:sz="4" w:space="0"/>
              <w:right w:val="single" w:color="auto" w:sz="4" w:space="0"/>
            </w:tcBorders>
            <w:shd w:val="clear" w:color="auto" w:fill="auto"/>
            <w:vAlign w:val="center"/>
          </w:tcPr>
          <w:p w14:paraId="5B94C1F4">
            <w:pPr>
              <w:widowControl/>
              <w:jc w:val="center"/>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单位性质</w:t>
            </w:r>
          </w:p>
        </w:tc>
        <w:tc>
          <w:tcPr>
            <w:tcW w:w="1920" w:type="dxa"/>
            <w:vMerge w:val="restart"/>
            <w:tcBorders>
              <w:top w:val="nil"/>
              <w:left w:val="single" w:color="auto" w:sz="4" w:space="0"/>
              <w:bottom w:val="single" w:color="000000" w:sz="4" w:space="0"/>
              <w:right w:val="single" w:color="auto" w:sz="4" w:space="0"/>
            </w:tcBorders>
            <w:shd w:val="clear" w:color="auto" w:fill="auto"/>
            <w:vAlign w:val="center"/>
          </w:tcPr>
          <w:p w14:paraId="08185BA2">
            <w:pPr>
              <w:widowControl/>
              <w:jc w:val="center"/>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单位规格</w:t>
            </w:r>
          </w:p>
        </w:tc>
        <w:tc>
          <w:tcPr>
            <w:tcW w:w="2401" w:type="dxa"/>
            <w:vMerge w:val="restart"/>
            <w:tcBorders>
              <w:top w:val="nil"/>
              <w:left w:val="single" w:color="auto" w:sz="4" w:space="0"/>
              <w:bottom w:val="single" w:color="000000" w:sz="4" w:space="0"/>
              <w:right w:val="single" w:color="auto" w:sz="4" w:space="0"/>
            </w:tcBorders>
            <w:shd w:val="clear" w:color="auto" w:fill="auto"/>
            <w:vAlign w:val="center"/>
          </w:tcPr>
          <w:p w14:paraId="56D38739">
            <w:pPr>
              <w:widowControl/>
              <w:jc w:val="center"/>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经费保障形式</w:t>
            </w:r>
          </w:p>
        </w:tc>
      </w:tr>
      <w:tr w14:paraId="628B627A">
        <w:tblPrEx>
          <w:tblCellMar>
            <w:top w:w="0" w:type="dxa"/>
            <w:left w:w="108" w:type="dxa"/>
            <w:bottom w:w="0" w:type="dxa"/>
            <w:right w:w="108" w:type="dxa"/>
          </w:tblCellMar>
        </w:tblPrEx>
        <w:trPr>
          <w:trHeight w:val="624" w:hRule="atLeast"/>
        </w:trPr>
        <w:tc>
          <w:tcPr>
            <w:tcW w:w="1091" w:type="dxa"/>
            <w:vMerge w:val="continue"/>
            <w:tcBorders>
              <w:top w:val="nil"/>
              <w:left w:val="single" w:color="auto" w:sz="4" w:space="0"/>
              <w:bottom w:val="single" w:color="000000" w:sz="4" w:space="0"/>
              <w:right w:val="single" w:color="auto" w:sz="4" w:space="0"/>
            </w:tcBorders>
            <w:vAlign w:val="center"/>
          </w:tcPr>
          <w:p w14:paraId="6CB16A95">
            <w:pPr>
              <w:widowControl/>
              <w:jc w:val="left"/>
              <w:rPr>
                <w:rFonts w:cs="宋体" w:asciiTheme="minorEastAsia" w:hAnsiTheme="minorEastAsia" w:eastAsiaTheme="minorEastAsia"/>
                <w:color w:val="000000"/>
                <w:kern w:val="0"/>
                <w:sz w:val="28"/>
                <w:szCs w:val="28"/>
              </w:rPr>
            </w:pPr>
          </w:p>
        </w:tc>
        <w:tc>
          <w:tcPr>
            <w:tcW w:w="2345" w:type="dxa"/>
            <w:vMerge w:val="continue"/>
            <w:tcBorders>
              <w:top w:val="nil"/>
              <w:left w:val="single" w:color="auto" w:sz="4" w:space="0"/>
              <w:bottom w:val="single" w:color="000000" w:sz="4" w:space="0"/>
              <w:right w:val="single" w:color="auto" w:sz="4" w:space="0"/>
            </w:tcBorders>
            <w:vAlign w:val="center"/>
          </w:tcPr>
          <w:p w14:paraId="6CB6950D">
            <w:pPr>
              <w:widowControl/>
              <w:jc w:val="left"/>
              <w:rPr>
                <w:rFonts w:cs="宋体" w:asciiTheme="minorEastAsia" w:hAnsiTheme="minorEastAsia" w:eastAsiaTheme="minorEastAsia"/>
                <w:color w:val="000000"/>
                <w:kern w:val="0"/>
                <w:sz w:val="28"/>
                <w:szCs w:val="28"/>
              </w:rPr>
            </w:pPr>
          </w:p>
        </w:tc>
        <w:tc>
          <w:tcPr>
            <w:tcW w:w="2143" w:type="dxa"/>
            <w:vMerge w:val="continue"/>
            <w:tcBorders>
              <w:top w:val="nil"/>
              <w:left w:val="single" w:color="auto" w:sz="4" w:space="0"/>
              <w:bottom w:val="single" w:color="000000" w:sz="4" w:space="0"/>
              <w:right w:val="single" w:color="auto" w:sz="4" w:space="0"/>
            </w:tcBorders>
            <w:vAlign w:val="center"/>
          </w:tcPr>
          <w:p w14:paraId="3B49B923">
            <w:pPr>
              <w:widowControl/>
              <w:jc w:val="left"/>
              <w:rPr>
                <w:rFonts w:cs="宋体" w:asciiTheme="minorEastAsia" w:hAnsiTheme="minorEastAsia" w:eastAsiaTheme="minorEastAsia"/>
                <w:color w:val="000000"/>
                <w:kern w:val="0"/>
                <w:sz w:val="28"/>
                <w:szCs w:val="28"/>
              </w:rPr>
            </w:pPr>
          </w:p>
        </w:tc>
        <w:tc>
          <w:tcPr>
            <w:tcW w:w="1920" w:type="dxa"/>
            <w:vMerge w:val="continue"/>
            <w:tcBorders>
              <w:top w:val="nil"/>
              <w:left w:val="single" w:color="auto" w:sz="4" w:space="0"/>
              <w:bottom w:val="single" w:color="000000" w:sz="4" w:space="0"/>
              <w:right w:val="single" w:color="auto" w:sz="4" w:space="0"/>
            </w:tcBorders>
            <w:vAlign w:val="center"/>
          </w:tcPr>
          <w:p w14:paraId="4998E50F">
            <w:pPr>
              <w:widowControl/>
              <w:jc w:val="left"/>
              <w:rPr>
                <w:rFonts w:cs="宋体" w:asciiTheme="minorEastAsia" w:hAnsiTheme="minorEastAsia" w:eastAsiaTheme="minorEastAsia"/>
                <w:color w:val="000000"/>
                <w:kern w:val="0"/>
                <w:sz w:val="28"/>
                <w:szCs w:val="28"/>
              </w:rPr>
            </w:pPr>
          </w:p>
        </w:tc>
        <w:tc>
          <w:tcPr>
            <w:tcW w:w="2401" w:type="dxa"/>
            <w:vMerge w:val="continue"/>
            <w:tcBorders>
              <w:top w:val="nil"/>
              <w:left w:val="single" w:color="auto" w:sz="4" w:space="0"/>
              <w:bottom w:val="single" w:color="000000" w:sz="4" w:space="0"/>
              <w:right w:val="single" w:color="auto" w:sz="4" w:space="0"/>
            </w:tcBorders>
            <w:vAlign w:val="center"/>
          </w:tcPr>
          <w:p w14:paraId="5189E33A">
            <w:pPr>
              <w:widowControl/>
              <w:jc w:val="left"/>
              <w:rPr>
                <w:rFonts w:cs="宋体" w:asciiTheme="minorEastAsia" w:hAnsiTheme="minorEastAsia" w:eastAsiaTheme="minorEastAsia"/>
                <w:color w:val="000000"/>
                <w:kern w:val="0"/>
                <w:sz w:val="28"/>
                <w:szCs w:val="28"/>
              </w:rPr>
            </w:pPr>
          </w:p>
        </w:tc>
      </w:tr>
      <w:tr w14:paraId="3F015DE5">
        <w:tblPrEx>
          <w:tblCellMar>
            <w:top w:w="0" w:type="dxa"/>
            <w:left w:w="108" w:type="dxa"/>
            <w:bottom w:w="0" w:type="dxa"/>
            <w:right w:w="108" w:type="dxa"/>
          </w:tblCellMar>
        </w:tblPrEx>
        <w:trPr>
          <w:trHeight w:val="269" w:hRule="atLeast"/>
        </w:trPr>
        <w:tc>
          <w:tcPr>
            <w:tcW w:w="1091" w:type="dxa"/>
            <w:tcBorders>
              <w:top w:val="nil"/>
              <w:left w:val="single" w:color="auto" w:sz="4" w:space="0"/>
              <w:bottom w:val="single" w:color="auto" w:sz="4" w:space="0"/>
              <w:right w:val="single" w:color="auto" w:sz="4" w:space="0"/>
            </w:tcBorders>
            <w:shd w:val="clear" w:color="auto" w:fill="auto"/>
            <w:vAlign w:val="center"/>
          </w:tcPr>
          <w:p w14:paraId="410A3364">
            <w:pPr>
              <w:widowControl/>
              <w:jc w:val="center"/>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1</w:t>
            </w:r>
          </w:p>
        </w:tc>
        <w:tc>
          <w:tcPr>
            <w:tcW w:w="2345" w:type="dxa"/>
            <w:tcBorders>
              <w:top w:val="nil"/>
              <w:left w:val="nil"/>
              <w:bottom w:val="single" w:color="auto" w:sz="4" w:space="0"/>
              <w:right w:val="single" w:color="auto" w:sz="4" w:space="0"/>
            </w:tcBorders>
            <w:shd w:val="clear" w:color="auto" w:fill="auto"/>
            <w:vAlign w:val="center"/>
          </w:tcPr>
          <w:p w14:paraId="2355A0A6">
            <w:pPr>
              <w:widowControl/>
              <w:jc w:val="center"/>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共青团涞水县委</w:t>
            </w:r>
          </w:p>
        </w:tc>
        <w:tc>
          <w:tcPr>
            <w:tcW w:w="2143" w:type="dxa"/>
            <w:tcBorders>
              <w:top w:val="nil"/>
              <w:left w:val="nil"/>
              <w:bottom w:val="single" w:color="auto" w:sz="4" w:space="0"/>
              <w:right w:val="single" w:color="auto" w:sz="4" w:space="0"/>
            </w:tcBorders>
            <w:shd w:val="clear" w:color="auto" w:fill="auto"/>
            <w:vAlign w:val="center"/>
          </w:tcPr>
          <w:p w14:paraId="078FF9A2">
            <w:pPr>
              <w:widowControl/>
              <w:jc w:val="center"/>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行政</w:t>
            </w:r>
          </w:p>
        </w:tc>
        <w:tc>
          <w:tcPr>
            <w:tcW w:w="1920" w:type="dxa"/>
            <w:tcBorders>
              <w:top w:val="nil"/>
              <w:left w:val="nil"/>
              <w:bottom w:val="single" w:color="auto" w:sz="4" w:space="0"/>
              <w:right w:val="single" w:color="auto" w:sz="4" w:space="0"/>
            </w:tcBorders>
            <w:shd w:val="clear" w:color="auto" w:fill="auto"/>
            <w:vAlign w:val="center"/>
          </w:tcPr>
          <w:p w14:paraId="10A841C4">
            <w:pPr>
              <w:widowControl/>
              <w:jc w:val="center"/>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正科级</w:t>
            </w:r>
          </w:p>
        </w:tc>
        <w:tc>
          <w:tcPr>
            <w:tcW w:w="2401" w:type="dxa"/>
            <w:tcBorders>
              <w:top w:val="nil"/>
              <w:left w:val="nil"/>
              <w:bottom w:val="single" w:color="auto" w:sz="4" w:space="0"/>
              <w:right w:val="single" w:color="auto" w:sz="4" w:space="0"/>
            </w:tcBorders>
            <w:shd w:val="clear" w:color="auto" w:fill="auto"/>
            <w:vAlign w:val="center"/>
          </w:tcPr>
          <w:p w14:paraId="0D59E28F">
            <w:pPr>
              <w:widowControl/>
              <w:jc w:val="center"/>
              <w:rPr>
                <w:rFonts w:cs="宋体" w:asciiTheme="minorEastAsia" w:hAnsiTheme="minorEastAsia" w:eastAsiaTheme="minorEastAsia"/>
                <w:color w:val="000000"/>
                <w:kern w:val="0"/>
                <w:sz w:val="28"/>
                <w:szCs w:val="28"/>
              </w:rPr>
            </w:pPr>
            <w:r>
              <w:rPr>
                <w:rFonts w:hint="eastAsia" w:cs="宋体" w:asciiTheme="minorEastAsia" w:hAnsiTheme="minorEastAsia" w:eastAsiaTheme="minorEastAsia"/>
                <w:color w:val="000000"/>
                <w:kern w:val="0"/>
                <w:sz w:val="28"/>
                <w:szCs w:val="28"/>
              </w:rPr>
              <w:t>财政拨款</w:t>
            </w:r>
          </w:p>
        </w:tc>
      </w:tr>
    </w:tbl>
    <w:p w14:paraId="066B5359">
      <w:pPr>
        <w:numPr>
          <w:ilvl w:val="0"/>
          <w:numId w:val="1"/>
        </w:num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承担有关共青团的其他工作。</w:t>
      </w:r>
    </w:p>
    <w:p w14:paraId="6DAF2F25">
      <w:pPr>
        <w:spacing w:line="560" w:lineRule="exact"/>
        <w:rPr>
          <w:rFonts w:ascii="仿宋_GB2312" w:hAnsi="仿宋" w:eastAsia="仿宋_GB2312" w:cs="仿宋"/>
          <w:b/>
          <w:kern w:val="0"/>
          <w:sz w:val="30"/>
          <w:szCs w:val="30"/>
        </w:rPr>
      </w:pPr>
      <w:r>
        <w:rPr>
          <w:rFonts w:hint="eastAsia" w:ascii="仿宋_GB2312" w:hAnsi="仿宋" w:eastAsia="仿宋_GB2312" w:cs="仿宋"/>
          <w:b/>
          <w:kern w:val="0"/>
          <w:sz w:val="30"/>
          <w:szCs w:val="30"/>
        </w:rPr>
        <w:t xml:space="preserve">   （二）机构设置。</w:t>
      </w:r>
    </w:p>
    <w:p w14:paraId="1C70CEB5">
      <w:pPr>
        <w:spacing w:line="560" w:lineRule="exact"/>
        <w:ind w:firstLine="600" w:firstLineChars="200"/>
        <w:rPr>
          <w:rFonts w:ascii="仿宋_GB2312" w:hAnsi="仿宋_GB2312" w:eastAsia="仿宋_GB2312" w:cs="仿宋_GB2312"/>
          <w:b/>
          <w:bCs/>
          <w:sz w:val="30"/>
          <w:szCs w:val="30"/>
        </w:rPr>
      </w:pPr>
      <w:r>
        <w:rPr>
          <w:rFonts w:hint="eastAsia" w:ascii="仿宋_GB2312" w:hAnsi="仿宋_GB2312" w:eastAsia="仿宋_GB2312" w:cs="仿宋_GB2312"/>
          <w:sz w:val="30"/>
          <w:szCs w:val="30"/>
        </w:rPr>
        <w:t>共青团涞水县委机关行政编制3名。其中，书记1名，副书记1名，股级职数1名。实有行政在职人数2人。</w:t>
      </w:r>
    </w:p>
    <w:p w14:paraId="08E27029">
      <w:pPr>
        <w:widowControl/>
        <w:spacing w:line="560" w:lineRule="exact"/>
        <w:ind w:firstLine="645"/>
        <w:rPr>
          <w:rFonts w:ascii="仿宋_GB2312" w:hAnsi="仿宋" w:eastAsia="仿宋_GB2312" w:cs="仿宋"/>
          <w:kern w:val="0"/>
          <w:sz w:val="30"/>
          <w:szCs w:val="30"/>
        </w:rPr>
      </w:pPr>
      <w:r>
        <w:rPr>
          <w:rFonts w:hint="eastAsia" w:ascii="仿宋_GB2312" w:hAnsi="仿宋" w:eastAsia="仿宋_GB2312" w:cs="仿宋"/>
          <w:kern w:val="0"/>
          <w:sz w:val="30"/>
          <w:szCs w:val="30"/>
        </w:rPr>
        <w:t>内设机构及职责：</w:t>
      </w:r>
    </w:p>
    <w:p w14:paraId="3BF7AA37">
      <w:pPr>
        <w:numPr>
          <w:ilvl w:val="0"/>
          <w:numId w:val="2"/>
        </w:num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负责上报下达，协调联系，调查研究、文件起草等机关日常行政事务和后勤保障工作。</w:t>
      </w:r>
    </w:p>
    <w:p w14:paraId="7A890928">
      <w:pPr>
        <w:numPr>
          <w:ilvl w:val="0"/>
          <w:numId w:val="2"/>
        </w:num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加强团基层组织建设，做好团员发展工作。及时收缴团费，推荐优秀团员做好党的发展对象。</w:t>
      </w:r>
    </w:p>
    <w:p w14:paraId="3AB7E407">
      <w:pPr>
        <w:numPr>
          <w:ilvl w:val="0"/>
          <w:numId w:val="2"/>
        </w:num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加强全县青年的思想、文化、道德建设，宣传党的路线、方针、政策，开展适合青年特点的活动。</w:t>
      </w:r>
    </w:p>
    <w:p w14:paraId="73B30362">
      <w:pPr>
        <w:numPr>
          <w:ilvl w:val="0"/>
          <w:numId w:val="2"/>
        </w:num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维护青少年的合法权益，做好青少年的思想政治工作，引导他们听党的话，跟党走，做共产主义事业的接班人，研究指导全县少先队工作，开展富有特色的少先队活动。</w:t>
      </w:r>
    </w:p>
    <w:p w14:paraId="3E6241EC">
      <w:pPr>
        <w:numPr>
          <w:ilvl w:val="0"/>
          <w:numId w:val="2"/>
        </w:num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做好城乡广大青少年团员的工作，组织创建劳动能手、岗位模范活动的实施，使广大青年为我县的发展献计献策。</w:t>
      </w:r>
    </w:p>
    <w:p w14:paraId="2CE9E543">
      <w:pPr>
        <w:numPr>
          <w:ilvl w:val="0"/>
          <w:numId w:val="2"/>
        </w:num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完成领导交办的其它工作事项。</w:t>
      </w:r>
    </w:p>
    <w:p w14:paraId="462F3827">
      <w:pPr>
        <w:widowControl/>
        <w:spacing w:line="560" w:lineRule="exact"/>
        <w:rPr>
          <w:rFonts w:ascii="黑体" w:hAnsi="黑体" w:eastAsia="黑体" w:cs="黑体"/>
          <w:b/>
          <w:bCs/>
          <w:kern w:val="0"/>
          <w:sz w:val="30"/>
          <w:szCs w:val="30"/>
        </w:rPr>
      </w:pPr>
      <w:r>
        <w:rPr>
          <w:rFonts w:hint="eastAsia" w:ascii="黑体" w:hAnsi="黑体" w:eastAsia="黑体" w:cs="黑体"/>
          <w:b/>
          <w:bCs/>
          <w:kern w:val="0"/>
          <w:sz w:val="30"/>
          <w:szCs w:val="30"/>
        </w:rPr>
        <w:t>二、部门预算安排总体情况</w:t>
      </w:r>
    </w:p>
    <w:p w14:paraId="557FA540">
      <w:pPr>
        <w:widowControl/>
        <w:spacing w:line="560" w:lineRule="exact"/>
        <w:ind w:firstLine="640"/>
        <w:rPr>
          <w:rFonts w:ascii="仿宋_GB2312" w:hAnsi="仿宋_GB2312" w:eastAsia="仿宋_GB2312" w:cs="仿宋_GB2312"/>
          <w:kern w:val="0"/>
          <w:sz w:val="30"/>
          <w:szCs w:val="30"/>
        </w:rPr>
      </w:pPr>
      <w:r>
        <w:rPr>
          <w:rFonts w:hint="eastAsia" w:ascii="仿宋_GB2312" w:hAnsi="仿宋_GB2312" w:eastAsia="仿宋_GB2312" w:cs="仿宋_GB2312"/>
          <w:sz w:val="30"/>
          <w:szCs w:val="30"/>
        </w:rPr>
        <w:t>我单位</w:t>
      </w:r>
      <w:r>
        <w:rPr>
          <w:rFonts w:hint="eastAsia" w:ascii="仿宋_GB2312" w:hAnsi="仿宋_GB2312" w:eastAsia="仿宋_GB2312" w:cs="仿宋_GB2312"/>
          <w:kern w:val="0"/>
          <w:sz w:val="30"/>
          <w:szCs w:val="30"/>
        </w:rPr>
        <w:t>预算安排总体情况如下。收入情况：财政拨款收入32.45万元（一般公共预算32.45万元）；预算支出情况：支出总额32.45万元（基本支出21.6万元、项目支出10.85万元）。</w:t>
      </w:r>
    </w:p>
    <w:p w14:paraId="5069E148">
      <w:pPr>
        <w:ind w:left="640"/>
        <w:rPr>
          <w:rFonts w:ascii="仿宋_GB2312" w:hAnsi="宋体" w:eastAsia="仿宋_GB2312"/>
          <w:b/>
          <w:sz w:val="30"/>
          <w:szCs w:val="30"/>
        </w:rPr>
      </w:pPr>
      <w:r>
        <w:rPr>
          <w:rFonts w:ascii="仿宋_GB2312" w:hAnsi="宋体" w:eastAsia="仿宋_GB2312"/>
          <w:b/>
          <w:sz w:val="30"/>
          <w:szCs w:val="30"/>
        </w:rPr>
        <w:t>(</w:t>
      </w:r>
      <w:r>
        <w:rPr>
          <w:rFonts w:hint="eastAsia" w:ascii="仿宋_GB2312" w:hAnsi="宋体" w:eastAsia="仿宋_GB2312"/>
          <w:b/>
          <w:sz w:val="30"/>
          <w:szCs w:val="30"/>
        </w:rPr>
        <w:t>一</w:t>
      </w:r>
      <w:r>
        <w:rPr>
          <w:rFonts w:ascii="仿宋_GB2312" w:hAnsi="宋体" w:eastAsia="仿宋_GB2312"/>
          <w:b/>
          <w:sz w:val="30"/>
          <w:szCs w:val="30"/>
        </w:rPr>
        <w:t>)</w:t>
      </w:r>
      <w:r>
        <w:rPr>
          <w:rFonts w:hint="eastAsia" w:ascii="仿宋_GB2312" w:hAnsi="宋体" w:eastAsia="仿宋_GB2312"/>
          <w:b/>
          <w:sz w:val="30"/>
          <w:szCs w:val="30"/>
        </w:rPr>
        <w:t>部门基本支出预算21.6万元。</w:t>
      </w:r>
    </w:p>
    <w:p w14:paraId="771E6171">
      <w:pPr>
        <w:ind w:firstLine="600" w:firstLineChars="200"/>
        <w:rPr>
          <w:rFonts w:ascii="仿宋_GB2312" w:hAnsi="宋体" w:eastAsia="仿宋_GB2312"/>
          <w:sz w:val="30"/>
          <w:szCs w:val="30"/>
        </w:rPr>
      </w:pPr>
      <w:r>
        <w:rPr>
          <w:rFonts w:ascii="仿宋_GB2312" w:hAnsi="宋体" w:eastAsia="仿宋_GB2312"/>
          <w:sz w:val="30"/>
          <w:szCs w:val="30"/>
        </w:rPr>
        <w:t>1.</w:t>
      </w:r>
      <w:r>
        <w:rPr>
          <w:rFonts w:hint="eastAsia" w:ascii="仿宋_GB2312" w:hAnsi="宋体" w:eastAsia="仿宋_GB2312"/>
          <w:sz w:val="30"/>
          <w:szCs w:val="30"/>
        </w:rPr>
        <w:t>人员经费支出16.17万元。</w:t>
      </w:r>
    </w:p>
    <w:p w14:paraId="19691BBD">
      <w:pPr>
        <w:ind w:firstLine="600" w:firstLineChars="200"/>
        <w:rPr>
          <w:rFonts w:ascii="仿宋_GB2312" w:hAnsi="宋体" w:eastAsia="仿宋_GB2312"/>
          <w:sz w:val="30"/>
          <w:szCs w:val="30"/>
        </w:rPr>
      </w:pPr>
      <w:r>
        <w:rPr>
          <w:rFonts w:hint="eastAsia" w:ascii="仿宋_GB2312" w:hAnsi="宋体" w:eastAsia="仿宋_GB2312"/>
          <w:sz w:val="30"/>
          <w:szCs w:val="30"/>
        </w:rPr>
        <w:t>工资福利支出16.17万元。其中，基本工资6.92万元，津贴补贴3.62万元，物业补贴0.48万元，取暖补贴0.58万元，年终一次性奖金0.58万元，社会保障缴费3.99万元（基本养老保险费2.22万元</w:t>
      </w:r>
      <w:r>
        <w:rPr>
          <w:rFonts w:ascii="仿宋_GB2312" w:hAnsi="宋体" w:eastAsia="仿宋_GB2312"/>
          <w:sz w:val="30"/>
          <w:szCs w:val="30"/>
        </w:rPr>
        <w:t>,</w:t>
      </w:r>
      <w:r>
        <w:rPr>
          <w:rFonts w:hint="eastAsia" w:ascii="仿宋_GB2312" w:hAnsi="宋体" w:eastAsia="仿宋_GB2312"/>
          <w:sz w:val="30"/>
          <w:szCs w:val="30"/>
        </w:rPr>
        <w:t>基本医疗保险费0.63万元</w:t>
      </w:r>
      <w:r>
        <w:rPr>
          <w:rFonts w:ascii="仿宋_GB2312" w:hAnsi="宋体" w:eastAsia="仿宋_GB2312"/>
          <w:sz w:val="30"/>
          <w:szCs w:val="30"/>
        </w:rPr>
        <w:t>,</w:t>
      </w:r>
      <w:r>
        <w:rPr>
          <w:rFonts w:hint="eastAsia" w:ascii="仿宋_GB2312" w:hAnsi="宋体" w:eastAsia="仿宋_GB2312"/>
          <w:sz w:val="30"/>
          <w:szCs w:val="30"/>
        </w:rPr>
        <w:t>生育保险金</w:t>
      </w:r>
      <w:r>
        <w:rPr>
          <w:rFonts w:ascii="仿宋_GB2312" w:hAnsi="宋体" w:eastAsia="仿宋_GB2312"/>
          <w:sz w:val="30"/>
          <w:szCs w:val="30"/>
        </w:rPr>
        <w:t>0.0</w:t>
      </w:r>
      <w:r>
        <w:rPr>
          <w:rFonts w:hint="eastAsia" w:ascii="仿宋_GB2312" w:hAnsi="宋体" w:eastAsia="仿宋_GB2312"/>
          <w:sz w:val="30"/>
          <w:szCs w:val="30"/>
        </w:rPr>
        <w:t>4万元，工伤保险费0.05万元，住房公积金1.05万元）。</w:t>
      </w:r>
    </w:p>
    <w:p w14:paraId="0FDD1BA3">
      <w:pPr>
        <w:tabs>
          <w:tab w:val="left" w:pos="6645"/>
        </w:tabs>
        <w:ind w:firstLine="600" w:firstLineChars="200"/>
        <w:rPr>
          <w:rFonts w:ascii="仿宋_GB2312" w:hAnsi="宋体" w:eastAsia="仿宋_GB2312"/>
          <w:sz w:val="30"/>
          <w:szCs w:val="30"/>
        </w:rPr>
      </w:pPr>
      <w:r>
        <w:rPr>
          <w:rFonts w:ascii="仿宋_GB2312" w:hAnsi="宋体" w:eastAsia="仿宋_GB2312"/>
          <w:sz w:val="30"/>
          <w:szCs w:val="30"/>
        </w:rPr>
        <w:t>2.</w:t>
      </w:r>
      <w:r>
        <w:rPr>
          <w:rFonts w:hint="eastAsia" w:ascii="仿宋_GB2312" w:hAnsi="宋体" w:eastAsia="仿宋_GB2312"/>
          <w:sz w:val="30"/>
          <w:szCs w:val="30"/>
        </w:rPr>
        <w:t>日常公用经费支出5.43万元。</w:t>
      </w:r>
    </w:p>
    <w:p w14:paraId="3A0042E9">
      <w:pPr>
        <w:tabs>
          <w:tab w:val="left" w:pos="6645"/>
        </w:tabs>
        <w:ind w:firstLine="597" w:firstLineChars="199"/>
        <w:rPr>
          <w:rFonts w:ascii="仿宋_GB2312" w:hAnsi="宋体" w:eastAsia="仿宋_GB2312"/>
          <w:sz w:val="30"/>
          <w:szCs w:val="30"/>
        </w:rPr>
      </w:pPr>
      <w:r>
        <w:rPr>
          <w:rFonts w:hint="eastAsia" w:ascii="仿宋_GB2312" w:hAnsi="宋体" w:eastAsia="仿宋_GB2312"/>
          <w:sz w:val="30"/>
          <w:szCs w:val="30"/>
        </w:rPr>
        <w:t>基础定额项目费5.13万元。其中，部门办公费0.44万元，邮电费0.18万元，差旅费</w:t>
      </w:r>
      <w:r>
        <w:rPr>
          <w:rFonts w:ascii="仿宋_GB2312" w:hAnsi="宋体" w:eastAsia="仿宋_GB2312"/>
          <w:sz w:val="30"/>
          <w:szCs w:val="30"/>
        </w:rPr>
        <w:t>0.</w:t>
      </w:r>
      <w:r>
        <w:rPr>
          <w:rFonts w:hint="eastAsia" w:ascii="仿宋_GB2312" w:hAnsi="宋体" w:eastAsia="仿宋_GB2312"/>
          <w:sz w:val="30"/>
          <w:szCs w:val="30"/>
        </w:rPr>
        <w:t>2万元，公务交通补贴1.38万元，劳务费2.93万元。</w:t>
      </w:r>
    </w:p>
    <w:p w14:paraId="7C2526F5">
      <w:pPr>
        <w:tabs>
          <w:tab w:val="left" w:pos="6645"/>
        </w:tabs>
        <w:ind w:firstLine="597" w:firstLineChars="199"/>
        <w:rPr>
          <w:rFonts w:ascii="仿宋_GB2312" w:hAnsi="宋体" w:eastAsia="仿宋_GB2312"/>
          <w:sz w:val="30"/>
          <w:szCs w:val="30"/>
        </w:rPr>
      </w:pPr>
      <w:r>
        <w:rPr>
          <w:rFonts w:hint="eastAsia" w:ascii="仿宋_GB2312" w:hAnsi="宋体" w:eastAsia="仿宋_GB2312"/>
          <w:sz w:val="30"/>
          <w:szCs w:val="30"/>
        </w:rPr>
        <w:t>按规定比例计提项目费0.30万元。其中</w:t>
      </w:r>
      <w:r>
        <w:rPr>
          <w:rFonts w:ascii="仿宋_GB2312" w:hAnsi="宋体" w:eastAsia="仿宋_GB2312"/>
          <w:sz w:val="30"/>
          <w:szCs w:val="30"/>
        </w:rPr>
        <w:t>,</w:t>
      </w:r>
      <w:r>
        <w:rPr>
          <w:rFonts w:hint="eastAsia" w:ascii="仿宋_GB2312" w:hAnsi="宋体" w:eastAsia="仿宋_GB2312"/>
          <w:sz w:val="30"/>
          <w:szCs w:val="30"/>
        </w:rPr>
        <w:t>工会经费</w:t>
      </w:r>
      <w:r>
        <w:rPr>
          <w:rFonts w:ascii="仿宋_GB2312" w:hAnsi="宋体" w:eastAsia="仿宋_GB2312"/>
          <w:sz w:val="30"/>
          <w:szCs w:val="30"/>
        </w:rPr>
        <w:t>0.</w:t>
      </w:r>
      <w:r>
        <w:rPr>
          <w:rFonts w:hint="eastAsia" w:ascii="仿宋_GB2312" w:hAnsi="宋体" w:eastAsia="仿宋_GB2312"/>
          <w:sz w:val="30"/>
          <w:szCs w:val="30"/>
        </w:rPr>
        <w:t>13万元，职工福利费</w:t>
      </w:r>
      <w:r>
        <w:rPr>
          <w:rFonts w:ascii="仿宋_GB2312" w:hAnsi="宋体" w:eastAsia="仿宋_GB2312"/>
          <w:sz w:val="30"/>
          <w:szCs w:val="30"/>
        </w:rPr>
        <w:t>0.</w:t>
      </w:r>
      <w:r>
        <w:rPr>
          <w:rFonts w:hint="eastAsia" w:ascii="仿宋_GB2312" w:hAnsi="宋体" w:eastAsia="仿宋_GB2312"/>
          <w:sz w:val="30"/>
          <w:szCs w:val="30"/>
        </w:rPr>
        <w:t>17万元。</w:t>
      </w:r>
    </w:p>
    <w:p w14:paraId="754CCF5D">
      <w:pPr>
        <w:tabs>
          <w:tab w:val="left" w:pos="6645"/>
        </w:tabs>
        <w:ind w:firstLine="597" w:firstLineChars="199"/>
        <w:rPr>
          <w:rFonts w:ascii="仿宋_GB2312" w:hAnsi="宋体" w:eastAsia="仿宋_GB2312"/>
          <w:b/>
          <w:sz w:val="30"/>
          <w:szCs w:val="30"/>
        </w:rPr>
      </w:pPr>
      <w:r>
        <w:rPr>
          <w:rFonts w:hint="eastAsia" w:ascii="仿宋_GB2312" w:hAnsi="宋体" w:eastAsia="仿宋_GB2312"/>
          <w:b/>
          <w:sz w:val="30"/>
          <w:szCs w:val="30"/>
        </w:rPr>
        <w:t>（二）部门项目支出预算10.85万元。</w:t>
      </w:r>
    </w:p>
    <w:p w14:paraId="4DB36CFF">
      <w:pPr>
        <w:tabs>
          <w:tab w:val="left" w:pos="6645"/>
        </w:tabs>
        <w:ind w:firstLine="600" w:firstLineChars="200"/>
        <w:rPr>
          <w:rFonts w:ascii="仿宋_GB2312" w:hAnsi="宋体" w:eastAsia="仿宋_GB2312"/>
          <w:sz w:val="30"/>
          <w:szCs w:val="30"/>
        </w:rPr>
      </w:pPr>
      <w:r>
        <w:rPr>
          <w:rFonts w:hint="eastAsia" w:ascii="仿宋_GB2312" w:hAnsi="宋体" w:eastAsia="仿宋_GB2312"/>
          <w:sz w:val="30"/>
          <w:szCs w:val="30"/>
        </w:rPr>
        <w:t>1.少先队工作经费</w:t>
      </w:r>
    </w:p>
    <w:p w14:paraId="7621006F">
      <w:pPr>
        <w:tabs>
          <w:tab w:val="left" w:pos="6645"/>
        </w:tabs>
        <w:ind w:left="788" w:leftChars="304" w:hanging="150" w:hangingChars="50"/>
        <w:rPr>
          <w:rFonts w:ascii="仿宋_GB2312" w:eastAsia="仿宋_GB2312"/>
          <w:sz w:val="32"/>
          <w:szCs w:val="32"/>
        </w:rPr>
      </w:pPr>
      <w:r>
        <w:rPr>
          <w:rFonts w:hint="eastAsia" w:ascii="仿宋_GB2312" w:hAnsi="宋体" w:eastAsia="仿宋_GB2312"/>
          <w:sz w:val="30"/>
          <w:szCs w:val="30"/>
        </w:rPr>
        <w:t>工作经费2万元。主要</w:t>
      </w:r>
      <w:r>
        <w:rPr>
          <w:rFonts w:hint="eastAsia" w:ascii="仿宋_GB2312" w:eastAsia="仿宋_GB2312"/>
          <w:sz w:val="32"/>
          <w:szCs w:val="32"/>
        </w:rPr>
        <w:t>少先队组织建设、少先队活动开展等。</w:t>
      </w:r>
    </w:p>
    <w:p w14:paraId="3AF97A2F">
      <w:pPr>
        <w:tabs>
          <w:tab w:val="left" w:pos="6645"/>
        </w:tabs>
        <w:ind w:left="788" w:leftChars="304" w:hanging="150" w:hangingChars="50"/>
        <w:rPr>
          <w:rFonts w:ascii="仿宋_GB2312" w:eastAsia="仿宋_GB2312"/>
          <w:sz w:val="30"/>
          <w:szCs w:val="30"/>
        </w:rPr>
      </w:pPr>
      <w:r>
        <w:rPr>
          <w:rFonts w:ascii="仿宋_GB2312" w:eastAsia="仿宋_GB2312"/>
          <w:sz w:val="30"/>
          <w:szCs w:val="30"/>
        </w:rPr>
        <w:t>2</w:t>
      </w:r>
      <w:r>
        <w:rPr>
          <w:rFonts w:hint="eastAsia" w:ascii="仿宋_GB2312" w:eastAsia="仿宋_GB2312"/>
          <w:sz w:val="30"/>
          <w:szCs w:val="30"/>
        </w:rPr>
        <w:t>.五四青年节活动</w:t>
      </w:r>
    </w:p>
    <w:p w14:paraId="280AA4D7">
      <w:pPr>
        <w:widowControl/>
        <w:spacing w:line="560" w:lineRule="exact"/>
        <w:ind w:firstLine="640"/>
        <w:rPr>
          <w:rFonts w:ascii="仿宋_GB2312" w:hAnsi="宋体" w:eastAsia="仿宋_GB2312"/>
          <w:sz w:val="30"/>
          <w:szCs w:val="30"/>
        </w:rPr>
      </w:pPr>
      <w:r>
        <w:rPr>
          <w:rFonts w:hint="eastAsia" w:ascii="仿宋_GB2312" w:eastAsia="仿宋_GB2312"/>
          <w:sz w:val="30"/>
          <w:szCs w:val="30"/>
        </w:rPr>
        <w:t>工作经费3.00万元。主要用于</w:t>
      </w:r>
      <w:r>
        <w:rPr>
          <w:rFonts w:hint="eastAsia" w:ascii="仿宋_GB2312" w:eastAsia="仿宋_GB2312"/>
          <w:sz w:val="32"/>
          <w:szCs w:val="32"/>
        </w:rPr>
        <w:t>主要通过开展五四表彰、五四庆祝活动以及适合青年人的活动等，加强对青少年的思想引导，使共青团凝聚更多的青年，为党政中心服务</w:t>
      </w:r>
      <w:r>
        <w:rPr>
          <w:rFonts w:hint="eastAsia" w:ascii="仿宋_GB2312" w:eastAsia="仿宋_GB2312"/>
          <w:sz w:val="30"/>
          <w:szCs w:val="30"/>
        </w:rPr>
        <w:t>。</w:t>
      </w:r>
    </w:p>
    <w:p w14:paraId="2B8CE656">
      <w:pPr>
        <w:tabs>
          <w:tab w:val="left" w:pos="6645"/>
        </w:tabs>
        <w:ind w:firstLine="600" w:firstLineChars="200"/>
        <w:rPr>
          <w:rFonts w:ascii="仿宋_GB2312" w:hAnsi="宋体" w:eastAsia="仿宋_GB2312"/>
          <w:sz w:val="30"/>
          <w:szCs w:val="30"/>
        </w:rPr>
      </w:pPr>
      <w:r>
        <w:rPr>
          <w:rFonts w:hint="eastAsia" w:ascii="仿宋_GB2312" w:hAnsi="宋体" w:eastAsia="仿宋_GB2312"/>
          <w:sz w:val="30"/>
          <w:szCs w:val="30"/>
        </w:rPr>
        <w:t>3</w:t>
      </w:r>
      <w:r>
        <w:rPr>
          <w:rFonts w:ascii="仿宋_GB2312" w:hAnsi="宋体" w:eastAsia="仿宋_GB2312"/>
          <w:sz w:val="30"/>
          <w:szCs w:val="30"/>
        </w:rPr>
        <w:t>.</w:t>
      </w:r>
      <w:r>
        <w:rPr>
          <w:rFonts w:hint="eastAsia" w:ascii="仿宋_GB2312" w:hAnsi="宋体" w:eastAsia="仿宋_GB2312"/>
          <w:sz w:val="30"/>
          <w:szCs w:val="30"/>
        </w:rPr>
        <w:t>青年就业创业活动</w:t>
      </w:r>
    </w:p>
    <w:p w14:paraId="4FBF67AD">
      <w:pPr>
        <w:tabs>
          <w:tab w:val="left" w:pos="6645"/>
        </w:tabs>
        <w:ind w:firstLine="504" w:firstLineChars="168"/>
        <w:rPr>
          <w:rFonts w:ascii="仿宋_GB2312" w:eastAsia="仿宋_GB2312"/>
          <w:sz w:val="30"/>
          <w:szCs w:val="30"/>
        </w:rPr>
      </w:pPr>
      <w:r>
        <w:rPr>
          <w:rFonts w:hint="eastAsia" w:ascii="仿宋_GB2312" w:eastAsia="仿宋_GB2312"/>
          <w:sz w:val="30"/>
          <w:szCs w:val="30"/>
        </w:rPr>
        <w:t>工作经费2</w:t>
      </w:r>
      <w:r>
        <w:rPr>
          <w:rFonts w:ascii="仿宋_GB2312" w:eastAsia="仿宋_GB2312"/>
          <w:sz w:val="30"/>
          <w:szCs w:val="30"/>
        </w:rPr>
        <w:t>.00</w:t>
      </w:r>
      <w:r>
        <w:rPr>
          <w:rFonts w:hint="eastAsia" w:ascii="仿宋_GB2312" w:eastAsia="仿宋_GB2312"/>
          <w:sz w:val="30"/>
          <w:szCs w:val="30"/>
        </w:rPr>
        <w:t>万元。主要用于</w:t>
      </w:r>
      <w:r>
        <w:rPr>
          <w:rFonts w:hint="eastAsia" w:ascii="仿宋_GB2312" w:eastAsia="仿宋_GB2312"/>
          <w:sz w:val="32"/>
          <w:szCs w:val="32"/>
        </w:rPr>
        <w:t>以青春致富大讲堂、青年电商培训为基础的青年就业创业培训、青年就业招聘会、青年就业创业交流分享会等</w:t>
      </w:r>
      <w:r>
        <w:rPr>
          <w:rFonts w:hint="eastAsia" w:ascii="仿宋_GB2312" w:eastAsia="仿宋_GB2312"/>
          <w:sz w:val="30"/>
          <w:szCs w:val="30"/>
        </w:rPr>
        <w:t>。</w:t>
      </w:r>
    </w:p>
    <w:p w14:paraId="0012A25F">
      <w:pPr>
        <w:tabs>
          <w:tab w:val="left" w:pos="6645"/>
        </w:tabs>
        <w:ind w:firstLine="600" w:firstLineChars="200"/>
        <w:rPr>
          <w:rFonts w:ascii="仿宋_GB2312" w:eastAsia="仿宋_GB2312"/>
          <w:sz w:val="30"/>
          <w:szCs w:val="30"/>
        </w:rPr>
      </w:pPr>
      <w:r>
        <w:rPr>
          <w:rFonts w:hint="eastAsia" w:ascii="仿宋_GB2312" w:eastAsia="仿宋_GB2312"/>
          <w:sz w:val="30"/>
          <w:szCs w:val="30"/>
        </w:rPr>
        <w:t>4.团务工作经费</w:t>
      </w:r>
    </w:p>
    <w:p w14:paraId="19BDFEAF">
      <w:pPr>
        <w:tabs>
          <w:tab w:val="left" w:pos="6645"/>
        </w:tabs>
        <w:ind w:firstLine="600" w:firstLineChars="200"/>
        <w:rPr>
          <w:rFonts w:ascii="仿宋_GB2312" w:eastAsia="仿宋_GB2312"/>
          <w:sz w:val="32"/>
          <w:szCs w:val="32"/>
        </w:rPr>
      </w:pPr>
      <w:r>
        <w:rPr>
          <w:rFonts w:hint="eastAsia" w:ascii="仿宋_GB2312" w:eastAsia="仿宋_GB2312"/>
          <w:sz w:val="30"/>
          <w:szCs w:val="30"/>
        </w:rPr>
        <w:t>工作经费3</w:t>
      </w:r>
      <w:r>
        <w:rPr>
          <w:rFonts w:ascii="仿宋_GB2312" w:eastAsia="仿宋_GB2312"/>
          <w:sz w:val="30"/>
          <w:szCs w:val="30"/>
        </w:rPr>
        <w:t>.</w:t>
      </w:r>
      <w:r>
        <w:rPr>
          <w:rFonts w:hint="eastAsia" w:ascii="仿宋_GB2312" w:eastAsia="仿宋_GB2312"/>
          <w:sz w:val="30"/>
          <w:szCs w:val="30"/>
        </w:rPr>
        <w:t>85万元。其中团务工作经费3.00万元，主要用于</w:t>
      </w:r>
      <w:r>
        <w:rPr>
          <w:rFonts w:hint="eastAsia" w:ascii="仿宋_GB2312" w:eastAsia="仿宋_GB2312"/>
          <w:sz w:val="32"/>
          <w:szCs w:val="32"/>
        </w:rPr>
        <w:t>基层团组织建设、两新组织团建、志愿服务活动、青联组织建设、团干部培训等；</w:t>
      </w:r>
      <w:r>
        <w:rPr>
          <w:rFonts w:hint="eastAsia" w:ascii="仿宋_GB2312" w:eastAsia="仿宋_GB2312"/>
          <w:sz w:val="30"/>
          <w:szCs w:val="30"/>
        </w:rPr>
        <w:t>采购电子政务联网涉密设备经费0.85万元，用于购买电子政务联网涉密设备。</w:t>
      </w:r>
    </w:p>
    <w:p w14:paraId="7C3E8D16">
      <w:pPr>
        <w:widowControl/>
        <w:spacing w:line="560" w:lineRule="exact"/>
        <w:ind w:firstLine="640"/>
        <w:rPr>
          <w:rFonts w:ascii="仿宋_GB2312" w:hAnsi="宋体" w:eastAsia="仿宋_GB2312"/>
          <w:b/>
          <w:sz w:val="30"/>
          <w:szCs w:val="30"/>
        </w:rPr>
      </w:pPr>
      <w:r>
        <w:rPr>
          <w:rFonts w:hint="eastAsia" w:ascii="仿宋_GB2312" w:hAnsi="宋体" w:eastAsia="仿宋_GB2312"/>
          <w:b/>
          <w:sz w:val="30"/>
          <w:szCs w:val="30"/>
        </w:rPr>
        <w:t>（三）比上年增减情况</w:t>
      </w:r>
    </w:p>
    <w:p w14:paraId="58C20A4F">
      <w:pPr>
        <w:widowControl/>
        <w:spacing w:line="560" w:lineRule="exact"/>
        <w:ind w:firstLine="640"/>
        <w:rPr>
          <w:rFonts w:ascii="仿宋_GB2312" w:eastAsia="仿宋_GB2312"/>
          <w:sz w:val="30"/>
          <w:szCs w:val="30"/>
        </w:rPr>
      </w:pPr>
      <w:r>
        <w:rPr>
          <w:rFonts w:hint="eastAsia" w:ascii="仿宋_GB2312" w:hAnsi="宋体" w:eastAsia="仿宋_GB2312"/>
          <w:sz w:val="30"/>
          <w:szCs w:val="30"/>
        </w:rPr>
        <w:t>本年度预算收支安排32.45万元，较上年增加4.53万元。其中：基本支出增加3.68万元，主要增加人员经费和日常公用经费，因为职工工资增加以及劳务费的增加；项目支出增加0.85万元，主要增加本级支出，因为本年部门活动增加，以及共青团改革方案的实施</w:t>
      </w:r>
      <w:r>
        <w:rPr>
          <w:rFonts w:hint="eastAsia" w:ascii="仿宋_GB2312" w:eastAsia="仿宋_GB2312"/>
          <w:sz w:val="30"/>
          <w:szCs w:val="30"/>
        </w:rPr>
        <w:t>。</w:t>
      </w:r>
    </w:p>
    <w:p w14:paraId="56EDDEAE">
      <w:pPr>
        <w:widowControl/>
        <w:spacing w:line="560" w:lineRule="exact"/>
        <w:rPr>
          <w:rFonts w:ascii="黑体" w:hAnsi="黑体" w:eastAsia="黑体" w:cs="黑体"/>
          <w:b/>
          <w:bCs/>
          <w:kern w:val="0"/>
          <w:sz w:val="30"/>
          <w:szCs w:val="30"/>
        </w:rPr>
      </w:pPr>
      <w:r>
        <w:rPr>
          <w:rFonts w:hint="eastAsia" w:ascii="黑体" w:hAnsi="黑体" w:eastAsia="黑体" w:cs="黑体"/>
          <w:b/>
          <w:bCs/>
          <w:kern w:val="0"/>
          <w:sz w:val="30"/>
          <w:szCs w:val="30"/>
        </w:rPr>
        <w:t>三、机关运行经费安排情况</w:t>
      </w:r>
    </w:p>
    <w:p w14:paraId="28A85B08">
      <w:pPr>
        <w:tabs>
          <w:tab w:val="left" w:pos="6645"/>
        </w:tabs>
        <w:ind w:firstLine="600" w:firstLineChars="200"/>
        <w:rPr>
          <w:rFonts w:ascii="仿宋_GB2312" w:hAnsi="宋体" w:eastAsia="仿宋_GB2312"/>
          <w:sz w:val="30"/>
          <w:szCs w:val="30"/>
        </w:rPr>
      </w:pPr>
      <w:r>
        <w:rPr>
          <w:rFonts w:hint="eastAsia" w:ascii="仿宋_GB2312" w:hAnsi="仿宋" w:eastAsia="仿宋_GB2312" w:cs="仿宋"/>
          <w:kern w:val="0"/>
          <w:sz w:val="30"/>
          <w:szCs w:val="30"/>
        </w:rPr>
        <w:t>日常公用经费总体安排情况。团县委</w:t>
      </w:r>
      <w:r>
        <w:rPr>
          <w:rFonts w:hint="eastAsia" w:ascii="仿宋_GB2312" w:hAnsi="宋体" w:eastAsia="仿宋_GB2312"/>
          <w:sz w:val="30"/>
          <w:szCs w:val="30"/>
        </w:rPr>
        <w:t>日常公用经费预算支出5.43万元。</w:t>
      </w:r>
    </w:p>
    <w:p w14:paraId="01A8AAB7">
      <w:pPr>
        <w:tabs>
          <w:tab w:val="left" w:pos="6645"/>
        </w:tabs>
        <w:ind w:firstLine="597" w:firstLineChars="199"/>
        <w:rPr>
          <w:rFonts w:ascii="仿宋_GB2312" w:hAnsi="宋体" w:eastAsia="仿宋_GB2312"/>
          <w:sz w:val="30"/>
          <w:szCs w:val="30"/>
        </w:rPr>
      </w:pPr>
      <w:r>
        <w:rPr>
          <w:rFonts w:ascii="仿宋_GB2312" w:hAnsi="宋体" w:eastAsia="仿宋_GB2312"/>
          <w:sz w:val="30"/>
          <w:szCs w:val="30"/>
        </w:rPr>
        <w:t>1.</w:t>
      </w:r>
      <w:r>
        <w:rPr>
          <w:rFonts w:hint="eastAsia" w:ascii="仿宋_GB2312" w:hAnsi="宋体" w:eastAsia="仿宋_GB2312"/>
          <w:sz w:val="30"/>
          <w:szCs w:val="30"/>
        </w:rPr>
        <w:t xml:space="preserve"> 基础定额项目费5.13万元。其中，部门办公费0.44万元，邮电费0.18万元，差旅费</w:t>
      </w:r>
      <w:r>
        <w:rPr>
          <w:rFonts w:ascii="仿宋_GB2312" w:hAnsi="宋体" w:eastAsia="仿宋_GB2312"/>
          <w:sz w:val="30"/>
          <w:szCs w:val="30"/>
        </w:rPr>
        <w:t>0.</w:t>
      </w:r>
      <w:r>
        <w:rPr>
          <w:rFonts w:hint="eastAsia" w:ascii="仿宋_GB2312" w:hAnsi="宋体" w:eastAsia="仿宋_GB2312"/>
          <w:sz w:val="30"/>
          <w:szCs w:val="30"/>
        </w:rPr>
        <w:t>2万元，公务交通补贴1.38万元，劳务费2.93万元。</w:t>
      </w:r>
    </w:p>
    <w:p w14:paraId="5587AB5A">
      <w:pPr>
        <w:tabs>
          <w:tab w:val="left" w:pos="6645"/>
        </w:tabs>
        <w:ind w:firstLine="597" w:firstLineChars="199"/>
        <w:rPr>
          <w:rFonts w:ascii="仿宋_GB2312" w:hAnsi="宋体" w:eastAsia="仿宋_GB2312"/>
          <w:sz w:val="30"/>
          <w:szCs w:val="30"/>
        </w:rPr>
      </w:pPr>
      <w:r>
        <w:rPr>
          <w:rFonts w:ascii="仿宋_GB2312" w:hAnsi="宋体" w:eastAsia="仿宋_GB2312"/>
          <w:sz w:val="30"/>
          <w:szCs w:val="30"/>
        </w:rPr>
        <w:t>2.</w:t>
      </w:r>
      <w:r>
        <w:rPr>
          <w:rFonts w:hint="eastAsia" w:ascii="仿宋_GB2312" w:hAnsi="宋体" w:eastAsia="仿宋_GB2312"/>
          <w:sz w:val="30"/>
          <w:szCs w:val="30"/>
        </w:rPr>
        <w:t>按规定比例计提项目费0.30万元。其中</w:t>
      </w:r>
      <w:r>
        <w:rPr>
          <w:rFonts w:ascii="仿宋_GB2312" w:hAnsi="宋体" w:eastAsia="仿宋_GB2312"/>
          <w:sz w:val="30"/>
          <w:szCs w:val="30"/>
        </w:rPr>
        <w:t>,</w:t>
      </w:r>
      <w:r>
        <w:rPr>
          <w:rFonts w:hint="eastAsia" w:ascii="仿宋_GB2312" w:hAnsi="宋体" w:eastAsia="仿宋_GB2312"/>
          <w:sz w:val="30"/>
          <w:szCs w:val="30"/>
        </w:rPr>
        <w:t>工会经费</w:t>
      </w:r>
      <w:r>
        <w:rPr>
          <w:rFonts w:ascii="仿宋_GB2312" w:hAnsi="宋体" w:eastAsia="仿宋_GB2312"/>
          <w:sz w:val="30"/>
          <w:szCs w:val="30"/>
        </w:rPr>
        <w:t>0.</w:t>
      </w:r>
      <w:r>
        <w:rPr>
          <w:rFonts w:hint="eastAsia" w:ascii="仿宋_GB2312" w:hAnsi="宋体" w:eastAsia="仿宋_GB2312"/>
          <w:sz w:val="30"/>
          <w:szCs w:val="30"/>
        </w:rPr>
        <w:t>13万元，职工福利费</w:t>
      </w:r>
      <w:r>
        <w:rPr>
          <w:rFonts w:ascii="仿宋_GB2312" w:hAnsi="宋体" w:eastAsia="仿宋_GB2312"/>
          <w:sz w:val="30"/>
          <w:szCs w:val="30"/>
        </w:rPr>
        <w:t>0.</w:t>
      </w:r>
      <w:r>
        <w:rPr>
          <w:rFonts w:hint="eastAsia" w:ascii="仿宋_GB2312" w:hAnsi="宋体" w:eastAsia="仿宋_GB2312"/>
          <w:sz w:val="30"/>
          <w:szCs w:val="30"/>
        </w:rPr>
        <w:t>17万元。</w:t>
      </w:r>
    </w:p>
    <w:p w14:paraId="591AA318">
      <w:pPr>
        <w:tabs>
          <w:tab w:val="left" w:pos="6645"/>
        </w:tabs>
        <w:ind w:firstLine="597" w:firstLineChars="199"/>
        <w:rPr>
          <w:rFonts w:ascii="仿宋_GB2312" w:hAnsi="宋体" w:eastAsia="仿宋_GB2312"/>
          <w:sz w:val="30"/>
          <w:szCs w:val="30"/>
        </w:rPr>
      </w:pPr>
      <w:r>
        <w:rPr>
          <w:rFonts w:hint="eastAsia" w:ascii="黑体" w:hAnsi="黑体" w:eastAsia="黑体" w:cs="黑体"/>
          <w:b/>
          <w:bCs/>
          <w:kern w:val="0"/>
          <w:sz w:val="30"/>
          <w:szCs w:val="30"/>
        </w:rPr>
        <w:t>四、财政拨款“三公”经费预算情况</w:t>
      </w:r>
    </w:p>
    <w:p w14:paraId="019AACC4">
      <w:pPr>
        <w:ind w:firstLine="600" w:firstLineChars="200"/>
        <w:rPr>
          <w:rFonts w:ascii="仿宋_GB2312" w:eastAsia="仿宋_GB2312"/>
          <w:sz w:val="30"/>
          <w:szCs w:val="30"/>
        </w:rPr>
      </w:pPr>
      <w:r>
        <w:rPr>
          <w:rFonts w:ascii="仿宋_GB2312" w:eastAsia="仿宋_GB2312"/>
          <w:sz w:val="30"/>
          <w:szCs w:val="30"/>
        </w:rPr>
        <w:t>201</w:t>
      </w:r>
      <w:r>
        <w:rPr>
          <w:rFonts w:hint="eastAsia" w:ascii="仿宋_GB2312" w:eastAsia="仿宋_GB2312"/>
          <w:sz w:val="30"/>
          <w:szCs w:val="30"/>
        </w:rPr>
        <w:t>8年团县委“三公”经费预算数1.50万元（公务接待费1.50万元）。</w:t>
      </w:r>
      <w:r>
        <w:rPr>
          <w:rFonts w:ascii="仿宋_GB2312" w:eastAsia="仿宋_GB2312"/>
          <w:sz w:val="30"/>
          <w:szCs w:val="30"/>
        </w:rPr>
        <w:t>201</w:t>
      </w:r>
      <w:r>
        <w:rPr>
          <w:rFonts w:hint="eastAsia" w:ascii="仿宋_GB2312" w:eastAsia="仿宋_GB2312"/>
          <w:sz w:val="30"/>
          <w:szCs w:val="30"/>
        </w:rPr>
        <w:t>9年团县委“三公”经费预算数1.50万元（公务接待费1.50万元，</w:t>
      </w:r>
      <w:r>
        <w:rPr>
          <w:rFonts w:hint="eastAsia" w:ascii="仿宋" w:hAnsi="仿宋" w:eastAsia="仿宋" w:cs="仿宋"/>
          <w:sz w:val="32"/>
          <w:szCs w:val="32"/>
        </w:rPr>
        <w:t>预计接待16批次，共计350余人次</w:t>
      </w:r>
      <w:r>
        <w:rPr>
          <w:rFonts w:hint="eastAsia" w:ascii="仿宋_GB2312" w:eastAsia="仿宋_GB2312"/>
          <w:sz w:val="30"/>
          <w:szCs w:val="30"/>
        </w:rPr>
        <w:t>）；与</w:t>
      </w:r>
      <w:r>
        <w:rPr>
          <w:rFonts w:ascii="仿宋_GB2312" w:eastAsia="仿宋_GB2312"/>
          <w:sz w:val="30"/>
          <w:szCs w:val="30"/>
        </w:rPr>
        <w:t>201</w:t>
      </w:r>
      <w:r>
        <w:rPr>
          <w:rFonts w:hint="eastAsia" w:ascii="仿宋_GB2312" w:eastAsia="仿宋_GB2312"/>
          <w:sz w:val="30"/>
          <w:szCs w:val="30"/>
        </w:rPr>
        <w:t>8年相比“三公”经费持平，主要是由于活动计划的增加，团县委按照上级文件精神要求，厉行勤俭节约，压缩开支的原则，贯彻落实</w:t>
      </w:r>
      <w:r>
        <w:rPr>
          <w:rFonts w:hint="eastAsia" w:ascii="仿宋_GB2312" w:eastAsia="仿宋_GB2312"/>
          <w:sz w:val="30"/>
          <w:szCs w:val="30"/>
          <w:lang w:eastAsia="zh-CN"/>
        </w:rPr>
        <w:t>中央</w:t>
      </w:r>
      <w:bookmarkStart w:id="2" w:name="_GoBack"/>
      <w:bookmarkEnd w:id="2"/>
      <w:r>
        <w:rPr>
          <w:rFonts w:hint="eastAsia" w:ascii="仿宋_GB2312" w:eastAsia="仿宋_GB2312"/>
          <w:sz w:val="30"/>
          <w:szCs w:val="30"/>
        </w:rPr>
        <w:t>八项规定。</w:t>
      </w:r>
    </w:p>
    <w:p w14:paraId="16F60F6E">
      <w:pPr>
        <w:ind w:firstLine="450" w:firstLineChars="150"/>
        <w:jc w:val="center"/>
        <w:rPr>
          <w:rFonts w:hint="eastAsia" w:ascii="仿宋_GB2312" w:eastAsia="仿宋_GB2312"/>
          <w:b/>
          <w:sz w:val="30"/>
          <w:szCs w:val="30"/>
          <w:lang w:eastAsia="zh-CN"/>
        </w:rPr>
      </w:pPr>
      <w:r>
        <w:rPr>
          <w:rFonts w:hint="eastAsia" w:ascii="仿宋_GB2312" w:eastAsia="仿宋_GB2312"/>
          <w:b/>
          <w:sz w:val="30"/>
          <w:szCs w:val="30"/>
        </w:rPr>
        <w:t>“三公”经费预算情况及增减</w:t>
      </w:r>
      <w:r>
        <w:rPr>
          <w:rFonts w:hint="eastAsia" w:ascii="仿宋_GB2312" w:eastAsia="仿宋_GB2312"/>
          <w:b/>
          <w:sz w:val="30"/>
          <w:szCs w:val="30"/>
          <w:lang w:eastAsia="zh-CN"/>
        </w:rPr>
        <w:t>变化情况</w:t>
      </w:r>
    </w:p>
    <w:p w14:paraId="1F6FDCE4">
      <w:pPr>
        <w:ind w:firstLine="360" w:firstLineChars="150"/>
        <w:jc w:val="right"/>
        <w:rPr>
          <w:rFonts w:ascii="仿宋_GB2312" w:eastAsia="仿宋_GB2312"/>
          <w:sz w:val="24"/>
        </w:rPr>
      </w:pPr>
      <w:r>
        <w:rPr>
          <w:rFonts w:hint="eastAsia" w:ascii="仿宋_GB2312" w:eastAsia="仿宋_GB2312"/>
          <w:sz w:val="24"/>
        </w:rPr>
        <w:t>单位：万元</w:t>
      </w:r>
    </w:p>
    <w:tbl>
      <w:tblPr>
        <w:tblStyle w:val="7"/>
        <w:tblW w:w="1042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1"/>
        <w:gridCol w:w="1993"/>
        <w:gridCol w:w="2351"/>
        <w:gridCol w:w="1746"/>
        <w:gridCol w:w="2049"/>
      </w:tblGrid>
      <w:tr w14:paraId="28531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2281" w:type="dxa"/>
          </w:tcPr>
          <w:p w14:paraId="557B0093">
            <w:pPr>
              <w:jc w:val="center"/>
              <w:rPr>
                <w:rFonts w:ascii="仿宋_GB2312" w:eastAsia="仿宋_GB2312"/>
                <w:sz w:val="24"/>
              </w:rPr>
            </w:pPr>
            <w:r>
              <w:rPr>
                <w:rFonts w:hint="eastAsia" w:ascii="仿宋_GB2312" w:eastAsia="仿宋_GB2312"/>
                <w:sz w:val="24"/>
              </w:rPr>
              <w:t>项目名称</w:t>
            </w:r>
          </w:p>
        </w:tc>
        <w:tc>
          <w:tcPr>
            <w:tcW w:w="1993" w:type="dxa"/>
          </w:tcPr>
          <w:p w14:paraId="47D040B6">
            <w:pPr>
              <w:jc w:val="center"/>
              <w:rPr>
                <w:rFonts w:ascii="仿宋_GB2312" w:eastAsia="仿宋_GB2312"/>
                <w:sz w:val="24"/>
              </w:rPr>
            </w:pPr>
            <w:r>
              <w:rPr>
                <w:rFonts w:hint="eastAsia" w:ascii="仿宋_GB2312" w:eastAsia="仿宋_GB2312"/>
                <w:sz w:val="24"/>
              </w:rPr>
              <w:t>2018年度预算</w:t>
            </w:r>
          </w:p>
        </w:tc>
        <w:tc>
          <w:tcPr>
            <w:tcW w:w="2351" w:type="dxa"/>
          </w:tcPr>
          <w:p w14:paraId="0DC0542F">
            <w:pPr>
              <w:jc w:val="center"/>
              <w:rPr>
                <w:rFonts w:ascii="仿宋_GB2312" w:eastAsia="仿宋_GB2312"/>
                <w:sz w:val="24"/>
              </w:rPr>
            </w:pPr>
            <w:r>
              <w:rPr>
                <w:rFonts w:hint="eastAsia" w:ascii="仿宋_GB2312" w:eastAsia="仿宋_GB2312"/>
                <w:sz w:val="24"/>
              </w:rPr>
              <w:t>2019年度预算</w:t>
            </w:r>
          </w:p>
        </w:tc>
        <w:tc>
          <w:tcPr>
            <w:tcW w:w="1746" w:type="dxa"/>
          </w:tcPr>
          <w:p w14:paraId="38115507">
            <w:pPr>
              <w:jc w:val="center"/>
              <w:rPr>
                <w:rFonts w:ascii="仿宋_GB2312" w:eastAsia="仿宋_GB2312"/>
                <w:sz w:val="24"/>
              </w:rPr>
            </w:pPr>
            <w:r>
              <w:rPr>
                <w:rFonts w:hint="eastAsia" w:ascii="仿宋_GB2312" w:eastAsia="仿宋_GB2312"/>
                <w:sz w:val="24"/>
              </w:rPr>
              <w:t>增减金额</w:t>
            </w:r>
          </w:p>
        </w:tc>
        <w:tc>
          <w:tcPr>
            <w:tcW w:w="2049" w:type="dxa"/>
          </w:tcPr>
          <w:p w14:paraId="030C951D">
            <w:pPr>
              <w:jc w:val="center"/>
              <w:rPr>
                <w:rFonts w:hint="eastAsia" w:ascii="仿宋_GB2312" w:eastAsia="仿宋_GB2312"/>
                <w:sz w:val="24"/>
                <w:lang w:eastAsia="zh-CN"/>
              </w:rPr>
            </w:pPr>
            <w:r>
              <w:rPr>
                <w:rFonts w:hint="eastAsia" w:ascii="仿宋_GB2312" w:eastAsia="仿宋_GB2312"/>
                <w:sz w:val="24"/>
                <w:lang w:eastAsia="zh-CN"/>
              </w:rPr>
              <w:t>变化情况</w:t>
            </w:r>
          </w:p>
        </w:tc>
      </w:tr>
      <w:tr w14:paraId="2D4BA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2281" w:type="dxa"/>
          </w:tcPr>
          <w:p w14:paraId="5905C673">
            <w:pPr>
              <w:spacing w:line="560" w:lineRule="exact"/>
              <w:jc w:val="center"/>
              <w:rPr>
                <w:rFonts w:ascii="仿宋_GB2312" w:eastAsia="仿宋_GB2312"/>
                <w:sz w:val="24"/>
              </w:rPr>
            </w:pPr>
            <w:r>
              <w:rPr>
                <w:rFonts w:hint="eastAsia" w:ascii="仿宋_GB2312" w:eastAsia="仿宋_GB2312"/>
                <w:sz w:val="24"/>
              </w:rPr>
              <w:t>因公出国经费</w:t>
            </w:r>
          </w:p>
        </w:tc>
        <w:tc>
          <w:tcPr>
            <w:tcW w:w="1993" w:type="dxa"/>
          </w:tcPr>
          <w:p w14:paraId="08E0C304">
            <w:pPr>
              <w:spacing w:line="560" w:lineRule="exact"/>
              <w:jc w:val="center"/>
              <w:rPr>
                <w:rFonts w:ascii="仿宋_GB2312" w:eastAsia="仿宋_GB2312"/>
                <w:sz w:val="24"/>
              </w:rPr>
            </w:pPr>
            <w:r>
              <w:rPr>
                <w:rFonts w:hint="eastAsia" w:ascii="仿宋_GB2312" w:eastAsia="仿宋_GB2312"/>
                <w:sz w:val="24"/>
              </w:rPr>
              <w:t>0</w:t>
            </w:r>
          </w:p>
        </w:tc>
        <w:tc>
          <w:tcPr>
            <w:tcW w:w="2351" w:type="dxa"/>
          </w:tcPr>
          <w:p w14:paraId="71BD96FD">
            <w:pPr>
              <w:spacing w:line="560" w:lineRule="exact"/>
              <w:jc w:val="center"/>
              <w:rPr>
                <w:rFonts w:ascii="仿宋_GB2312" w:eastAsia="仿宋_GB2312"/>
                <w:sz w:val="24"/>
              </w:rPr>
            </w:pPr>
            <w:r>
              <w:rPr>
                <w:rFonts w:hint="eastAsia" w:ascii="仿宋_GB2312" w:eastAsia="仿宋_GB2312"/>
                <w:sz w:val="24"/>
              </w:rPr>
              <w:t>0</w:t>
            </w:r>
          </w:p>
        </w:tc>
        <w:tc>
          <w:tcPr>
            <w:tcW w:w="1746" w:type="dxa"/>
          </w:tcPr>
          <w:p w14:paraId="2A6FC14D">
            <w:pPr>
              <w:spacing w:line="560" w:lineRule="exact"/>
              <w:jc w:val="center"/>
              <w:rPr>
                <w:rFonts w:ascii="仿宋_GB2312" w:eastAsia="仿宋_GB2312"/>
                <w:sz w:val="24"/>
              </w:rPr>
            </w:pPr>
            <w:r>
              <w:rPr>
                <w:rFonts w:hint="eastAsia" w:ascii="仿宋_GB2312" w:eastAsia="仿宋_GB2312"/>
                <w:sz w:val="24"/>
              </w:rPr>
              <w:t>0</w:t>
            </w:r>
          </w:p>
        </w:tc>
        <w:tc>
          <w:tcPr>
            <w:tcW w:w="2049" w:type="dxa"/>
          </w:tcPr>
          <w:p w14:paraId="1ECBB305">
            <w:pPr>
              <w:spacing w:line="560" w:lineRule="exact"/>
              <w:jc w:val="center"/>
              <w:rPr>
                <w:rFonts w:ascii="仿宋_GB2312" w:eastAsia="仿宋_GB2312"/>
                <w:sz w:val="24"/>
              </w:rPr>
            </w:pPr>
            <w:r>
              <w:rPr>
                <w:rFonts w:hint="eastAsia" w:ascii="仿宋_GB2312" w:eastAsia="仿宋_GB2312"/>
                <w:sz w:val="24"/>
              </w:rPr>
              <w:t>无增减变化</w:t>
            </w:r>
          </w:p>
        </w:tc>
      </w:tr>
      <w:tr w14:paraId="7094E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2281" w:type="dxa"/>
          </w:tcPr>
          <w:p w14:paraId="27F2F1DD">
            <w:pPr>
              <w:spacing w:line="560" w:lineRule="exact"/>
              <w:jc w:val="left"/>
              <w:rPr>
                <w:rFonts w:ascii="仿宋_GB2312" w:eastAsia="仿宋_GB2312"/>
                <w:sz w:val="24"/>
              </w:rPr>
            </w:pPr>
            <w:r>
              <w:rPr>
                <w:rFonts w:hint="eastAsia" w:ascii="仿宋_GB2312" w:eastAsia="仿宋_GB2312"/>
                <w:sz w:val="24"/>
              </w:rPr>
              <w:t>公务用车购置经费</w:t>
            </w:r>
          </w:p>
        </w:tc>
        <w:tc>
          <w:tcPr>
            <w:tcW w:w="1993" w:type="dxa"/>
          </w:tcPr>
          <w:p w14:paraId="5128AEBE">
            <w:pPr>
              <w:spacing w:line="560" w:lineRule="exact"/>
              <w:jc w:val="center"/>
              <w:rPr>
                <w:rFonts w:ascii="仿宋_GB2312" w:eastAsia="仿宋_GB2312"/>
                <w:sz w:val="24"/>
              </w:rPr>
            </w:pPr>
            <w:r>
              <w:rPr>
                <w:rFonts w:hint="eastAsia" w:ascii="仿宋_GB2312" w:eastAsia="仿宋_GB2312"/>
                <w:sz w:val="24"/>
              </w:rPr>
              <w:t>0</w:t>
            </w:r>
          </w:p>
        </w:tc>
        <w:tc>
          <w:tcPr>
            <w:tcW w:w="2351" w:type="dxa"/>
          </w:tcPr>
          <w:p w14:paraId="7EA93322">
            <w:pPr>
              <w:spacing w:line="560" w:lineRule="exact"/>
              <w:jc w:val="center"/>
              <w:rPr>
                <w:rFonts w:ascii="仿宋_GB2312" w:eastAsia="仿宋_GB2312"/>
                <w:sz w:val="24"/>
              </w:rPr>
            </w:pPr>
            <w:r>
              <w:rPr>
                <w:rFonts w:hint="eastAsia" w:ascii="仿宋_GB2312" w:eastAsia="仿宋_GB2312"/>
                <w:sz w:val="24"/>
              </w:rPr>
              <w:t>0</w:t>
            </w:r>
          </w:p>
        </w:tc>
        <w:tc>
          <w:tcPr>
            <w:tcW w:w="1746" w:type="dxa"/>
          </w:tcPr>
          <w:p w14:paraId="0A172EB2">
            <w:pPr>
              <w:spacing w:line="560" w:lineRule="exact"/>
              <w:jc w:val="center"/>
              <w:rPr>
                <w:rFonts w:ascii="仿宋_GB2312" w:eastAsia="仿宋_GB2312"/>
                <w:sz w:val="24"/>
              </w:rPr>
            </w:pPr>
            <w:r>
              <w:rPr>
                <w:rFonts w:hint="eastAsia" w:ascii="仿宋_GB2312" w:eastAsia="仿宋_GB2312"/>
                <w:sz w:val="24"/>
              </w:rPr>
              <w:t>0</w:t>
            </w:r>
          </w:p>
        </w:tc>
        <w:tc>
          <w:tcPr>
            <w:tcW w:w="2049" w:type="dxa"/>
          </w:tcPr>
          <w:p w14:paraId="072A3DCD">
            <w:pPr>
              <w:spacing w:line="560" w:lineRule="exact"/>
              <w:jc w:val="center"/>
              <w:rPr>
                <w:rFonts w:ascii="仿宋_GB2312" w:eastAsia="仿宋_GB2312"/>
                <w:sz w:val="24"/>
              </w:rPr>
            </w:pPr>
            <w:r>
              <w:rPr>
                <w:rFonts w:hint="eastAsia" w:ascii="仿宋_GB2312" w:eastAsia="仿宋_GB2312"/>
                <w:sz w:val="24"/>
              </w:rPr>
              <w:t>无增减变化</w:t>
            </w:r>
          </w:p>
        </w:tc>
      </w:tr>
      <w:tr w14:paraId="2D4AF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2281" w:type="dxa"/>
          </w:tcPr>
          <w:p w14:paraId="44250ED6">
            <w:pPr>
              <w:spacing w:line="560" w:lineRule="exact"/>
              <w:jc w:val="left"/>
              <w:rPr>
                <w:rFonts w:ascii="仿宋_GB2312" w:eastAsia="仿宋_GB2312"/>
                <w:sz w:val="24"/>
              </w:rPr>
            </w:pPr>
            <w:r>
              <w:rPr>
                <w:rFonts w:hint="eastAsia" w:ascii="仿宋_GB2312" w:eastAsia="仿宋_GB2312"/>
                <w:sz w:val="24"/>
              </w:rPr>
              <w:t>公务用车运行经费</w:t>
            </w:r>
          </w:p>
        </w:tc>
        <w:tc>
          <w:tcPr>
            <w:tcW w:w="1993" w:type="dxa"/>
          </w:tcPr>
          <w:p w14:paraId="74141C0E">
            <w:pPr>
              <w:spacing w:line="560" w:lineRule="exact"/>
              <w:jc w:val="center"/>
              <w:rPr>
                <w:rFonts w:ascii="仿宋_GB2312" w:eastAsia="仿宋_GB2312"/>
                <w:sz w:val="24"/>
              </w:rPr>
            </w:pPr>
            <w:r>
              <w:rPr>
                <w:rFonts w:hint="eastAsia" w:ascii="仿宋_GB2312" w:eastAsia="仿宋_GB2312"/>
                <w:sz w:val="24"/>
              </w:rPr>
              <w:t>0</w:t>
            </w:r>
          </w:p>
        </w:tc>
        <w:tc>
          <w:tcPr>
            <w:tcW w:w="2351" w:type="dxa"/>
          </w:tcPr>
          <w:p w14:paraId="070ADD67">
            <w:pPr>
              <w:spacing w:line="560" w:lineRule="exact"/>
              <w:jc w:val="center"/>
              <w:rPr>
                <w:rFonts w:ascii="仿宋_GB2312" w:eastAsia="仿宋_GB2312"/>
                <w:sz w:val="24"/>
              </w:rPr>
            </w:pPr>
            <w:r>
              <w:rPr>
                <w:rFonts w:hint="eastAsia" w:ascii="仿宋_GB2312" w:eastAsia="仿宋_GB2312"/>
                <w:sz w:val="24"/>
              </w:rPr>
              <w:t>0</w:t>
            </w:r>
          </w:p>
        </w:tc>
        <w:tc>
          <w:tcPr>
            <w:tcW w:w="1746" w:type="dxa"/>
          </w:tcPr>
          <w:p w14:paraId="2A135223">
            <w:pPr>
              <w:spacing w:line="560" w:lineRule="exact"/>
              <w:jc w:val="center"/>
              <w:rPr>
                <w:rFonts w:ascii="仿宋_GB2312" w:eastAsia="仿宋_GB2312"/>
                <w:sz w:val="24"/>
              </w:rPr>
            </w:pPr>
            <w:r>
              <w:rPr>
                <w:rFonts w:hint="eastAsia" w:ascii="仿宋_GB2312" w:eastAsia="仿宋_GB2312"/>
                <w:sz w:val="24"/>
              </w:rPr>
              <w:t>0</w:t>
            </w:r>
          </w:p>
        </w:tc>
        <w:tc>
          <w:tcPr>
            <w:tcW w:w="2049" w:type="dxa"/>
          </w:tcPr>
          <w:p w14:paraId="6488A908">
            <w:pPr>
              <w:spacing w:line="560" w:lineRule="exact"/>
              <w:jc w:val="left"/>
              <w:rPr>
                <w:rFonts w:ascii="仿宋_GB2312" w:eastAsia="仿宋_GB2312"/>
                <w:sz w:val="24"/>
              </w:rPr>
            </w:pPr>
            <w:r>
              <w:rPr>
                <w:rFonts w:hint="eastAsia" w:ascii="仿宋_GB2312" w:eastAsia="仿宋_GB2312"/>
                <w:sz w:val="24"/>
              </w:rPr>
              <w:t>无增减变化</w:t>
            </w:r>
          </w:p>
        </w:tc>
      </w:tr>
      <w:tr w14:paraId="58C8A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2281" w:type="dxa"/>
          </w:tcPr>
          <w:p w14:paraId="7F0ECD93">
            <w:pPr>
              <w:spacing w:line="560" w:lineRule="exact"/>
              <w:jc w:val="left"/>
              <w:rPr>
                <w:rFonts w:ascii="仿宋_GB2312" w:eastAsia="仿宋_GB2312"/>
                <w:sz w:val="24"/>
              </w:rPr>
            </w:pPr>
            <w:r>
              <w:rPr>
                <w:rFonts w:hint="eastAsia" w:ascii="仿宋_GB2312" w:eastAsia="仿宋_GB2312"/>
                <w:sz w:val="24"/>
              </w:rPr>
              <w:t>公务接待费支出</w:t>
            </w:r>
          </w:p>
        </w:tc>
        <w:tc>
          <w:tcPr>
            <w:tcW w:w="1993" w:type="dxa"/>
          </w:tcPr>
          <w:p w14:paraId="1FCC9247">
            <w:pPr>
              <w:spacing w:line="560" w:lineRule="exact"/>
              <w:jc w:val="center"/>
              <w:rPr>
                <w:rFonts w:ascii="仿宋_GB2312" w:eastAsia="仿宋_GB2312"/>
                <w:sz w:val="24"/>
              </w:rPr>
            </w:pPr>
            <w:r>
              <w:rPr>
                <w:rFonts w:hint="eastAsia" w:ascii="仿宋_GB2312" w:eastAsia="仿宋_GB2312"/>
                <w:sz w:val="24"/>
              </w:rPr>
              <w:t>1.5</w:t>
            </w:r>
          </w:p>
        </w:tc>
        <w:tc>
          <w:tcPr>
            <w:tcW w:w="2351" w:type="dxa"/>
          </w:tcPr>
          <w:p w14:paraId="3C5D56B3">
            <w:pPr>
              <w:spacing w:line="560" w:lineRule="exact"/>
              <w:jc w:val="center"/>
              <w:rPr>
                <w:rFonts w:ascii="仿宋_GB2312" w:eastAsia="仿宋_GB2312"/>
                <w:sz w:val="24"/>
              </w:rPr>
            </w:pPr>
            <w:r>
              <w:rPr>
                <w:rFonts w:hint="eastAsia" w:ascii="仿宋_GB2312" w:eastAsia="仿宋_GB2312"/>
                <w:sz w:val="24"/>
              </w:rPr>
              <w:t>1.5</w:t>
            </w:r>
          </w:p>
        </w:tc>
        <w:tc>
          <w:tcPr>
            <w:tcW w:w="1746" w:type="dxa"/>
          </w:tcPr>
          <w:p w14:paraId="02CAC263">
            <w:pPr>
              <w:spacing w:line="560" w:lineRule="exact"/>
              <w:jc w:val="center"/>
              <w:rPr>
                <w:rFonts w:ascii="仿宋_GB2312" w:eastAsia="仿宋_GB2312"/>
                <w:sz w:val="24"/>
              </w:rPr>
            </w:pPr>
            <w:r>
              <w:rPr>
                <w:rFonts w:hint="eastAsia" w:ascii="仿宋_GB2312" w:eastAsia="仿宋_GB2312"/>
                <w:sz w:val="24"/>
              </w:rPr>
              <w:t>0</w:t>
            </w:r>
          </w:p>
        </w:tc>
        <w:tc>
          <w:tcPr>
            <w:tcW w:w="2049" w:type="dxa"/>
          </w:tcPr>
          <w:p w14:paraId="7CC7DBD2">
            <w:pPr>
              <w:spacing w:line="560" w:lineRule="exact"/>
              <w:jc w:val="center"/>
              <w:rPr>
                <w:rFonts w:ascii="仿宋_GB2312" w:eastAsia="仿宋_GB2312"/>
                <w:sz w:val="24"/>
              </w:rPr>
            </w:pPr>
            <w:r>
              <w:rPr>
                <w:rFonts w:hint="eastAsia" w:ascii="仿宋_GB2312" w:eastAsia="仿宋_GB2312"/>
                <w:sz w:val="24"/>
              </w:rPr>
              <w:t>无增减变化</w:t>
            </w:r>
          </w:p>
        </w:tc>
      </w:tr>
      <w:tr w14:paraId="7D8C2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2281" w:type="dxa"/>
          </w:tcPr>
          <w:p w14:paraId="66F36E4C">
            <w:pPr>
              <w:spacing w:line="560" w:lineRule="exact"/>
              <w:jc w:val="center"/>
              <w:rPr>
                <w:rFonts w:ascii="仿宋_GB2312" w:eastAsia="仿宋_GB2312"/>
                <w:sz w:val="24"/>
              </w:rPr>
            </w:pPr>
            <w:r>
              <w:rPr>
                <w:rFonts w:hint="eastAsia" w:ascii="仿宋_GB2312" w:eastAsia="仿宋_GB2312"/>
                <w:sz w:val="24"/>
              </w:rPr>
              <w:t>合计</w:t>
            </w:r>
          </w:p>
        </w:tc>
        <w:tc>
          <w:tcPr>
            <w:tcW w:w="1993" w:type="dxa"/>
          </w:tcPr>
          <w:p w14:paraId="22E770DC">
            <w:pPr>
              <w:spacing w:line="560" w:lineRule="exact"/>
              <w:jc w:val="center"/>
              <w:rPr>
                <w:rFonts w:ascii="仿宋_GB2312" w:eastAsia="仿宋_GB2312"/>
                <w:sz w:val="24"/>
              </w:rPr>
            </w:pPr>
            <w:r>
              <w:rPr>
                <w:rFonts w:hint="eastAsia" w:ascii="仿宋_GB2312" w:eastAsia="仿宋_GB2312"/>
                <w:sz w:val="24"/>
              </w:rPr>
              <w:t>1.5</w:t>
            </w:r>
          </w:p>
        </w:tc>
        <w:tc>
          <w:tcPr>
            <w:tcW w:w="2351" w:type="dxa"/>
          </w:tcPr>
          <w:p w14:paraId="08615C83">
            <w:pPr>
              <w:spacing w:line="560" w:lineRule="exact"/>
              <w:jc w:val="center"/>
              <w:rPr>
                <w:rFonts w:ascii="仿宋_GB2312" w:eastAsia="仿宋_GB2312"/>
                <w:sz w:val="24"/>
              </w:rPr>
            </w:pPr>
            <w:r>
              <w:rPr>
                <w:rFonts w:hint="eastAsia" w:ascii="仿宋_GB2312" w:eastAsia="仿宋_GB2312"/>
                <w:sz w:val="24"/>
              </w:rPr>
              <w:t>1.5</w:t>
            </w:r>
          </w:p>
        </w:tc>
        <w:tc>
          <w:tcPr>
            <w:tcW w:w="1746" w:type="dxa"/>
          </w:tcPr>
          <w:p w14:paraId="65D73D55">
            <w:pPr>
              <w:spacing w:line="560" w:lineRule="exact"/>
              <w:jc w:val="center"/>
              <w:rPr>
                <w:rFonts w:ascii="仿宋_GB2312" w:eastAsia="仿宋_GB2312"/>
                <w:sz w:val="24"/>
              </w:rPr>
            </w:pPr>
            <w:r>
              <w:rPr>
                <w:rFonts w:hint="eastAsia" w:ascii="仿宋_GB2312" w:eastAsia="仿宋_GB2312"/>
                <w:sz w:val="24"/>
              </w:rPr>
              <w:t>0</w:t>
            </w:r>
          </w:p>
        </w:tc>
        <w:tc>
          <w:tcPr>
            <w:tcW w:w="2049" w:type="dxa"/>
          </w:tcPr>
          <w:p w14:paraId="44F2ACC0">
            <w:pPr>
              <w:spacing w:line="560" w:lineRule="exact"/>
              <w:jc w:val="left"/>
              <w:rPr>
                <w:rFonts w:ascii="仿宋_GB2312" w:eastAsia="仿宋_GB2312"/>
                <w:sz w:val="24"/>
              </w:rPr>
            </w:pPr>
            <w:r>
              <w:rPr>
                <w:rFonts w:hint="eastAsia" w:ascii="仿宋_GB2312" w:eastAsia="仿宋_GB2312"/>
                <w:sz w:val="24"/>
              </w:rPr>
              <w:t>无增减变化</w:t>
            </w:r>
          </w:p>
        </w:tc>
      </w:tr>
    </w:tbl>
    <w:p w14:paraId="057EE1FE">
      <w:pPr>
        <w:widowControl/>
        <w:spacing w:line="560" w:lineRule="exact"/>
        <w:rPr>
          <w:rFonts w:ascii="黑体" w:hAnsi="黑体" w:eastAsia="黑体" w:cs="黑体"/>
          <w:kern w:val="0"/>
          <w:sz w:val="30"/>
          <w:szCs w:val="30"/>
        </w:rPr>
      </w:pPr>
    </w:p>
    <w:p w14:paraId="2019E770">
      <w:pPr>
        <w:widowControl/>
        <w:spacing w:line="560" w:lineRule="exact"/>
        <w:rPr>
          <w:rFonts w:ascii="黑体" w:hAnsi="黑体" w:eastAsia="黑体" w:cs="黑体"/>
          <w:kern w:val="0"/>
          <w:sz w:val="30"/>
          <w:szCs w:val="30"/>
        </w:rPr>
      </w:pPr>
      <w:r>
        <w:rPr>
          <w:rFonts w:hint="eastAsia" w:ascii="仿宋" w:hAnsi="仿宋" w:eastAsia="仿宋" w:cs="仿宋"/>
          <w:sz w:val="32"/>
          <w:szCs w:val="32"/>
        </w:rPr>
        <w:t xml:space="preserve">    会议费2万元，预计召开五四青年节表彰大会、共青团代表大会等会议5次，累计参加会议人数4000余人次；培训费2万元，预计开展大学生西部计划志愿者、少先队辅导员、青年创业等培训会14次，总计1800余人次。</w:t>
      </w:r>
    </w:p>
    <w:p w14:paraId="2330EC4B">
      <w:pPr>
        <w:widowControl/>
        <w:spacing w:line="560" w:lineRule="exact"/>
        <w:rPr>
          <w:rFonts w:ascii="仿宋" w:hAnsi="仿宋" w:eastAsia="仿宋" w:cs="仿宋"/>
          <w:b/>
          <w:bCs/>
          <w:kern w:val="0"/>
          <w:sz w:val="30"/>
          <w:szCs w:val="30"/>
        </w:rPr>
      </w:pPr>
      <w:r>
        <w:rPr>
          <w:rFonts w:hint="eastAsia" w:ascii="黑体" w:hAnsi="黑体" w:eastAsia="黑体" w:cs="黑体"/>
          <w:kern w:val="0"/>
          <w:sz w:val="30"/>
          <w:szCs w:val="30"/>
        </w:rPr>
        <w:t>五、绩效预算信息情况</w:t>
      </w:r>
    </w:p>
    <w:p w14:paraId="3106FEA8">
      <w:pPr>
        <w:widowControl/>
        <w:spacing w:line="560" w:lineRule="exact"/>
        <w:ind w:firstLine="640"/>
        <w:rPr>
          <w:rFonts w:ascii="仿宋" w:hAnsi="仿宋" w:eastAsia="仿宋" w:cs="仿宋"/>
          <w:kern w:val="0"/>
          <w:sz w:val="30"/>
          <w:szCs w:val="30"/>
        </w:rPr>
      </w:pPr>
      <w:r>
        <w:rPr>
          <w:rFonts w:hint="eastAsia" w:ascii="仿宋_GB2312" w:hAnsi="仿宋_GB2312" w:eastAsia="仿宋_GB2312" w:cs="仿宋_GB2312"/>
          <w:kern w:val="0"/>
          <w:sz w:val="30"/>
          <w:szCs w:val="30"/>
        </w:rPr>
        <w:t>总体绩效目标：团县委紧紧围绕党政中心，以及青年思想动态、工作现状开展各项活动，从而进一步夯实乡镇、学校等基层共青团组织建设，深化共青团改革，大力推进共青团基层组织建设；继续深入推进青年就业创业培训，充分利用五四青年节活动，增强青年凝聚力，做好青年统战对象的团结教育、引领、服务工作，为全县经济社会发展贡献力量。</w:t>
      </w:r>
    </w:p>
    <w:p w14:paraId="1F0C18A1">
      <w:pPr>
        <w:widowControl/>
        <w:spacing w:line="560" w:lineRule="exact"/>
        <w:ind w:firstLine="640"/>
        <w:rPr>
          <w:rFonts w:ascii="仿宋" w:hAnsi="仿宋" w:eastAsia="仿宋" w:cs="仿宋"/>
          <w:kern w:val="0"/>
          <w:sz w:val="30"/>
          <w:szCs w:val="30"/>
        </w:rPr>
      </w:pPr>
    </w:p>
    <w:p w14:paraId="5D45F852">
      <w:pPr>
        <w:widowControl/>
        <w:spacing w:line="560" w:lineRule="exact"/>
        <w:ind w:firstLine="640"/>
        <w:rPr>
          <w:rFonts w:ascii="仿宋" w:hAnsi="仿宋" w:eastAsia="仿宋" w:cs="仿宋"/>
          <w:kern w:val="0"/>
          <w:sz w:val="30"/>
          <w:szCs w:val="30"/>
        </w:rPr>
      </w:pPr>
    </w:p>
    <w:p w14:paraId="64F595D6">
      <w:pPr>
        <w:widowControl/>
        <w:spacing w:line="560" w:lineRule="exact"/>
        <w:ind w:firstLine="640"/>
        <w:rPr>
          <w:rFonts w:ascii="仿宋" w:hAnsi="仿宋" w:eastAsia="仿宋" w:cs="仿宋"/>
          <w:kern w:val="0"/>
          <w:sz w:val="30"/>
          <w:szCs w:val="30"/>
        </w:rPr>
      </w:pPr>
    </w:p>
    <w:p w14:paraId="364CBF9F">
      <w:pPr>
        <w:widowControl/>
        <w:spacing w:line="560" w:lineRule="exact"/>
        <w:rPr>
          <w:rFonts w:ascii="仿宋" w:hAnsi="仿宋" w:eastAsia="仿宋" w:cs="仿宋"/>
          <w:kern w:val="0"/>
          <w:sz w:val="30"/>
          <w:szCs w:val="30"/>
        </w:rPr>
      </w:pPr>
    </w:p>
    <w:p w14:paraId="787EA5CA">
      <w:pPr>
        <w:widowControl/>
        <w:spacing w:line="560" w:lineRule="exact"/>
        <w:ind w:firstLine="640"/>
        <w:rPr>
          <w:rFonts w:ascii="仿宋" w:hAnsi="仿宋" w:eastAsia="仿宋" w:cs="仿宋"/>
          <w:kern w:val="0"/>
          <w:sz w:val="30"/>
          <w:szCs w:val="30"/>
        </w:rPr>
      </w:pPr>
    </w:p>
    <w:p w14:paraId="47EAECEC">
      <w:pPr>
        <w:widowControl/>
        <w:spacing w:line="560" w:lineRule="exact"/>
        <w:ind w:firstLine="640"/>
        <w:rPr>
          <w:rFonts w:ascii="仿宋" w:hAnsi="仿宋" w:eastAsia="仿宋" w:cs="仿宋"/>
          <w:kern w:val="0"/>
          <w:sz w:val="30"/>
          <w:szCs w:val="30"/>
        </w:rPr>
      </w:pPr>
    </w:p>
    <w:p w14:paraId="3BB7A142">
      <w:pPr>
        <w:widowControl/>
        <w:spacing w:line="560" w:lineRule="exact"/>
        <w:ind w:firstLine="640"/>
        <w:rPr>
          <w:rFonts w:ascii="仿宋" w:hAnsi="仿宋" w:eastAsia="仿宋" w:cs="仿宋"/>
          <w:kern w:val="0"/>
          <w:sz w:val="30"/>
          <w:szCs w:val="30"/>
        </w:rPr>
      </w:pPr>
    </w:p>
    <w:p w14:paraId="442E3EC6">
      <w:pPr>
        <w:jc w:val="center"/>
        <w:outlineLvl w:val="0"/>
        <w:rPr>
          <w:rFonts w:ascii="方正小标宋_GBK" w:eastAsia="方正小标宋_GBK"/>
          <w:sz w:val="32"/>
        </w:rPr>
        <w:sectPr>
          <w:pgSz w:w="11907" w:h="16839"/>
          <w:pgMar w:top="1361" w:right="1021" w:bottom="1361" w:left="1021" w:header="851" w:footer="992" w:gutter="0"/>
          <w:cols w:space="425" w:num="1"/>
          <w:docGrid w:type="linesAndChars" w:linePitch="312" w:charSpace="0"/>
        </w:sectPr>
      </w:pPr>
      <w:bookmarkStart w:id="0" w:name="_Toc446713336"/>
    </w:p>
    <w:bookmarkEnd w:id="0"/>
    <w:p w14:paraId="0982DB97">
      <w:pPr>
        <w:jc w:val="center"/>
        <w:outlineLvl w:val="0"/>
        <w:rPr>
          <w:rFonts w:ascii="方正小标宋_GBK" w:eastAsia="方正小标宋_GBK"/>
          <w:sz w:val="32"/>
        </w:rPr>
      </w:pPr>
      <w:bookmarkStart w:id="1" w:name="_Toc507404767"/>
      <w:r>
        <w:rPr>
          <w:rFonts w:hint="eastAsia" w:ascii="方正小标宋_GBK" w:eastAsia="方正小标宋_GBK"/>
          <w:sz w:val="32"/>
        </w:rPr>
        <w:t>部门职责-工作活动绩效目标</w:t>
      </w:r>
      <w:bookmarkEnd w:id="1"/>
    </w:p>
    <w:tbl>
      <w:tblPr>
        <w:tblStyle w:val="6"/>
        <w:tblW w:w="139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41"/>
        <w:gridCol w:w="1276"/>
        <w:gridCol w:w="2976"/>
        <w:gridCol w:w="2976"/>
        <w:gridCol w:w="1417"/>
        <w:gridCol w:w="737"/>
        <w:gridCol w:w="737"/>
        <w:gridCol w:w="737"/>
        <w:gridCol w:w="737"/>
      </w:tblGrid>
      <w:tr w14:paraId="58111D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0986" w:type="dxa"/>
            <w:gridSpan w:val="5"/>
            <w:tcBorders>
              <w:top w:val="single" w:color="FFFFFF" w:sz="6" w:space="0"/>
              <w:left w:val="single" w:color="FFFFFF" w:sz="6" w:space="0"/>
              <w:right w:val="single" w:color="FFFFFF" w:sz="6" w:space="0"/>
            </w:tcBorders>
            <w:shd w:val="clear" w:color="auto" w:fill="auto"/>
            <w:vAlign w:val="center"/>
          </w:tcPr>
          <w:p w14:paraId="517156DF">
            <w:pPr>
              <w:spacing w:line="300" w:lineRule="exact"/>
              <w:jc w:val="left"/>
              <w:rPr>
                <w:rFonts w:ascii="方正小标宋_GBK" w:eastAsia="方正小标宋_GBK"/>
                <w:sz w:val="24"/>
              </w:rPr>
            </w:pPr>
            <w:r>
              <w:rPr>
                <w:rFonts w:ascii="方正小标宋_GBK" w:eastAsia="方正小标宋_GBK"/>
                <w:sz w:val="24"/>
              </w:rPr>
              <w:t>712</w:t>
            </w:r>
            <w:r>
              <w:rPr>
                <w:rFonts w:hint="eastAsia" w:ascii="方正小标宋_GBK" w:eastAsia="方正小标宋_GBK"/>
                <w:sz w:val="24"/>
              </w:rPr>
              <w:t>中国共产主义青年团涞水县委员会</w:t>
            </w:r>
          </w:p>
        </w:tc>
        <w:tc>
          <w:tcPr>
            <w:tcW w:w="2948" w:type="dxa"/>
            <w:gridSpan w:val="4"/>
            <w:tcBorders>
              <w:top w:val="single" w:color="FFFFFF" w:sz="6" w:space="0"/>
              <w:left w:val="single" w:color="FFFFFF" w:sz="6" w:space="0"/>
              <w:right w:val="single" w:color="FFFFFF" w:sz="6" w:space="0"/>
            </w:tcBorders>
            <w:shd w:val="clear" w:color="auto" w:fill="auto"/>
            <w:vAlign w:val="center"/>
          </w:tcPr>
          <w:p w14:paraId="2EB8819D">
            <w:pPr>
              <w:spacing w:line="300" w:lineRule="exact"/>
              <w:jc w:val="right"/>
              <w:rPr>
                <w:rFonts w:ascii="方正书宋_GBK" w:eastAsia="方正书宋_GBK"/>
                <w:sz w:val="24"/>
              </w:rPr>
            </w:pPr>
            <w:r>
              <w:rPr>
                <w:rFonts w:hint="eastAsia" w:ascii="方正书宋_GBK" w:eastAsia="方正书宋_GBK"/>
                <w:sz w:val="24"/>
              </w:rPr>
              <w:t>单位：万元</w:t>
            </w:r>
          </w:p>
        </w:tc>
      </w:tr>
      <w:tr w14:paraId="2C811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2341" w:type="dxa"/>
            <w:vMerge w:val="restart"/>
            <w:shd w:val="clear" w:color="auto" w:fill="auto"/>
            <w:vAlign w:val="center"/>
          </w:tcPr>
          <w:p w14:paraId="211FEBA5">
            <w:pPr>
              <w:spacing w:line="300" w:lineRule="exact"/>
              <w:jc w:val="center"/>
              <w:rPr>
                <w:rFonts w:ascii="方正书宋_GBK" w:eastAsia="方正书宋_GBK"/>
                <w:b/>
              </w:rPr>
            </w:pPr>
            <w:r>
              <w:rPr>
                <w:rFonts w:hint="eastAsia" w:ascii="方正书宋_GBK" w:eastAsia="方正书宋_GBK"/>
                <w:b/>
              </w:rPr>
              <w:t>职责活动</w:t>
            </w:r>
          </w:p>
        </w:tc>
        <w:tc>
          <w:tcPr>
            <w:tcW w:w="1276" w:type="dxa"/>
            <w:vMerge w:val="restart"/>
            <w:shd w:val="clear" w:color="auto" w:fill="auto"/>
            <w:vAlign w:val="center"/>
          </w:tcPr>
          <w:p w14:paraId="0E87B0B6">
            <w:pPr>
              <w:spacing w:line="300" w:lineRule="exact"/>
              <w:jc w:val="center"/>
              <w:rPr>
                <w:rFonts w:ascii="方正书宋_GBK" w:eastAsia="方正书宋_GBK"/>
                <w:b/>
              </w:rPr>
            </w:pPr>
            <w:r>
              <w:rPr>
                <w:rFonts w:hint="eastAsia" w:ascii="方正书宋_GBK" w:eastAsia="方正书宋_GBK"/>
                <w:b/>
              </w:rPr>
              <w:t>年度预算数</w:t>
            </w:r>
          </w:p>
        </w:tc>
        <w:tc>
          <w:tcPr>
            <w:tcW w:w="2976" w:type="dxa"/>
            <w:vMerge w:val="restart"/>
            <w:shd w:val="clear" w:color="auto" w:fill="auto"/>
            <w:vAlign w:val="center"/>
          </w:tcPr>
          <w:p w14:paraId="2FF58710">
            <w:pPr>
              <w:spacing w:line="300" w:lineRule="exact"/>
              <w:jc w:val="center"/>
              <w:rPr>
                <w:rFonts w:ascii="方正书宋_GBK" w:eastAsia="方正书宋_GBK"/>
                <w:b/>
              </w:rPr>
            </w:pPr>
            <w:r>
              <w:rPr>
                <w:rFonts w:hint="eastAsia" w:ascii="方正书宋_GBK" w:eastAsia="方正书宋_GBK"/>
                <w:b/>
              </w:rPr>
              <w:t>内容描述</w:t>
            </w:r>
          </w:p>
        </w:tc>
        <w:tc>
          <w:tcPr>
            <w:tcW w:w="2976" w:type="dxa"/>
            <w:vMerge w:val="restart"/>
            <w:shd w:val="clear" w:color="auto" w:fill="auto"/>
            <w:vAlign w:val="center"/>
          </w:tcPr>
          <w:p w14:paraId="70B7C063">
            <w:pPr>
              <w:spacing w:line="300" w:lineRule="exact"/>
              <w:jc w:val="center"/>
              <w:rPr>
                <w:rFonts w:ascii="方正书宋_GBK" w:eastAsia="方正书宋_GBK"/>
                <w:b/>
              </w:rPr>
            </w:pPr>
            <w:r>
              <w:rPr>
                <w:rFonts w:hint="eastAsia" w:ascii="方正书宋_GBK" w:eastAsia="方正书宋_GBK"/>
                <w:b/>
              </w:rPr>
              <w:t>绩效目标</w:t>
            </w:r>
          </w:p>
        </w:tc>
        <w:tc>
          <w:tcPr>
            <w:tcW w:w="1417" w:type="dxa"/>
            <w:vMerge w:val="restart"/>
            <w:shd w:val="clear" w:color="auto" w:fill="auto"/>
            <w:vAlign w:val="center"/>
          </w:tcPr>
          <w:p w14:paraId="7B6837A4">
            <w:pPr>
              <w:spacing w:line="300" w:lineRule="exact"/>
              <w:jc w:val="center"/>
              <w:rPr>
                <w:rFonts w:ascii="方正书宋_GBK" w:eastAsia="方正书宋_GBK"/>
                <w:b/>
              </w:rPr>
            </w:pPr>
            <w:r>
              <w:rPr>
                <w:rFonts w:hint="eastAsia" w:ascii="方正书宋_GBK" w:eastAsia="方正书宋_GBK"/>
                <w:b/>
              </w:rPr>
              <w:t>绩效指标</w:t>
            </w:r>
          </w:p>
        </w:tc>
        <w:tc>
          <w:tcPr>
            <w:tcW w:w="2948" w:type="dxa"/>
            <w:gridSpan w:val="4"/>
            <w:shd w:val="clear" w:color="auto" w:fill="auto"/>
            <w:vAlign w:val="center"/>
          </w:tcPr>
          <w:p w14:paraId="725229E8">
            <w:pPr>
              <w:spacing w:line="300" w:lineRule="exact"/>
              <w:jc w:val="center"/>
              <w:rPr>
                <w:rFonts w:ascii="方正书宋_GBK" w:eastAsia="方正书宋_GBK"/>
                <w:b/>
              </w:rPr>
            </w:pPr>
            <w:r>
              <w:rPr>
                <w:rFonts w:hint="eastAsia" w:ascii="方正书宋_GBK" w:eastAsia="方正书宋_GBK"/>
                <w:b/>
              </w:rPr>
              <w:t>评价标准</w:t>
            </w:r>
          </w:p>
        </w:tc>
      </w:tr>
      <w:tr w14:paraId="60F63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2341" w:type="dxa"/>
            <w:vMerge w:val="continue"/>
            <w:shd w:val="clear" w:color="auto" w:fill="auto"/>
            <w:vAlign w:val="center"/>
          </w:tcPr>
          <w:p w14:paraId="5AB388B7">
            <w:pPr>
              <w:spacing w:line="300" w:lineRule="exact"/>
              <w:jc w:val="left"/>
              <w:outlineLvl w:val="0"/>
            </w:pPr>
          </w:p>
        </w:tc>
        <w:tc>
          <w:tcPr>
            <w:tcW w:w="1276" w:type="dxa"/>
            <w:vMerge w:val="continue"/>
            <w:shd w:val="clear" w:color="auto" w:fill="auto"/>
            <w:vAlign w:val="center"/>
          </w:tcPr>
          <w:p w14:paraId="5E3EA017">
            <w:pPr>
              <w:spacing w:line="300" w:lineRule="exact"/>
              <w:jc w:val="left"/>
              <w:outlineLvl w:val="0"/>
            </w:pPr>
          </w:p>
        </w:tc>
        <w:tc>
          <w:tcPr>
            <w:tcW w:w="2976" w:type="dxa"/>
            <w:vMerge w:val="continue"/>
            <w:shd w:val="clear" w:color="auto" w:fill="auto"/>
            <w:vAlign w:val="center"/>
          </w:tcPr>
          <w:p w14:paraId="4BCFE6C5">
            <w:pPr>
              <w:spacing w:line="300" w:lineRule="exact"/>
              <w:jc w:val="left"/>
              <w:outlineLvl w:val="0"/>
            </w:pPr>
          </w:p>
        </w:tc>
        <w:tc>
          <w:tcPr>
            <w:tcW w:w="2976" w:type="dxa"/>
            <w:vMerge w:val="continue"/>
            <w:shd w:val="clear" w:color="auto" w:fill="auto"/>
            <w:vAlign w:val="center"/>
          </w:tcPr>
          <w:p w14:paraId="7CFFEB36">
            <w:pPr>
              <w:spacing w:line="300" w:lineRule="exact"/>
              <w:jc w:val="left"/>
              <w:outlineLvl w:val="0"/>
            </w:pPr>
          </w:p>
        </w:tc>
        <w:tc>
          <w:tcPr>
            <w:tcW w:w="1417" w:type="dxa"/>
            <w:vMerge w:val="continue"/>
            <w:shd w:val="clear" w:color="auto" w:fill="auto"/>
            <w:vAlign w:val="center"/>
          </w:tcPr>
          <w:p w14:paraId="40A6B9B2">
            <w:pPr>
              <w:spacing w:line="300" w:lineRule="exact"/>
              <w:jc w:val="left"/>
              <w:outlineLvl w:val="0"/>
            </w:pPr>
          </w:p>
        </w:tc>
        <w:tc>
          <w:tcPr>
            <w:tcW w:w="737" w:type="dxa"/>
            <w:shd w:val="clear" w:color="auto" w:fill="auto"/>
            <w:vAlign w:val="center"/>
          </w:tcPr>
          <w:p w14:paraId="04CB370C">
            <w:pPr>
              <w:spacing w:line="300" w:lineRule="exact"/>
              <w:jc w:val="center"/>
              <w:rPr>
                <w:rFonts w:ascii="方正书宋_GBK" w:eastAsia="方正书宋_GBK"/>
                <w:b/>
              </w:rPr>
            </w:pPr>
            <w:r>
              <w:rPr>
                <w:rFonts w:hint="eastAsia" w:ascii="方正书宋_GBK" w:eastAsia="方正书宋_GBK"/>
                <w:b/>
              </w:rPr>
              <w:t>优</w:t>
            </w:r>
          </w:p>
        </w:tc>
        <w:tc>
          <w:tcPr>
            <w:tcW w:w="737" w:type="dxa"/>
            <w:shd w:val="clear" w:color="auto" w:fill="auto"/>
            <w:vAlign w:val="center"/>
          </w:tcPr>
          <w:p w14:paraId="1FD6BA76">
            <w:pPr>
              <w:spacing w:line="300" w:lineRule="exact"/>
              <w:jc w:val="center"/>
              <w:rPr>
                <w:rFonts w:ascii="方正书宋_GBK" w:eastAsia="方正书宋_GBK"/>
                <w:b/>
              </w:rPr>
            </w:pPr>
            <w:r>
              <w:rPr>
                <w:rFonts w:hint="eastAsia" w:ascii="方正书宋_GBK" w:eastAsia="方正书宋_GBK"/>
                <w:b/>
              </w:rPr>
              <w:t>良</w:t>
            </w:r>
          </w:p>
        </w:tc>
        <w:tc>
          <w:tcPr>
            <w:tcW w:w="737" w:type="dxa"/>
            <w:shd w:val="clear" w:color="auto" w:fill="auto"/>
            <w:vAlign w:val="center"/>
          </w:tcPr>
          <w:p w14:paraId="4CAC28EB">
            <w:pPr>
              <w:spacing w:line="300" w:lineRule="exact"/>
              <w:jc w:val="center"/>
              <w:rPr>
                <w:rFonts w:ascii="方正书宋_GBK" w:eastAsia="方正书宋_GBK"/>
                <w:b/>
              </w:rPr>
            </w:pPr>
            <w:r>
              <w:rPr>
                <w:rFonts w:hint="eastAsia" w:ascii="方正书宋_GBK" w:eastAsia="方正书宋_GBK"/>
                <w:b/>
              </w:rPr>
              <w:t>中</w:t>
            </w:r>
          </w:p>
        </w:tc>
        <w:tc>
          <w:tcPr>
            <w:tcW w:w="737" w:type="dxa"/>
            <w:shd w:val="clear" w:color="auto" w:fill="auto"/>
            <w:vAlign w:val="center"/>
          </w:tcPr>
          <w:p w14:paraId="3E7CBDA0">
            <w:pPr>
              <w:spacing w:line="300" w:lineRule="exact"/>
              <w:jc w:val="center"/>
              <w:rPr>
                <w:rFonts w:ascii="方正书宋_GBK" w:eastAsia="方正书宋_GBK"/>
                <w:b/>
              </w:rPr>
            </w:pPr>
            <w:r>
              <w:rPr>
                <w:rFonts w:hint="eastAsia" w:ascii="方正书宋_GBK" w:eastAsia="方正书宋_GBK"/>
                <w:b/>
              </w:rPr>
              <w:t>差</w:t>
            </w:r>
          </w:p>
        </w:tc>
      </w:tr>
      <w:tr w14:paraId="3C8F6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6E96B56D">
            <w:pPr>
              <w:spacing w:line="300" w:lineRule="exact"/>
              <w:jc w:val="left"/>
              <w:rPr>
                <w:rFonts w:ascii="方正书宋_GBK" w:eastAsia="方正书宋_GBK"/>
                <w:b/>
              </w:rPr>
            </w:pPr>
            <w:r>
              <w:rPr>
                <w:rFonts w:hint="eastAsia" w:ascii="方正书宋_GBK" w:eastAsia="方正书宋_GBK"/>
                <w:b/>
              </w:rPr>
              <w:t>一、组织建设和宣传教育</w:t>
            </w:r>
          </w:p>
        </w:tc>
        <w:tc>
          <w:tcPr>
            <w:tcW w:w="1276" w:type="dxa"/>
            <w:shd w:val="clear" w:color="auto" w:fill="auto"/>
            <w:vAlign w:val="center"/>
          </w:tcPr>
          <w:p w14:paraId="64A33101">
            <w:pPr>
              <w:spacing w:line="300" w:lineRule="exact"/>
              <w:jc w:val="left"/>
              <w:rPr>
                <w:rFonts w:ascii="方正书宋_GBK" w:eastAsia="方正书宋_GBK"/>
              </w:rPr>
            </w:pPr>
            <w:r>
              <w:rPr>
                <w:rFonts w:ascii="方正书宋_GBK" w:eastAsia="方正书宋_GBK"/>
              </w:rPr>
              <w:t>5.00</w:t>
            </w:r>
          </w:p>
        </w:tc>
        <w:tc>
          <w:tcPr>
            <w:tcW w:w="2976" w:type="dxa"/>
            <w:shd w:val="clear" w:color="auto" w:fill="auto"/>
            <w:vAlign w:val="center"/>
          </w:tcPr>
          <w:p w14:paraId="2833D5FD">
            <w:pPr>
              <w:spacing w:line="300" w:lineRule="exact"/>
              <w:jc w:val="left"/>
              <w:rPr>
                <w:rFonts w:ascii="方正书宋_GBK" w:eastAsia="方正书宋_GBK"/>
              </w:rPr>
            </w:pPr>
            <w:r>
              <w:rPr>
                <w:rFonts w:hint="eastAsia" w:ascii="方正书宋_GBK" w:eastAsia="方正书宋_GBK"/>
              </w:rPr>
              <w:t>领导全县共青团工作，管理全县青、学联、少先队、青年志愿者和青年社会组织工作；对青少年活动阵地和青少年服务机构的建设等进行规划和管理；协助县政府教育部门做好学生教育管理工作。</w:t>
            </w:r>
          </w:p>
        </w:tc>
        <w:tc>
          <w:tcPr>
            <w:tcW w:w="2976" w:type="dxa"/>
            <w:shd w:val="clear" w:color="auto" w:fill="auto"/>
            <w:vAlign w:val="center"/>
          </w:tcPr>
          <w:p w14:paraId="715495BC">
            <w:pPr>
              <w:spacing w:line="300" w:lineRule="exact"/>
              <w:jc w:val="left"/>
              <w:rPr>
                <w:rFonts w:ascii="方正书宋_GBK" w:eastAsia="方正书宋_GBK"/>
              </w:rPr>
            </w:pPr>
            <w:r>
              <w:rPr>
                <w:rFonts w:hint="eastAsia" w:ascii="方正书宋_GBK" w:eastAsia="方正书宋_GBK"/>
              </w:rPr>
              <w:t>各级基层团组织和青年组织建设加强，活力明显提升。</w:t>
            </w:r>
          </w:p>
        </w:tc>
        <w:tc>
          <w:tcPr>
            <w:tcW w:w="1417" w:type="dxa"/>
            <w:shd w:val="clear" w:color="auto" w:fill="auto"/>
            <w:vAlign w:val="center"/>
          </w:tcPr>
          <w:p w14:paraId="41E2A8A4">
            <w:pPr>
              <w:spacing w:line="300" w:lineRule="exact"/>
              <w:jc w:val="left"/>
              <w:rPr>
                <w:rFonts w:ascii="方正书宋_GBK" w:eastAsia="方正书宋_GBK"/>
              </w:rPr>
            </w:pPr>
          </w:p>
        </w:tc>
        <w:tc>
          <w:tcPr>
            <w:tcW w:w="737" w:type="dxa"/>
            <w:shd w:val="clear" w:color="auto" w:fill="auto"/>
            <w:vAlign w:val="center"/>
          </w:tcPr>
          <w:p w14:paraId="521F12A2">
            <w:pPr>
              <w:spacing w:line="300" w:lineRule="exact"/>
              <w:jc w:val="center"/>
              <w:rPr>
                <w:rFonts w:ascii="方正书宋_GBK" w:eastAsia="方正书宋_GBK"/>
              </w:rPr>
            </w:pPr>
          </w:p>
        </w:tc>
        <w:tc>
          <w:tcPr>
            <w:tcW w:w="737" w:type="dxa"/>
            <w:shd w:val="clear" w:color="auto" w:fill="auto"/>
            <w:vAlign w:val="center"/>
          </w:tcPr>
          <w:p w14:paraId="23FDBE22">
            <w:pPr>
              <w:spacing w:line="300" w:lineRule="exact"/>
              <w:jc w:val="center"/>
              <w:rPr>
                <w:rFonts w:ascii="方正书宋_GBK" w:eastAsia="方正书宋_GBK"/>
              </w:rPr>
            </w:pPr>
          </w:p>
        </w:tc>
        <w:tc>
          <w:tcPr>
            <w:tcW w:w="737" w:type="dxa"/>
            <w:shd w:val="clear" w:color="auto" w:fill="auto"/>
            <w:vAlign w:val="center"/>
          </w:tcPr>
          <w:p w14:paraId="0BD0F532">
            <w:pPr>
              <w:spacing w:line="300" w:lineRule="exact"/>
              <w:jc w:val="center"/>
              <w:rPr>
                <w:rFonts w:ascii="方正书宋_GBK" w:eastAsia="方正书宋_GBK"/>
              </w:rPr>
            </w:pPr>
          </w:p>
        </w:tc>
        <w:tc>
          <w:tcPr>
            <w:tcW w:w="737" w:type="dxa"/>
            <w:shd w:val="clear" w:color="auto" w:fill="auto"/>
            <w:vAlign w:val="center"/>
          </w:tcPr>
          <w:p w14:paraId="30407405">
            <w:pPr>
              <w:spacing w:line="300" w:lineRule="exact"/>
              <w:jc w:val="center"/>
              <w:rPr>
                <w:rFonts w:ascii="方正书宋_GBK" w:eastAsia="方正书宋_GBK"/>
              </w:rPr>
            </w:pPr>
          </w:p>
        </w:tc>
      </w:tr>
      <w:tr w14:paraId="3E2B8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shd w:val="clear" w:color="auto" w:fill="auto"/>
            <w:vAlign w:val="center"/>
          </w:tcPr>
          <w:p w14:paraId="1DEE1D04">
            <w:pPr>
              <w:spacing w:line="300" w:lineRule="exact"/>
              <w:jc w:val="left"/>
              <w:rPr>
                <w:rFonts w:ascii="方正书宋_GBK" w:eastAsia="方正书宋_GBK"/>
                <w:b/>
              </w:rPr>
            </w:pPr>
            <w:r>
              <w:rPr>
                <w:rFonts w:hint="eastAsia" w:ascii="方正书宋_GBK" w:eastAsia="方正书宋_GBK"/>
                <w:b/>
              </w:rPr>
              <w:t>　　</w:t>
            </w:r>
            <w:r>
              <w:rPr>
                <w:rFonts w:ascii="方正书宋_GBK" w:eastAsia="方正书宋_GBK"/>
                <w:b/>
              </w:rPr>
              <w:t>1</w:t>
            </w:r>
            <w:r>
              <w:rPr>
                <w:rFonts w:hint="eastAsia" w:ascii="方正书宋_GBK" w:eastAsia="方正书宋_GBK"/>
                <w:b/>
              </w:rPr>
              <w:t>、组织建设</w:t>
            </w:r>
          </w:p>
        </w:tc>
        <w:tc>
          <w:tcPr>
            <w:tcW w:w="1276" w:type="dxa"/>
            <w:vMerge w:val="restart"/>
            <w:shd w:val="clear" w:color="auto" w:fill="auto"/>
            <w:vAlign w:val="center"/>
          </w:tcPr>
          <w:p w14:paraId="527DE3DE">
            <w:pPr>
              <w:spacing w:line="300" w:lineRule="exact"/>
              <w:jc w:val="left"/>
              <w:rPr>
                <w:rFonts w:ascii="方正书宋_GBK" w:eastAsia="方正书宋_GBK"/>
              </w:rPr>
            </w:pPr>
            <w:r>
              <w:rPr>
                <w:rFonts w:ascii="方正书宋_GBK" w:eastAsia="方正书宋_GBK"/>
              </w:rPr>
              <w:t>3.00</w:t>
            </w:r>
          </w:p>
        </w:tc>
        <w:tc>
          <w:tcPr>
            <w:tcW w:w="2976" w:type="dxa"/>
            <w:vMerge w:val="restart"/>
            <w:shd w:val="clear" w:color="auto" w:fill="auto"/>
            <w:vAlign w:val="center"/>
          </w:tcPr>
          <w:p w14:paraId="5CFE0E10">
            <w:pPr>
              <w:spacing w:line="300" w:lineRule="exact"/>
              <w:jc w:val="left"/>
              <w:rPr>
                <w:rFonts w:ascii="方正书宋_GBK" w:eastAsia="方正书宋_GBK"/>
              </w:rPr>
            </w:pPr>
            <w:r>
              <w:rPr>
                <w:rFonts w:hint="eastAsia" w:ascii="方正书宋_GBK" w:eastAsia="方正书宋_GBK"/>
              </w:rPr>
              <w:t>强化学校、乡镇等团组织建设，进一步扩大团组织覆盖面；进一步做好青年志愿者工作；对青少年活动阵地和青少年服务机构建设等事务进行规划和管理。</w:t>
            </w:r>
          </w:p>
        </w:tc>
        <w:tc>
          <w:tcPr>
            <w:tcW w:w="2976" w:type="dxa"/>
            <w:vMerge w:val="restart"/>
            <w:shd w:val="clear" w:color="auto" w:fill="auto"/>
            <w:vAlign w:val="center"/>
          </w:tcPr>
          <w:p w14:paraId="2A1BEDD5">
            <w:pPr>
              <w:spacing w:line="300" w:lineRule="exact"/>
              <w:jc w:val="left"/>
              <w:rPr>
                <w:rFonts w:ascii="方正书宋_GBK" w:eastAsia="方正书宋_GBK"/>
              </w:rPr>
            </w:pPr>
            <w:r>
              <w:rPr>
                <w:rFonts w:hint="eastAsia" w:ascii="方正书宋_GBK" w:eastAsia="方正书宋_GBK"/>
              </w:rPr>
              <w:t>强化团干部教育培训，加强思想和作风建设；加强青联、学联、少工委组织建设，加强青年志愿组织和青年社会组织及青少年活动阵地的指导和管理；基层团组织服务能力不断提高。</w:t>
            </w:r>
          </w:p>
        </w:tc>
        <w:tc>
          <w:tcPr>
            <w:tcW w:w="1417" w:type="dxa"/>
            <w:shd w:val="clear" w:color="auto" w:fill="auto"/>
            <w:vAlign w:val="center"/>
          </w:tcPr>
          <w:p w14:paraId="2D046985">
            <w:pPr>
              <w:spacing w:line="300" w:lineRule="exact"/>
              <w:jc w:val="left"/>
              <w:rPr>
                <w:rFonts w:ascii="方正书宋_GBK" w:eastAsia="方正书宋_GBK"/>
              </w:rPr>
            </w:pPr>
            <w:r>
              <w:rPr>
                <w:rFonts w:hint="eastAsia" w:ascii="方正书宋_GBK" w:eastAsia="方正书宋_GBK"/>
              </w:rPr>
              <w:t>青年志愿者队伍新增注册比例</w:t>
            </w:r>
          </w:p>
        </w:tc>
        <w:tc>
          <w:tcPr>
            <w:tcW w:w="737" w:type="dxa"/>
            <w:shd w:val="clear" w:color="auto" w:fill="auto"/>
            <w:vAlign w:val="center"/>
          </w:tcPr>
          <w:p w14:paraId="3F94C257">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25%</w:t>
            </w:r>
          </w:p>
        </w:tc>
        <w:tc>
          <w:tcPr>
            <w:tcW w:w="737" w:type="dxa"/>
            <w:shd w:val="clear" w:color="auto" w:fill="auto"/>
            <w:vAlign w:val="center"/>
          </w:tcPr>
          <w:p w14:paraId="4A9022EA">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15%</w:t>
            </w:r>
          </w:p>
        </w:tc>
        <w:tc>
          <w:tcPr>
            <w:tcW w:w="737" w:type="dxa"/>
            <w:shd w:val="clear" w:color="auto" w:fill="auto"/>
            <w:vAlign w:val="center"/>
          </w:tcPr>
          <w:p w14:paraId="505EC000">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5%</w:t>
            </w:r>
          </w:p>
        </w:tc>
        <w:tc>
          <w:tcPr>
            <w:tcW w:w="737" w:type="dxa"/>
            <w:shd w:val="clear" w:color="auto" w:fill="auto"/>
            <w:vAlign w:val="center"/>
          </w:tcPr>
          <w:p w14:paraId="079C451C">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5%</w:t>
            </w:r>
          </w:p>
        </w:tc>
      </w:tr>
      <w:tr w14:paraId="6E42C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410680E7">
            <w:pPr>
              <w:spacing w:line="300" w:lineRule="exact"/>
              <w:jc w:val="left"/>
              <w:rPr>
                <w:rFonts w:ascii="方正书宋_GBK" w:eastAsia="方正书宋_GBK"/>
                <w:b/>
              </w:rPr>
            </w:pPr>
          </w:p>
        </w:tc>
        <w:tc>
          <w:tcPr>
            <w:tcW w:w="1276" w:type="dxa"/>
            <w:vMerge w:val="continue"/>
            <w:shd w:val="clear" w:color="auto" w:fill="auto"/>
            <w:vAlign w:val="center"/>
          </w:tcPr>
          <w:p w14:paraId="4763CDEE">
            <w:pPr>
              <w:spacing w:line="300" w:lineRule="exact"/>
              <w:jc w:val="left"/>
              <w:rPr>
                <w:rFonts w:ascii="方正书宋_GBK" w:eastAsia="方正书宋_GBK"/>
              </w:rPr>
            </w:pPr>
          </w:p>
        </w:tc>
        <w:tc>
          <w:tcPr>
            <w:tcW w:w="2976" w:type="dxa"/>
            <w:vMerge w:val="continue"/>
            <w:shd w:val="clear" w:color="auto" w:fill="auto"/>
            <w:vAlign w:val="center"/>
          </w:tcPr>
          <w:p w14:paraId="6F4E70A9">
            <w:pPr>
              <w:spacing w:line="300" w:lineRule="exact"/>
              <w:jc w:val="left"/>
              <w:rPr>
                <w:rFonts w:ascii="方正书宋_GBK" w:eastAsia="方正书宋_GBK"/>
              </w:rPr>
            </w:pPr>
          </w:p>
        </w:tc>
        <w:tc>
          <w:tcPr>
            <w:tcW w:w="2976" w:type="dxa"/>
            <w:vMerge w:val="continue"/>
            <w:shd w:val="clear" w:color="auto" w:fill="auto"/>
            <w:vAlign w:val="center"/>
          </w:tcPr>
          <w:p w14:paraId="5FD0A947">
            <w:pPr>
              <w:spacing w:line="300" w:lineRule="exact"/>
              <w:jc w:val="left"/>
              <w:rPr>
                <w:rFonts w:ascii="方正书宋_GBK" w:eastAsia="方正书宋_GBK"/>
              </w:rPr>
            </w:pPr>
          </w:p>
        </w:tc>
        <w:tc>
          <w:tcPr>
            <w:tcW w:w="1417" w:type="dxa"/>
            <w:shd w:val="clear" w:color="auto" w:fill="auto"/>
            <w:vAlign w:val="center"/>
          </w:tcPr>
          <w:p w14:paraId="4E30086E">
            <w:pPr>
              <w:spacing w:line="300" w:lineRule="exact"/>
              <w:jc w:val="left"/>
              <w:rPr>
                <w:rFonts w:ascii="方正书宋_GBK" w:eastAsia="方正书宋_GBK"/>
              </w:rPr>
            </w:pPr>
            <w:r>
              <w:rPr>
                <w:rFonts w:hint="eastAsia" w:ascii="方正书宋_GBK" w:eastAsia="方正书宋_GBK"/>
              </w:rPr>
              <w:t>各类组织建设规范化程度</w:t>
            </w:r>
          </w:p>
        </w:tc>
        <w:tc>
          <w:tcPr>
            <w:tcW w:w="737" w:type="dxa"/>
            <w:shd w:val="clear" w:color="auto" w:fill="auto"/>
            <w:vAlign w:val="center"/>
          </w:tcPr>
          <w:p w14:paraId="74DBB244">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665B2954">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c>
          <w:tcPr>
            <w:tcW w:w="737" w:type="dxa"/>
            <w:shd w:val="clear" w:color="auto" w:fill="auto"/>
            <w:vAlign w:val="center"/>
          </w:tcPr>
          <w:p w14:paraId="7EAD7B22">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40%</w:t>
            </w:r>
          </w:p>
        </w:tc>
        <w:tc>
          <w:tcPr>
            <w:tcW w:w="737" w:type="dxa"/>
            <w:shd w:val="clear" w:color="auto" w:fill="auto"/>
            <w:vAlign w:val="center"/>
          </w:tcPr>
          <w:p w14:paraId="2FB5B2AA">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40%</w:t>
            </w:r>
          </w:p>
        </w:tc>
      </w:tr>
      <w:tr w14:paraId="0BFF9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3E40770A">
            <w:pPr>
              <w:spacing w:line="300" w:lineRule="exact"/>
              <w:jc w:val="left"/>
              <w:rPr>
                <w:rFonts w:ascii="方正书宋_GBK" w:eastAsia="方正书宋_GBK"/>
                <w:b/>
              </w:rPr>
            </w:pPr>
          </w:p>
        </w:tc>
        <w:tc>
          <w:tcPr>
            <w:tcW w:w="1276" w:type="dxa"/>
            <w:vMerge w:val="continue"/>
            <w:shd w:val="clear" w:color="auto" w:fill="auto"/>
            <w:vAlign w:val="center"/>
          </w:tcPr>
          <w:p w14:paraId="1C23CC60">
            <w:pPr>
              <w:spacing w:line="300" w:lineRule="exact"/>
              <w:jc w:val="left"/>
              <w:rPr>
                <w:rFonts w:ascii="方正书宋_GBK" w:eastAsia="方正书宋_GBK"/>
              </w:rPr>
            </w:pPr>
          </w:p>
        </w:tc>
        <w:tc>
          <w:tcPr>
            <w:tcW w:w="2976" w:type="dxa"/>
            <w:vMerge w:val="continue"/>
            <w:shd w:val="clear" w:color="auto" w:fill="auto"/>
            <w:vAlign w:val="center"/>
          </w:tcPr>
          <w:p w14:paraId="49EFCDC3">
            <w:pPr>
              <w:spacing w:line="300" w:lineRule="exact"/>
              <w:jc w:val="left"/>
              <w:rPr>
                <w:rFonts w:ascii="方正书宋_GBK" w:eastAsia="方正书宋_GBK"/>
              </w:rPr>
            </w:pPr>
          </w:p>
        </w:tc>
        <w:tc>
          <w:tcPr>
            <w:tcW w:w="2976" w:type="dxa"/>
            <w:vMerge w:val="continue"/>
            <w:shd w:val="clear" w:color="auto" w:fill="auto"/>
            <w:vAlign w:val="center"/>
          </w:tcPr>
          <w:p w14:paraId="53CCCD56">
            <w:pPr>
              <w:spacing w:line="300" w:lineRule="exact"/>
              <w:jc w:val="left"/>
              <w:rPr>
                <w:rFonts w:ascii="方正书宋_GBK" w:eastAsia="方正书宋_GBK"/>
              </w:rPr>
            </w:pPr>
          </w:p>
        </w:tc>
        <w:tc>
          <w:tcPr>
            <w:tcW w:w="1417" w:type="dxa"/>
            <w:shd w:val="clear" w:color="auto" w:fill="auto"/>
            <w:vAlign w:val="center"/>
          </w:tcPr>
          <w:p w14:paraId="21EB053F">
            <w:pPr>
              <w:spacing w:line="300" w:lineRule="exact"/>
              <w:jc w:val="left"/>
              <w:rPr>
                <w:rFonts w:ascii="方正书宋_GBK" w:eastAsia="方正书宋_GBK"/>
              </w:rPr>
            </w:pPr>
            <w:r>
              <w:rPr>
                <w:rFonts w:hint="eastAsia" w:ascii="方正书宋_GBK" w:eastAsia="方正书宋_GBK"/>
              </w:rPr>
              <w:t>青年中心标准化建设阵地数</w:t>
            </w:r>
          </w:p>
        </w:tc>
        <w:tc>
          <w:tcPr>
            <w:tcW w:w="737" w:type="dxa"/>
            <w:shd w:val="clear" w:color="auto" w:fill="auto"/>
            <w:vAlign w:val="center"/>
          </w:tcPr>
          <w:p w14:paraId="574F404D">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c>
          <w:tcPr>
            <w:tcW w:w="737" w:type="dxa"/>
            <w:shd w:val="clear" w:color="auto" w:fill="auto"/>
            <w:vAlign w:val="center"/>
          </w:tcPr>
          <w:p w14:paraId="52438D82">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50%</w:t>
            </w:r>
          </w:p>
        </w:tc>
        <w:tc>
          <w:tcPr>
            <w:tcW w:w="737" w:type="dxa"/>
            <w:shd w:val="clear" w:color="auto" w:fill="auto"/>
            <w:vAlign w:val="center"/>
          </w:tcPr>
          <w:p w14:paraId="18855C69">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40%</w:t>
            </w:r>
          </w:p>
        </w:tc>
        <w:tc>
          <w:tcPr>
            <w:tcW w:w="737" w:type="dxa"/>
            <w:shd w:val="clear" w:color="auto" w:fill="auto"/>
            <w:vAlign w:val="center"/>
          </w:tcPr>
          <w:p w14:paraId="1E37FE08">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40%</w:t>
            </w:r>
          </w:p>
        </w:tc>
      </w:tr>
      <w:tr w14:paraId="275C8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6DDAE661">
            <w:pPr>
              <w:spacing w:line="300" w:lineRule="exact"/>
              <w:jc w:val="left"/>
              <w:rPr>
                <w:rFonts w:ascii="方正书宋_GBK" w:eastAsia="方正书宋_GBK"/>
                <w:b/>
              </w:rPr>
            </w:pPr>
          </w:p>
        </w:tc>
        <w:tc>
          <w:tcPr>
            <w:tcW w:w="1276" w:type="dxa"/>
            <w:vMerge w:val="continue"/>
            <w:shd w:val="clear" w:color="auto" w:fill="auto"/>
            <w:vAlign w:val="center"/>
          </w:tcPr>
          <w:p w14:paraId="39EE9EEF">
            <w:pPr>
              <w:spacing w:line="300" w:lineRule="exact"/>
              <w:jc w:val="left"/>
              <w:rPr>
                <w:rFonts w:ascii="方正书宋_GBK" w:eastAsia="方正书宋_GBK"/>
              </w:rPr>
            </w:pPr>
          </w:p>
        </w:tc>
        <w:tc>
          <w:tcPr>
            <w:tcW w:w="2976" w:type="dxa"/>
            <w:vMerge w:val="continue"/>
            <w:shd w:val="clear" w:color="auto" w:fill="auto"/>
            <w:vAlign w:val="center"/>
          </w:tcPr>
          <w:p w14:paraId="0A1116E2">
            <w:pPr>
              <w:spacing w:line="300" w:lineRule="exact"/>
              <w:jc w:val="left"/>
              <w:rPr>
                <w:rFonts w:ascii="方正书宋_GBK" w:eastAsia="方正书宋_GBK"/>
              </w:rPr>
            </w:pPr>
          </w:p>
        </w:tc>
        <w:tc>
          <w:tcPr>
            <w:tcW w:w="2976" w:type="dxa"/>
            <w:vMerge w:val="continue"/>
            <w:shd w:val="clear" w:color="auto" w:fill="auto"/>
            <w:vAlign w:val="center"/>
          </w:tcPr>
          <w:p w14:paraId="6029FCE6">
            <w:pPr>
              <w:spacing w:line="300" w:lineRule="exact"/>
              <w:jc w:val="left"/>
              <w:rPr>
                <w:rFonts w:ascii="方正书宋_GBK" w:eastAsia="方正书宋_GBK"/>
              </w:rPr>
            </w:pPr>
          </w:p>
        </w:tc>
        <w:tc>
          <w:tcPr>
            <w:tcW w:w="1417" w:type="dxa"/>
            <w:shd w:val="clear" w:color="auto" w:fill="auto"/>
            <w:vAlign w:val="center"/>
          </w:tcPr>
          <w:p w14:paraId="38C4D757">
            <w:pPr>
              <w:spacing w:line="300" w:lineRule="exact"/>
              <w:jc w:val="left"/>
              <w:rPr>
                <w:rFonts w:ascii="方正书宋_GBK" w:eastAsia="方正书宋_GBK"/>
              </w:rPr>
            </w:pPr>
            <w:r>
              <w:rPr>
                <w:rFonts w:hint="eastAsia" w:ascii="方正书宋_GBK" w:eastAsia="方正书宋_GBK"/>
              </w:rPr>
              <w:t>团委委员、团干部等参加活动或培训覆盖率</w:t>
            </w:r>
          </w:p>
        </w:tc>
        <w:tc>
          <w:tcPr>
            <w:tcW w:w="737" w:type="dxa"/>
            <w:shd w:val="clear" w:color="auto" w:fill="auto"/>
            <w:vAlign w:val="center"/>
          </w:tcPr>
          <w:p w14:paraId="5A2CD3FA">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50%</w:t>
            </w:r>
          </w:p>
        </w:tc>
        <w:tc>
          <w:tcPr>
            <w:tcW w:w="737" w:type="dxa"/>
            <w:shd w:val="clear" w:color="auto" w:fill="auto"/>
            <w:vAlign w:val="center"/>
          </w:tcPr>
          <w:p w14:paraId="06F5C827">
            <w:pPr>
              <w:spacing w:line="300" w:lineRule="exact"/>
              <w:jc w:val="center"/>
              <w:rPr>
                <w:rFonts w:ascii="方正书宋_GBK" w:eastAsia="方正书宋_GBK"/>
              </w:rPr>
            </w:pPr>
            <w:r>
              <w:rPr>
                <w:rFonts w:ascii="方正书宋_GBK" w:eastAsia="方正书宋_GBK"/>
              </w:rPr>
              <w:t>50%</w:t>
            </w:r>
          </w:p>
        </w:tc>
        <w:tc>
          <w:tcPr>
            <w:tcW w:w="737" w:type="dxa"/>
            <w:shd w:val="clear" w:color="auto" w:fill="auto"/>
            <w:vAlign w:val="center"/>
          </w:tcPr>
          <w:p w14:paraId="3B1255F3">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30%</w:t>
            </w:r>
          </w:p>
        </w:tc>
        <w:tc>
          <w:tcPr>
            <w:tcW w:w="737" w:type="dxa"/>
            <w:shd w:val="clear" w:color="auto" w:fill="auto"/>
            <w:vAlign w:val="center"/>
          </w:tcPr>
          <w:p w14:paraId="3AF57175">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30%</w:t>
            </w:r>
          </w:p>
        </w:tc>
      </w:tr>
      <w:tr w14:paraId="2C5F8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62004578">
            <w:pPr>
              <w:spacing w:line="300" w:lineRule="exact"/>
              <w:jc w:val="left"/>
              <w:rPr>
                <w:rFonts w:ascii="方正书宋_GBK" w:eastAsia="方正书宋_GBK"/>
                <w:b/>
              </w:rPr>
            </w:pPr>
          </w:p>
        </w:tc>
        <w:tc>
          <w:tcPr>
            <w:tcW w:w="1276" w:type="dxa"/>
            <w:vMerge w:val="continue"/>
            <w:shd w:val="clear" w:color="auto" w:fill="auto"/>
            <w:vAlign w:val="center"/>
          </w:tcPr>
          <w:p w14:paraId="32CEFF56">
            <w:pPr>
              <w:spacing w:line="300" w:lineRule="exact"/>
              <w:jc w:val="left"/>
              <w:rPr>
                <w:rFonts w:ascii="方正书宋_GBK" w:eastAsia="方正书宋_GBK"/>
              </w:rPr>
            </w:pPr>
          </w:p>
        </w:tc>
        <w:tc>
          <w:tcPr>
            <w:tcW w:w="2976" w:type="dxa"/>
            <w:vMerge w:val="continue"/>
            <w:shd w:val="clear" w:color="auto" w:fill="auto"/>
            <w:vAlign w:val="center"/>
          </w:tcPr>
          <w:p w14:paraId="172445D1">
            <w:pPr>
              <w:spacing w:line="300" w:lineRule="exact"/>
              <w:jc w:val="left"/>
              <w:rPr>
                <w:rFonts w:ascii="方正书宋_GBK" w:eastAsia="方正书宋_GBK"/>
              </w:rPr>
            </w:pPr>
          </w:p>
        </w:tc>
        <w:tc>
          <w:tcPr>
            <w:tcW w:w="2976" w:type="dxa"/>
            <w:vMerge w:val="continue"/>
            <w:shd w:val="clear" w:color="auto" w:fill="auto"/>
            <w:vAlign w:val="center"/>
          </w:tcPr>
          <w:p w14:paraId="278F5E08">
            <w:pPr>
              <w:spacing w:line="300" w:lineRule="exact"/>
              <w:jc w:val="left"/>
              <w:rPr>
                <w:rFonts w:ascii="方正书宋_GBK" w:eastAsia="方正书宋_GBK"/>
              </w:rPr>
            </w:pPr>
          </w:p>
        </w:tc>
        <w:tc>
          <w:tcPr>
            <w:tcW w:w="1417" w:type="dxa"/>
            <w:shd w:val="clear" w:color="auto" w:fill="auto"/>
            <w:vAlign w:val="center"/>
          </w:tcPr>
          <w:p w14:paraId="7E5DE9F5">
            <w:pPr>
              <w:spacing w:line="300" w:lineRule="exact"/>
              <w:jc w:val="left"/>
              <w:rPr>
                <w:rFonts w:ascii="方正书宋_GBK" w:eastAsia="方正书宋_GBK"/>
              </w:rPr>
            </w:pPr>
            <w:r>
              <w:rPr>
                <w:rFonts w:hint="eastAsia" w:ascii="方正书宋_GBK" w:eastAsia="方正书宋_GBK"/>
              </w:rPr>
              <w:t>县少工委培训少先队工作者人数</w:t>
            </w:r>
          </w:p>
        </w:tc>
        <w:tc>
          <w:tcPr>
            <w:tcW w:w="737" w:type="dxa"/>
            <w:shd w:val="clear" w:color="auto" w:fill="auto"/>
            <w:vAlign w:val="center"/>
          </w:tcPr>
          <w:p w14:paraId="26C317CC">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20</w:t>
            </w:r>
          </w:p>
        </w:tc>
        <w:tc>
          <w:tcPr>
            <w:tcW w:w="737" w:type="dxa"/>
            <w:shd w:val="clear" w:color="auto" w:fill="auto"/>
            <w:vAlign w:val="center"/>
          </w:tcPr>
          <w:p w14:paraId="2EDEE703">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10</w:t>
            </w:r>
          </w:p>
        </w:tc>
        <w:tc>
          <w:tcPr>
            <w:tcW w:w="737" w:type="dxa"/>
            <w:shd w:val="clear" w:color="auto" w:fill="auto"/>
            <w:vAlign w:val="center"/>
          </w:tcPr>
          <w:p w14:paraId="0A55B0AA">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5</w:t>
            </w:r>
          </w:p>
        </w:tc>
        <w:tc>
          <w:tcPr>
            <w:tcW w:w="737" w:type="dxa"/>
            <w:shd w:val="clear" w:color="auto" w:fill="auto"/>
            <w:vAlign w:val="center"/>
          </w:tcPr>
          <w:p w14:paraId="41FCF044">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5</w:t>
            </w:r>
          </w:p>
        </w:tc>
      </w:tr>
      <w:tr w14:paraId="10252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shd w:val="clear" w:color="auto" w:fill="auto"/>
            <w:vAlign w:val="center"/>
          </w:tcPr>
          <w:p w14:paraId="66A9914B">
            <w:pPr>
              <w:spacing w:line="300" w:lineRule="exact"/>
              <w:jc w:val="left"/>
              <w:rPr>
                <w:rFonts w:ascii="方正书宋_GBK" w:eastAsia="方正书宋_GBK"/>
                <w:b/>
              </w:rPr>
            </w:pPr>
            <w:r>
              <w:rPr>
                <w:rFonts w:hint="eastAsia" w:ascii="方正书宋_GBK" w:eastAsia="方正书宋_GBK"/>
                <w:b/>
              </w:rPr>
              <w:t>　　</w:t>
            </w:r>
            <w:r>
              <w:rPr>
                <w:rFonts w:ascii="方正书宋_GBK" w:eastAsia="方正书宋_GBK"/>
                <w:b/>
              </w:rPr>
              <w:t>2</w:t>
            </w:r>
            <w:r>
              <w:rPr>
                <w:rFonts w:hint="eastAsia" w:ascii="方正书宋_GBK" w:eastAsia="方正书宋_GBK"/>
                <w:b/>
              </w:rPr>
              <w:t>、宣传教育</w:t>
            </w:r>
          </w:p>
        </w:tc>
        <w:tc>
          <w:tcPr>
            <w:tcW w:w="1276" w:type="dxa"/>
            <w:vMerge w:val="restart"/>
            <w:shd w:val="clear" w:color="auto" w:fill="auto"/>
            <w:vAlign w:val="center"/>
          </w:tcPr>
          <w:p w14:paraId="2327B4CF">
            <w:pPr>
              <w:spacing w:line="300" w:lineRule="exact"/>
              <w:jc w:val="left"/>
              <w:rPr>
                <w:rFonts w:ascii="方正书宋_GBK" w:eastAsia="方正书宋_GBK"/>
              </w:rPr>
            </w:pPr>
            <w:r>
              <w:rPr>
                <w:rFonts w:ascii="方正书宋_GBK" w:eastAsia="方正书宋_GBK"/>
              </w:rPr>
              <w:t>2.00</w:t>
            </w:r>
          </w:p>
        </w:tc>
        <w:tc>
          <w:tcPr>
            <w:tcW w:w="2976" w:type="dxa"/>
            <w:vMerge w:val="restart"/>
            <w:shd w:val="clear" w:color="auto" w:fill="auto"/>
            <w:vAlign w:val="center"/>
          </w:tcPr>
          <w:p w14:paraId="798A2D23">
            <w:pPr>
              <w:spacing w:line="300" w:lineRule="exact"/>
              <w:jc w:val="left"/>
              <w:rPr>
                <w:rFonts w:ascii="方正书宋_GBK" w:eastAsia="方正书宋_GBK"/>
              </w:rPr>
            </w:pPr>
            <w:r>
              <w:rPr>
                <w:rFonts w:hint="eastAsia" w:ascii="方正书宋_GBK" w:eastAsia="方正书宋_GBK"/>
              </w:rPr>
              <w:t>有效利用网络和新媒体加强对青年的宣传力度，加强网络和新媒体正面宣传，用科学理论武装青年，用共同理想感召青年，用核心价值观引领青年，协助县政府教育部门做好中、小学学生的教育管理工作。</w:t>
            </w:r>
          </w:p>
        </w:tc>
        <w:tc>
          <w:tcPr>
            <w:tcW w:w="2976" w:type="dxa"/>
            <w:vMerge w:val="restart"/>
            <w:shd w:val="clear" w:color="auto" w:fill="auto"/>
            <w:vAlign w:val="center"/>
          </w:tcPr>
          <w:p w14:paraId="1FBA89A8">
            <w:pPr>
              <w:spacing w:line="300" w:lineRule="exact"/>
              <w:jc w:val="left"/>
              <w:rPr>
                <w:rFonts w:ascii="方正书宋_GBK" w:eastAsia="方正书宋_GBK"/>
              </w:rPr>
            </w:pPr>
            <w:r>
              <w:rPr>
                <w:rFonts w:hint="eastAsia" w:ascii="方正书宋_GBK" w:eastAsia="方正书宋_GBK"/>
              </w:rPr>
              <w:t>构建团的网络新媒体工作阵地，运用新媒体全方位推进团的工作；利用重要节点节日、各类阵地、各种形式进行思想引导，培养青年骨干，打造适应青少年特点的文化产品。维护青少年队伍稳定，促进和谐社会建设。</w:t>
            </w:r>
          </w:p>
        </w:tc>
        <w:tc>
          <w:tcPr>
            <w:tcW w:w="1417" w:type="dxa"/>
            <w:shd w:val="clear" w:color="auto" w:fill="auto"/>
            <w:vAlign w:val="center"/>
          </w:tcPr>
          <w:p w14:paraId="64ED8478">
            <w:pPr>
              <w:spacing w:line="300" w:lineRule="exact"/>
              <w:jc w:val="left"/>
              <w:rPr>
                <w:rFonts w:ascii="方正书宋_GBK" w:eastAsia="方正书宋_GBK"/>
              </w:rPr>
            </w:pPr>
            <w:r>
              <w:rPr>
                <w:rFonts w:hint="eastAsia" w:ascii="方正书宋_GBK" w:eastAsia="方正书宋_GBK"/>
              </w:rPr>
              <w:t>青少年纪念</w:t>
            </w:r>
            <w:r>
              <w:rPr>
                <w:rFonts w:hint="cs" w:ascii="方正书宋_GBK" w:eastAsia="方正书宋_GBK"/>
              </w:rPr>
              <w:t>“</w:t>
            </w:r>
            <w:r>
              <w:rPr>
                <w:rFonts w:hint="eastAsia" w:ascii="方正书宋_GBK" w:eastAsia="方正书宋_GBK"/>
              </w:rPr>
              <w:t>五四</w:t>
            </w:r>
            <w:r>
              <w:rPr>
                <w:rFonts w:hint="cs" w:ascii="方正书宋_GBK" w:eastAsia="方正书宋_GBK"/>
              </w:rPr>
              <w:t>”</w:t>
            </w:r>
            <w:r>
              <w:rPr>
                <w:rFonts w:hint="eastAsia" w:ascii="方正书宋_GBK" w:eastAsia="方正书宋_GBK"/>
              </w:rPr>
              <w:t>、</w:t>
            </w:r>
            <w:r>
              <w:rPr>
                <w:rFonts w:hint="cs" w:ascii="方正书宋_GBK" w:eastAsia="方正书宋_GBK"/>
              </w:rPr>
              <w:t>“</w:t>
            </w:r>
            <w:r>
              <w:rPr>
                <w:rFonts w:hint="eastAsia" w:ascii="方正书宋_GBK" w:eastAsia="方正书宋_GBK"/>
              </w:rPr>
              <w:t>六一</w:t>
            </w:r>
            <w:r>
              <w:rPr>
                <w:rFonts w:hint="cs" w:ascii="方正书宋_GBK" w:eastAsia="方正书宋_GBK"/>
              </w:rPr>
              <w:t>”</w:t>
            </w:r>
            <w:r>
              <w:rPr>
                <w:rFonts w:hint="eastAsia" w:ascii="方正书宋_GBK" w:eastAsia="方正书宋_GBK"/>
              </w:rPr>
              <w:t>等各类思想引导类活动的参与度</w:t>
            </w:r>
          </w:p>
        </w:tc>
        <w:tc>
          <w:tcPr>
            <w:tcW w:w="737" w:type="dxa"/>
            <w:shd w:val="clear" w:color="auto" w:fill="auto"/>
            <w:vAlign w:val="center"/>
          </w:tcPr>
          <w:p w14:paraId="49590F93">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80%</w:t>
            </w:r>
          </w:p>
        </w:tc>
        <w:tc>
          <w:tcPr>
            <w:tcW w:w="737" w:type="dxa"/>
            <w:shd w:val="clear" w:color="auto" w:fill="auto"/>
            <w:vAlign w:val="center"/>
          </w:tcPr>
          <w:p w14:paraId="6F1FCBDD">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70%</w:t>
            </w:r>
          </w:p>
        </w:tc>
        <w:tc>
          <w:tcPr>
            <w:tcW w:w="737" w:type="dxa"/>
            <w:shd w:val="clear" w:color="auto" w:fill="auto"/>
            <w:vAlign w:val="center"/>
          </w:tcPr>
          <w:p w14:paraId="21ABAF6E">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50%</w:t>
            </w:r>
          </w:p>
        </w:tc>
        <w:tc>
          <w:tcPr>
            <w:tcW w:w="737" w:type="dxa"/>
            <w:shd w:val="clear" w:color="auto" w:fill="auto"/>
            <w:vAlign w:val="center"/>
          </w:tcPr>
          <w:p w14:paraId="13499323">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50%</w:t>
            </w:r>
          </w:p>
        </w:tc>
      </w:tr>
      <w:tr w14:paraId="18B5B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623494BF">
            <w:pPr>
              <w:spacing w:line="300" w:lineRule="exact"/>
              <w:jc w:val="left"/>
              <w:rPr>
                <w:rFonts w:ascii="方正书宋_GBK" w:eastAsia="方正书宋_GBK"/>
                <w:b/>
              </w:rPr>
            </w:pPr>
          </w:p>
        </w:tc>
        <w:tc>
          <w:tcPr>
            <w:tcW w:w="1276" w:type="dxa"/>
            <w:vMerge w:val="continue"/>
            <w:shd w:val="clear" w:color="auto" w:fill="auto"/>
            <w:vAlign w:val="center"/>
          </w:tcPr>
          <w:p w14:paraId="18900B57">
            <w:pPr>
              <w:spacing w:line="300" w:lineRule="exact"/>
              <w:jc w:val="left"/>
              <w:rPr>
                <w:rFonts w:ascii="方正书宋_GBK" w:eastAsia="方正书宋_GBK"/>
              </w:rPr>
            </w:pPr>
          </w:p>
        </w:tc>
        <w:tc>
          <w:tcPr>
            <w:tcW w:w="2976" w:type="dxa"/>
            <w:vMerge w:val="continue"/>
            <w:shd w:val="clear" w:color="auto" w:fill="auto"/>
            <w:vAlign w:val="center"/>
          </w:tcPr>
          <w:p w14:paraId="74308147">
            <w:pPr>
              <w:spacing w:line="300" w:lineRule="exact"/>
              <w:jc w:val="left"/>
              <w:rPr>
                <w:rFonts w:ascii="方正书宋_GBK" w:eastAsia="方正书宋_GBK"/>
              </w:rPr>
            </w:pPr>
          </w:p>
        </w:tc>
        <w:tc>
          <w:tcPr>
            <w:tcW w:w="2976" w:type="dxa"/>
            <w:vMerge w:val="continue"/>
            <w:shd w:val="clear" w:color="auto" w:fill="auto"/>
            <w:vAlign w:val="center"/>
          </w:tcPr>
          <w:p w14:paraId="5D367776">
            <w:pPr>
              <w:spacing w:line="300" w:lineRule="exact"/>
              <w:jc w:val="left"/>
              <w:rPr>
                <w:rFonts w:ascii="方正书宋_GBK" w:eastAsia="方正书宋_GBK"/>
              </w:rPr>
            </w:pPr>
          </w:p>
        </w:tc>
        <w:tc>
          <w:tcPr>
            <w:tcW w:w="1417" w:type="dxa"/>
            <w:shd w:val="clear" w:color="auto" w:fill="auto"/>
            <w:vAlign w:val="center"/>
          </w:tcPr>
          <w:p w14:paraId="12B2B5BF">
            <w:pPr>
              <w:spacing w:line="300" w:lineRule="exact"/>
              <w:jc w:val="left"/>
              <w:rPr>
                <w:rFonts w:ascii="方正书宋_GBK" w:eastAsia="方正书宋_GBK"/>
              </w:rPr>
            </w:pPr>
            <w:r>
              <w:rPr>
                <w:rFonts w:hint="eastAsia" w:ascii="方正书宋_GBK" w:eastAsia="方正书宋_GBK"/>
              </w:rPr>
              <w:t>青年网宣员新增比率</w:t>
            </w:r>
          </w:p>
        </w:tc>
        <w:tc>
          <w:tcPr>
            <w:tcW w:w="737" w:type="dxa"/>
            <w:shd w:val="clear" w:color="auto" w:fill="auto"/>
            <w:vAlign w:val="center"/>
          </w:tcPr>
          <w:p w14:paraId="695C7A9A">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10%</w:t>
            </w:r>
          </w:p>
        </w:tc>
        <w:tc>
          <w:tcPr>
            <w:tcW w:w="737" w:type="dxa"/>
            <w:shd w:val="clear" w:color="auto" w:fill="auto"/>
            <w:vAlign w:val="center"/>
          </w:tcPr>
          <w:p w14:paraId="13A1D14C">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w:t>
            </w:r>
          </w:p>
        </w:tc>
        <w:tc>
          <w:tcPr>
            <w:tcW w:w="737" w:type="dxa"/>
            <w:shd w:val="clear" w:color="auto" w:fill="auto"/>
            <w:vAlign w:val="center"/>
          </w:tcPr>
          <w:p w14:paraId="62609E68">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5%</w:t>
            </w:r>
          </w:p>
        </w:tc>
        <w:tc>
          <w:tcPr>
            <w:tcW w:w="737" w:type="dxa"/>
            <w:shd w:val="clear" w:color="auto" w:fill="auto"/>
            <w:vAlign w:val="center"/>
          </w:tcPr>
          <w:p w14:paraId="56F2FBE8">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5%</w:t>
            </w:r>
          </w:p>
        </w:tc>
      </w:tr>
      <w:tr w14:paraId="1D8C1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38D49051">
            <w:pPr>
              <w:spacing w:line="300" w:lineRule="exact"/>
              <w:jc w:val="left"/>
              <w:rPr>
                <w:rFonts w:ascii="方正书宋_GBK" w:eastAsia="方正书宋_GBK"/>
                <w:b/>
              </w:rPr>
            </w:pPr>
          </w:p>
        </w:tc>
        <w:tc>
          <w:tcPr>
            <w:tcW w:w="1276" w:type="dxa"/>
            <w:vMerge w:val="continue"/>
            <w:shd w:val="clear" w:color="auto" w:fill="auto"/>
            <w:vAlign w:val="center"/>
          </w:tcPr>
          <w:p w14:paraId="1B1F9F1E">
            <w:pPr>
              <w:spacing w:line="300" w:lineRule="exact"/>
              <w:jc w:val="left"/>
              <w:rPr>
                <w:rFonts w:ascii="方正书宋_GBK" w:eastAsia="方正书宋_GBK"/>
              </w:rPr>
            </w:pPr>
          </w:p>
        </w:tc>
        <w:tc>
          <w:tcPr>
            <w:tcW w:w="2976" w:type="dxa"/>
            <w:vMerge w:val="continue"/>
            <w:shd w:val="clear" w:color="auto" w:fill="auto"/>
            <w:vAlign w:val="center"/>
          </w:tcPr>
          <w:p w14:paraId="52421FB4">
            <w:pPr>
              <w:spacing w:line="300" w:lineRule="exact"/>
              <w:jc w:val="left"/>
              <w:rPr>
                <w:rFonts w:ascii="方正书宋_GBK" w:eastAsia="方正书宋_GBK"/>
              </w:rPr>
            </w:pPr>
          </w:p>
        </w:tc>
        <w:tc>
          <w:tcPr>
            <w:tcW w:w="2976" w:type="dxa"/>
            <w:vMerge w:val="continue"/>
            <w:shd w:val="clear" w:color="auto" w:fill="auto"/>
            <w:vAlign w:val="center"/>
          </w:tcPr>
          <w:p w14:paraId="4753ABC8">
            <w:pPr>
              <w:spacing w:line="300" w:lineRule="exact"/>
              <w:jc w:val="left"/>
              <w:rPr>
                <w:rFonts w:ascii="方正书宋_GBK" w:eastAsia="方正书宋_GBK"/>
              </w:rPr>
            </w:pPr>
          </w:p>
        </w:tc>
        <w:tc>
          <w:tcPr>
            <w:tcW w:w="1417" w:type="dxa"/>
            <w:shd w:val="clear" w:color="auto" w:fill="auto"/>
            <w:vAlign w:val="center"/>
          </w:tcPr>
          <w:p w14:paraId="3D2E084C">
            <w:pPr>
              <w:spacing w:line="300" w:lineRule="exact"/>
              <w:jc w:val="left"/>
              <w:rPr>
                <w:rFonts w:ascii="方正书宋_GBK" w:eastAsia="方正书宋_GBK"/>
              </w:rPr>
            </w:pPr>
            <w:r>
              <w:rPr>
                <w:rFonts w:hint="eastAsia" w:ascii="方正书宋_GBK" w:eastAsia="方正书宋_GBK"/>
              </w:rPr>
              <w:t>团干部教育和培训覆盖率</w:t>
            </w:r>
          </w:p>
        </w:tc>
        <w:tc>
          <w:tcPr>
            <w:tcW w:w="737" w:type="dxa"/>
            <w:shd w:val="clear" w:color="auto" w:fill="auto"/>
            <w:vAlign w:val="center"/>
          </w:tcPr>
          <w:p w14:paraId="2DA95246">
            <w:pPr>
              <w:spacing w:line="300" w:lineRule="exact"/>
              <w:jc w:val="center"/>
              <w:rPr>
                <w:rFonts w:ascii="方正书宋_GBK" w:eastAsia="方正书宋_GBK"/>
              </w:rPr>
            </w:pPr>
            <w:r>
              <w:rPr>
                <w:rFonts w:ascii="方正书宋_GBK" w:eastAsia="方正书宋_GBK"/>
              </w:rPr>
              <w:t>100%</w:t>
            </w:r>
          </w:p>
        </w:tc>
        <w:tc>
          <w:tcPr>
            <w:tcW w:w="737" w:type="dxa"/>
            <w:shd w:val="clear" w:color="auto" w:fill="auto"/>
            <w:vAlign w:val="center"/>
          </w:tcPr>
          <w:p w14:paraId="30C5F4AA">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90%</w:t>
            </w:r>
          </w:p>
        </w:tc>
        <w:tc>
          <w:tcPr>
            <w:tcW w:w="737" w:type="dxa"/>
            <w:shd w:val="clear" w:color="auto" w:fill="auto"/>
            <w:vAlign w:val="center"/>
          </w:tcPr>
          <w:p w14:paraId="47EB273A">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c>
          <w:tcPr>
            <w:tcW w:w="737" w:type="dxa"/>
            <w:shd w:val="clear" w:color="auto" w:fill="auto"/>
            <w:vAlign w:val="center"/>
          </w:tcPr>
          <w:p w14:paraId="5807DD89">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60%</w:t>
            </w:r>
          </w:p>
        </w:tc>
      </w:tr>
      <w:tr w14:paraId="71246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2D3A6F7C">
            <w:pPr>
              <w:spacing w:line="300" w:lineRule="exact"/>
              <w:jc w:val="left"/>
              <w:rPr>
                <w:rFonts w:ascii="方正书宋_GBK" w:eastAsia="方正书宋_GBK"/>
                <w:b/>
              </w:rPr>
            </w:pPr>
            <w:r>
              <w:rPr>
                <w:rFonts w:hint="eastAsia" w:ascii="方正书宋_GBK" w:eastAsia="方正书宋_GBK"/>
                <w:b/>
              </w:rPr>
              <w:t>二、服务、引导青少年工作</w:t>
            </w:r>
          </w:p>
        </w:tc>
        <w:tc>
          <w:tcPr>
            <w:tcW w:w="1276" w:type="dxa"/>
            <w:shd w:val="clear" w:color="auto" w:fill="auto"/>
            <w:vAlign w:val="center"/>
          </w:tcPr>
          <w:p w14:paraId="3F1FFB83">
            <w:pPr>
              <w:spacing w:line="300" w:lineRule="exact"/>
              <w:jc w:val="left"/>
              <w:rPr>
                <w:rFonts w:ascii="方正书宋_GBK" w:eastAsia="方正书宋_GBK"/>
              </w:rPr>
            </w:pPr>
            <w:r>
              <w:rPr>
                <w:rFonts w:ascii="方正书宋_GBK" w:eastAsia="方正书宋_GBK"/>
              </w:rPr>
              <w:t>2.00</w:t>
            </w:r>
          </w:p>
        </w:tc>
        <w:tc>
          <w:tcPr>
            <w:tcW w:w="2976" w:type="dxa"/>
            <w:shd w:val="clear" w:color="auto" w:fill="auto"/>
            <w:vAlign w:val="center"/>
          </w:tcPr>
          <w:p w14:paraId="1725DB0E">
            <w:pPr>
              <w:spacing w:line="300" w:lineRule="exact"/>
              <w:jc w:val="left"/>
              <w:rPr>
                <w:rFonts w:ascii="方正书宋_GBK" w:eastAsia="方正书宋_GBK"/>
              </w:rPr>
            </w:pPr>
            <w:r>
              <w:rPr>
                <w:rFonts w:hint="eastAsia" w:ascii="方正书宋_GBK" w:eastAsia="方正书宋_GBK"/>
              </w:rPr>
              <w:t>深入学习习近平总书记系列重要讲话精神；深化</w:t>
            </w:r>
            <w:r>
              <w:rPr>
                <w:rFonts w:hint="cs" w:ascii="方正书宋_GBK" w:eastAsia="方正书宋_GBK"/>
              </w:rPr>
              <w:t>“</w:t>
            </w:r>
            <w:r>
              <w:rPr>
                <w:rFonts w:hint="eastAsia" w:ascii="方正书宋_GBK" w:eastAsia="方正书宋_GBK"/>
              </w:rPr>
              <w:t>中国梦</w:t>
            </w:r>
            <w:r>
              <w:rPr>
                <w:rFonts w:hint="cs" w:ascii="方正书宋_GBK" w:eastAsia="方正书宋_GBK"/>
              </w:rPr>
              <w:t>”</w:t>
            </w:r>
            <w:r>
              <w:rPr>
                <w:rFonts w:hint="eastAsia" w:ascii="方正书宋_GBK" w:eastAsia="方正书宋_GBK"/>
              </w:rPr>
              <w:t>和社会主义核心价值观教育；调查研究青年思想动态，服务青年创新创业、交流交友、社会融入等需求，组织和带领青年及青年社会组织为全县经济和社会发展作贡献。</w:t>
            </w:r>
          </w:p>
        </w:tc>
        <w:tc>
          <w:tcPr>
            <w:tcW w:w="2976" w:type="dxa"/>
            <w:shd w:val="clear" w:color="auto" w:fill="auto"/>
            <w:vAlign w:val="center"/>
          </w:tcPr>
          <w:p w14:paraId="7AC6BF6D">
            <w:pPr>
              <w:spacing w:line="300" w:lineRule="exact"/>
              <w:jc w:val="left"/>
              <w:rPr>
                <w:rFonts w:ascii="方正书宋_GBK" w:eastAsia="方正书宋_GBK"/>
              </w:rPr>
            </w:pPr>
            <w:r>
              <w:rPr>
                <w:rFonts w:hint="eastAsia" w:ascii="方正书宋_GBK" w:eastAsia="方正书宋_GBK"/>
              </w:rPr>
              <w:t>围绕青年思想动态和青年工作现况，不断加强青少年社会主义核心价值观教育；加强青年统战工作；围绕党政中心工作开展各项活动。</w:t>
            </w:r>
          </w:p>
        </w:tc>
        <w:tc>
          <w:tcPr>
            <w:tcW w:w="1417" w:type="dxa"/>
            <w:shd w:val="clear" w:color="auto" w:fill="auto"/>
            <w:vAlign w:val="center"/>
          </w:tcPr>
          <w:p w14:paraId="6196CE97">
            <w:pPr>
              <w:spacing w:line="300" w:lineRule="exact"/>
              <w:jc w:val="left"/>
              <w:rPr>
                <w:rFonts w:ascii="方正书宋_GBK" w:eastAsia="方正书宋_GBK"/>
              </w:rPr>
            </w:pPr>
          </w:p>
        </w:tc>
        <w:tc>
          <w:tcPr>
            <w:tcW w:w="737" w:type="dxa"/>
            <w:shd w:val="clear" w:color="auto" w:fill="auto"/>
            <w:vAlign w:val="center"/>
          </w:tcPr>
          <w:p w14:paraId="2B566F94">
            <w:pPr>
              <w:spacing w:line="300" w:lineRule="exact"/>
              <w:jc w:val="center"/>
              <w:rPr>
                <w:rFonts w:ascii="方正书宋_GBK" w:eastAsia="方正书宋_GBK"/>
              </w:rPr>
            </w:pPr>
          </w:p>
        </w:tc>
        <w:tc>
          <w:tcPr>
            <w:tcW w:w="737" w:type="dxa"/>
            <w:shd w:val="clear" w:color="auto" w:fill="auto"/>
            <w:vAlign w:val="center"/>
          </w:tcPr>
          <w:p w14:paraId="21E75D87">
            <w:pPr>
              <w:spacing w:line="300" w:lineRule="exact"/>
              <w:jc w:val="center"/>
              <w:rPr>
                <w:rFonts w:ascii="方正书宋_GBK" w:eastAsia="方正书宋_GBK"/>
              </w:rPr>
            </w:pPr>
          </w:p>
        </w:tc>
        <w:tc>
          <w:tcPr>
            <w:tcW w:w="737" w:type="dxa"/>
            <w:shd w:val="clear" w:color="auto" w:fill="auto"/>
            <w:vAlign w:val="center"/>
          </w:tcPr>
          <w:p w14:paraId="6A045787">
            <w:pPr>
              <w:spacing w:line="300" w:lineRule="exact"/>
              <w:jc w:val="center"/>
              <w:rPr>
                <w:rFonts w:ascii="方正书宋_GBK" w:eastAsia="方正书宋_GBK"/>
              </w:rPr>
            </w:pPr>
          </w:p>
        </w:tc>
        <w:tc>
          <w:tcPr>
            <w:tcW w:w="737" w:type="dxa"/>
            <w:shd w:val="clear" w:color="auto" w:fill="auto"/>
            <w:vAlign w:val="center"/>
          </w:tcPr>
          <w:p w14:paraId="66069C37">
            <w:pPr>
              <w:spacing w:line="300" w:lineRule="exact"/>
              <w:jc w:val="center"/>
              <w:rPr>
                <w:rFonts w:ascii="方正书宋_GBK" w:eastAsia="方正书宋_GBK"/>
              </w:rPr>
            </w:pPr>
          </w:p>
        </w:tc>
      </w:tr>
      <w:tr w14:paraId="22A87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restart"/>
            <w:shd w:val="clear" w:color="auto" w:fill="auto"/>
            <w:vAlign w:val="center"/>
          </w:tcPr>
          <w:p w14:paraId="6FFD5B48">
            <w:pPr>
              <w:spacing w:line="300" w:lineRule="exact"/>
              <w:jc w:val="left"/>
              <w:rPr>
                <w:rFonts w:ascii="方正书宋_GBK" w:eastAsia="方正书宋_GBK"/>
                <w:b/>
              </w:rPr>
            </w:pPr>
            <w:r>
              <w:rPr>
                <w:rFonts w:hint="eastAsia" w:ascii="方正书宋_GBK" w:eastAsia="方正书宋_GBK"/>
                <w:b/>
              </w:rPr>
              <w:t>　　</w:t>
            </w:r>
            <w:r>
              <w:rPr>
                <w:rFonts w:ascii="方正书宋_GBK" w:eastAsia="方正书宋_GBK"/>
                <w:b/>
              </w:rPr>
              <w:t>1</w:t>
            </w:r>
            <w:r>
              <w:rPr>
                <w:rFonts w:hint="eastAsia" w:ascii="方正书宋_GBK" w:eastAsia="方正书宋_GBK"/>
                <w:b/>
              </w:rPr>
              <w:t>、青少年服务引导工作</w:t>
            </w:r>
          </w:p>
        </w:tc>
        <w:tc>
          <w:tcPr>
            <w:tcW w:w="1276" w:type="dxa"/>
            <w:vMerge w:val="restart"/>
            <w:shd w:val="clear" w:color="auto" w:fill="auto"/>
            <w:vAlign w:val="center"/>
          </w:tcPr>
          <w:p w14:paraId="0C5CC474">
            <w:pPr>
              <w:spacing w:line="300" w:lineRule="exact"/>
              <w:jc w:val="left"/>
              <w:rPr>
                <w:rFonts w:ascii="方正书宋_GBK" w:eastAsia="方正书宋_GBK"/>
              </w:rPr>
            </w:pPr>
            <w:r>
              <w:rPr>
                <w:rFonts w:ascii="方正书宋_GBK" w:eastAsia="方正书宋_GBK"/>
              </w:rPr>
              <w:t>2.00</w:t>
            </w:r>
          </w:p>
        </w:tc>
        <w:tc>
          <w:tcPr>
            <w:tcW w:w="2976" w:type="dxa"/>
            <w:vMerge w:val="restart"/>
            <w:shd w:val="clear" w:color="auto" w:fill="auto"/>
            <w:vAlign w:val="center"/>
          </w:tcPr>
          <w:p w14:paraId="0560ABFF">
            <w:pPr>
              <w:spacing w:line="300" w:lineRule="exact"/>
              <w:jc w:val="left"/>
              <w:rPr>
                <w:rFonts w:ascii="方正书宋_GBK" w:eastAsia="方正书宋_GBK"/>
              </w:rPr>
            </w:pPr>
            <w:r>
              <w:rPr>
                <w:rFonts w:hint="eastAsia" w:ascii="方正书宋_GBK" w:eastAsia="方正书宋_GBK"/>
              </w:rPr>
              <w:t>围绕青年思想动态和青年工作现况，调查研究青少年运动、青少年工作理论和思想教育、青年社会组织发展问题；服务青年创新创业、婚恋交友等需求；做好青年统战对象的团结教育工作；围绕党政中心开展团的各项活动。</w:t>
            </w:r>
          </w:p>
        </w:tc>
        <w:tc>
          <w:tcPr>
            <w:tcW w:w="2976" w:type="dxa"/>
            <w:vMerge w:val="restart"/>
            <w:shd w:val="clear" w:color="auto" w:fill="auto"/>
            <w:vAlign w:val="center"/>
          </w:tcPr>
          <w:p w14:paraId="081BD89B">
            <w:pPr>
              <w:spacing w:line="300" w:lineRule="exact"/>
              <w:jc w:val="left"/>
              <w:rPr>
                <w:rFonts w:ascii="方正书宋_GBK" w:eastAsia="方正书宋_GBK"/>
              </w:rPr>
            </w:pPr>
            <w:r>
              <w:rPr>
                <w:rFonts w:hint="eastAsia" w:ascii="方正书宋_GBK" w:eastAsia="方正书宋_GBK"/>
              </w:rPr>
              <w:t>做好青少年的教育引导服务工作，为全县经济社会发展贡献力量。</w:t>
            </w:r>
          </w:p>
        </w:tc>
        <w:tc>
          <w:tcPr>
            <w:tcW w:w="1417" w:type="dxa"/>
            <w:shd w:val="clear" w:color="auto" w:fill="auto"/>
            <w:vAlign w:val="center"/>
          </w:tcPr>
          <w:p w14:paraId="1B65A342">
            <w:pPr>
              <w:spacing w:line="300" w:lineRule="exact"/>
              <w:jc w:val="left"/>
              <w:rPr>
                <w:rFonts w:ascii="方正书宋_GBK" w:eastAsia="方正书宋_GBK"/>
              </w:rPr>
            </w:pPr>
            <w:r>
              <w:rPr>
                <w:rFonts w:hint="eastAsia" w:ascii="方正书宋_GBK" w:eastAsia="方正书宋_GBK"/>
              </w:rPr>
              <w:t>举办学习贯彻落实党的十九大精神及习近平总书记系列重要讲话精神的各类活动期数</w:t>
            </w:r>
          </w:p>
        </w:tc>
        <w:tc>
          <w:tcPr>
            <w:tcW w:w="737" w:type="dxa"/>
            <w:shd w:val="clear" w:color="auto" w:fill="auto"/>
            <w:vAlign w:val="center"/>
          </w:tcPr>
          <w:p w14:paraId="37049969">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w:t>
            </w:r>
          </w:p>
        </w:tc>
        <w:tc>
          <w:tcPr>
            <w:tcW w:w="737" w:type="dxa"/>
            <w:shd w:val="clear" w:color="auto" w:fill="auto"/>
            <w:vAlign w:val="center"/>
          </w:tcPr>
          <w:p w14:paraId="63206880">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5</w:t>
            </w:r>
          </w:p>
        </w:tc>
        <w:tc>
          <w:tcPr>
            <w:tcW w:w="737" w:type="dxa"/>
            <w:shd w:val="clear" w:color="auto" w:fill="auto"/>
            <w:vAlign w:val="center"/>
          </w:tcPr>
          <w:p w14:paraId="2618CCEF">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3</w:t>
            </w:r>
          </w:p>
        </w:tc>
        <w:tc>
          <w:tcPr>
            <w:tcW w:w="737" w:type="dxa"/>
            <w:shd w:val="clear" w:color="auto" w:fill="auto"/>
            <w:vAlign w:val="center"/>
          </w:tcPr>
          <w:p w14:paraId="27D2F27C">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3</w:t>
            </w:r>
          </w:p>
        </w:tc>
      </w:tr>
      <w:tr w14:paraId="4CA3C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59338740">
            <w:pPr>
              <w:spacing w:line="300" w:lineRule="exact"/>
              <w:jc w:val="left"/>
              <w:rPr>
                <w:rFonts w:ascii="方正书宋_GBK" w:eastAsia="方正书宋_GBK"/>
                <w:b/>
              </w:rPr>
            </w:pPr>
          </w:p>
        </w:tc>
        <w:tc>
          <w:tcPr>
            <w:tcW w:w="1276" w:type="dxa"/>
            <w:vMerge w:val="continue"/>
            <w:shd w:val="clear" w:color="auto" w:fill="auto"/>
            <w:vAlign w:val="center"/>
          </w:tcPr>
          <w:p w14:paraId="4B7B7610">
            <w:pPr>
              <w:spacing w:line="300" w:lineRule="exact"/>
              <w:jc w:val="left"/>
              <w:rPr>
                <w:rFonts w:ascii="方正书宋_GBK" w:eastAsia="方正书宋_GBK"/>
              </w:rPr>
            </w:pPr>
          </w:p>
        </w:tc>
        <w:tc>
          <w:tcPr>
            <w:tcW w:w="2976" w:type="dxa"/>
            <w:vMerge w:val="continue"/>
            <w:shd w:val="clear" w:color="auto" w:fill="auto"/>
            <w:vAlign w:val="center"/>
          </w:tcPr>
          <w:p w14:paraId="063CF9B3">
            <w:pPr>
              <w:spacing w:line="300" w:lineRule="exact"/>
              <w:jc w:val="left"/>
              <w:rPr>
                <w:rFonts w:ascii="方正书宋_GBK" w:eastAsia="方正书宋_GBK"/>
              </w:rPr>
            </w:pPr>
          </w:p>
        </w:tc>
        <w:tc>
          <w:tcPr>
            <w:tcW w:w="2976" w:type="dxa"/>
            <w:vMerge w:val="continue"/>
            <w:shd w:val="clear" w:color="auto" w:fill="auto"/>
            <w:vAlign w:val="center"/>
          </w:tcPr>
          <w:p w14:paraId="6ADE77FC">
            <w:pPr>
              <w:spacing w:line="300" w:lineRule="exact"/>
              <w:jc w:val="left"/>
              <w:rPr>
                <w:rFonts w:ascii="方正书宋_GBK" w:eastAsia="方正书宋_GBK"/>
              </w:rPr>
            </w:pPr>
          </w:p>
        </w:tc>
        <w:tc>
          <w:tcPr>
            <w:tcW w:w="1417" w:type="dxa"/>
            <w:shd w:val="clear" w:color="auto" w:fill="auto"/>
            <w:vAlign w:val="center"/>
          </w:tcPr>
          <w:p w14:paraId="422DF47E">
            <w:pPr>
              <w:spacing w:line="300" w:lineRule="exact"/>
              <w:jc w:val="left"/>
              <w:rPr>
                <w:rFonts w:ascii="方正书宋_GBK" w:eastAsia="方正书宋_GBK"/>
              </w:rPr>
            </w:pPr>
            <w:r>
              <w:rPr>
                <w:rFonts w:hint="eastAsia" w:ascii="方正书宋_GBK" w:eastAsia="方正书宋_GBK"/>
              </w:rPr>
              <w:t>围绕</w:t>
            </w:r>
            <w:r>
              <w:rPr>
                <w:rFonts w:hint="eastAsia" w:ascii="方正书宋_GBK" w:eastAsia="方正书宋_GBK"/>
                <w:lang w:eastAsia="zh-CN"/>
              </w:rPr>
              <w:t>县委县政府</w:t>
            </w:r>
            <w:r>
              <w:rPr>
                <w:rFonts w:hint="eastAsia" w:ascii="方正书宋_GBK" w:eastAsia="方正书宋_GBK"/>
              </w:rPr>
              <w:t>中心工作，开展各类青年志愿服务活动次数</w:t>
            </w:r>
          </w:p>
        </w:tc>
        <w:tc>
          <w:tcPr>
            <w:tcW w:w="737" w:type="dxa"/>
            <w:shd w:val="clear" w:color="auto" w:fill="auto"/>
            <w:vAlign w:val="center"/>
          </w:tcPr>
          <w:p w14:paraId="16DA1C92">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w:t>
            </w:r>
          </w:p>
        </w:tc>
        <w:tc>
          <w:tcPr>
            <w:tcW w:w="737" w:type="dxa"/>
            <w:shd w:val="clear" w:color="auto" w:fill="auto"/>
            <w:vAlign w:val="center"/>
          </w:tcPr>
          <w:p w14:paraId="718C41EC">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5</w:t>
            </w:r>
          </w:p>
        </w:tc>
        <w:tc>
          <w:tcPr>
            <w:tcW w:w="737" w:type="dxa"/>
            <w:shd w:val="clear" w:color="auto" w:fill="auto"/>
            <w:vAlign w:val="center"/>
          </w:tcPr>
          <w:p w14:paraId="551282DF">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3</w:t>
            </w:r>
          </w:p>
        </w:tc>
        <w:tc>
          <w:tcPr>
            <w:tcW w:w="737" w:type="dxa"/>
            <w:shd w:val="clear" w:color="auto" w:fill="auto"/>
            <w:vAlign w:val="center"/>
          </w:tcPr>
          <w:p w14:paraId="25B6BF36">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3</w:t>
            </w:r>
          </w:p>
        </w:tc>
      </w:tr>
      <w:tr w14:paraId="30F2B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11182280">
            <w:pPr>
              <w:spacing w:line="300" w:lineRule="exact"/>
              <w:jc w:val="left"/>
              <w:rPr>
                <w:rFonts w:ascii="方正书宋_GBK" w:eastAsia="方正书宋_GBK"/>
                <w:b/>
              </w:rPr>
            </w:pPr>
          </w:p>
        </w:tc>
        <w:tc>
          <w:tcPr>
            <w:tcW w:w="1276" w:type="dxa"/>
            <w:vMerge w:val="continue"/>
            <w:shd w:val="clear" w:color="auto" w:fill="auto"/>
            <w:vAlign w:val="center"/>
          </w:tcPr>
          <w:p w14:paraId="42BD40F9">
            <w:pPr>
              <w:spacing w:line="300" w:lineRule="exact"/>
              <w:jc w:val="left"/>
              <w:rPr>
                <w:rFonts w:ascii="方正书宋_GBK" w:eastAsia="方正书宋_GBK"/>
              </w:rPr>
            </w:pPr>
          </w:p>
        </w:tc>
        <w:tc>
          <w:tcPr>
            <w:tcW w:w="2976" w:type="dxa"/>
            <w:vMerge w:val="continue"/>
            <w:shd w:val="clear" w:color="auto" w:fill="auto"/>
            <w:vAlign w:val="center"/>
          </w:tcPr>
          <w:p w14:paraId="32919A13">
            <w:pPr>
              <w:spacing w:line="300" w:lineRule="exact"/>
              <w:jc w:val="left"/>
              <w:rPr>
                <w:rFonts w:ascii="方正书宋_GBK" w:eastAsia="方正书宋_GBK"/>
              </w:rPr>
            </w:pPr>
          </w:p>
        </w:tc>
        <w:tc>
          <w:tcPr>
            <w:tcW w:w="2976" w:type="dxa"/>
            <w:vMerge w:val="continue"/>
            <w:shd w:val="clear" w:color="auto" w:fill="auto"/>
            <w:vAlign w:val="center"/>
          </w:tcPr>
          <w:p w14:paraId="7BED098E">
            <w:pPr>
              <w:spacing w:line="300" w:lineRule="exact"/>
              <w:jc w:val="left"/>
              <w:rPr>
                <w:rFonts w:ascii="方正书宋_GBK" w:eastAsia="方正书宋_GBK"/>
              </w:rPr>
            </w:pPr>
          </w:p>
        </w:tc>
        <w:tc>
          <w:tcPr>
            <w:tcW w:w="1417" w:type="dxa"/>
            <w:shd w:val="clear" w:color="auto" w:fill="auto"/>
            <w:vAlign w:val="center"/>
          </w:tcPr>
          <w:p w14:paraId="75C76405">
            <w:pPr>
              <w:spacing w:line="300" w:lineRule="exact"/>
              <w:jc w:val="left"/>
              <w:rPr>
                <w:rFonts w:ascii="方正书宋_GBK" w:eastAsia="方正书宋_GBK"/>
              </w:rPr>
            </w:pPr>
            <w:r>
              <w:rPr>
                <w:rFonts w:hint="eastAsia" w:ascii="方正书宋_GBK" w:eastAsia="方正书宋_GBK"/>
              </w:rPr>
              <w:t>开展各类青年就业创业对接和培训活动次数</w:t>
            </w:r>
          </w:p>
        </w:tc>
        <w:tc>
          <w:tcPr>
            <w:tcW w:w="737" w:type="dxa"/>
            <w:shd w:val="clear" w:color="auto" w:fill="auto"/>
            <w:vAlign w:val="center"/>
          </w:tcPr>
          <w:p w14:paraId="0D27EA71">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w:t>
            </w:r>
          </w:p>
        </w:tc>
        <w:tc>
          <w:tcPr>
            <w:tcW w:w="737" w:type="dxa"/>
            <w:shd w:val="clear" w:color="auto" w:fill="auto"/>
            <w:vAlign w:val="center"/>
          </w:tcPr>
          <w:p w14:paraId="79861954">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5</w:t>
            </w:r>
          </w:p>
        </w:tc>
        <w:tc>
          <w:tcPr>
            <w:tcW w:w="737" w:type="dxa"/>
            <w:shd w:val="clear" w:color="auto" w:fill="auto"/>
            <w:vAlign w:val="center"/>
          </w:tcPr>
          <w:p w14:paraId="3A3CA152">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3</w:t>
            </w:r>
          </w:p>
        </w:tc>
        <w:tc>
          <w:tcPr>
            <w:tcW w:w="737" w:type="dxa"/>
            <w:shd w:val="clear" w:color="auto" w:fill="auto"/>
            <w:vAlign w:val="center"/>
          </w:tcPr>
          <w:p w14:paraId="00D26AF3">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3</w:t>
            </w:r>
          </w:p>
        </w:tc>
      </w:tr>
      <w:tr w14:paraId="0D3ED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vMerge w:val="continue"/>
            <w:shd w:val="clear" w:color="auto" w:fill="auto"/>
            <w:vAlign w:val="center"/>
          </w:tcPr>
          <w:p w14:paraId="64048DE4">
            <w:pPr>
              <w:spacing w:line="300" w:lineRule="exact"/>
              <w:jc w:val="left"/>
              <w:rPr>
                <w:rFonts w:ascii="方正书宋_GBK" w:eastAsia="方正书宋_GBK"/>
                <w:b/>
              </w:rPr>
            </w:pPr>
          </w:p>
        </w:tc>
        <w:tc>
          <w:tcPr>
            <w:tcW w:w="1276" w:type="dxa"/>
            <w:vMerge w:val="continue"/>
            <w:shd w:val="clear" w:color="auto" w:fill="auto"/>
            <w:vAlign w:val="center"/>
          </w:tcPr>
          <w:p w14:paraId="6629D3A3">
            <w:pPr>
              <w:spacing w:line="300" w:lineRule="exact"/>
              <w:jc w:val="left"/>
              <w:rPr>
                <w:rFonts w:ascii="方正书宋_GBK" w:eastAsia="方正书宋_GBK"/>
              </w:rPr>
            </w:pPr>
          </w:p>
        </w:tc>
        <w:tc>
          <w:tcPr>
            <w:tcW w:w="2976" w:type="dxa"/>
            <w:vMerge w:val="continue"/>
            <w:shd w:val="clear" w:color="auto" w:fill="auto"/>
            <w:vAlign w:val="center"/>
          </w:tcPr>
          <w:p w14:paraId="3925E6DF">
            <w:pPr>
              <w:spacing w:line="300" w:lineRule="exact"/>
              <w:jc w:val="left"/>
              <w:rPr>
                <w:rFonts w:ascii="方正书宋_GBK" w:eastAsia="方正书宋_GBK"/>
              </w:rPr>
            </w:pPr>
          </w:p>
        </w:tc>
        <w:tc>
          <w:tcPr>
            <w:tcW w:w="2976" w:type="dxa"/>
            <w:vMerge w:val="continue"/>
            <w:shd w:val="clear" w:color="auto" w:fill="auto"/>
            <w:vAlign w:val="center"/>
          </w:tcPr>
          <w:p w14:paraId="0FC0AD8E">
            <w:pPr>
              <w:spacing w:line="300" w:lineRule="exact"/>
              <w:jc w:val="left"/>
              <w:rPr>
                <w:rFonts w:ascii="方正书宋_GBK" w:eastAsia="方正书宋_GBK"/>
              </w:rPr>
            </w:pPr>
          </w:p>
        </w:tc>
        <w:tc>
          <w:tcPr>
            <w:tcW w:w="1417" w:type="dxa"/>
            <w:shd w:val="clear" w:color="auto" w:fill="auto"/>
            <w:vAlign w:val="center"/>
          </w:tcPr>
          <w:p w14:paraId="05CA66CF">
            <w:pPr>
              <w:spacing w:line="300" w:lineRule="exact"/>
              <w:jc w:val="left"/>
              <w:rPr>
                <w:rFonts w:ascii="方正书宋_GBK" w:eastAsia="方正书宋_GBK"/>
              </w:rPr>
            </w:pPr>
            <w:r>
              <w:rPr>
                <w:rFonts w:hint="eastAsia" w:ascii="方正书宋_GBK" w:eastAsia="方正书宋_GBK"/>
              </w:rPr>
              <w:t>开展五四表彰，凝聚更多青年为全县经济社会发展做贡献次数</w:t>
            </w:r>
          </w:p>
        </w:tc>
        <w:tc>
          <w:tcPr>
            <w:tcW w:w="737" w:type="dxa"/>
            <w:shd w:val="clear" w:color="auto" w:fill="auto"/>
            <w:vAlign w:val="center"/>
          </w:tcPr>
          <w:p w14:paraId="4F70BA71">
            <w:pPr>
              <w:spacing w:line="300" w:lineRule="exact"/>
              <w:jc w:val="center"/>
              <w:rPr>
                <w:rFonts w:ascii="方正书宋_GBK" w:eastAsia="方正书宋_GBK"/>
              </w:rPr>
            </w:pPr>
            <w:r>
              <w:rPr>
                <w:rFonts w:ascii="方正书宋_GBK" w:eastAsia="方正书宋_GBK"/>
              </w:rPr>
              <w:t>1</w:t>
            </w:r>
          </w:p>
        </w:tc>
        <w:tc>
          <w:tcPr>
            <w:tcW w:w="737" w:type="dxa"/>
            <w:shd w:val="clear" w:color="auto" w:fill="auto"/>
            <w:vAlign w:val="center"/>
          </w:tcPr>
          <w:p w14:paraId="20D482EB">
            <w:pPr>
              <w:spacing w:line="300" w:lineRule="exact"/>
              <w:jc w:val="center"/>
              <w:rPr>
                <w:rFonts w:ascii="方正书宋_GBK" w:eastAsia="方正书宋_GBK"/>
              </w:rPr>
            </w:pPr>
            <w:r>
              <w:rPr>
                <w:rFonts w:ascii="方正书宋_GBK" w:eastAsia="方正书宋_GBK"/>
              </w:rPr>
              <w:t>1</w:t>
            </w:r>
          </w:p>
        </w:tc>
        <w:tc>
          <w:tcPr>
            <w:tcW w:w="737" w:type="dxa"/>
            <w:shd w:val="clear" w:color="auto" w:fill="auto"/>
            <w:vAlign w:val="center"/>
          </w:tcPr>
          <w:p w14:paraId="77884E23">
            <w:pPr>
              <w:spacing w:line="300" w:lineRule="exact"/>
              <w:jc w:val="center"/>
              <w:rPr>
                <w:rFonts w:ascii="方正书宋_GBK" w:eastAsia="方正书宋_GBK"/>
              </w:rPr>
            </w:pPr>
            <w:r>
              <w:rPr>
                <w:rFonts w:ascii="方正书宋_GBK" w:eastAsia="方正书宋_GBK"/>
              </w:rPr>
              <w:t>1</w:t>
            </w:r>
          </w:p>
        </w:tc>
        <w:tc>
          <w:tcPr>
            <w:tcW w:w="737" w:type="dxa"/>
            <w:shd w:val="clear" w:color="auto" w:fill="auto"/>
            <w:vAlign w:val="center"/>
          </w:tcPr>
          <w:p w14:paraId="40C3A35B">
            <w:pPr>
              <w:spacing w:line="300" w:lineRule="exact"/>
              <w:jc w:val="center"/>
              <w:rPr>
                <w:rFonts w:ascii="方正书宋_GBK" w:eastAsia="方正书宋_GBK"/>
              </w:rPr>
            </w:pPr>
            <w:r>
              <w:rPr>
                <w:rFonts w:ascii="方正书宋_GBK" w:eastAsia="方正书宋_GBK"/>
              </w:rPr>
              <w:t>0</w:t>
            </w:r>
          </w:p>
        </w:tc>
      </w:tr>
      <w:tr w14:paraId="794A0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69E240C0">
            <w:pPr>
              <w:spacing w:line="300" w:lineRule="exact"/>
              <w:jc w:val="left"/>
              <w:rPr>
                <w:rFonts w:ascii="方正书宋_GBK" w:eastAsia="方正书宋_GBK"/>
                <w:b/>
              </w:rPr>
            </w:pPr>
            <w:r>
              <w:rPr>
                <w:rFonts w:hint="eastAsia" w:ascii="方正书宋_GBK" w:eastAsia="方正书宋_GBK"/>
                <w:b/>
              </w:rPr>
              <w:t>三、维护青少年权益工作</w:t>
            </w:r>
          </w:p>
        </w:tc>
        <w:tc>
          <w:tcPr>
            <w:tcW w:w="1276" w:type="dxa"/>
            <w:shd w:val="clear" w:color="auto" w:fill="auto"/>
            <w:vAlign w:val="center"/>
          </w:tcPr>
          <w:p w14:paraId="17E15BC5">
            <w:pPr>
              <w:spacing w:line="300" w:lineRule="exact"/>
              <w:jc w:val="left"/>
              <w:rPr>
                <w:rFonts w:ascii="方正书宋_GBK" w:eastAsia="方正书宋_GBK"/>
              </w:rPr>
            </w:pPr>
          </w:p>
        </w:tc>
        <w:tc>
          <w:tcPr>
            <w:tcW w:w="2976" w:type="dxa"/>
            <w:shd w:val="clear" w:color="auto" w:fill="auto"/>
            <w:vAlign w:val="center"/>
          </w:tcPr>
          <w:p w14:paraId="7A01534D">
            <w:pPr>
              <w:spacing w:line="300" w:lineRule="exact"/>
              <w:jc w:val="left"/>
              <w:rPr>
                <w:rFonts w:ascii="方正书宋_GBK" w:eastAsia="方正书宋_GBK"/>
              </w:rPr>
            </w:pPr>
            <w:r>
              <w:rPr>
                <w:rFonts w:hint="eastAsia" w:ascii="方正书宋_GBK" w:eastAsia="方正书宋_GBK"/>
              </w:rPr>
              <w:t>研究有关青少年发展问题，贯彻落实保护青少年健康成长的法律、地方性法规；构建和完善维护青少年发展权益的机制化、社会化、专业化工作体系。</w:t>
            </w:r>
          </w:p>
        </w:tc>
        <w:tc>
          <w:tcPr>
            <w:tcW w:w="2976" w:type="dxa"/>
            <w:shd w:val="clear" w:color="auto" w:fill="auto"/>
            <w:vAlign w:val="center"/>
          </w:tcPr>
          <w:p w14:paraId="631287C6">
            <w:pPr>
              <w:spacing w:line="300" w:lineRule="exact"/>
              <w:jc w:val="left"/>
              <w:rPr>
                <w:rFonts w:ascii="方正书宋_GBK" w:eastAsia="方正书宋_GBK"/>
              </w:rPr>
            </w:pPr>
            <w:r>
              <w:rPr>
                <w:rFonts w:hint="eastAsia" w:ascii="方正书宋_GBK" w:eastAsia="方正书宋_GBK"/>
              </w:rPr>
              <w:t>加强青少年事务社会工作，加强法治宣传教育，促进青少年健康成长。</w:t>
            </w:r>
          </w:p>
        </w:tc>
        <w:tc>
          <w:tcPr>
            <w:tcW w:w="1417" w:type="dxa"/>
            <w:shd w:val="clear" w:color="auto" w:fill="auto"/>
            <w:vAlign w:val="center"/>
          </w:tcPr>
          <w:p w14:paraId="428E8B86">
            <w:pPr>
              <w:spacing w:line="300" w:lineRule="exact"/>
              <w:jc w:val="left"/>
              <w:rPr>
                <w:rFonts w:ascii="方正书宋_GBK" w:eastAsia="方正书宋_GBK"/>
              </w:rPr>
            </w:pPr>
          </w:p>
        </w:tc>
        <w:tc>
          <w:tcPr>
            <w:tcW w:w="737" w:type="dxa"/>
            <w:shd w:val="clear" w:color="auto" w:fill="auto"/>
            <w:vAlign w:val="center"/>
          </w:tcPr>
          <w:p w14:paraId="13534269">
            <w:pPr>
              <w:spacing w:line="300" w:lineRule="exact"/>
              <w:jc w:val="center"/>
              <w:rPr>
                <w:rFonts w:ascii="方正书宋_GBK" w:eastAsia="方正书宋_GBK"/>
              </w:rPr>
            </w:pPr>
          </w:p>
        </w:tc>
        <w:tc>
          <w:tcPr>
            <w:tcW w:w="737" w:type="dxa"/>
            <w:shd w:val="clear" w:color="auto" w:fill="auto"/>
            <w:vAlign w:val="center"/>
          </w:tcPr>
          <w:p w14:paraId="291E7F75">
            <w:pPr>
              <w:spacing w:line="300" w:lineRule="exact"/>
              <w:jc w:val="center"/>
              <w:rPr>
                <w:rFonts w:ascii="方正书宋_GBK" w:eastAsia="方正书宋_GBK"/>
              </w:rPr>
            </w:pPr>
          </w:p>
        </w:tc>
        <w:tc>
          <w:tcPr>
            <w:tcW w:w="737" w:type="dxa"/>
            <w:shd w:val="clear" w:color="auto" w:fill="auto"/>
            <w:vAlign w:val="center"/>
          </w:tcPr>
          <w:p w14:paraId="561E3DD8">
            <w:pPr>
              <w:spacing w:line="300" w:lineRule="exact"/>
              <w:jc w:val="center"/>
              <w:rPr>
                <w:rFonts w:ascii="方正书宋_GBK" w:eastAsia="方正书宋_GBK"/>
              </w:rPr>
            </w:pPr>
          </w:p>
        </w:tc>
        <w:tc>
          <w:tcPr>
            <w:tcW w:w="737" w:type="dxa"/>
            <w:shd w:val="clear" w:color="auto" w:fill="auto"/>
            <w:vAlign w:val="center"/>
          </w:tcPr>
          <w:p w14:paraId="78F57EEA">
            <w:pPr>
              <w:spacing w:line="300" w:lineRule="exact"/>
              <w:jc w:val="center"/>
              <w:rPr>
                <w:rFonts w:ascii="方正书宋_GBK" w:eastAsia="方正书宋_GBK"/>
              </w:rPr>
            </w:pPr>
          </w:p>
        </w:tc>
      </w:tr>
      <w:tr w14:paraId="25869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49F2042A">
            <w:pPr>
              <w:spacing w:line="300" w:lineRule="exact"/>
              <w:jc w:val="left"/>
              <w:rPr>
                <w:rFonts w:ascii="方正书宋_GBK" w:eastAsia="方正书宋_GBK"/>
                <w:b/>
              </w:rPr>
            </w:pPr>
            <w:r>
              <w:rPr>
                <w:rFonts w:hint="eastAsia" w:ascii="方正书宋_GBK" w:eastAsia="方正书宋_GBK"/>
                <w:b/>
              </w:rPr>
              <w:t>　　</w:t>
            </w:r>
            <w:r>
              <w:rPr>
                <w:rFonts w:ascii="方正书宋_GBK" w:eastAsia="方正书宋_GBK"/>
                <w:b/>
              </w:rPr>
              <w:t>1</w:t>
            </w:r>
            <w:r>
              <w:rPr>
                <w:rFonts w:hint="eastAsia" w:ascii="方正书宋_GBK" w:eastAsia="方正书宋_GBK"/>
                <w:b/>
              </w:rPr>
              <w:t>、预防青少年违法犯罪</w:t>
            </w:r>
          </w:p>
        </w:tc>
        <w:tc>
          <w:tcPr>
            <w:tcW w:w="1276" w:type="dxa"/>
            <w:shd w:val="clear" w:color="auto" w:fill="auto"/>
            <w:vAlign w:val="center"/>
          </w:tcPr>
          <w:p w14:paraId="33FDA526">
            <w:pPr>
              <w:spacing w:line="300" w:lineRule="exact"/>
              <w:jc w:val="left"/>
              <w:rPr>
                <w:rFonts w:ascii="方正书宋_GBK" w:eastAsia="方正书宋_GBK"/>
              </w:rPr>
            </w:pPr>
          </w:p>
        </w:tc>
        <w:tc>
          <w:tcPr>
            <w:tcW w:w="2976" w:type="dxa"/>
            <w:shd w:val="clear" w:color="auto" w:fill="auto"/>
            <w:vAlign w:val="center"/>
          </w:tcPr>
          <w:p w14:paraId="6C00B4CB">
            <w:pPr>
              <w:spacing w:line="300" w:lineRule="exact"/>
              <w:jc w:val="left"/>
              <w:rPr>
                <w:rFonts w:ascii="方正书宋_GBK" w:eastAsia="方正书宋_GBK"/>
              </w:rPr>
            </w:pPr>
            <w:r>
              <w:rPr>
                <w:rFonts w:hint="eastAsia" w:ascii="方正书宋_GBK" w:eastAsia="方正书宋_GBK"/>
              </w:rPr>
              <w:t>推动青少年事务社会工作开展；提高源头治理力度，做好预防青少年违法犯罪工作；做好青少年法治宣传教育工作。</w:t>
            </w:r>
          </w:p>
        </w:tc>
        <w:tc>
          <w:tcPr>
            <w:tcW w:w="2976" w:type="dxa"/>
            <w:shd w:val="clear" w:color="auto" w:fill="auto"/>
            <w:vAlign w:val="center"/>
          </w:tcPr>
          <w:p w14:paraId="4D179EBD">
            <w:pPr>
              <w:spacing w:line="300" w:lineRule="exact"/>
              <w:jc w:val="left"/>
              <w:rPr>
                <w:rFonts w:ascii="方正书宋_GBK" w:eastAsia="方正书宋_GBK"/>
              </w:rPr>
            </w:pPr>
            <w:r>
              <w:rPr>
                <w:rFonts w:hint="eastAsia" w:ascii="方正书宋_GBK" w:eastAsia="方正书宋_GBK"/>
              </w:rPr>
              <w:t>增强青少年学法、尊法、守法、用法意识，推动青少年事务社会工作有效开展。</w:t>
            </w:r>
          </w:p>
        </w:tc>
        <w:tc>
          <w:tcPr>
            <w:tcW w:w="1417" w:type="dxa"/>
            <w:shd w:val="clear" w:color="auto" w:fill="auto"/>
            <w:vAlign w:val="center"/>
          </w:tcPr>
          <w:p w14:paraId="13DAC73D">
            <w:pPr>
              <w:spacing w:line="300" w:lineRule="exact"/>
              <w:jc w:val="left"/>
              <w:rPr>
                <w:rFonts w:ascii="方正书宋_GBK" w:eastAsia="方正书宋_GBK"/>
              </w:rPr>
            </w:pPr>
            <w:r>
              <w:rPr>
                <w:rFonts w:hint="eastAsia" w:ascii="方正书宋_GBK" w:eastAsia="方正书宋_GBK"/>
              </w:rPr>
              <w:t>组织青少年法制宣传，开展关爱弱势青少年群体等活动次数</w:t>
            </w:r>
          </w:p>
        </w:tc>
        <w:tc>
          <w:tcPr>
            <w:tcW w:w="737" w:type="dxa"/>
            <w:shd w:val="clear" w:color="auto" w:fill="auto"/>
            <w:vAlign w:val="center"/>
          </w:tcPr>
          <w:p w14:paraId="24CD6103">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8</w:t>
            </w:r>
          </w:p>
        </w:tc>
        <w:tc>
          <w:tcPr>
            <w:tcW w:w="737" w:type="dxa"/>
            <w:shd w:val="clear" w:color="auto" w:fill="auto"/>
            <w:vAlign w:val="center"/>
          </w:tcPr>
          <w:p w14:paraId="5BE06363">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5</w:t>
            </w:r>
          </w:p>
        </w:tc>
        <w:tc>
          <w:tcPr>
            <w:tcW w:w="737" w:type="dxa"/>
            <w:shd w:val="clear" w:color="auto" w:fill="auto"/>
            <w:vAlign w:val="center"/>
          </w:tcPr>
          <w:p w14:paraId="30DCB6F8">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3</w:t>
            </w:r>
          </w:p>
        </w:tc>
        <w:tc>
          <w:tcPr>
            <w:tcW w:w="737" w:type="dxa"/>
            <w:shd w:val="clear" w:color="auto" w:fill="auto"/>
            <w:vAlign w:val="center"/>
          </w:tcPr>
          <w:p w14:paraId="086F6F69">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3</w:t>
            </w:r>
          </w:p>
        </w:tc>
      </w:tr>
      <w:tr w14:paraId="7B509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52A441B7">
            <w:pPr>
              <w:spacing w:line="300" w:lineRule="exact"/>
              <w:jc w:val="left"/>
              <w:rPr>
                <w:rFonts w:ascii="方正书宋_GBK" w:eastAsia="方正书宋_GBK"/>
                <w:b/>
              </w:rPr>
            </w:pPr>
            <w:r>
              <w:rPr>
                <w:rFonts w:hint="eastAsia" w:ascii="方正书宋_GBK" w:eastAsia="方正书宋_GBK"/>
                <w:b/>
              </w:rPr>
              <w:t>四、团委事务管理</w:t>
            </w:r>
          </w:p>
        </w:tc>
        <w:tc>
          <w:tcPr>
            <w:tcW w:w="1276" w:type="dxa"/>
            <w:shd w:val="clear" w:color="auto" w:fill="auto"/>
            <w:vAlign w:val="center"/>
          </w:tcPr>
          <w:p w14:paraId="23D85E72">
            <w:pPr>
              <w:spacing w:line="300" w:lineRule="exact"/>
              <w:jc w:val="left"/>
              <w:rPr>
                <w:rFonts w:ascii="方正书宋_GBK" w:eastAsia="方正书宋_GBK"/>
              </w:rPr>
            </w:pPr>
            <w:r>
              <w:rPr>
                <w:rFonts w:ascii="方正书宋_GBK" w:eastAsia="方正书宋_GBK"/>
              </w:rPr>
              <w:t>3.85</w:t>
            </w:r>
          </w:p>
        </w:tc>
        <w:tc>
          <w:tcPr>
            <w:tcW w:w="2976" w:type="dxa"/>
            <w:shd w:val="clear" w:color="auto" w:fill="auto"/>
            <w:vAlign w:val="center"/>
          </w:tcPr>
          <w:p w14:paraId="2CCBF63E">
            <w:pPr>
              <w:spacing w:line="300" w:lineRule="exact"/>
              <w:jc w:val="left"/>
              <w:rPr>
                <w:rFonts w:ascii="方正书宋_GBK" w:eastAsia="方正书宋_GBK"/>
              </w:rPr>
            </w:pPr>
            <w:r>
              <w:rPr>
                <w:rFonts w:hint="eastAsia" w:ascii="方正书宋_GBK" w:eastAsia="方正书宋_GBK"/>
              </w:rPr>
              <w:t>负责团县委综合业务管理。</w:t>
            </w:r>
          </w:p>
        </w:tc>
        <w:tc>
          <w:tcPr>
            <w:tcW w:w="2976" w:type="dxa"/>
            <w:shd w:val="clear" w:color="auto" w:fill="auto"/>
            <w:vAlign w:val="center"/>
          </w:tcPr>
          <w:p w14:paraId="2CDD674F">
            <w:pPr>
              <w:spacing w:line="300" w:lineRule="exact"/>
              <w:jc w:val="left"/>
              <w:rPr>
                <w:rFonts w:ascii="方正书宋_GBK" w:eastAsia="方正书宋_GBK"/>
              </w:rPr>
            </w:pPr>
            <w:r>
              <w:rPr>
                <w:rFonts w:hint="eastAsia" w:ascii="方正书宋_GBK" w:eastAsia="方正书宋_GBK"/>
              </w:rPr>
              <w:t>工作任务圆满完成，促进共青团事业发展。</w:t>
            </w:r>
          </w:p>
        </w:tc>
        <w:tc>
          <w:tcPr>
            <w:tcW w:w="1417" w:type="dxa"/>
            <w:shd w:val="clear" w:color="auto" w:fill="auto"/>
            <w:vAlign w:val="center"/>
          </w:tcPr>
          <w:p w14:paraId="781B5393">
            <w:pPr>
              <w:spacing w:line="300" w:lineRule="exact"/>
              <w:jc w:val="left"/>
              <w:rPr>
                <w:rFonts w:ascii="方正书宋_GBK" w:eastAsia="方正书宋_GBK"/>
              </w:rPr>
            </w:pPr>
          </w:p>
        </w:tc>
        <w:tc>
          <w:tcPr>
            <w:tcW w:w="737" w:type="dxa"/>
            <w:shd w:val="clear" w:color="auto" w:fill="auto"/>
            <w:vAlign w:val="center"/>
          </w:tcPr>
          <w:p w14:paraId="73A015FC">
            <w:pPr>
              <w:spacing w:line="300" w:lineRule="exact"/>
              <w:jc w:val="center"/>
              <w:rPr>
                <w:rFonts w:ascii="方正书宋_GBK" w:eastAsia="方正书宋_GBK"/>
              </w:rPr>
            </w:pPr>
          </w:p>
        </w:tc>
        <w:tc>
          <w:tcPr>
            <w:tcW w:w="737" w:type="dxa"/>
            <w:shd w:val="clear" w:color="auto" w:fill="auto"/>
            <w:vAlign w:val="center"/>
          </w:tcPr>
          <w:p w14:paraId="0224F246">
            <w:pPr>
              <w:spacing w:line="300" w:lineRule="exact"/>
              <w:jc w:val="center"/>
              <w:rPr>
                <w:rFonts w:ascii="方正书宋_GBK" w:eastAsia="方正书宋_GBK"/>
              </w:rPr>
            </w:pPr>
          </w:p>
        </w:tc>
        <w:tc>
          <w:tcPr>
            <w:tcW w:w="737" w:type="dxa"/>
            <w:shd w:val="clear" w:color="auto" w:fill="auto"/>
            <w:vAlign w:val="center"/>
          </w:tcPr>
          <w:p w14:paraId="5C0164D6">
            <w:pPr>
              <w:spacing w:line="300" w:lineRule="exact"/>
              <w:jc w:val="center"/>
              <w:rPr>
                <w:rFonts w:ascii="方正书宋_GBK" w:eastAsia="方正书宋_GBK"/>
              </w:rPr>
            </w:pPr>
          </w:p>
        </w:tc>
        <w:tc>
          <w:tcPr>
            <w:tcW w:w="737" w:type="dxa"/>
            <w:shd w:val="clear" w:color="auto" w:fill="auto"/>
            <w:vAlign w:val="center"/>
          </w:tcPr>
          <w:p w14:paraId="6B2DF0FC">
            <w:pPr>
              <w:spacing w:line="300" w:lineRule="exact"/>
              <w:jc w:val="center"/>
              <w:rPr>
                <w:rFonts w:ascii="方正书宋_GBK" w:eastAsia="方正书宋_GBK"/>
              </w:rPr>
            </w:pPr>
          </w:p>
        </w:tc>
      </w:tr>
      <w:tr w14:paraId="7A7D1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2341" w:type="dxa"/>
            <w:shd w:val="clear" w:color="auto" w:fill="auto"/>
            <w:vAlign w:val="center"/>
          </w:tcPr>
          <w:p w14:paraId="5117DECA">
            <w:pPr>
              <w:spacing w:line="300" w:lineRule="exact"/>
              <w:jc w:val="left"/>
              <w:rPr>
                <w:rFonts w:ascii="方正书宋_GBK" w:eastAsia="方正书宋_GBK"/>
                <w:b/>
              </w:rPr>
            </w:pPr>
            <w:r>
              <w:rPr>
                <w:rFonts w:hint="eastAsia" w:ascii="方正书宋_GBK" w:eastAsia="方正书宋_GBK"/>
                <w:b/>
              </w:rPr>
              <w:t>　　</w:t>
            </w:r>
            <w:r>
              <w:rPr>
                <w:rFonts w:ascii="方正书宋_GBK" w:eastAsia="方正书宋_GBK"/>
                <w:b/>
              </w:rPr>
              <w:t>1</w:t>
            </w:r>
            <w:r>
              <w:rPr>
                <w:rFonts w:hint="eastAsia" w:ascii="方正书宋_GBK" w:eastAsia="方正书宋_GBK"/>
                <w:b/>
              </w:rPr>
              <w:t>、综合业务管理</w:t>
            </w:r>
          </w:p>
        </w:tc>
        <w:tc>
          <w:tcPr>
            <w:tcW w:w="1276" w:type="dxa"/>
            <w:shd w:val="clear" w:color="auto" w:fill="auto"/>
            <w:vAlign w:val="center"/>
          </w:tcPr>
          <w:p w14:paraId="0AE94C95">
            <w:pPr>
              <w:spacing w:line="300" w:lineRule="exact"/>
              <w:jc w:val="left"/>
              <w:rPr>
                <w:rFonts w:ascii="方正书宋_GBK" w:eastAsia="方正书宋_GBK"/>
              </w:rPr>
            </w:pPr>
            <w:r>
              <w:rPr>
                <w:rFonts w:ascii="方正书宋_GBK" w:eastAsia="方正书宋_GBK"/>
              </w:rPr>
              <w:t>3.85</w:t>
            </w:r>
          </w:p>
        </w:tc>
        <w:tc>
          <w:tcPr>
            <w:tcW w:w="2976" w:type="dxa"/>
            <w:shd w:val="clear" w:color="auto" w:fill="auto"/>
            <w:vAlign w:val="center"/>
          </w:tcPr>
          <w:p w14:paraId="5D98BDA4">
            <w:pPr>
              <w:spacing w:line="300" w:lineRule="exact"/>
              <w:jc w:val="left"/>
              <w:rPr>
                <w:rFonts w:ascii="方正书宋_GBK" w:eastAsia="方正书宋_GBK"/>
              </w:rPr>
            </w:pPr>
            <w:r>
              <w:rPr>
                <w:rFonts w:hint="eastAsia" w:ascii="方正书宋_GBK" w:eastAsia="方正书宋_GBK"/>
              </w:rPr>
              <w:t>参与制定全县的青少年事业发展规划和青少年工作方针、政策</w:t>
            </w:r>
            <w:r>
              <w:rPr>
                <w:rFonts w:ascii="方正书宋_GBK" w:eastAsia="方正书宋_GBK"/>
              </w:rPr>
              <w:t>;</w:t>
            </w:r>
            <w:r>
              <w:rPr>
                <w:rFonts w:hint="eastAsia" w:ascii="方正书宋_GBK" w:eastAsia="方正书宋_GBK"/>
              </w:rPr>
              <w:t>承担县委、县政府和省市团委交办的有关事项。</w:t>
            </w:r>
          </w:p>
        </w:tc>
        <w:tc>
          <w:tcPr>
            <w:tcW w:w="2976" w:type="dxa"/>
            <w:shd w:val="clear" w:color="auto" w:fill="auto"/>
            <w:vAlign w:val="center"/>
          </w:tcPr>
          <w:p w14:paraId="570F4941">
            <w:pPr>
              <w:spacing w:line="300" w:lineRule="exact"/>
              <w:jc w:val="left"/>
              <w:rPr>
                <w:rFonts w:ascii="方正书宋_GBK" w:eastAsia="方正书宋_GBK"/>
              </w:rPr>
            </w:pPr>
            <w:r>
              <w:rPr>
                <w:rFonts w:hint="eastAsia" w:ascii="方正书宋_GBK" w:eastAsia="方正书宋_GBK"/>
              </w:rPr>
              <w:t>圆满完成县委、县政府和上级团委交办的各项任务。</w:t>
            </w:r>
          </w:p>
        </w:tc>
        <w:tc>
          <w:tcPr>
            <w:tcW w:w="1417" w:type="dxa"/>
            <w:shd w:val="clear" w:color="auto" w:fill="auto"/>
            <w:vAlign w:val="center"/>
          </w:tcPr>
          <w:p w14:paraId="676EB9F5">
            <w:pPr>
              <w:spacing w:line="300" w:lineRule="exact"/>
              <w:jc w:val="left"/>
              <w:rPr>
                <w:rFonts w:ascii="方正书宋_GBK" w:eastAsia="方正书宋_GBK"/>
              </w:rPr>
            </w:pPr>
            <w:r>
              <w:rPr>
                <w:rFonts w:hint="eastAsia" w:ascii="方正书宋_GBK" w:eastAsia="方正书宋_GBK"/>
              </w:rPr>
              <w:t>受到</w:t>
            </w:r>
            <w:r>
              <w:rPr>
                <w:rFonts w:hint="eastAsia" w:ascii="方正书宋_GBK" w:eastAsia="方正书宋_GBK"/>
                <w:lang w:eastAsia="zh-CN"/>
              </w:rPr>
              <w:t>县委、县政府</w:t>
            </w:r>
            <w:r>
              <w:rPr>
                <w:rFonts w:hint="eastAsia" w:ascii="方正书宋_GBK" w:eastAsia="方正书宋_GBK"/>
              </w:rPr>
              <w:t>和上级团组织肯定性批示或获得表彰的数量</w:t>
            </w:r>
          </w:p>
        </w:tc>
        <w:tc>
          <w:tcPr>
            <w:tcW w:w="737" w:type="dxa"/>
            <w:shd w:val="clear" w:color="auto" w:fill="auto"/>
            <w:vAlign w:val="center"/>
          </w:tcPr>
          <w:p w14:paraId="1619A4DE">
            <w:pPr>
              <w:spacing w:line="300" w:lineRule="exact"/>
              <w:jc w:val="center"/>
              <w:rPr>
                <w:rFonts w:ascii="方正书宋_GBK" w:eastAsia="方正书宋_GBK"/>
              </w:rPr>
            </w:pPr>
            <w:r>
              <w:rPr>
                <w:rFonts w:hint="eastAsia" w:ascii="方正书宋_GBK" w:eastAsia="方正书宋_GBK"/>
              </w:rPr>
              <w:t>≥</w:t>
            </w:r>
            <w:r>
              <w:rPr>
                <w:rFonts w:ascii="方正书宋_GBK" w:eastAsia="方正书宋_GBK"/>
              </w:rPr>
              <w:t>3</w:t>
            </w:r>
          </w:p>
        </w:tc>
        <w:tc>
          <w:tcPr>
            <w:tcW w:w="737" w:type="dxa"/>
            <w:shd w:val="clear" w:color="auto" w:fill="auto"/>
            <w:vAlign w:val="center"/>
          </w:tcPr>
          <w:p w14:paraId="38B53D7F">
            <w:pPr>
              <w:spacing w:line="300" w:lineRule="exact"/>
              <w:jc w:val="center"/>
              <w:rPr>
                <w:rFonts w:ascii="方正书宋_GBK" w:eastAsia="方正书宋_GBK"/>
              </w:rPr>
            </w:pPr>
            <w:r>
              <w:rPr>
                <w:rFonts w:ascii="方正书宋_GBK" w:eastAsia="方正书宋_GBK"/>
              </w:rPr>
              <w:t>2</w:t>
            </w:r>
          </w:p>
        </w:tc>
        <w:tc>
          <w:tcPr>
            <w:tcW w:w="737" w:type="dxa"/>
            <w:shd w:val="clear" w:color="auto" w:fill="auto"/>
            <w:vAlign w:val="center"/>
          </w:tcPr>
          <w:p w14:paraId="16E497E7">
            <w:pPr>
              <w:spacing w:line="300" w:lineRule="exact"/>
              <w:jc w:val="center"/>
              <w:rPr>
                <w:rFonts w:ascii="方正书宋_GBK" w:eastAsia="方正书宋_GBK"/>
              </w:rPr>
            </w:pPr>
            <w:r>
              <w:rPr>
                <w:rFonts w:ascii="方正书宋_GBK" w:eastAsia="方正书宋_GBK"/>
              </w:rPr>
              <w:t>1</w:t>
            </w:r>
          </w:p>
        </w:tc>
        <w:tc>
          <w:tcPr>
            <w:tcW w:w="737" w:type="dxa"/>
            <w:shd w:val="clear" w:color="auto" w:fill="auto"/>
            <w:vAlign w:val="center"/>
          </w:tcPr>
          <w:p w14:paraId="3357CB52">
            <w:pPr>
              <w:spacing w:line="300" w:lineRule="exact"/>
              <w:jc w:val="center"/>
              <w:rPr>
                <w:rFonts w:ascii="方正书宋_GBK" w:eastAsia="方正书宋_GBK"/>
              </w:rPr>
            </w:pPr>
            <w:r>
              <w:rPr>
                <w:rFonts w:ascii="方正书宋_GBK" w:eastAsia="方正书宋_GBK"/>
              </w:rPr>
              <w:t>0</w:t>
            </w:r>
          </w:p>
        </w:tc>
      </w:tr>
    </w:tbl>
    <w:p w14:paraId="2417286D">
      <w:pPr>
        <w:spacing w:line="300" w:lineRule="exact"/>
        <w:jc w:val="left"/>
        <w:outlineLvl w:val="0"/>
        <w:sectPr>
          <w:pgSz w:w="16839" w:h="11907" w:orient="landscape"/>
          <w:pgMar w:top="1020" w:right="1361" w:bottom="1020" w:left="1361" w:header="851" w:footer="992" w:gutter="0"/>
          <w:cols w:space="425" w:num="1"/>
          <w:docGrid w:type="lines" w:linePitch="312" w:charSpace="0"/>
        </w:sectPr>
      </w:pPr>
    </w:p>
    <w:p w14:paraId="78C6A580">
      <w:pPr>
        <w:widowControl/>
        <w:spacing w:line="560" w:lineRule="exact"/>
        <w:ind w:firstLine="596" w:firstLineChars="198"/>
        <w:rPr>
          <w:rFonts w:ascii="黑体" w:hAnsi="黑体" w:eastAsia="黑体" w:cs="黑体"/>
          <w:b/>
          <w:bCs/>
          <w:kern w:val="0"/>
          <w:sz w:val="30"/>
          <w:szCs w:val="30"/>
        </w:rPr>
      </w:pPr>
      <w:r>
        <w:rPr>
          <w:rFonts w:hint="eastAsia" w:ascii="黑体" w:hAnsi="黑体" w:eastAsia="黑体" w:cs="黑体"/>
          <w:b/>
          <w:bCs/>
          <w:kern w:val="0"/>
          <w:sz w:val="30"/>
          <w:szCs w:val="30"/>
        </w:rPr>
        <w:t>六、政府采购预算情况</w:t>
      </w:r>
    </w:p>
    <w:p w14:paraId="2F565B56">
      <w:pPr>
        <w:widowControl/>
        <w:spacing w:line="560" w:lineRule="exact"/>
        <w:ind w:firstLine="602"/>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2018年我单位无政府采购预算，</w:t>
      </w:r>
      <w:r>
        <w:rPr>
          <w:rFonts w:hint="eastAsia" w:ascii="仿宋" w:hAnsi="仿宋" w:eastAsia="仿宋" w:cs="仿宋"/>
          <w:sz w:val="32"/>
          <w:szCs w:val="32"/>
        </w:rPr>
        <w:t>空表列示</w:t>
      </w:r>
      <w:r>
        <w:rPr>
          <w:rFonts w:hint="eastAsia" w:ascii="仿宋_GB2312" w:hAnsi="仿宋_GB2312" w:eastAsia="仿宋_GB2312" w:cs="仿宋_GB2312"/>
          <w:kern w:val="0"/>
          <w:sz w:val="30"/>
          <w:szCs w:val="30"/>
        </w:rPr>
        <w:t>。</w:t>
      </w:r>
    </w:p>
    <w:p w14:paraId="6DC38021">
      <w:pPr>
        <w:widowControl/>
        <w:spacing w:line="560" w:lineRule="exact"/>
        <w:ind w:firstLine="600"/>
        <w:rPr>
          <w:rFonts w:ascii="黑体" w:hAnsi="黑体" w:eastAsia="黑体" w:cs="黑体"/>
          <w:b/>
          <w:bCs/>
          <w:kern w:val="0"/>
          <w:sz w:val="30"/>
          <w:szCs w:val="30"/>
        </w:rPr>
      </w:pPr>
      <w:r>
        <w:rPr>
          <w:rFonts w:hint="eastAsia" w:ascii="黑体" w:hAnsi="黑体" w:eastAsia="黑体" w:cs="黑体"/>
          <w:kern w:val="0"/>
          <w:sz w:val="30"/>
          <w:szCs w:val="30"/>
        </w:rPr>
        <w:t>七</w:t>
      </w:r>
      <w:r>
        <w:rPr>
          <w:rFonts w:hint="eastAsia" w:ascii="黑体" w:hAnsi="黑体" w:eastAsia="黑体" w:cs="黑体"/>
          <w:b/>
          <w:bCs/>
          <w:kern w:val="0"/>
          <w:sz w:val="30"/>
          <w:szCs w:val="30"/>
        </w:rPr>
        <w:t>、国有资产信息情况</w:t>
      </w:r>
    </w:p>
    <w:p w14:paraId="1DFCACF5">
      <w:pPr>
        <w:widowControl/>
        <w:spacing w:line="460" w:lineRule="exact"/>
        <w:ind w:firstLine="548" w:firstLineChars="196"/>
        <w:rPr>
          <w:rFonts w:ascii="宋体" w:hAnsi="宋体" w:cs="仿宋"/>
          <w:bCs/>
          <w:kern w:val="0"/>
          <w:sz w:val="28"/>
          <w:szCs w:val="28"/>
        </w:rPr>
      </w:pPr>
      <w:r>
        <w:rPr>
          <w:rFonts w:hint="eastAsia" w:ascii="宋体" w:hAnsi="宋体" w:cs="仿宋"/>
          <w:bCs/>
          <w:kern w:val="0"/>
          <w:sz w:val="28"/>
          <w:szCs w:val="28"/>
        </w:rPr>
        <w:t>团县委2018年末固定资产总金额4.14万元（详见下表）。 2019年拟购置固定资产为零。</w:t>
      </w:r>
    </w:p>
    <w:p w14:paraId="479232CA">
      <w:pPr>
        <w:rPr>
          <w:rFonts w:ascii="宋体" w:hAnsi="宋体"/>
          <w:b/>
          <w:sz w:val="28"/>
          <w:szCs w:val="28"/>
        </w:rPr>
      </w:pPr>
    </w:p>
    <w:tbl>
      <w:tblPr>
        <w:tblStyle w:val="6"/>
        <w:tblW w:w="8804" w:type="dxa"/>
        <w:tblInd w:w="93" w:type="dxa"/>
        <w:tblLayout w:type="fixed"/>
        <w:tblCellMar>
          <w:top w:w="0" w:type="dxa"/>
          <w:left w:w="108" w:type="dxa"/>
          <w:bottom w:w="0" w:type="dxa"/>
          <w:right w:w="108" w:type="dxa"/>
        </w:tblCellMar>
      </w:tblPr>
      <w:tblGrid>
        <w:gridCol w:w="3811"/>
        <w:gridCol w:w="1591"/>
        <w:gridCol w:w="3402"/>
      </w:tblGrid>
      <w:tr w14:paraId="35940942">
        <w:tblPrEx>
          <w:tblCellMar>
            <w:top w:w="0" w:type="dxa"/>
            <w:left w:w="108" w:type="dxa"/>
            <w:bottom w:w="0" w:type="dxa"/>
            <w:right w:w="108" w:type="dxa"/>
          </w:tblCellMar>
        </w:tblPrEx>
        <w:trPr>
          <w:trHeight w:val="675" w:hRule="atLeast"/>
        </w:trPr>
        <w:tc>
          <w:tcPr>
            <w:tcW w:w="8804" w:type="dxa"/>
            <w:gridSpan w:val="3"/>
            <w:tcBorders>
              <w:top w:val="nil"/>
              <w:left w:val="nil"/>
              <w:bottom w:val="nil"/>
              <w:right w:val="nil"/>
            </w:tcBorders>
            <w:shd w:val="clear" w:color="auto" w:fill="auto"/>
            <w:vAlign w:val="center"/>
          </w:tcPr>
          <w:p w14:paraId="16C83BAD">
            <w:pPr>
              <w:widowControl/>
              <w:jc w:val="center"/>
              <w:rPr>
                <w:rFonts w:ascii="宋体" w:hAnsi="宋体" w:cs="宋体"/>
                <w:color w:val="000000"/>
                <w:kern w:val="0"/>
                <w:sz w:val="28"/>
                <w:szCs w:val="28"/>
              </w:rPr>
            </w:pPr>
            <w:r>
              <w:rPr>
                <w:rFonts w:hint="eastAsia" w:ascii="宋体" w:hAnsi="宋体"/>
                <w:sz w:val="28"/>
                <w:szCs w:val="28"/>
              </w:rPr>
              <w:t>共青团涞水县委固定资产占用情况表</w:t>
            </w:r>
          </w:p>
        </w:tc>
      </w:tr>
      <w:tr w14:paraId="4FBA909B">
        <w:tblPrEx>
          <w:tblCellMar>
            <w:top w:w="0" w:type="dxa"/>
            <w:left w:w="108" w:type="dxa"/>
            <w:bottom w:w="0" w:type="dxa"/>
            <w:right w:w="108" w:type="dxa"/>
          </w:tblCellMar>
        </w:tblPrEx>
        <w:trPr>
          <w:trHeight w:val="465" w:hRule="atLeast"/>
        </w:trPr>
        <w:tc>
          <w:tcPr>
            <w:tcW w:w="8804" w:type="dxa"/>
            <w:gridSpan w:val="3"/>
            <w:tcBorders>
              <w:top w:val="nil"/>
              <w:left w:val="nil"/>
              <w:bottom w:val="single" w:color="auto" w:sz="4" w:space="0"/>
              <w:right w:val="nil"/>
            </w:tcBorders>
            <w:shd w:val="clear" w:color="auto" w:fill="auto"/>
            <w:vAlign w:val="center"/>
          </w:tcPr>
          <w:p w14:paraId="61680F94">
            <w:pPr>
              <w:widowControl/>
              <w:jc w:val="center"/>
              <w:rPr>
                <w:rFonts w:ascii="宋体" w:hAnsi="宋体" w:cs="宋体"/>
                <w:color w:val="000000"/>
                <w:kern w:val="0"/>
                <w:sz w:val="28"/>
                <w:szCs w:val="28"/>
              </w:rPr>
            </w:pPr>
            <w:r>
              <w:rPr>
                <w:rFonts w:hint="eastAsia" w:ascii="宋体" w:hAnsi="宋体" w:cs="宋体"/>
                <w:bCs/>
                <w:color w:val="000000"/>
                <w:kern w:val="0"/>
                <w:sz w:val="28"/>
                <w:szCs w:val="28"/>
              </w:rPr>
              <w:t xml:space="preserve">                           截止时间：2018年12月31日</w:t>
            </w:r>
          </w:p>
        </w:tc>
      </w:tr>
      <w:tr w14:paraId="783BC6A1">
        <w:tblPrEx>
          <w:tblCellMar>
            <w:top w:w="0" w:type="dxa"/>
            <w:left w:w="108" w:type="dxa"/>
            <w:bottom w:w="0" w:type="dxa"/>
            <w:right w:w="108" w:type="dxa"/>
          </w:tblCellMar>
        </w:tblPrEx>
        <w:trPr>
          <w:trHeight w:val="750" w:hRule="atLeast"/>
        </w:trPr>
        <w:tc>
          <w:tcPr>
            <w:tcW w:w="3811" w:type="dxa"/>
            <w:tcBorders>
              <w:top w:val="nil"/>
              <w:left w:val="single" w:color="auto" w:sz="4" w:space="0"/>
              <w:bottom w:val="single" w:color="auto" w:sz="4" w:space="0"/>
              <w:right w:val="single" w:color="auto" w:sz="4" w:space="0"/>
            </w:tcBorders>
            <w:shd w:val="clear" w:color="auto" w:fill="auto"/>
            <w:vAlign w:val="center"/>
          </w:tcPr>
          <w:p w14:paraId="0A64A8F4">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项　　目</w:t>
            </w:r>
          </w:p>
        </w:tc>
        <w:tc>
          <w:tcPr>
            <w:tcW w:w="1591" w:type="dxa"/>
            <w:tcBorders>
              <w:top w:val="nil"/>
              <w:left w:val="nil"/>
              <w:bottom w:val="single" w:color="auto" w:sz="4" w:space="0"/>
              <w:right w:val="single" w:color="auto" w:sz="4" w:space="0"/>
            </w:tcBorders>
            <w:shd w:val="clear" w:color="auto" w:fill="auto"/>
            <w:vAlign w:val="center"/>
          </w:tcPr>
          <w:p w14:paraId="38DCDB69">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数量</w:t>
            </w:r>
          </w:p>
        </w:tc>
        <w:tc>
          <w:tcPr>
            <w:tcW w:w="3402" w:type="dxa"/>
            <w:tcBorders>
              <w:top w:val="nil"/>
              <w:left w:val="nil"/>
              <w:bottom w:val="single" w:color="auto" w:sz="4" w:space="0"/>
              <w:right w:val="single" w:color="auto" w:sz="4" w:space="0"/>
            </w:tcBorders>
            <w:shd w:val="clear" w:color="auto" w:fill="auto"/>
            <w:vAlign w:val="center"/>
          </w:tcPr>
          <w:p w14:paraId="048471CD">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价值（单位：万元）</w:t>
            </w:r>
          </w:p>
        </w:tc>
      </w:tr>
      <w:tr w14:paraId="19566006">
        <w:tblPrEx>
          <w:tblCellMar>
            <w:top w:w="0" w:type="dxa"/>
            <w:left w:w="108" w:type="dxa"/>
            <w:bottom w:w="0" w:type="dxa"/>
            <w:right w:w="108" w:type="dxa"/>
          </w:tblCellMar>
        </w:tblPrEx>
        <w:trPr>
          <w:trHeight w:val="495" w:hRule="atLeast"/>
        </w:trPr>
        <w:tc>
          <w:tcPr>
            <w:tcW w:w="3811" w:type="dxa"/>
            <w:tcBorders>
              <w:top w:val="nil"/>
              <w:left w:val="single" w:color="auto" w:sz="4" w:space="0"/>
              <w:bottom w:val="single" w:color="auto" w:sz="4" w:space="0"/>
              <w:right w:val="single" w:color="auto" w:sz="4" w:space="0"/>
            </w:tcBorders>
            <w:shd w:val="clear" w:color="auto" w:fill="auto"/>
            <w:vAlign w:val="center"/>
          </w:tcPr>
          <w:p w14:paraId="046F929F">
            <w:pPr>
              <w:widowControl/>
              <w:jc w:val="center"/>
              <w:rPr>
                <w:rFonts w:ascii="宋体" w:hAnsi="宋体" w:cs="宋体"/>
                <w:b/>
                <w:bCs/>
                <w:color w:val="000000"/>
                <w:kern w:val="0"/>
                <w:sz w:val="28"/>
                <w:szCs w:val="28"/>
              </w:rPr>
            </w:pPr>
            <w:r>
              <w:rPr>
                <w:rFonts w:hint="eastAsia" w:ascii="宋体" w:hAnsi="宋体" w:cs="宋体"/>
                <w:b/>
                <w:bCs/>
                <w:color w:val="000000"/>
                <w:kern w:val="0"/>
                <w:sz w:val="28"/>
                <w:szCs w:val="28"/>
              </w:rPr>
              <w:t>固定资产总额</w:t>
            </w:r>
          </w:p>
        </w:tc>
        <w:tc>
          <w:tcPr>
            <w:tcW w:w="1591" w:type="dxa"/>
            <w:tcBorders>
              <w:top w:val="nil"/>
              <w:left w:val="nil"/>
              <w:bottom w:val="single" w:color="auto" w:sz="4" w:space="0"/>
              <w:right w:val="single" w:color="auto" w:sz="4" w:space="0"/>
            </w:tcBorders>
            <w:shd w:val="clear" w:color="auto" w:fill="auto"/>
            <w:vAlign w:val="center"/>
          </w:tcPr>
          <w:p w14:paraId="112153AE">
            <w:pPr>
              <w:widowControl/>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3402" w:type="dxa"/>
            <w:tcBorders>
              <w:top w:val="nil"/>
              <w:left w:val="nil"/>
              <w:bottom w:val="single" w:color="auto" w:sz="4" w:space="0"/>
              <w:right w:val="single" w:color="auto" w:sz="4" w:space="0"/>
            </w:tcBorders>
            <w:shd w:val="clear" w:color="auto" w:fill="auto"/>
            <w:vAlign w:val="center"/>
          </w:tcPr>
          <w:p w14:paraId="144B8217">
            <w:pPr>
              <w:widowControl/>
              <w:jc w:val="center"/>
              <w:rPr>
                <w:rFonts w:ascii="宋体" w:hAnsi="宋体" w:cs="宋体"/>
                <w:b/>
                <w:color w:val="000000"/>
                <w:kern w:val="0"/>
                <w:sz w:val="28"/>
                <w:szCs w:val="28"/>
              </w:rPr>
            </w:pPr>
            <w:r>
              <w:rPr>
                <w:rFonts w:hint="eastAsia" w:ascii="宋体" w:hAnsi="宋体" w:cs="宋体"/>
                <w:b/>
                <w:color w:val="000000"/>
                <w:kern w:val="0"/>
                <w:sz w:val="28"/>
                <w:szCs w:val="28"/>
              </w:rPr>
              <w:t>4.14</w:t>
            </w:r>
          </w:p>
        </w:tc>
      </w:tr>
      <w:tr w14:paraId="4814AC2C">
        <w:tblPrEx>
          <w:tblCellMar>
            <w:top w:w="0" w:type="dxa"/>
            <w:left w:w="108" w:type="dxa"/>
            <w:bottom w:w="0" w:type="dxa"/>
            <w:right w:w="108" w:type="dxa"/>
          </w:tblCellMar>
        </w:tblPrEx>
        <w:trPr>
          <w:trHeight w:val="483" w:hRule="atLeast"/>
        </w:trPr>
        <w:tc>
          <w:tcPr>
            <w:tcW w:w="3811" w:type="dxa"/>
            <w:tcBorders>
              <w:top w:val="nil"/>
              <w:left w:val="single" w:color="auto" w:sz="4" w:space="0"/>
              <w:bottom w:val="single" w:color="auto" w:sz="4" w:space="0"/>
              <w:right w:val="single" w:color="auto" w:sz="4" w:space="0"/>
            </w:tcBorders>
            <w:shd w:val="clear" w:color="auto" w:fill="auto"/>
            <w:vAlign w:val="center"/>
          </w:tcPr>
          <w:p w14:paraId="33644BD5">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1、房屋（平方米）</w:t>
            </w:r>
          </w:p>
        </w:tc>
        <w:tc>
          <w:tcPr>
            <w:tcW w:w="1591" w:type="dxa"/>
            <w:tcBorders>
              <w:top w:val="nil"/>
              <w:left w:val="nil"/>
              <w:bottom w:val="single" w:color="auto" w:sz="4" w:space="0"/>
              <w:right w:val="single" w:color="auto" w:sz="4" w:space="0"/>
            </w:tcBorders>
            <w:shd w:val="clear" w:color="auto" w:fill="auto"/>
            <w:vAlign w:val="center"/>
          </w:tcPr>
          <w:p w14:paraId="1718C18F">
            <w:pPr>
              <w:widowControl/>
              <w:jc w:val="center"/>
              <w:rPr>
                <w:rFonts w:ascii="宋体" w:hAnsi="宋体" w:cs="宋体"/>
                <w:color w:val="000000"/>
                <w:kern w:val="0"/>
                <w:sz w:val="28"/>
                <w:szCs w:val="28"/>
              </w:rPr>
            </w:pPr>
          </w:p>
        </w:tc>
        <w:tc>
          <w:tcPr>
            <w:tcW w:w="3402" w:type="dxa"/>
            <w:tcBorders>
              <w:top w:val="nil"/>
              <w:left w:val="nil"/>
              <w:bottom w:val="single" w:color="auto" w:sz="4" w:space="0"/>
              <w:right w:val="single" w:color="auto" w:sz="4" w:space="0"/>
            </w:tcBorders>
            <w:shd w:val="clear" w:color="auto" w:fill="auto"/>
            <w:vAlign w:val="center"/>
          </w:tcPr>
          <w:p w14:paraId="2A1708D5">
            <w:pPr>
              <w:widowControl/>
              <w:jc w:val="center"/>
              <w:rPr>
                <w:rFonts w:ascii="宋体" w:hAnsi="宋体" w:cs="宋体"/>
                <w:color w:val="000000"/>
                <w:kern w:val="0"/>
                <w:sz w:val="28"/>
                <w:szCs w:val="28"/>
              </w:rPr>
            </w:pPr>
          </w:p>
        </w:tc>
      </w:tr>
      <w:tr w14:paraId="140AEF0F">
        <w:tblPrEx>
          <w:tblCellMar>
            <w:top w:w="0" w:type="dxa"/>
            <w:left w:w="108" w:type="dxa"/>
            <w:bottom w:w="0" w:type="dxa"/>
            <w:right w:w="108" w:type="dxa"/>
          </w:tblCellMar>
        </w:tblPrEx>
        <w:trPr>
          <w:trHeight w:val="419" w:hRule="atLeast"/>
        </w:trPr>
        <w:tc>
          <w:tcPr>
            <w:tcW w:w="3811" w:type="dxa"/>
            <w:tcBorders>
              <w:top w:val="single" w:color="auto" w:sz="4" w:space="0"/>
              <w:left w:val="single" w:color="auto" w:sz="4" w:space="0"/>
              <w:bottom w:val="single" w:color="auto" w:sz="4" w:space="0"/>
              <w:right w:val="single" w:color="auto" w:sz="4" w:space="0"/>
            </w:tcBorders>
            <w:shd w:val="clear" w:color="auto" w:fill="auto"/>
            <w:vAlign w:val="center"/>
          </w:tcPr>
          <w:p w14:paraId="2403C2E8">
            <w:pPr>
              <w:jc w:val="left"/>
              <w:rPr>
                <w:rFonts w:ascii="宋体" w:hAnsi="宋体" w:cs="宋体"/>
                <w:color w:val="000000"/>
                <w:kern w:val="0"/>
                <w:sz w:val="28"/>
                <w:szCs w:val="28"/>
              </w:rPr>
            </w:pPr>
            <w:r>
              <w:rPr>
                <w:rFonts w:hint="eastAsia" w:ascii="宋体" w:hAnsi="宋体" w:cs="宋体"/>
                <w:color w:val="000000"/>
                <w:kern w:val="0"/>
                <w:sz w:val="28"/>
                <w:szCs w:val="28"/>
              </w:rPr>
              <w:t xml:space="preserve">   其中：办公用房（平方米）</w:t>
            </w:r>
          </w:p>
        </w:tc>
        <w:tc>
          <w:tcPr>
            <w:tcW w:w="1591" w:type="dxa"/>
            <w:tcBorders>
              <w:top w:val="single" w:color="auto" w:sz="4" w:space="0"/>
              <w:left w:val="nil"/>
              <w:bottom w:val="single" w:color="auto" w:sz="4" w:space="0"/>
              <w:right w:val="single" w:color="auto" w:sz="4" w:space="0"/>
            </w:tcBorders>
            <w:shd w:val="clear" w:color="auto" w:fill="auto"/>
            <w:vAlign w:val="center"/>
          </w:tcPr>
          <w:p w14:paraId="17A172B1">
            <w:pPr>
              <w:jc w:val="center"/>
              <w:rPr>
                <w:rFonts w:ascii="宋体" w:hAnsi="宋体" w:cs="宋体"/>
                <w:color w:val="000000"/>
                <w:kern w:val="0"/>
                <w:sz w:val="28"/>
                <w:szCs w:val="28"/>
              </w:rPr>
            </w:pPr>
          </w:p>
        </w:tc>
        <w:tc>
          <w:tcPr>
            <w:tcW w:w="3402" w:type="dxa"/>
            <w:tcBorders>
              <w:top w:val="single" w:color="auto" w:sz="4" w:space="0"/>
              <w:left w:val="nil"/>
              <w:bottom w:val="single" w:color="auto" w:sz="4" w:space="0"/>
              <w:right w:val="single" w:color="auto" w:sz="4" w:space="0"/>
            </w:tcBorders>
            <w:shd w:val="clear" w:color="auto" w:fill="auto"/>
            <w:vAlign w:val="center"/>
          </w:tcPr>
          <w:p w14:paraId="05E734BF">
            <w:pPr>
              <w:jc w:val="center"/>
              <w:rPr>
                <w:rFonts w:ascii="宋体" w:hAnsi="宋体" w:cs="宋体"/>
                <w:color w:val="000000"/>
                <w:kern w:val="0"/>
                <w:sz w:val="28"/>
                <w:szCs w:val="28"/>
              </w:rPr>
            </w:pPr>
          </w:p>
        </w:tc>
      </w:tr>
      <w:tr w14:paraId="7F4989FB">
        <w:tblPrEx>
          <w:tblCellMar>
            <w:top w:w="0" w:type="dxa"/>
            <w:left w:w="108" w:type="dxa"/>
            <w:bottom w:w="0" w:type="dxa"/>
            <w:right w:w="108" w:type="dxa"/>
          </w:tblCellMar>
        </w:tblPrEx>
        <w:trPr>
          <w:trHeight w:val="495" w:hRule="atLeast"/>
        </w:trPr>
        <w:tc>
          <w:tcPr>
            <w:tcW w:w="3811" w:type="dxa"/>
            <w:tcBorders>
              <w:top w:val="nil"/>
              <w:left w:val="single" w:color="auto" w:sz="4" w:space="0"/>
              <w:bottom w:val="single" w:color="auto" w:sz="4" w:space="0"/>
              <w:right w:val="single" w:color="auto" w:sz="4" w:space="0"/>
            </w:tcBorders>
            <w:shd w:val="clear" w:color="auto" w:fill="auto"/>
            <w:vAlign w:val="center"/>
          </w:tcPr>
          <w:p w14:paraId="74AF472E">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2、车辆（台、辆）</w:t>
            </w:r>
          </w:p>
        </w:tc>
        <w:tc>
          <w:tcPr>
            <w:tcW w:w="1591" w:type="dxa"/>
            <w:tcBorders>
              <w:top w:val="nil"/>
              <w:left w:val="nil"/>
              <w:bottom w:val="single" w:color="auto" w:sz="4" w:space="0"/>
              <w:right w:val="single" w:color="auto" w:sz="4" w:space="0"/>
            </w:tcBorders>
            <w:shd w:val="clear" w:color="auto" w:fill="auto"/>
            <w:vAlign w:val="center"/>
          </w:tcPr>
          <w:p w14:paraId="3FD4B838">
            <w:pPr>
              <w:widowControl/>
              <w:jc w:val="center"/>
              <w:rPr>
                <w:rFonts w:ascii="宋体" w:hAnsi="宋体" w:cs="宋体"/>
                <w:color w:val="000000"/>
                <w:kern w:val="0"/>
                <w:sz w:val="28"/>
                <w:szCs w:val="28"/>
              </w:rPr>
            </w:pPr>
          </w:p>
        </w:tc>
        <w:tc>
          <w:tcPr>
            <w:tcW w:w="3402" w:type="dxa"/>
            <w:tcBorders>
              <w:top w:val="nil"/>
              <w:left w:val="nil"/>
              <w:bottom w:val="single" w:color="auto" w:sz="4" w:space="0"/>
              <w:right w:val="single" w:color="auto" w:sz="4" w:space="0"/>
            </w:tcBorders>
            <w:shd w:val="clear" w:color="auto" w:fill="auto"/>
            <w:vAlign w:val="center"/>
          </w:tcPr>
          <w:p w14:paraId="016C3D55">
            <w:pPr>
              <w:widowControl/>
              <w:jc w:val="center"/>
              <w:rPr>
                <w:rFonts w:ascii="宋体" w:hAnsi="宋体" w:cs="宋体"/>
                <w:color w:val="000000"/>
                <w:kern w:val="0"/>
                <w:sz w:val="28"/>
                <w:szCs w:val="28"/>
              </w:rPr>
            </w:pPr>
          </w:p>
        </w:tc>
      </w:tr>
      <w:tr w14:paraId="70CE6A42">
        <w:tblPrEx>
          <w:tblCellMar>
            <w:top w:w="0" w:type="dxa"/>
            <w:left w:w="108" w:type="dxa"/>
            <w:bottom w:w="0" w:type="dxa"/>
            <w:right w:w="108" w:type="dxa"/>
          </w:tblCellMar>
        </w:tblPrEx>
        <w:trPr>
          <w:trHeight w:val="611" w:hRule="atLeast"/>
        </w:trPr>
        <w:tc>
          <w:tcPr>
            <w:tcW w:w="3811" w:type="dxa"/>
            <w:tcBorders>
              <w:top w:val="nil"/>
              <w:left w:val="single" w:color="auto" w:sz="4" w:space="0"/>
              <w:bottom w:val="single" w:color="auto" w:sz="4" w:space="0"/>
              <w:right w:val="single" w:color="auto" w:sz="4" w:space="0"/>
            </w:tcBorders>
            <w:shd w:val="clear" w:color="auto" w:fill="auto"/>
            <w:vAlign w:val="center"/>
          </w:tcPr>
          <w:p w14:paraId="2274DEF8">
            <w:pPr>
              <w:widowControl/>
              <w:jc w:val="left"/>
              <w:rPr>
                <w:rFonts w:ascii="宋体" w:hAnsi="宋体" w:cs="宋体"/>
                <w:color w:val="000000"/>
                <w:kern w:val="0"/>
                <w:sz w:val="28"/>
                <w:szCs w:val="28"/>
              </w:rPr>
            </w:pPr>
            <w:r>
              <w:rPr>
                <w:rFonts w:hint="eastAsia" w:ascii="宋体" w:hAnsi="宋体" w:cs="宋体"/>
                <w:color w:val="000000"/>
                <w:kern w:val="0"/>
                <w:sz w:val="28"/>
                <w:szCs w:val="28"/>
              </w:rPr>
              <w:t xml:space="preserve">  3、单价在20万元以上的设备</w:t>
            </w:r>
          </w:p>
        </w:tc>
        <w:tc>
          <w:tcPr>
            <w:tcW w:w="1591" w:type="dxa"/>
            <w:tcBorders>
              <w:top w:val="nil"/>
              <w:left w:val="nil"/>
              <w:bottom w:val="single" w:color="auto" w:sz="4" w:space="0"/>
              <w:right w:val="single" w:color="auto" w:sz="4" w:space="0"/>
            </w:tcBorders>
            <w:shd w:val="clear" w:color="auto" w:fill="auto"/>
            <w:vAlign w:val="center"/>
          </w:tcPr>
          <w:p w14:paraId="7B5620D5">
            <w:pPr>
              <w:widowControl/>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3402" w:type="dxa"/>
            <w:tcBorders>
              <w:top w:val="nil"/>
              <w:left w:val="nil"/>
              <w:bottom w:val="single" w:color="auto" w:sz="4" w:space="0"/>
              <w:right w:val="single" w:color="auto" w:sz="4" w:space="0"/>
            </w:tcBorders>
            <w:shd w:val="clear" w:color="auto" w:fill="auto"/>
            <w:vAlign w:val="center"/>
          </w:tcPr>
          <w:p w14:paraId="6FB5FD02">
            <w:pPr>
              <w:widowControl/>
              <w:jc w:val="center"/>
              <w:rPr>
                <w:rFonts w:ascii="宋体" w:hAnsi="宋体" w:cs="宋体"/>
                <w:color w:val="000000"/>
                <w:kern w:val="0"/>
                <w:sz w:val="28"/>
                <w:szCs w:val="28"/>
              </w:rPr>
            </w:pPr>
          </w:p>
        </w:tc>
      </w:tr>
      <w:tr w14:paraId="4F8B607A">
        <w:tblPrEx>
          <w:tblCellMar>
            <w:top w:w="0" w:type="dxa"/>
            <w:left w:w="108" w:type="dxa"/>
            <w:bottom w:w="0" w:type="dxa"/>
            <w:right w:w="108" w:type="dxa"/>
          </w:tblCellMar>
        </w:tblPrEx>
        <w:trPr>
          <w:trHeight w:val="432" w:hRule="atLeast"/>
        </w:trPr>
        <w:tc>
          <w:tcPr>
            <w:tcW w:w="3811" w:type="dxa"/>
            <w:tcBorders>
              <w:top w:val="single" w:color="auto" w:sz="4" w:space="0"/>
              <w:left w:val="single" w:color="auto" w:sz="4" w:space="0"/>
              <w:bottom w:val="single" w:color="auto" w:sz="4" w:space="0"/>
              <w:right w:val="single" w:color="auto" w:sz="4" w:space="0"/>
            </w:tcBorders>
            <w:shd w:val="clear" w:color="auto" w:fill="auto"/>
            <w:vAlign w:val="center"/>
          </w:tcPr>
          <w:p w14:paraId="56F939DB">
            <w:pPr>
              <w:jc w:val="left"/>
              <w:rPr>
                <w:rFonts w:ascii="宋体" w:hAnsi="宋体" w:cs="宋体"/>
                <w:color w:val="000000"/>
                <w:kern w:val="0"/>
                <w:sz w:val="28"/>
                <w:szCs w:val="28"/>
              </w:rPr>
            </w:pPr>
            <w:r>
              <w:rPr>
                <w:rFonts w:hint="eastAsia" w:ascii="宋体" w:hAnsi="宋体" w:cs="宋体"/>
                <w:color w:val="000000"/>
                <w:kern w:val="0"/>
                <w:sz w:val="28"/>
                <w:szCs w:val="28"/>
              </w:rPr>
              <w:t xml:space="preserve">  4、其他固定资产</w:t>
            </w:r>
          </w:p>
        </w:tc>
        <w:tc>
          <w:tcPr>
            <w:tcW w:w="1591" w:type="dxa"/>
            <w:tcBorders>
              <w:top w:val="single" w:color="auto" w:sz="4" w:space="0"/>
              <w:left w:val="nil"/>
              <w:bottom w:val="single" w:color="auto" w:sz="4" w:space="0"/>
              <w:right w:val="single" w:color="auto" w:sz="4" w:space="0"/>
            </w:tcBorders>
            <w:shd w:val="clear" w:color="auto" w:fill="auto"/>
            <w:vAlign w:val="center"/>
          </w:tcPr>
          <w:p w14:paraId="6151BFB9">
            <w:pPr>
              <w:jc w:val="center"/>
              <w:rPr>
                <w:rFonts w:ascii="宋体" w:hAnsi="宋体" w:cs="宋体"/>
                <w:color w:val="000000"/>
                <w:kern w:val="0"/>
                <w:sz w:val="28"/>
                <w:szCs w:val="28"/>
              </w:rPr>
            </w:pPr>
            <w:r>
              <w:rPr>
                <w:rFonts w:hint="eastAsia" w:ascii="宋体" w:hAnsi="宋体" w:cs="宋体"/>
                <w:color w:val="000000"/>
                <w:kern w:val="0"/>
                <w:sz w:val="28"/>
                <w:szCs w:val="28"/>
              </w:rPr>
              <w:t>—</w:t>
            </w:r>
          </w:p>
        </w:tc>
        <w:tc>
          <w:tcPr>
            <w:tcW w:w="3402" w:type="dxa"/>
            <w:tcBorders>
              <w:top w:val="single" w:color="auto" w:sz="4" w:space="0"/>
              <w:left w:val="nil"/>
              <w:bottom w:val="single" w:color="auto" w:sz="4" w:space="0"/>
              <w:right w:val="single" w:color="auto" w:sz="4" w:space="0"/>
            </w:tcBorders>
            <w:shd w:val="clear" w:color="auto" w:fill="auto"/>
            <w:vAlign w:val="center"/>
          </w:tcPr>
          <w:p w14:paraId="536E2074">
            <w:pPr>
              <w:jc w:val="center"/>
              <w:rPr>
                <w:rFonts w:ascii="宋体" w:hAnsi="宋体" w:cs="宋体"/>
                <w:color w:val="000000"/>
                <w:kern w:val="0"/>
                <w:sz w:val="28"/>
                <w:szCs w:val="28"/>
              </w:rPr>
            </w:pPr>
            <w:r>
              <w:rPr>
                <w:rFonts w:hint="eastAsia" w:ascii="宋体" w:hAnsi="宋体" w:cs="宋体"/>
                <w:color w:val="000000"/>
                <w:kern w:val="0"/>
                <w:sz w:val="28"/>
                <w:szCs w:val="28"/>
              </w:rPr>
              <w:t>4.14</w:t>
            </w:r>
          </w:p>
        </w:tc>
      </w:tr>
    </w:tbl>
    <w:p w14:paraId="1ECCB8B4">
      <w:pPr>
        <w:jc w:val="left"/>
        <w:rPr>
          <w:rFonts w:ascii="宋体" w:cs="宋体"/>
          <w:sz w:val="28"/>
          <w:szCs w:val="28"/>
        </w:rPr>
      </w:pPr>
    </w:p>
    <w:p w14:paraId="68965829">
      <w:pPr>
        <w:widowControl/>
        <w:spacing w:line="560" w:lineRule="exact"/>
        <w:ind w:firstLine="600"/>
        <w:rPr>
          <w:rFonts w:ascii="黑体" w:hAnsi="黑体" w:eastAsia="黑体" w:cs="黑体"/>
          <w:kern w:val="0"/>
          <w:sz w:val="30"/>
          <w:szCs w:val="30"/>
        </w:rPr>
      </w:pPr>
    </w:p>
    <w:p w14:paraId="5FCF26A3">
      <w:pPr>
        <w:widowControl/>
        <w:spacing w:line="560" w:lineRule="exact"/>
        <w:ind w:firstLine="600" w:firstLineChars="200"/>
        <w:rPr>
          <w:rFonts w:ascii="仿宋_GB2312" w:hAnsi="仿宋" w:eastAsia="仿宋_GB2312" w:cs="仿宋"/>
          <w:kern w:val="0"/>
          <w:sz w:val="30"/>
          <w:szCs w:val="30"/>
        </w:rPr>
      </w:pPr>
      <w:r>
        <w:rPr>
          <w:rFonts w:hint="eastAsia" w:ascii="仿宋_GB2312" w:hAnsi="仿宋_GB2312" w:eastAsia="仿宋_GB2312" w:cs="仿宋_GB2312"/>
          <w:kern w:val="0"/>
          <w:sz w:val="30"/>
          <w:szCs w:val="30"/>
        </w:rPr>
        <w:t>团县委</w:t>
      </w:r>
      <w:r>
        <w:rPr>
          <w:rFonts w:hint="eastAsia" w:ascii="仿宋_GB2312" w:hAnsi="仿宋" w:eastAsia="仿宋_GB2312" w:cs="仿宋"/>
          <w:bCs/>
          <w:kern w:val="0"/>
          <w:sz w:val="30"/>
          <w:szCs w:val="30"/>
        </w:rPr>
        <w:t>在县委大楼五楼办公，共占用四间房。2018年</w:t>
      </w:r>
      <w:r>
        <w:rPr>
          <w:rFonts w:hint="eastAsia" w:ascii="仿宋_GB2312" w:hAnsi="仿宋" w:eastAsia="仿宋_GB2312" w:cs="仿宋"/>
          <w:kern w:val="0"/>
          <w:sz w:val="30"/>
          <w:szCs w:val="30"/>
        </w:rPr>
        <w:t>末其他固定资产货物类28个，总额4.14万元。包括打印机2台，0.39万元；空调3台，价值1.00万元</w:t>
      </w:r>
      <w:r>
        <w:rPr>
          <w:rFonts w:ascii="仿宋_GB2312" w:hAnsi="仿宋" w:eastAsia="仿宋_GB2312" w:cs="仿宋"/>
          <w:kern w:val="0"/>
          <w:sz w:val="30"/>
          <w:szCs w:val="30"/>
        </w:rPr>
        <w:t>;</w:t>
      </w:r>
      <w:r>
        <w:rPr>
          <w:rFonts w:hint="eastAsia" w:ascii="仿宋_GB2312" w:hAnsi="仿宋" w:eastAsia="仿宋_GB2312" w:cs="仿宋"/>
          <w:kern w:val="0"/>
          <w:sz w:val="30"/>
          <w:szCs w:val="30"/>
        </w:rPr>
        <w:t>电脑5台，价值2.16万元</w:t>
      </w:r>
      <w:r>
        <w:rPr>
          <w:rFonts w:ascii="仿宋_GB2312" w:hAnsi="仿宋" w:eastAsia="仿宋_GB2312" w:cs="仿宋"/>
          <w:kern w:val="0"/>
          <w:sz w:val="30"/>
          <w:szCs w:val="30"/>
        </w:rPr>
        <w:t>;</w:t>
      </w:r>
      <w:r>
        <w:rPr>
          <w:rFonts w:hint="eastAsia" w:ascii="仿宋_GB2312" w:hAnsi="仿宋" w:eastAsia="仿宋_GB2312" w:cs="仿宋"/>
          <w:kern w:val="0"/>
          <w:sz w:val="30"/>
          <w:szCs w:val="30"/>
        </w:rPr>
        <w:t>办公椅8把，价值0.09万元；办公柜4个，价值0.16万元；办公桌6个，价值0.24万元；保险柜1个，价值0.1万元。</w:t>
      </w:r>
    </w:p>
    <w:p w14:paraId="551273E0">
      <w:pPr>
        <w:ind w:firstLine="630" w:firstLineChars="196"/>
        <w:rPr>
          <w:rFonts w:ascii="黑体" w:hAnsi="仿宋_GB2312" w:eastAsia="黑体" w:cs="仿宋_GB2312"/>
          <w:b/>
          <w:sz w:val="32"/>
          <w:szCs w:val="32"/>
        </w:rPr>
      </w:pPr>
      <w:r>
        <w:rPr>
          <w:rFonts w:hint="eastAsia" w:ascii="黑体" w:hAnsi="仿宋_GB2312" w:eastAsia="黑体" w:cs="仿宋_GB2312"/>
          <w:b/>
          <w:sz w:val="32"/>
          <w:szCs w:val="32"/>
        </w:rPr>
        <w:t>八、专业名词解释</w:t>
      </w:r>
    </w:p>
    <w:p w14:paraId="283FD2CE">
      <w:pPr>
        <w:ind w:firstLine="630" w:firstLineChars="196"/>
        <w:rPr>
          <w:rFonts w:ascii="仿宋_GB2312" w:hAnsi="宋体" w:eastAsia="仿宋_GB2312"/>
          <w:sz w:val="32"/>
          <w:szCs w:val="32"/>
        </w:rPr>
      </w:pPr>
      <w:r>
        <w:rPr>
          <w:rFonts w:ascii="仿宋_GB2312" w:hAnsi="宋体" w:eastAsia="仿宋_GB2312"/>
          <w:b/>
          <w:bCs/>
          <w:sz w:val="32"/>
          <w:szCs w:val="32"/>
        </w:rPr>
        <w:t>1</w:t>
      </w:r>
      <w:r>
        <w:rPr>
          <w:rFonts w:hint="eastAsia" w:ascii="仿宋_GB2312" w:hAnsi="宋体" w:eastAsia="仿宋_GB2312"/>
          <w:b/>
          <w:bCs/>
          <w:sz w:val="32"/>
          <w:szCs w:val="32"/>
        </w:rPr>
        <w:t>、一般公共预算财政拨款收入：</w:t>
      </w:r>
      <w:r>
        <w:rPr>
          <w:rFonts w:hint="eastAsia" w:ascii="仿宋_GB2312" w:hAnsi="宋体" w:eastAsia="仿宋_GB2312"/>
          <w:sz w:val="32"/>
          <w:szCs w:val="32"/>
        </w:rPr>
        <w:t>县级财政当年拨付的资金。</w:t>
      </w:r>
    </w:p>
    <w:p w14:paraId="53C46BB5">
      <w:pPr>
        <w:pStyle w:val="5"/>
        <w:widowControl/>
        <w:ind w:firstLine="578" w:firstLineChars="180"/>
        <w:rPr>
          <w:rFonts w:ascii="仿宋_GB2312" w:hAnsi="仿宋_GB2312" w:eastAsia="仿宋_GB2312" w:cs="仿宋_GB2312"/>
          <w:sz w:val="32"/>
          <w:szCs w:val="32"/>
        </w:rPr>
      </w:pPr>
      <w:r>
        <w:rPr>
          <w:rStyle w:val="9"/>
          <w:rFonts w:ascii="仿宋_GB2312" w:hAnsi="仿宋_GB2312" w:eastAsia="仿宋_GB2312" w:cs="仿宋_GB2312"/>
          <w:sz w:val="32"/>
          <w:szCs w:val="32"/>
          <w:shd w:val="clear" w:color="auto" w:fill="FFFFFF"/>
        </w:rPr>
        <w:t>2</w:t>
      </w:r>
      <w:r>
        <w:rPr>
          <w:rStyle w:val="9"/>
          <w:rFonts w:hint="eastAsia" w:ascii="仿宋_GB2312" w:hAnsi="仿宋_GB2312" w:eastAsia="仿宋_GB2312" w:cs="仿宋_GB2312"/>
          <w:sz w:val="32"/>
          <w:szCs w:val="32"/>
          <w:shd w:val="clear" w:color="auto" w:fill="FFFFFF"/>
        </w:rPr>
        <w:t>、其他收入：</w:t>
      </w:r>
      <w:r>
        <w:rPr>
          <w:rFonts w:hint="eastAsia" w:ascii="仿宋_GB2312" w:hAnsi="仿宋_GB2312" w:eastAsia="仿宋_GB2312" w:cs="仿宋_GB2312"/>
          <w:sz w:val="32"/>
          <w:szCs w:val="32"/>
          <w:shd w:val="clear" w:color="auto" w:fill="FFFFFF"/>
        </w:rPr>
        <w:t>指除上述财政拨款收入以外的收入。主要是存款利息收入。</w:t>
      </w:r>
    </w:p>
    <w:p w14:paraId="19E45989">
      <w:pPr>
        <w:pStyle w:val="5"/>
        <w:widowControl/>
        <w:ind w:firstLine="578" w:firstLineChars="180"/>
        <w:rPr>
          <w:rFonts w:ascii="仿宋_GB2312" w:hAnsi="宋体" w:eastAsia="仿宋_GB2312"/>
          <w:sz w:val="32"/>
          <w:szCs w:val="32"/>
        </w:rPr>
      </w:pPr>
      <w:r>
        <w:rPr>
          <w:rStyle w:val="9"/>
          <w:rFonts w:ascii="仿宋_GB2312" w:hAnsi="仿宋_GB2312" w:eastAsia="仿宋_GB2312" w:cs="仿宋_GB2312"/>
          <w:color w:val="000000"/>
          <w:sz w:val="32"/>
          <w:szCs w:val="32"/>
          <w:shd w:val="clear" w:color="auto" w:fill="FFFFFF"/>
        </w:rPr>
        <w:t>3</w:t>
      </w:r>
      <w:r>
        <w:rPr>
          <w:rFonts w:hint="eastAsia" w:ascii="仿宋_GB2312" w:hAnsi="宋体" w:eastAsia="仿宋_GB2312"/>
          <w:b/>
          <w:bCs/>
          <w:sz w:val="32"/>
          <w:szCs w:val="32"/>
        </w:rPr>
        <w:t>、基本支出：</w:t>
      </w:r>
      <w:r>
        <w:rPr>
          <w:rFonts w:hint="eastAsia" w:ascii="仿宋_GB2312" w:hAnsi="宋体" w:eastAsia="仿宋_GB2312"/>
          <w:sz w:val="32"/>
          <w:szCs w:val="32"/>
        </w:rPr>
        <w:t>指为保障机构正常运转、完成日常工作任务而发生的人员支出和公用支出。</w:t>
      </w:r>
    </w:p>
    <w:p w14:paraId="1A51F4E6">
      <w:pPr>
        <w:pStyle w:val="5"/>
        <w:widowControl/>
        <w:rPr>
          <w:rFonts w:ascii="仿宋_GB2312" w:hAnsi="宋体" w:eastAsia="仿宋_GB2312"/>
          <w:sz w:val="32"/>
          <w:szCs w:val="32"/>
        </w:rPr>
      </w:pPr>
      <w:r>
        <w:rPr>
          <w:rFonts w:ascii="仿宋_GB2312" w:hAnsi="宋体" w:eastAsia="仿宋_GB2312"/>
          <w:b/>
          <w:bCs/>
          <w:sz w:val="32"/>
          <w:szCs w:val="32"/>
        </w:rPr>
        <w:t xml:space="preserve">    4</w:t>
      </w:r>
      <w:r>
        <w:rPr>
          <w:rFonts w:hint="eastAsia" w:ascii="仿宋_GB2312" w:hAnsi="宋体" w:eastAsia="仿宋_GB2312"/>
          <w:b/>
          <w:bCs/>
          <w:sz w:val="32"/>
          <w:szCs w:val="32"/>
        </w:rPr>
        <w:t>、项目支出</w:t>
      </w:r>
      <w:r>
        <w:rPr>
          <w:rFonts w:hint="eastAsia" w:ascii="仿宋_GB2312" w:hAnsi="宋体" w:eastAsia="仿宋_GB2312"/>
          <w:sz w:val="32"/>
          <w:szCs w:val="32"/>
        </w:rPr>
        <w:t>：指在基本支出之外为完成特定行政任务和事业发展目标所发生的支出。</w:t>
      </w:r>
    </w:p>
    <w:p w14:paraId="063D07E9">
      <w:pPr>
        <w:pStyle w:val="5"/>
        <w:widowControl/>
        <w:ind w:firstLine="643" w:firstLineChars="200"/>
        <w:rPr>
          <w:rFonts w:ascii="仿宋_GB2312" w:hAnsi="宋体" w:eastAsia="仿宋_GB2312"/>
          <w:sz w:val="32"/>
          <w:szCs w:val="32"/>
        </w:rPr>
      </w:pPr>
      <w:r>
        <w:rPr>
          <w:rFonts w:ascii="仿宋_GB2312" w:hAnsi="宋体" w:eastAsia="仿宋_GB2312"/>
          <w:b/>
          <w:bCs/>
          <w:sz w:val="32"/>
          <w:szCs w:val="32"/>
        </w:rPr>
        <w:t>5</w:t>
      </w:r>
      <w:r>
        <w:rPr>
          <w:rFonts w:hint="eastAsia" w:ascii="仿宋_GB2312" w:hAnsi="宋体" w:eastAsia="仿宋_GB2312"/>
          <w:b/>
          <w:bCs/>
          <w:sz w:val="32"/>
          <w:szCs w:val="32"/>
        </w:rPr>
        <w:t>、“三公”经费：</w:t>
      </w:r>
      <w:r>
        <w:rPr>
          <w:rFonts w:hint="eastAsia" w:ascii="仿宋_GB2312" w:hAnsi="宋体" w:eastAsia="仿宋_GB2312"/>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2684E15F">
      <w:pPr>
        <w:pStyle w:val="5"/>
        <w:widowControl/>
        <w:ind w:firstLine="643" w:firstLineChars="200"/>
        <w:rPr>
          <w:rFonts w:ascii="仿宋_GB2312" w:hAnsi="宋体" w:eastAsia="仿宋_GB2312"/>
          <w:sz w:val="32"/>
          <w:szCs w:val="32"/>
        </w:rPr>
      </w:pPr>
      <w:r>
        <w:rPr>
          <w:rFonts w:ascii="仿宋_GB2312" w:hAnsi="宋体" w:eastAsia="仿宋_GB2312"/>
          <w:b/>
          <w:bCs/>
          <w:sz w:val="32"/>
          <w:szCs w:val="32"/>
        </w:rPr>
        <w:t>6</w:t>
      </w:r>
      <w:r>
        <w:rPr>
          <w:rFonts w:hint="eastAsia" w:ascii="仿宋_GB2312" w:hAnsi="宋体" w:eastAsia="仿宋_GB2312"/>
          <w:b/>
          <w:bCs/>
          <w:sz w:val="32"/>
          <w:szCs w:val="32"/>
        </w:rPr>
        <w:t>、机关运行经费：</w:t>
      </w:r>
      <w:r>
        <w:rPr>
          <w:rFonts w:hint="eastAsia" w:ascii="仿宋_GB2312" w:hAnsi="宋体" w:eastAsia="仿宋_GB2312"/>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C4D303B">
      <w:pPr>
        <w:rPr>
          <w:rFonts w:ascii="黑体" w:hAnsi="黑体" w:eastAsia="黑体" w:cs="黑体"/>
          <w:sz w:val="32"/>
          <w:szCs w:val="32"/>
        </w:rPr>
      </w:pPr>
      <w:r>
        <w:rPr>
          <w:rFonts w:hint="eastAsia" w:ascii="黑体" w:hAnsi="黑体" w:eastAsia="黑体" w:cs="黑体"/>
          <w:sz w:val="32"/>
          <w:szCs w:val="32"/>
        </w:rPr>
        <w:t>九、其他需要说明的事项</w:t>
      </w:r>
    </w:p>
    <w:p w14:paraId="167D7BC8">
      <w:pPr>
        <w:ind w:firstLine="640" w:firstLineChars="200"/>
        <w:rPr>
          <w:rFonts w:ascii="仿宋" w:hAnsi="仿宋" w:eastAsia="仿宋" w:cs="仿宋"/>
          <w:sz w:val="32"/>
          <w:szCs w:val="32"/>
        </w:rPr>
      </w:pPr>
      <w:r>
        <w:rPr>
          <w:rFonts w:hint="eastAsia" w:ascii="仿宋" w:hAnsi="仿宋" w:eastAsia="仿宋" w:cs="仿宋"/>
          <w:sz w:val="32"/>
          <w:szCs w:val="32"/>
        </w:rPr>
        <w:t>我部门无政府性基金预算及国有资本经营预算，空表列示。</w:t>
      </w:r>
    </w:p>
    <w:p w14:paraId="63B84478"/>
    <w:p w14:paraId="366D13A8"/>
    <w:p w14:paraId="227E67B5">
      <w:pPr>
        <w:widowControl/>
        <w:spacing w:line="560" w:lineRule="exact"/>
        <w:ind w:firstLine="660"/>
        <w:rPr>
          <w:rFonts w:ascii="仿宋_GB2312" w:hAnsi="仿宋" w:eastAsia="仿宋_GB2312" w:cs="仿宋"/>
          <w:kern w:val="0"/>
          <w:sz w:val="30"/>
          <w:szCs w:val="30"/>
        </w:rPr>
      </w:pPr>
    </w:p>
    <w:p w14:paraId="53C9E0D0">
      <w:pPr>
        <w:widowControl/>
        <w:spacing w:line="560" w:lineRule="exact"/>
        <w:rPr>
          <w:rFonts w:ascii="仿宋" w:hAnsi="仿宋" w:eastAsia="仿宋" w:cs="仿宋"/>
          <w:kern w:val="0"/>
          <w:sz w:val="32"/>
          <w:szCs w:val="32"/>
        </w:rPr>
      </w:pPr>
    </w:p>
    <w:p w14:paraId="577A5FF6">
      <w:pPr>
        <w:spacing w:line="480" w:lineRule="exact"/>
        <w:ind w:firstLine="3885" w:firstLineChars="1850"/>
      </w:pPr>
    </w:p>
    <w:p w14:paraId="1D3749C3"/>
    <w:sectPr>
      <w:pgSz w:w="11907" w:h="16839"/>
      <w:pgMar w:top="1361" w:right="1021" w:bottom="1361" w:left="1021"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singleLevel"/>
    <w:tmpl w:val="0000000B"/>
    <w:lvl w:ilvl="0" w:tentative="0">
      <w:start w:val="1"/>
      <w:numFmt w:val="decimal"/>
      <w:suff w:val="nothing"/>
      <w:lvlText w:val="%1、"/>
      <w:lvlJc w:val="left"/>
    </w:lvl>
  </w:abstractNum>
  <w:abstractNum w:abstractNumId="1">
    <w:nsid w:val="0000000C"/>
    <w:multiLevelType w:val="singleLevel"/>
    <w:tmpl w:val="0000000C"/>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2C237E6"/>
    <w:rsid w:val="00083AA0"/>
    <w:rsid w:val="00146B46"/>
    <w:rsid w:val="00213D60"/>
    <w:rsid w:val="002801AD"/>
    <w:rsid w:val="00282BB8"/>
    <w:rsid w:val="00370ADF"/>
    <w:rsid w:val="003B6ED3"/>
    <w:rsid w:val="003F3822"/>
    <w:rsid w:val="0044784B"/>
    <w:rsid w:val="004806D7"/>
    <w:rsid w:val="00542722"/>
    <w:rsid w:val="00554928"/>
    <w:rsid w:val="00587511"/>
    <w:rsid w:val="006050BD"/>
    <w:rsid w:val="00685A65"/>
    <w:rsid w:val="006A6306"/>
    <w:rsid w:val="00722E2C"/>
    <w:rsid w:val="00766A8B"/>
    <w:rsid w:val="00784567"/>
    <w:rsid w:val="007868A2"/>
    <w:rsid w:val="007B30DD"/>
    <w:rsid w:val="007E031D"/>
    <w:rsid w:val="007F6FED"/>
    <w:rsid w:val="008425A4"/>
    <w:rsid w:val="0084481E"/>
    <w:rsid w:val="00966A0F"/>
    <w:rsid w:val="00997396"/>
    <w:rsid w:val="009D5158"/>
    <w:rsid w:val="00A102A7"/>
    <w:rsid w:val="00A84BCC"/>
    <w:rsid w:val="00B6703D"/>
    <w:rsid w:val="00C065F7"/>
    <w:rsid w:val="00D16340"/>
    <w:rsid w:val="00DE5ED0"/>
    <w:rsid w:val="00EB629E"/>
    <w:rsid w:val="02C237E6"/>
    <w:rsid w:val="04F82D37"/>
    <w:rsid w:val="052E523B"/>
    <w:rsid w:val="056A1C9B"/>
    <w:rsid w:val="06D258EB"/>
    <w:rsid w:val="0A711EB9"/>
    <w:rsid w:val="0ADA28A6"/>
    <w:rsid w:val="0D202CA0"/>
    <w:rsid w:val="0E9E29B6"/>
    <w:rsid w:val="142B6D5A"/>
    <w:rsid w:val="17CC041E"/>
    <w:rsid w:val="191B532F"/>
    <w:rsid w:val="1C7D5A8C"/>
    <w:rsid w:val="25401411"/>
    <w:rsid w:val="288E2770"/>
    <w:rsid w:val="426D0F7B"/>
    <w:rsid w:val="43A27745"/>
    <w:rsid w:val="47933CC2"/>
    <w:rsid w:val="4E4E48AF"/>
    <w:rsid w:val="50C554CC"/>
    <w:rsid w:val="561B5326"/>
    <w:rsid w:val="56BE1536"/>
    <w:rsid w:val="5E506F81"/>
    <w:rsid w:val="5E7817D1"/>
    <w:rsid w:val="68A144A6"/>
    <w:rsid w:val="793A5CD0"/>
    <w:rsid w:val="7F467AB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uiPriority w:val="0"/>
    <w:rPr>
      <w:sz w:val="18"/>
      <w:szCs w:val="18"/>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jc w:val="left"/>
    </w:pPr>
    <w:rPr>
      <w:kern w:val="0"/>
      <w:sz w:val="24"/>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 w:type="character" w:customStyle="1" w:styleId="10">
    <w:name w:val="页眉 Char"/>
    <w:basedOn w:val="8"/>
    <w:link w:val="4"/>
    <w:qFormat/>
    <w:uiPriority w:val="0"/>
    <w:rPr>
      <w:rFonts w:asciiTheme="minorHAnsi" w:hAnsiTheme="minorHAnsi" w:cstheme="minorBidi"/>
      <w:kern w:val="2"/>
      <w:sz w:val="18"/>
      <w:szCs w:val="18"/>
    </w:rPr>
  </w:style>
  <w:style w:type="character" w:customStyle="1" w:styleId="11">
    <w:name w:val="页脚 Char"/>
    <w:basedOn w:val="8"/>
    <w:link w:val="3"/>
    <w:qFormat/>
    <w:uiPriority w:val="0"/>
    <w:rPr>
      <w:rFonts w:asciiTheme="minorHAnsi" w:hAnsiTheme="minorHAnsi" w:cstheme="minorBidi"/>
      <w:kern w:val="2"/>
      <w:sz w:val="18"/>
      <w:szCs w:val="18"/>
    </w:rPr>
  </w:style>
  <w:style w:type="character" w:customStyle="1" w:styleId="12">
    <w:name w:val="批注框文本 Char"/>
    <w:basedOn w:val="8"/>
    <w:link w:val="2"/>
    <w:qFormat/>
    <w:uiPriority w:val="0"/>
    <w:rPr>
      <w:rFonts w:asciiTheme="minorHAnsi" w:hAnsiTheme="minorHAnsi"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10</Pages>
  <Words>4618</Words>
  <Characters>4955</Characters>
  <Lines>38</Lines>
  <Paragraphs>10</Paragraphs>
  <TotalTime>20</TotalTime>
  <ScaleCrop>false</ScaleCrop>
  <LinksUpToDate>false</LinksUpToDate>
  <CharactersWithSpaces>5021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2019-01-29T03:21:00Z</dcterms:created>
  <dc:creator>Administrator</dc:creator>
  <cp:lastModifiedBy>八爪小鱼</cp:lastModifiedBy>
  <cp:lastPrinted>2019-01-29T03:34:00Z</cp:lastPrinted>
  <dcterms:modified xsi:type="dcterms:W3CDTF">2024-12-04T07:29:45Z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E2CB588066694046B5B9AA1CC147A633_12</vt:lpwstr>
  </property>
</Properties>
</file>