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BF761D">
      <w:pPr>
        <w:widowControl/>
        <w:spacing w:line="560" w:lineRule="exact"/>
        <w:jc w:val="center"/>
        <w:rPr>
          <w:rFonts w:asciiTheme="majorEastAsia" w:hAnsiTheme="majorEastAsia" w:eastAsiaTheme="majorEastAsia" w:cstheme="majorEastAsia"/>
          <w:b/>
          <w:bCs/>
          <w:kern w:val="0"/>
          <w:sz w:val="44"/>
          <w:szCs w:val="44"/>
        </w:rPr>
      </w:pPr>
      <w:r>
        <w:rPr>
          <w:rFonts w:hint="eastAsia" w:asciiTheme="majorEastAsia" w:hAnsiTheme="majorEastAsia" w:eastAsiaTheme="majorEastAsia" w:cstheme="majorEastAsia"/>
          <w:b/>
          <w:bCs/>
          <w:kern w:val="0"/>
          <w:sz w:val="44"/>
          <w:szCs w:val="44"/>
        </w:rPr>
        <w:t>中国共产主义青年团涞水县委员会</w:t>
      </w:r>
    </w:p>
    <w:p w14:paraId="250BED4C">
      <w:pPr>
        <w:widowControl/>
        <w:spacing w:line="560" w:lineRule="exact"/>
        <w:jc w:val="center"/>
        <w:rPr>
          <w:rFonts w:asciiTheme="majorEastAsia" w:hAnsiTheme="majorEastAsia" w:eastAsiaTheme="majorEastAsia" w:cstheme="majorEastAsia"/>
          <w:b/>
          <w:bCs/>
          <w:kern w:val="0"/>
          <w:sz w:val="44"/>
          <w:szCs w:val="44"/>
        </w:rPr>
      </w:pPr>
      <w:r>
        <w:rPr>
          <w:rFonts w:hint="eastAsia" w:asciiTheme="majorEastAsia" w:hAnsiTheme="majorEastAsia" w:eastAsiaTheme="majorEastAsia" w:cstheme="majorEastAsia"/>
          <w:b/>
          <w:bCs/>
          <w:kern w:val="0"/>
          <w:sz w:val="44"/>
          <w:szCs w:val="44"/>
        </w:rPr>
        <w:t>部门预算公开有关事项的说明</w:t>
      </w:r>
    </w:p>
    <w:p w14:paraId="69BB4B47">
      <w:pPr>
        <w:widowControl/>
        <w:spacing w:line="560" w:lineRule="exact"/>
        <w:jc w:val="center"/>
        <w:rPr>
          <w:rFonts w:asciiTheme="majorEastAsia" w:hAnsiTheme="majorEastAsia" w:eastAsiaTheme="majorEastAsia" w:cstheme="majorEastAsia"/>
          <w:b/>
          <w:bCs/>
          <w:kern w:val="0"/>
          <w:sz w:val="44"/>
          <w:szCs w:val="44"/>
        </w:rPr>
      </w:pPr>
    </w:p>
    <w:p w14:paraId="4B34E9F8">
      <w:pPr>
        <w:widowControl/>
        <w:spacing w:line="560" w:lineRule="exact"/>
        <w:rPr>
          <w:rFonts w:ascii="黑体" w:hAnsi="黑体" w:eastAsia="黑体" w:cs="黑体"/>
          <w:sz w:val="30"/>
          <w:szCs w:val="30"/>
        </w:rPr>
      </w:pPr>
      <w:r>
        <w:rPr>
          <w:rFonts w:hint="eastAsia" w:ascii="黑体" w:hAnsi="黑体" w:eastAsia="黑体" w:cs="黑体"/>
          <w:b/>
          <w:bCs/>
          <w:kern w:val="0"/>
          <w:sz w:val="30"/>
          <w:szCs w:val="30"/>
        </w:rPr>
        <w:t>一、部门职责、机构设置等基本情况</w:t>
      </w:r>
    </w:p>
    <w:p w14:paraId="1288290A">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中国共产主义青年团是中国共产党领导下的先进青年的群众组织，是广大青年在实践中学习共产主义的学校，是党的助手和后备军，是联系青年的桥梁和纽带，是国家政权的社会支柱之一。</w:t>
      </w:r>
    </w:p>
    <w:p w14:paraId="42A7EB53">
      <w:pPr>
        <w:spacing w:line="560" w:lineRule="exact"/>
        <w:rPr>
          <w:rFonts w:ascii="仿宋_GB2312" w:hAnsi="仿宋_GB2312" w:eastAsia="仿宋_GB2312" w:cs="仿宋_GB2312"/>
          <w:sz w:val="30"/>
          <w:szCs w:val="30"/>
        </w:rPr>
      </w:pPr>
      <w:r>
        <w:rPr>
          <w:rFonts w:hint="eastAsia" w:ascii="仿宋_GB2312" w:hAnsi="仿宋" w:eastAsia="仿宋_GB2312" w:cs="仿宋"/>
          <w:b/>
          <w:kern w:val="0"/>
          <w:sz w:val="30"/>
          <w:szCs w:val="30"/>
        </w:rPr>
        <w:t xml:space="preserve">   （一）部门职责。</w:t>
      </w:r>
      <w:r>
        <w:rPr>
          <w:rFonts w:hint="eastAsia" w:ascii="仿宋_GB2312" w:hAnsi="仿宋_GB2312" w:eastAsia="仿宋_GB2312" w:cs="仿宋_GB2312"/>
          <w:sz w:val="30"/>
          <w:szCs w:val="30"/>
        </w:rPr>
        <w:t>根据党的中心任务和团市委的部署，提出每个时期的全县工作的方针、任务，负责筹备、召开全县团代表大会，全委会和工作会议。</w:t>
      </w:r>
    </w:p>
    <w:p w14:paraId="0A694A4A">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负责指导、督促、检查全县各级团的工作总结交流，推广团的工作经验、树立典型。</w:t>
      </w:r>
    </w:p>
    <w:p w14:paraId="091D1230">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对广大青少年进行马克思主义理论教育，进行理想、道德教育，积极倡导社会新风，带领青少年在社会主义精神文明建设中发挥先锋作用。</w:t>
      </w:r>
    </w:p>
    <w:p w14:paraId="404F532C">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紧紧围绕四化建设中心和农业产业结构调整，开展各种活动促进青年对科学、文化和业务知识的学习，发挥农村青年的模范带头作用。</w:t>
      </w:r>
    </w:p>
    <w:p w14:paraId="18C22CA3">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加强团县委的思想建设和组织建设，做好青年统战工作，广泛团结各族各界青年，并不断扩大同国际青年的友好往来。</w:t>
      </w:r>
    </w:p>
    <w:p w14:paraId="4485E22C">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培养团干部，积极向党和政府有关部门输送合格的青年干部。并了解青年的学习生活情况，研究青年运动工作并及时向县委团市委反映。</w:t>
      </w:r>
    </w:p>
    <w:p w14:paraId="753757DE">
      <w:pPr>
        <w:numPr>
          <w:ilvl w:val="0"/>
          <w:numId w:val="1"/>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承担有关共青团的其他工作。</w:t>
      </w:r>
    </w:p>
    <w:p w14:paraId="2D5192F1">
      <w:pPr>
        <w:spacing w:line="560" w:lineRule="exact"/>
        <w:rPr>
          <w:rFonts w:ascii="仿宋_GB2312" w:hAnsi="仿宋" w:eastAsia="仿宋_GB2312" w:cs="仿宋"/>
          <w:b/>
          <w:kern w:val="0"/>
          <w:sz w:val="30"/>
          <w:szCs w:val="30"/>
        </w:rPr>
      </w:pPr>
      <w:r>
        <w:rPr>
          <w:rFonts w:hint="eastAsia" w:ascii="仿宋_GB2312" w:hAnsi="仿宋" w:eastAsia="仿宋_GB2312" w:cs="仿宋"/>
          <w:b/>
          <w:kern w:val="0"/>
          <w:sz w:val="30"/>
          <w:szCs w:val="30"/>
        </w:rPr>
        <w:t xml:space="preserve">   （二）机构设置。</w:t>
      </w:r>
    </w:p>
    <w:tbl>
      <w:tblPr>
        <w:tblStyle w:val="5"/>
        <w:tblW w:w="9796" w:type="dxa"/>
        <w:tblInd w:w="93" w:type="dxa"/>
        <w:tblLayout w:type="fixed"/>
        <w:tblCellMar>
          <w:top w:w="0" w:type="dxa"/>
          <w:left w:w="108" w:type="dxa"/>
          <w:bottom w:w="0" w:type="dxa"/>
          <w:right w:w="108" w:type="dxa"/>
        </w:tblCellMar>
      </w:tblPr>
      <w:tblGrid>
        <w:gridCol w:w="1080"/>
        <w:gridCol w:w="2320"/>
        <w:gridCol w:w="2120"/>
        <w:gridCol w:w="1900"/>
        <w:gridCol w:w="2376"/>
      </w:tblGrid>
      <w:tr w14:paraId="721656A7">
        <w:tblPrEx>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shd w:val="clear" w:color="auto" w:fill="auto"/>
            <w:vAlign w:val="center"/>
          </w:tcPr>
          <w:p w14:paraId="01169B86">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部门机构设置情况</w:t>
            </w:r>
          </w:p>
        </w:tc>
      </w:tr>
      <w:tr w14:paraId="6EC053C8">
        <w:tblPrEx>
          <w:tblCellMar>
            <w:top w:w="0" w:type="dxa"/>
            <w:left w:w="108" w:type="dxa"/>
            <w:bottom w:w="0" w:type="dxa"/>
            <w:right w:w="108" w:type="dxa"/>
          </w:tblCellMar>
        </w:tblPrEx>
        <w:trPr>
          <w:trHeight w:val="72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14:paraId="085982D6">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序号</w:t>
            </w:r>
          </w:p>
        </w:tc>
        <w:tc>
          <w:tcPr>
            <w:tcW w:w="2320" w:type="dxa"/>
            <w:vMerge w:val="restart"/>
            <w:tcBorders>
              <w:top w:val="nil"/>
              <w:left w:val="single" w:color="auto" w:sz="4" w:space="0"/>
              <w:bottom w:val="single" w:color="000000" w:sz="4" w:space="0"/>
              <w:right w:val="single" w:color="auto" w:sz="4" w:space="0"/>
            </w:tcBorders>
            <w:shd w:val="clear" w:color="auto" w:fill="auto"/>
            <w:vAlign w:val="center"/>
          </w:tcPr>
          <w:p w14:paraId="1EBBC849">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单位名称</w:t>
            </w:r>
          </w:p>
        </w:tc>
        <w:tc>
          <w:tcPr>
            <w:tcW w:w="2120" w:type="dxa"/>
            <w:vMerge w:val="restart"/>
            <w:tcBorders>
              <w:top w:val="nil"/>
              <w:left w:val="single" w:color="auto" w:sz="4" w:space="0"/>
              <w:bottom w:val="single" w:color="000000" w:sz="4" w:space="0"/>
              <w:right w:val="single" w:color="auto" w:sz="4" w:space="0"/>
            </w:tcBorders>
            <w:shd w:val="clear" w:color="auto" w:fill="auto"/>
            <w:vAlign w:val="center"/>
          </w:tcPr>
          <w:p w14:paraId="1296E58A">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单位性质</w:t>
            </w:r>
          </w:p>
        </w:tc>
        <w:tc>
          <w:tcPr>
            <w:tcW w:w="1900" w:type="dxa"/>
            <w:vMerge w:val="restart"/>
            <w:tcBorders>
              <w:top w:val="nil"/>
              <w:left w:val="single" w:color="auto" w:sz="4" w:space="0"/>
              <w:bottom w:val="single" w:color="000000" w:sz="4" w:space="0"/>
              <w:right w:val="single" w:color="auto" w:sz="4" w:space="0"/>
            </w:tcBorders>
            <w:shd w:val="clear" w:color="auto" w:fill="auto"/>
            <w:vAlign w:val="center"/>
          </w:tcPr>
          <w:p w14:paraId="6650E1D3">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单位规格</w:t>
            </w:r>
          </w:p>
        </w:tc>
        <w:tc>
          <w:tcPr>
            <w:tcW w:w="2376" w:type="dxa"/>
            <w:vMerge w:val="restart"/>
            <w:tcBorders>
              <w:top w:val="nil"/>
              <w:left w:val="single" w:color="auto" w:sz="4" w:space="0"/>
              <w:bottom w:val="single" w:color="000000" w:sz="4" w:space="0"/>
              <w:right w:val="single" w:color="auto" w:sz="4" w:space="0"/>
            </w:tcBorders>
            <w:shd w:val="clear" w:color="auto" w:fill="auto"/>
            <w:vAlign w:val="center"/>
          </w:tcPr>
          <w:p w14:paraId="42B756CD">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经费保障形式</w:t>
            </w:r>
          </w:p>
        </w:tc>
      </w:tr>
      <w:tr w14:paraId="3790C750">
        <w:tblPrEx>
          <w:tblCellMar>
            <w:top w:w="0" w:type="dxa"/>
            <w:left w:w="108" w:type="dxa"/>
            <w:bottom w:w="0" w:type="dxa"/>
            <w:right w:w="108" w:type="dxa"/>
          </w:tblCellMar>
        </w:tblPrEx>
        <w:trPr>
          <w:trHeight w:val="624" w:hRule="atLeast"/>
        </w:trPr>
        <w:tc>
          <w:tcPr>
            <w:tcW w:w="1080" w:type="dxa"/>
            <w:vMerge w:val="continue"/>
            <w:tcBorders>
              <w:top w:val="nil"/>
              <w:left w:val="single" w:color="auto" w:sz="4" w:space="0"/>
              <w:bottom w:val="single" w:color="000000" w:sz="4" w:space="0"/>
              <w:right w:val="single" w:color="auto" w:sz="4" w:space="0"/>
            </w:tcBorders>
            <w:vAlign w:val="center"/>
          </w:tcPr>
          <w:p w14:paraId="7B258847">
            <w:pPr>
              <w:widowControl/>
              <w:jc w:val="left"/>
              <w:rPr>
                <w:rFonts w:cs="宋体" w:asciiTheme="minorEastAsia" w:hAnsiTheme="minorEastAsia" w:eastAsiaTheme="minorEastAsia"/>
                <w:color w:val="000000"/>
                <w:kern w:val="0"/>
                <w:sz w:val="28"/>
                <w:szCs w:val="28"/>
              </w:rPr>
            </w:pPr>
          </w:p>
        </w:tc>
        <w:tc>
          <w:tcPr>
            <w:tcW w:w="2320" w:type="dxa"/>
            <w:vMerge w:val="continue"/>
            <w:tcBorders>
              <w:top w:val="nil"/>
              <w:left w:val="single" w:color="auto" w:sz="4" w:space="0"/>
              <w:bottom w:val="single" w:color="000000" w:sz="4" w:space="0"/>
              <w:right w:val="single" w:color="auto" w:sz="4" w:space="0"/>
            </w:tcBorders>
            <w:vAlign w:val="center"/>
          </w:tcPr>
          <w:p w14:paraId="6AEE0C97">
            <w:pPr>
              <w:widowControl/>
              <w:jc w:val="left"/>
              <w:rPr>
                <w:rFonts w:cs="宋体" w:asciiTheme="minorEastAsia" w:hAnsiTheme="minorEastAsia" w:eastAsiaTheme="minorEastAsia"/>
                <w:color w:val="000000"/>
                <w:kern w:val="0"/>
                <w:sz w:val="28"/>
                <w:szCs w:val="28"/>
              </w:rPr>
            </w:pPr>
          </w:p>
        </w:tc>
        <w:tc>
          <w:tcPr>
            <w:tcW w:w="2120" w:type="dxa"/>
            <w:vMerge w:val="continue"/>
            <w:tcBorders>
              <w:top w:val="nil"/>
              <w:left w:val="single" w:color="auto" w:sz="4" w:space="0"/>
              <w:bottom w:val="single" w:color="000000" w:sz="4" w:space="0"/>
              <w:right w:val="single" w:color="auto" w:sz="4" w:space="0"/>
            </w:tcBorders>
            <w:vAlign w:val="center"/>
          </w:tcPr>
          <w:p w14:paraId="19067D88">
            <w:pPr>
              <w:widowControl/>
              <w:jc w:val="left"/>
              <w:rPr>
                <w:rFonts w:cs="宋体" w:asciiTheme="minorEastAsia" w:hAnsiTheme="minorEastAsia" w:eastAsiaTheme="minorEastAsia"/>
                <w:color w:val="000000"/>
                <w:kern w:val="0"/>
                <w:sz w:val="28"/>
                <w:szCs w:val="28"/>
              </w:rPr>
            </w:pPr>
          </w:p>
        </w:tc>
        <w:tc>
          <w:tcPr>
            <w:tcW w:w="1900" w:type="dxa"/>
            <w:vMerge w:val="continue"/>
            <w:tcBorders>
              <w:top w:val="nil"/>
              <w:left w:val="single" w:color="auto" w:sz="4" w:space="0"/>
              <w:bottom w:val="single" w:color="000000" w:sz="4" w:space="0"/>
              <w:right w:val="single" w:color="auto" w:sz="4" w:space="0"/>
            </w:tcBorders>
            <w:vAlign w:val="center"/>
          </w:tcPr>
          <w:p w14:paraId="13991FF2">
            <w:pPr>
              <w:widowControl/>
              <w:jc w:val="left"/>
              <w:rPr>
                <w:rFonts w:cs="宋体" w:asciiTheme="minorEastAsia" w:hAnsiTheme="minorEastAsia" w:eastAsiaTheme="minorEastAsia"/>
                <w:color w:val="000000"/>
                <w:kern w:val="0"/>
                <w:sz w:val="28"/>
                <w:szCs w:val="28"/>
              </w:rPr>
            </w:pPr>
          </w:p>
        </w:tc>
        <w:tc>
          <w:tcPr>
            <w:tcW w:w="2376" w:type="dxa"/>
            <w:vMerge w:val="continue"/>
            <w:tcBorders>
              <w:top w:val="nil"/>
              <w:left w:val="single" w:color="auto" w:sz="4" w:space="0"/>
              <w:bottom w:val="single" w:color="000000" w:sz="4" w:space="0"/>
              <w:right w:val="single" w:color="auto" w:sz="4" w:space="0"/>
            </w:tcBorders>
            <w:vAlign w:val="center"/>
          </w:tcPr>
          <w:p w14:paraId="49DBE65E">
            <w:pPr>
              <w:widowControl/>
              <w:jc w:val="left"/>
              <w:rPr>
                <w:rFonts w:cs="宋体" w:asciiTheme="minorEastAsia" w:hAnsiTheme="minorEastAsia" w:eastAsiaTheme="minorEastAsia"/>
                <w:color w:val="000000"/>
                <w:kern w:val="0"/>
                <w:sz w:val="28"/>
                <w:szCs w:val="28"/>
              </w:rPr>
            </w:pPr>
          </w:p>
        </w:tc>
      </w:tr>
      <w:tr w14:paraId="4890403C">
        <w:tblPrEx>
          <w:tblCellMar>
            <w:top w:w="0" w:type="dxa"/>
            <w:left w:w="108" w:type="dxa"/>
            <w:bottom w:w="0" w:type="dxa"/>
            <w:right w:w="108" w:type="dxa"/>
          </w:tblCellMar>
        </w:tblPrEx>
        <w:trPr>
          <w:trHeight w:val="720" w:hRule="atLeast"/>
        </w:trPr>
        <w:tc>
          <w:tcPr>
            <w:tcW w:w="1080" w:type="dxa"/>
            <w:tcBorders>
              <w:top w:val="nil"/>
              <w:left w:val="single" w:color="auto" w:sz="4" w:space="0"/>
              <w:bottom w:val="single" w:color="auto" w:sz="4" w:space="0"/>
              <w:right w:val="single" w:color="auto" w:sz="4" w:space="0"/>
            </w:tcBorders>
            <w:shd w:val="clear" w:color="auto" w:fill="auto"/>
            <w:vAlign w:val="center"/>
          </w:tcPr>
          <w:p w14:paraId="1F71E0C4">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1</w:t>
            </w:r>
          </w:p>
        </w:tc>
        <w:tc>
          <w:tcPr>
            <w:tcW w:w="2320" w:type="dxa"/>
            <w:tcBorders>
              <w:top w:val="nil"/>
              <w:left w:val="nil"/>
              <w:bottom w:val="single" w:color="auto" w:sz="4" w:space="0"/>
              <w:right w:val="single" w:color="auto" w:sz="4" w:space="0"/>
            </w:tcBorders>
            <w:shd w:val="clear" w:color="auto" w:fill="auto"/>
            <w:vAlign w:val="center"/>
          </w:tcPr>
          <w:p w14:paraId="51254959">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共青团涞水县委</w:t>
            </w:r>
          </w:p>
        </w:tc>
        <w:tc>
          <w:tcPr>
            <w:tcW w:w="2120" w:type="dxa"/>
            <w:tcBorders>
              <w:top w:val="nil"/>
              <w:left w:val="nil"/>
              <w:bottom w:val="single" w:color="auto" w:sz="4" w:space="0"/>
              <w:right w:val="single" w:color="auto" w:sz="4" w:space="0"/>
            </w:tcBorders>
            <w:shd w:val="clear" w:color="auto" w:fill="auto"/>
            <w:vAlign w:val="center"/>
          </w:tcPr>
          <w:p w14:paraId="335DE752">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行政</w:t>
            </w:r>
          </w:p>
        </w:tc>
        <w:tc>
          <w:tcPr>
            <w:tcW w:w="1900" w:type="dxa"/>
            <w:tcBorders>
              <w:top w:val="nil"/>
              <w:left w:val="nil"/>
              <w:bottom w:val="single" w:color="auto" w:sz="4" w:space="0"/>
              <w:right w:val="single" w:color="auto" w:sz="4" w:space="0"/>
            </w:tcBorders>
            <w:shd w:val="clear" w:color="auto" w:fill="auto"/>
            <w:vAlign w:val="center"/>
          </w:tcPr>
          <w:p w14:paraId="06F78561">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正科级</w:t>
            </w:r>
          </w:p>
        </w:tc>
        <w:tc>
          <w:tcPr>
            <w:tcW w:w="2376" w:type="dxa"/>
            <w:tcBorders>
              <w:top w:val="nil"/>
              <w:left w:val="nil"/>
              <w:bottom w:val="single" w:color="auto" w:sz="4" w:space="0"/>
              <w:right w:val="single" w:color="auto" w:sz="4" w:space="0"/>
            </w:tcBorders>
            <w:shd w:val="clear" w:color="auto" w:fill="auto"/>
            <w:vAlign w:val="center"/>
          </w:tcPr>
          <w:p w14:paraId="5A7A2611">
            <w:pPr>
              <w:widowControl/>
              <w:jc w:val="center"/>
              <w:rPr>
                <w:rFonts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财政拨款</w:t>
            </w:r>
          </w:p>
        </w:tc>
      </w:tr>
    </w:tbl>
    <w:p w14:paraId="59E4FC06">
      <w:pPr>
        <w:spacing w:line="560" w:lineRule="exact"/>
        <w:rPr>
          <w:rFonts w:ascii="仿宋_GB2312" w:hAnsi="仿宋" w:eastAsia="仿宋_GB2312" w:cs="仿宋"/>
          <w:b/>
          <w:kern w:val="0"/>
          <w:sz w:val="30"/>
          <w:szCs w:val="30"/>
        </w:rPr>
      </w:pPr>
    </w:p>
    <w:p w14:paraId="7F7723DD">
      <w:pPr>
        <w:spacing w:line="560" w:lineRule="exact"/>
        <w:rPr>
          <w:rFonts w:ascii="仿宋_GB2312" w:hAnsi="仿宋_GB2312" w:eastAsia="仿宋_GB2312" w:cs="仿宋_GB2312"/>
          <w:b/>
          <w:bCs/>
          <w:sz w:val="30"/>
          <w:szCs w:val="30"/>
        </w:rPr>
      </w:pPr>
      <w:r>
        <w:rPr>
          <w:rFonts w:hint="eastAsia" w:ascii="仿宋_GB2312" w:hAnsi="仿宋_GB2312" w:eastAsia="仿宋_GB2312" w:cs="仿宋_GB2312"/>
          <w:sz w:val="30"/>
          <w:szCs w:val="30"/>
        </w:rPr>
        <w:t>共青团涞水县委机关行政编制3名。其中，书记1名，副书记1名，股级职数1名。实有行政在职人数2人。</w:t>
      </w:r>
    </w:p>
    <w:p w14:paraId="5F3E1281">
      <w:pPr>
        <w:widowControl/>
        <w:spacing w:line="560" w:lineRule="exact"/>
        <w:ind w:firstLine="645"/>
        <w:rPr>
          <w:rFonts w:ascii="仿宋_GB2312" w:hAnsi="仿宋" w:eastAsia="仿宋_GB2312" w:cs="仿宋"/>
          <w:kern w:val="0"/>
          <w:sz w:val="30"/>
          <w:szCs w:val="30"/>
        </w:rPr>
      </w:pPr>
      <w:r>
        <w:rPr>
          <w:rFonts w:hint="eastAsia" w:ascii="仿宋_GB2312" w:hAnsi="仿宋" w:eastAsia="仿宋_GB2312" w:cs="仿宋"/>
          <w:kern w:val="0"/>
          <w:sz w:val="30"/>
          <w:szCs w:val="30"/>
        </w:rPr>
        <w:t>内设机构及职责：</w:t>
      </w:r>
    </w:p>
    <w:p w14:paraId="3716652A">
      <w:pPr>
        <w:numPr>
          <w:ilvl w:val="0"/>
          <w:numId w:val="2"/>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负责上报下达，协调联系，调查研究、文件起草等机关日常行政事务和后勤保障工作。</w:t>
      </w:r>
    </w:p>
    <w:p w14:paraId="2C176ABA">
      <w:pPr>
        <w:numPr>
          <w:ilvl w:val="0"/>
          <w:numId w:val="2"/>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加强团基层组织建设，做好团员发展工作。及时收缴团费，推荐优秀团员做好党的发展对象。</w:t>
      </w:r>
    </w:p>
    <w:p w14:paraId="53C1EDB8">
      <w:pPr>
        <w:numPr>
          <w:ilvl w:val="0"/>
          <w:numId w:val="2"/>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加强全县青年的思想、文化、道德建设，宣传党的路线、方针、政策，开展适合青年特点的活动。</w:t>
      </w:r>
    </w:p>
    <w:p w14:paraId="73709D39">
      <w:pPr>
        <w:numPr>
          <w:ilvl w:val="0"/>
          <w:numId w:val="2"/>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维护青少年的合法权益，做好青少年的思想政治工作，引导他们听党的话，跟党走，做共产主义事业的接班人，研究指导全县少先队工作，开展富有特色的少先队活动。</w:t>
      </w:r>
    </w:p>
    <w:p w14:paraId="43D6A251">
      <w:pPr>
        <w:numPr>
          <w:ilvl w:val="0"/>
          <w:numId w:val="2"/>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做好城乡广大青少年团员的工作，组织创建劳动能手、岗位模范活动的实施，使广大青年为我县的发展献计献策。</w:t>
      </w:r>
    </w:p>
    <w:p w14:paraId="2F9276E3">
      <w:pPr>
        <w:numPr>
          <w:ilvl w:val="0"/>
          <w:numId w:val="2"/>
        </w:num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完成领导交办的其它工作事项。</w:t>
      </w:r>
    </w:p>
    <w:p w14:paraId="76A2855A">
      <w:pPr>
        <w:widowControl/>
        <w:spacing w:line="560" w:lineRule="exact"/>
        <w:rPr>
          <w:rFonts w:ascii="黑体" w:hAnsi="黑体" w:eastAsia="黑体" w:cs="黑体"/>
          <w:b/>
          <w:bCs/>
          <w:kern w:val="0"/>
          <w:sz w:val="30"/>
          <w:szCs w:val="30"/>
        </w:rPr>
      </w:pPr>
      <w:r>
        <w:rPr>
          <w:rFonts w:hint="eastAsia" w:ascii="黑体" w:hAnsi="黑体" w:eastAsia="黑体" w:cs="黑体"/>
          <w:b/>
          <w:bCs/>
          <w:kern w:val="0"/>
          <w:sz w:val="30"/>
          <w:szCs w:val="30"/>
        </w:rPr>
        <w:t>二、部门预算安排总体情况</w:t>
      </w:r>
    </w:p>
    <w:p w14:paraId="293E7660">
      <w:pPr>
        <w:widowControl/>
        <w:spacing w:line="560" w:lineRule="exact"/>
        <w:ind w:firstLine="640"/>
        <w:rPr>
          <w:rFonts w:ascii="仿宋_GB2312" w:hAnsi="仿宋_GB2312" w:eastAsia="仿宋_GB2312" w:cs="仿宋_GB2312"/>
          <w:kern w:val="0"/>
          <w:sz w:val="30"/>
          <w:szCs w:val="30"/>
        </w:rPr>
      </w:pPr>
      <w:r>
        <w:rPr>
          <w:rFonts w:hint="eastAsia" w:ascii="仿宋_GB2312" w:hAnsi="仿宋_GB2312" w:eastAsia="仿宋_GB2312" w:cs="仿宋_GB2312"/>
          <w:sz w:val="30"/>
          <w:szCs w:val="30"/>
        </w:rPr>
        <w:t>我单位</w:t>
      </w:r>
      <w:r>
        <w:rPr>
          <w:rFonts w:hint="eastAsia" w:ascii="仿宋_GB2312" w:hAnsi="仿宋_GB2312" w:eastAsia="仿宋_GB2312" w:cs="仿宋_GB2312"/>
          <w:kern w:val="0"/>
          <w:sz w:val="30"/>
          <w:szCs w:val="30"/>
        </w:rPr>
        <w:t>预算安排总体情况如下。收入情况：财政拨款收入19.67万元（一般公共预算19.67万元）；预算支出情况：支出总额19.67万元（基本支出15.67万元、项目支出4万元）。</w:t>
      </w:r>
    </w:p>
    <w:p w14:paraId="173B6434">
      <w:pPr>
        <w:ind w:left="640"/>
        <w:rPr>
          <w:rFonts w:ascii="仿宋_GB2312" w:hAnsi="宋体" w:eastAsia="仿宋_GB2312"/>
          <w:b/>
          <w:sz w:val="30"/>
          <w:szCs w:val="30"/>
        </w:rPr>
      </w:pPr>
      <w:r>
        <w:rPr>
          <w:rFonts w:ascii="仿宋_GB2312" w:hAnsi="宋体" w:eastAsia="仿宋_GB2312"/>
          <w:b/>
          <w:sz w:val="30"/>
          <w:szCs w:val="30"/>
        </w:rPr>
        <w:t>(</w:t>
      </w:r>
      <w:r>
        <w:rPr>
          <w:rFonts w:hint="eastAsia" w:ascii="仿宋_GB2312" w:hAnsi="宋体" w:eastAsia="仿宋_GB2312"/>
          <w:b/>
          <w:sz w:val="30"/>
          <w:szCs w:val="30"/>
        </w:rPr>
        <w:t>一</w:t>
      </w:r>
      <w:r>
        <w:rPr>
          <w:rFonts w:ascii="仿宋_GB2312" w:hAnsi="宋体" w:eastAsia="仿宋_GB2312"/>
          <w:b/>
          <w:sz w:val="30"/>
          <w:szCs w:val="30"/>
        </w:rPr>
        <w:t>)</w:t>
      </w:r>
      <w:r>
        <w:rPr>
          <w:rFonts w:hint="eastAsia" w:ascii="仿宋_GB2312" w:hAnsi="宋体" w:eastAsia="仿宋_GB2312"/>
          <w:b/>
          <w:sz w:val="30"/>
          <w:szCs w:val="30"/>
        </w:rPr>
        <w:t>部门基本支出预算15.67万元。</w:t>
      </w:r>
    </w:p>
    <w:p w14:paraId="61168BBC">
      <w:pPr>
        <w:rPr>
          <w:rFonts w:ascii="仿宋_GB2312" w:hAnsi="宋体" w:eastAsia="仿宋_GB2312"/>
          <w:sz w:val="30"/>
          <w:szCs w:val="30"/>
        </w:rPr>
      </w:pPr>
      <w:r>
        <w:rPr>
          <w:rFonts w:ascii="仿宋_GB2312" w:hAnsi="宋体" w:eastAsia="仿宋_GB2312"/>
          <w:sz w:val="30"/>
          <w:szCs w:val="30"/>
        </w:rPr>
        <w:t>1.</w:t>
      </w:r>
      <w:r>
        <w:rPr>
          <w:rFonts w:hint="eastAsia" w:ascii="仿宋_GB2312" w:hAnsi="宋体" w:eastAsia="仿宋_GB2312"/>
          <w:sz w:val="30"/>
          <w:szCs w:val="30"/>
        </w:rPr>
        <w:t>人员经费支出14.96万元。</w:t>
      </w:r>
    </w:p>
    <w:p w14:paraId="173925F3">
      <w:pPr>
        <w:ind w:firstLine="600" w:firstLineChars="200"/>
        <w:rPr>
          <w:rFonts w:ascii="仿宋_GB2312" w:hAnsi="宋体" w:eastAsia="仿宋_GB2312"/>
          <w:sz w:val="30"/>
          <w:szCs w:val="30"/>
        </w:rPr>
      </w:pPr>
      <w:r>
        <w:rPr>
          <w:rFonts w:hint="eastAsia" w:ascii="仿宋_GB2312" w:hAnsi="宋体" w:eastAsia="仿宋_GB2312"/>
          <w:sz w:val="30"/>
          <w:szCs w:val="30"/>
        </w:rPr>
        <w:t>工资福利支出13.93万元。其中，基本工资6.70万元，津贴补贴3.44万元，其他福利待遇1.12万元，社会保障缴费2.67万元（基本养老保险费2.03万元</w:t>
      </w:r>
      <w:r>
        <w:rPr>
          <w:rFonts w:ascii="仿宋_GB2312" w:hAnsi="宋体" w:eastAsia="仿宋_GB2312"/>
          <w:sz w:val="30"/>
          <w:szCs w:val="30"/>
        </w:rPr>
        <w:t>,</w:t>
      </w:r>
      <w:r>
        <w:rPr>
          <w:rFonts w:hint="eastAsia" w:ascii="仿宋_GB2312" w:hAnsi="宋体" w:eastAsia="仿宋_GB2312"/>
          <w:sz w:val="30"/>
          <w:szCs w:val="30"/>
        </w:rPr>
        <w:t>基本医疗保险费0.61万元</w:t>
      </w:r>
      <w:r>
        <w:rPr>
          <w:rFonts w:ascii="仿宋_GB2312" w:hAnsi="宋体" w:eastAsia="仿宋_GB2312"/>
          <w:sz w:val="30"/>
          <w:szCs w:val="30"/>
        </w:rPr>
        <w:t>,</w:t>
      </w:r>
      <w:r>
        <w:rPr>
          <w:rFonts w:hint="eastAsia" w:ascii="仿宋_GB2312" w:hAnsi="宋体" w:eastAsia="仿宋_GB2312"/>
          <w:sz w:val="30"/>
          <w:szCs w:val="30"/>
        </w:rPr>
        <w:t>生育保险金</w:t>
      </w:r>
      <w:r>
        <w:rPr>
          <w:rFonts w:ascii="仿宋_GB2312" w:hAnsi="宋体" w:eastAsia="仿宋_GB2312"/>
          <w:sz w:val="30"/>
          <w:szCs w:val="30"/>
        </w:rPr>
        <w:t>0.0</w:t>
      </w:r>
      <w:r>
        <w:rPr>
          <w:rFonts w:hint="eastAsia" w:ascii="仿宋_GB2312" w:hAnsi="宋体" w:eastAsia="仿宋_GB2312"/>
          <w:sz w:val="30"/>
          <w:szCs w:val="30"/>
        </w:rPr>
        <w:t>3万元）。</w:t>
      </w:r>
    </w:p>
    <w:p w14:paraId="2044FB7E">
      <w:pPr>
        <w:tabs>
          <w:tab w:val="left" w:pos="6645"/>
        </w:tabs>
        <w:ind w:firstLine="597" w:firstLineChars="199"/>
        <w:rPr>
          <w:rFonts w:ascii="仿宋_GB2312" w:hAnsi="宋体" w:eastAsia="仿宋_GB2312"/>
          <w:sz w:val="30"/>
          <w:szCs w:val="30"/>
        </w:rPr>
      </w:pPr>
      <w:r>
        <w:rPr>
          <w:rFonts w:hint="eastAsia" w:ascii="仿宋_GB2312" w:hAnsi="宋体" w:eastAsia="仿宋_GB2312"/>
          <w:sz w:val="30"/>
          <w:szCs w:val="30"/>
        </w:rPr>
        <w:t>对个人和家庭的补助支出1.03万元。其中奖励金</w:t>
      </w:r>
      <w:r>
        <w:rPr>
          <w:rFonts w:ascii="仿宋_GB2312" w:hAnsi="宋体" w:eastAsia="仿宋_GB2312"/>
          <w:sz w:val="30"/>
          <w:szCs w:val="30"/>
        </w:rPr>
        <w:t>0.0</w:t>
      </w:r>
      <w:r>
        <w:rPr>
          <w:rFonts w:hint="eastAsia" w:ascii="仿宋_GB2312" w:hAnsi="宋体" w:eastAsia="仿宋_GB2312"/>
          <w:sz w:val="30"/>
          <w:szCs w:val="30"/>
        </w:rPr>
        <w:t>1万元，住房公积金1.02万元。</w:t>
      </w:r>
    </w:p>
    <w:p w14:paraId="6A83142F">
      <w:pPr>
        <w:tabs>
          <w:tab w:val="left" w:pos="6645"/>
        </w:tabs>
        <w:ind w:firstLine="600" w:firstLineChars="200"/>
        <w:rPr>
          <w:rFonts w:ascii="仿宋_GB2312" w:hAnsi="宋体" w:eastAsia="仿宋_GB2312"/>
          <w:sz w:val="30"/>
          <w:szCs w:val="30"/>
        </w:rPr>
      </w:pPr>
      <w:r>
        <w:rPr>
          <w:rFonts w:ascii="仿宋_GB2312" w:hAnsi="宋体" w:eastAsia="仿宋_GB2312"/>
          <w:sz w:val="30"/>
          <w:szCs w:val="30"/>
        </w:rPr>
        <w:t>2.</w:t>
      </w:r>
      <w:r>
        <w:rPr>
          <w:rFonts w:hint="eastAsia" w:ascii="仿宋_GB2312" w:hAnsi="宋体" w:eastAsia="仿宋_GB2312"/>
          <w:sz w:val="30"/>
          <w:szCs w:val="30"/>
        </w:rPr>
        <w:t>日常公用经费支出0.71万元。</w:t>
      </w:r>
    </w:p>
    <w:p w14:paraId="6B3C9A10">
      <w:pPr>
        <w:tabs>
          <w:tab w:val="left" w:pos="6645"/>
        </w:tabs>
        <w:ind w:firstLine="597" w:firstLineChars="199"/>
        <w:rPr>
          <w:rFonts w:ascii="仿宋_GB2312" w:hAnsi="宋体" w:eastAsia="仿宋_GB2312"/>
          <w:sz w:val="30"/>
          <w:szCs w:val="30"/>
        </w:rPr>
      </w:pPr>
      <w:r>
        <w:rPr>
          <w:rFonts w:hint="eastAsia" w:ascii="仿宋_GB2312" w:hAnsi="宋体" w:eastAsia="仿宋_GB2312"/>
          <w:sz w:val="30"/>
          <w:szCs w:val="30"/>
        </w:rPr>
        <w:t>基础定额项目费</w:t>
      </w:r>
      <w:r>
        <w:rPr>
          <w:rFonts w:ascii="仿宋_GB2312" w:hAnsi="宋体" w:eastAsia="仿宋_GB2312"/>
          <w:sz w:val="30"/>
          <w:szCs w:val="30"/>
        </w:rPr>
        <w:t>0.</w:t>
      </w:r>
      <w:r>
        <w:rPr>
          <w:rFonts w:hint="eastAsia" w:ascii="仿宋_GB2312" w:hAnsi="宋体" w:eastAsia="仿宋_GB2312"/>
          <w:sz w:val="30"/>
          <w:szCs w:val="30"/>
        </w:rPr>
        <w:t>42万元。其中，部门办公费0.24万元，邮电费</w:t>
      </w:r>
      <w:r>
        <w:rPr>
          <w:rFonts w:ascii="仿宋_GB2312" w:hAnsi="宋体" w:eastAsia="仿宋_GB2312"/>
          <w:sz w:val="30"/>
          <w:szCs w:val="30"/>
        </w:rPr>
        <w:t>0.18</w:t>
      </w:r>
      <w:r>
        <w:rPr>
          <w:rFonts w:hint="eastAsia" w:ascii="仿宋_GB2312" w:hAnsi="宋体" w:eastAsia="仿宋_GB2312"/>
          <w:sz w:val="30"/>
          <w:szCs w:val="30"/>
        </w:rPr>
        <w:t>万元。</w:t>
      </w:r>
    </w:p>
    <w:p w14:paraId="12C5F508">
      <w:pPr>
        <w:tabs>
          <w:tab w:val="left" w:pos="6645"/>
        </w:tabs>
        <w:ind w:firstLine="597" w:firstLineChars="199"/>
        <w:rPr>
          <w:rFonts w:ascii="仿宋_GB2312" w:hAnsi="宋体" w:eastAsia="仿宋_GB2312"/>
          <w:sz w:val="30"/>
          <w:szCs w:val="30"/>
        </w:rPr>
      </w:pPr>
      <w:r>
        <w:rPr>
          <w:rFonts w:hint="eastAsia" w:ascii="仿宋_GB2312" w:hAnsi="宋体" w:eastAsia="仿宋_GB2312"/>
          <w:sz w:val="30"/>
          <w:szCs w:val="30"/>
        </w:rPr>
        <w:t>按规定比例计提项目费0.29万元。其中</w:t>
      </w:r>
      <w:r>
        <w:rPr>
          <w:rFonts w:ascii="仿宋_GB2312" w:hAnsi="宋体" w:eastAsia="仿宋_GB2312"/>
          <w:sz w:val="30"/>
          <w:szCs w:val="30"/>
        </w:rPr>
        <w:t>,</w:t>
      </w:r>
      <w:r>
        <w:rPr>
          <w:rFonts w:hint="eastAsia" w:ascii="仿宋_GB2312" w:hAnsi="宋体" w:eastAsia="仿宋_GB2312"/>
          <w:sz w:val="30"/>
          <w:szCs w:val="30"/>
        </w:rPr>
        <w:t>工会经费</w:t>
      </w:r>
      <w:r>
        <w:rPr>
          <w:rFonts w:ascii="仿宋_GB2312" w:hAnsi="宋体" w:eastAsia="仿宋_GB2312"/>
          <w:sz w:val="30"/>
          <w:szCs w:val="30"/>
        </w:rPr>
        <w:t>0.</w:t>
      </w:r>
      <w:r>
        <w:rPr>
          <w:rFonts w:hint="eastAsia" w:ascii="仿宋_GB2312" w:hAnsi="宋体" w:eastAsia="仿宋_GB2312"/>
          <w:sz w:val="30"/>
          <w:szCs w:val="30"/>
        </w:rPr>
        <w:t>12万元，职工福利费</w:t>
      </w:r>
      <w:r>
        <w:rPr>
          <w:rFonts w:ascii="仿宋_GB2312" w:hAnsi="宋体" w:eastAsia="仿宋_GB2312"/>
          <w:sz w:val="30"/>
          <w:szCs w:val="30"/>
        </w:rPr>
        <w:t>0.</w:t>
      </w:r>
      <w:r>
        <w:rPr>
          <w:rFonts w:hint="eastAsia" w:ascii="仿宋_GB2312" w:hAnsi="宋体" w:eastAsia="仿宋_GB2312"/>
          <w:sz w:val="30"/>
          <w:szCs w:val="30"/>
        </w:rPr>
        <w:t>17万元。</w:t>
      </w:r>
    </w:p>
    <w:p w14:paraId="22F86922">
      <w:pPr>
        <w:tabs>
          <w:tab w:val="left" w:pos="6645"/>
        </w:tabs>
        <w:ind w:firstLine="597" w:firstLineChars="199"/>
        <w:rPr>
          <w:rFonts w:ascii="仿宋_GB2312" w:hAnsi="宋体" w:eastAsia="仿宋_GB2312"/>
          <w:b/>
          <w:sz w:val="30"/>
          <w:szCs w:val="30"/>
        </w:rPr>
      </w:pPr>
      <w:r>
        <w:rPr>
          <w:rFonts w:hint="eastAsia" w:ascii="仿宋_GB2312" w:hAnsi="宋体" w:eastAsia="仿宋_GB2312"/>
          <w:b/>
          <w:sz w:val="30"/>
          <w:szCs w:val="30"/>
        </w:rPr>
        <w:t>（二）部门项目支出预算</w:t>
      </w:r>
      <w:r>
        <w:rPr>
          <w:rFonts w:ascii="仿宋_GB2312" w:hAnsi="宋体" w:eastAsia="仿宋_GB2312"/>
          <w:b/>
          <w:sz w:val="30"/>
          <w:szCs w:val="30"/>
        </w:rPr>
        <w:t>4</w:t>
      </w:r>
      <w:r>
        <w:rPr>
          <w:rFonts w:hint="eastAsia" w:ascii="仿宋_GB2312" w:hAnsi="宋体" w:eastAsia="仿宋_GB2312"/>
          <w:b/>
          <w:sz w:val="30"/>
          <w:szCs w:val="30"/>
        </w:rPr>
        <w:t>万元。</w:t>
      </w:r>
    </w:p>
    <w:p w14:paraId="02E79EEB">
      <w:pPr>
        <w:tabs>
          <w:tab w:val="left" w:pos="6645"/>
        </w:tabs>
        <w:ind w:left="788" w:leftChars="304" w:hanging="150" w:hangingChars="50"/>
        <w:rPr>
          <w:rFonts w:ascii="仿宋_GB2312" w:hAnsi="宋体" w:eastAsia="仿宋_GB2312"/>
          <w:sz w:val="30"/>
          <w:szCs w:val="30"/>
        </w:rPr>
      </w:pPr>
      <w:r>
        <w:rPr>
          <w:rFonts w:ascii="仿宋_GB2312" w:hAnsi="宋体" w:eastAsia="仿宋_GB2312"/>
          <w:sz w:val="30"/>
          <w:szCs w:val="30"/>
        </w:rPr>
        <w:t>1.</w:t>
      </w:r>
      <w:r>
        <w:rPr>
          <w:rFonts w:hint="eastAsia" w:ascii="仿宋_GB2312" w:hAnsi="宋体" w:eastAsia="仿宋_GB2312"/>
          <w:sz w:val="30"/>
          <w:szCs w:val="30"/>
        </w:rPr>
        <w:t>青年就业创业活动</w:t>
      </w:r>
    </w:p>
    <w:p w14:paraId="07EC32A7">
      <w:pPr>
        <w:tabs>
          <w:tab w:val="left" w:pos="6645"/>
        </w:tabs>
        <w:ind w:firstLine="504" w:firstLineChars="168"/>
        <w:rPr>
          <w:rFonts w:ascii="仿宋_GB2312" w:eastAsia="仿宋_GB2312"/>
          <w:sz w:val="30"/>
          <w:szCs w:val="30"/>
        </w:rPr>
      </w:pPr>
      <w:r>
        <w:rPr>
          <w:rFonts w:hint="eastAsia" w:ascii="仿宋_GB2312" w:eastAsia="仿宋_GB2312"/>
          <w:sz w:val="30"/>
          <w:szCs w:val="30"/>
        </w:rPr>
        <w:t>工作经费2</w:t>
      </w:r>
      <w:r>
        <w:rPr>
          <w:rFonts w:ascii="仿宋_GB2312" w:eastAsia="仿宋_GB2312"/>
          <w:sz w:val="30"/>
          <w:szCs w:val="30"/>
        </w:rPr>
        <w:t>.00</w:t>
      </w:r>
      <w:r>
        <w:rPr>
          <w:rFonts w:hint="eastAsia" w:ascii="仿宋_GB2312" w:eastAsia="仿宋_GB2312"/>
          <w:sz w:val="30"/>
          <w:szCs w:val="30"/>
        </w:rPr>
        <w:t>万元。主要用于开展就业创业培训、“互联网+就业”公益招聘会，经验分享交流会等活动。</w:t>
      </w:r>
    </w:p>
    <w:p w14:paraId="3B719541">
      <w:pPr>
        <w:tabs>
          <w:tab w:val="left" w:pos="6645"/>
        </w:tabs>
        <w:ind w:firstLine="504" w:firstLineChars="168"/>
        <w:rPr>
          <w:rFonts w:ascii="仿宋_GB2312" w:eastAsia="仿宋_GB2312"/>
          <w:sz w:val="30"/>
          <w:szCs w:val="30"/>
        </w:rPr>
      </w:pPr>
      <w:r>
        <w:rPr>
          <w:rFonts w:ascii="仿宋_GB2312" w:eastAsia="仿宋_GB2312"/>
          <w:sz w:val="30"/>
          <w:szCs w:val="30"/>
        </w:rPr>
        <w:t>2</w:t>
      </w:r>
      <w:r>
        <w:rPr>
          <w:rFonts w:hint="eastAsia" w:ascii="仿宋_GB2312" w:eastAsia="仿宋_GB2312"/>
          <w:sz w:val="30"/>
          <w:szCs w:val="30"/>
        </w:rPr>
        <w:t>．五四青年节活动</w:t>
      </w:r>
    </w:p>
    <w:p w14:paraId="4C21535E">
      <w:pPr>
        <w:widowControl/>
        <w:spacing w:line="560" w:lineRule="exact"/>
        <w:ind w:firstLine="640"/>
        <w:rPr>
          <w:rFonts w:ascii="仿宋_GB2312" w:eastAsia="仿宋_GB2312"/>
          <w:sz w:val="30"/>
          <w:szCs w:val="30"/>
        </w:rPr>
      </w:pPr>
      <w:r>
        <w:rPr>
          <w:rFonts w:hint="eastAsia" w:ascii="仿宋_GB2312" w:eastAsia="仿宋_GB2312"/>
          <w:sz w:val="30"/>
          <w:szCs w:val="30"/>
        </w:rPr>
        <w:t>工作经费2.00万元。主要用于开展五四青年节表彰大会，组织社会志愿者服务活动，社会实践活动等工作。</w:t>
      </w:r>
    </w:p>
    <w:p w14:paraId="61141960">
      <w:pPr>
        <w:widowControl/>
        <w:spacing w:line="560" w:lineRule="exact"/>
        <w:ind w:firstLine="640"/>
        <w:rPr>
          <w:rFonts w:ascii="仿宋_GB2312" w:hAnsi="宋体" w:eastAsia="仿宋_GB2312"/>
          <w:b/>
          <w:sz w:val="30"/>
          <w:szCs w:val="30"/>
        </w:rPr>
      </w:pPr>
      <w:r>
        <w:rPr>
          <w:rFonts w:hint="eastAsia" w:ascii="仿宋_GB2312" w:hAnsi="宋体" w:eastAsia="仿宋_GB2312"/>
          <w:b/>
          <w:sz w:val="30"/>
          <w:szCs w:val="30"/>
        </w:rPr>
        <w:t>（三）比上年增减情况</w:t>
      </w:r>
    </w:p>
    <w:p w14:paraId="137FA91B">
      <w:pPr>
        <w:widowControl/>
        <w:spacing w:line="560" w:lineRule="exact"/>
        <w:ind w:firstLine="640"/>
        <w:rPr>
          <w:rFonts w:ascii="仿宋_GB2312" w:eastAsia="仿宋_GB2312"/>
          <w:sz w:val="30"/>
          <w:szCs w:val="30"/>
        </w:rPr>
      </w:pPr>
      <w:r>
        <w:rPr>
          <w:rFonts w:hint="eastAsia" w:ascii="仿宋_GB2312" w:hAnsi="宋体" w:eastAsia="仿宋_GB2312"/>
          <w:sz w:val="30"/>
          <w:szCs w:val="30"/>
        </w:rPr>
        <w:t>本年度预算收支安排19.67万元，较上年增加4万元。其中：基本支出增加3万元，主要增加人员经费，因为职工工资增加；项目支出增加1万元，主要增加本级支出，因为本年部门活动增加</w:t>
      </w:r>
      <w:r>
        <w:rPr>
          <w:rFonts w:hint="eastAsia" w:ascii="仿宋_GB2312" w:eastAsia="仿宋_GB2312"/>
          <w:sz w:val="30"/>
          <w:szCs w:val="30"/>
        </w:rPr>
        <w:t>。</w:t>
      </w:r>
    </w:p>
    <w:p w14:paraId="43626F03">
      <w:pPr>
        <w:widowControl/>
        <w:spacing w:line="560" w:lineRule="exact"/>
        <w:rPr>
          <w:rFonts w:ascii="黑体" w:hAnsi="黑体" w:eastAsia="黑体" w:cs="黑体"/>
          <w:b/>
          <w:bCs/>
          <w:kern w:val="0"/>
          <w:sz w:val="30"/>
          <w:szCs w:val="30"/>
        </w:rPr>
      </w:pPr>
      <w:r>
        <w:rPr>
          <w:rFonts w:hint="eastAsia" w:ascii="黑体" w:hAnsi="黑体" w:eastAsia="黑体" w:cs="黑体"/>
          <w:b/>
          <w:bCs/>
          <w:kern w:val="0"/>
          <w:sz w:val="30"/>
          <w:szCs w:val="30"/>
        </w:rPr>
        <w:t>三、机关运行经费安排情况</w:t>
      </w:r>
    </w:p>
    <w:p w14:paraId="0594AD1A">
      <w:pPr>
        <w:tabs>
          <w:tab w:val="left" w:pos="6645"/>
        </w:tabs>
        <w:ind w:firstLine="600" w:firstLineChars="200"/>
        <w:rPr>
          <w:rFonts w:ascii="仿宋_GB2312" w:hAnsi="宋体" w:eastAsia="仿宋_GB2312"/>
          <w:sz w:val="30"/>
          <w:szCs w:val="30"/>
        </w:rPr>
      </w:pPr>
      <w:r>
        <w:rPr>
          <w:rFonts w:hint="eastAsia" w:ascii="仿宋_GB2312" w:hAnsi="仿宋" w:eastAsia="仿宋_GB2312" w:cs="仿宋"/>
          <w:kern w:val="0"/>
          <w:sz w:val="30"/>
          <w:szCs w:val="30"/>
        </w:rPr>
        <w:t>日常公用经费总体安排情况。团县委</w:t>
      </w:r>
      <w:r>
        <w:rPr>
          <w:rFonts w:hint="eastAsia" w:ascii="仿宋_GB2312" w:hAnsi="宋体" w:eastAsia="仿宋_GB2312"/>
          <w:sz w:val="30"/>
          <w:szCs w:val="30"/>
        </w:rPr>
        <w:t>日常公用经费预算支出0.71万元。</w:t>
      </w:r>
    </w:p>
    <w:p w14:paraId="34D184C4">
      <w:pPr>
        <w:tabs>
          <w:tab w:val="left" w:pos="6645"/>
        </w:tabs>
        <w:ind w:firstLine="597" w:firstLineChars="199"/>
        <w:rPr>
          <w:rFonts w:ascii="仿宋_GB2312" w:hAnsi="宋体" w:eastAsia="仿宋_GB2312"/>
          <w:sz w:val="30"/>
          <w:szCs w:val="30"/>
        </w:rPr>
      </w:pPr>
      <w:r>
        <w:rPr>
          <w:rFonts w:ascii="仿宋_GB2312" w:hAnsi="宋体" w:eastAsia="仿宋_GB2312"/>
          <w:sz w:val="30"/>
          <w:szCs w:val="30"/>
        </w:rPr>
        <w:t>1.</w:t>
      </w:r>
      <w:r>
        <w:rPr>
          <w:rFonts w:hint="eastAsia" w:ascii="仿宋_GB2312" w:hAnsi="宋体" w:eastAsia="仿宋_GB2312"/>
          <w:sz w:val="30"/>
          <w:szCs w:val="30"/>
        </w:rPr>
        <w:t>基础定额项目费</w:t>
      </w:r>
      <w:r>
        <w:rPr>
          <w:rFonts w:ascii="仿宋_GB2312" w:hAnsi="宋体" w:eastAsia="仿宋_GB2312"/>
          <w:sz w:val="30"/>
          <w:szCs w:val="30"/>
        </w:rPr>
        <w:t>0.</w:t>
      </w:r>
      <w:r>
        <w:rPr>
          <w:rFonts w:hint="eastAsia" w:ascii="仿宋_GB2312" w:hAnsi="宋体" w:eastAsia="仿宋_GB2312"/>
          <w:sz w:val="30"/>
          <w:szCs w:val="30"/>
        </w:rPr>
        <w:t>42万元。包括部门办公费</w:t>
      </w:r>
      <w:r>
        <w:rPr>
          <w:rFonts w:ascii="仿宋_GB2312" w:hAnsi="宋体" w:eastAsia="仿宋_GB2312"/>
          <w:sz w:val="30"/>
          <w:szCs w:val="30"/>
        </w:rPr>
        <w:t>0.</w:t>
      </w:r>
      <w:r>
        <w:rPr>
          <w:rFonts w:hint="eastAsia" w:ascii="仿宋_GB2312" w:hAnsi="宋体" w:eastAsia="仿宋_GB2312"/>
          <w:sz w:val="30"/>
          <w:szCs w:val="30"/>
        </w:rPr>
        <w:t>24万元，邮电费</w:t>
      </w:r>
      <w:r>
        <w:rPr>
          <w:rFonts w:ascii="仿宋_GB2312" w:hAnsi="宋体" w:eastAsia="仿宋_GB2312"/>
          <w:sz w:val="30"/>
          <w:szCs w:val="30"/>
        </w:rPr>
        <w:t>0.18</w:t>
      </w:r>
      <w:r>
        <w:rPr>
          <w:rFonts w:hint="eastAsia" w:ascii="仿宋_GB2312" w:hAnsi="宋体" w:eastAsia="仿宋_GB2312"/>
          <w:sz w:val="30"/>
          <w:szCs w:val="30"/>
        </w:rPr>
        <w:t>万元。</w:t>
      </w:r>
    </w:p>
    <w:p w14:paraId="1D93E3B7">
      <w:pPr>
        <w:tabs>
          <w:tab w:val="left" w:pos="6645"/>
        </w:tabs>
        <w:ind w:firstLine="597" w:firstLineChars="199"/>
        <w:rPr>
          <w:rFonts w:ascii="仿宋_GB2312" w:hAnsi="宋体" w:eastAsia="仿宋_GB2312"/>
          <w:sz w:val="30"/>
          <w:szCs w:val="30"/>
        </w:rPr>
      </w:pPr>
      <w:r>
        <w:rPr>
          <w:rFonts w:ascii="仿宋_GB2312" w:hAnsi="宋体" w:eastAsia="仿宋_GB2312"/>
          <w:sz w:val="30"/>
          <w:szCs w:val="30"/>
        </w:rPr>
        <w:t>2.</w:t>
      </w:r>
      <w:r>
        <w:rPr>
          <w:rFonts w:hint="eastAsia" w:ascii="仿宋_GB2312" w:hAnsi="宋体" w:eastAsia="仿宋_GB2312"/>
          <w:sz w:val="30"/>
          <w:szCs w:val="30"/>
        </w:rPr>
        <w:t>按规定比例计提项目费0.29万元。包括工会经费</w:t>
      </w:r>
      <w:r>
        <w:rPr>
          <w:rFonts w:ascii="仿宋_GB2312" w:hAnsi="宋体" w:eastAsia="仿宋_GB2312"/>
          <w:sz w:val="30"/>
          <w:szCs w:val="30"/>
        </w:rPr>
        <w:t>0</w:t>
      </w:r>
      <w:r>
        <w:rPr>
          <w:rFonts w:hint="eastAsia" w:ascii="仿宋_GB2312" w:hAnsi="宋体" w:eastAsia="仿宋_GB2312"/>
          <w:sz w:val="30"/>
          <w:szCs w:val="30"/>
        </w:rPr>
        <w:t>.12万元，职工福利费</w:t>
      </w:r>
      <w:r>
        <w:rPr>
          <w:rFonts w:ascii="仿宋_GB2312" w:hAnsi="宋体" w:eastAsia="仿宋_GB2312"/>
          <w:sz w:val="30"/>
          <w:szCs w:val="30"/>
        </w:rPr>
        <w:t>0.</w:t>
      </w:r>
      <w:r>
        <w:rPr>
          <w:rFonts w:hint="eastAsia" w:ascii="仿宋_GB2312" w:hAnsi="宋体" w:eastAsia="仿宋_GB2312"/>
          <w:sz w:val="30"/>
          <w:szCs w:val="30"/>
        </w:rPr>
        <w:t>17万元。</w:t>
      </w:r>
    </w:p>
    <w:p w14:paraId="27628916">
      <w:pPr>
        <w:widowControl/>
        <w:spacing w:line="560" w:lineRule="exact"/>
        <w:rPr>
          <w:rFonts w:ascii="黑体" w:hAnsi="黑体" w:eastAsia="黑体" w:cs="黑体"/>
          <w:kern w:val="0"/>
          <w:sz w:val="30"/>
          <w:szCs w:val="30"/>
        </w:rPr>
      </w:pPr>
      <w:r>
        <w:rPr>
          <w:rFonts w:hint="eastAsia" w:ascii="黑体" w:hAnsi="黑体" w:eastAsia="黑体" w:cs="黑体"/>
          <w:b/>
          <w:bCs/>
          <w:kern w:val="0"/>
          <w:sz w:val="30"/>
          <w:szCs w:val="30"/>
        </w:rPr>
        <w:t>四、财政拨款“三公”经费预算情况</w:t>
      </w:r>
    </w:p>
    <w:p w14:paraId="5FE8ED3A">
      <w:pPr>
        <w:ind w:firstLine="450" w:firstLineChars="150"/>
        <w:rPr>
          <w:rFonts w:ascii="仿宋_GB2312" w:eastAsia="仿宋_GB2312"/>
          <w:sz w:val="30"/>
          <w:szCs w:val="30"/>
        </w:rPr>
      </w:pPr>
      <w:r>
        <w:rPr>
          <w:rFonts w:ascii="仿宋_GB2312" w:eastAsia="仿宋_GB2312"/>
          <w:sz w:val="30"/>
          <w:szCs w:val="30"/>
        </w:rPr>
        <w:t>2016</w:t>
      </w:r>
      <w:r>
        <w:rPr>
          <w:rFonts w:hint="eastAsia" w:ascii="仿宋_GB2312" w:eastAsia="仿宋_GB2312"/>
          <w:sz w:val="30"/>
          <w:szCs w:val="30"/>
        </w:rPr>
        <w:t>年团县委“三公”经费预算数3.50万元（其中公务接待费1.50万元，公务用车维护费2.00万元）。</w:t>
      </w:r>
      <w:r>
        <w:rPr>
          <w:rFonts w:ascii="仿宋_GB2312" w:eastAsia="仿宋_GB2312"/>
          <w:sz w:val="30"/>
          <w:szCs w:val="30"/>
        </w:rPr>
        <w:t>2017</w:t>
      </w:r>
      <w:r>
        <w:rPr>
          <w:rFonts w:hint="eastAsia" w:ascii="仿宋_GB2312" w:eastAsia="仿宋_GB2312"/>
          <w:sz w:val="30"/>
          <w:szCs w:val="30"/>
        </w:rPr>
        <w:t>年团县委按照上级文件精神要求，厉行勤俭节约，压缩开支的原则，“三公”经费预算数1.50万元（其中公务接待费1.50万元</w:t>
      </w:r>
      <w:r>
        <w:rPr>
          <w:rFonts w:hint="eastAsia" w:ascii="仿宋_GB2312" w:eastAsia="仿宋_GB2312"/>
          <w:sz w:val="30"/>
          <w:szCs w:val="30"/>
          <w:lang w:eastAsia="zh-CN"/>
        </w:rPr>
        <w:t>，</w:t>
      </w:r>
      <w:r>
        <w:rPr>
          <w:rFonts w:hint="eastAsia" w:ascii="仿宋" w:hAnsi="仿宋" w:eastAsia="仿宋" w:cs="仿宋"/>
          <w:sz w:val="32"/>
          <w:szCs w:val="32"/>
          <w:lang w:val="en-US" w:eastAsia="zh-CN"/>
        </w:rPr>
        <w:t>预计接待27批次，共计350余人次</w:t>
      </w:r>
      <w:r>
        <w:rPr>
          <w:rFonts w:hint="eastAsia" w:ascii="仿宋_GB2312" w:eastAsia="仿宋_GB2312"/>
          <w:sz w:val="30"/>
          <w:szCs w:val="30"/>
        </w:rPr>
        <w:t>）；与</w:t>
      </w:r>
      <w:r>
        <w:rPr>
          <w:rFonts w:ascii="仿宋_GB2312" w:eastAsia="仿宋_GB2312"/>
          <w:sz w:val="30"/>
          <w:szCs w:val="30"/>
        </w:rPr>
        <w:t>2016</w:t>
      </w:r>
      <w:r>
        <w:rPr>
          <w:rFonts w:hint="eastAsia" w:ascii="仿宋_GB2312" w:eastAsia="仿宋_GB2312"/>
          <w:sz w:val="30"/>
          <w:szCs w:val="30"/>
        </w:rPr>
        <w:t>年相比“三公”经费减少2万元，主要是由于</w:t>
      </w:r>
      <w:r>
        <w:rPr>
          <w:rFonts w:hint="eastAsia" w:ascii="仿宋_GB2312" w:eastAsia="仿宋_GB2312"/>
          <w:sz w:val="30"/>
          <w:szCs w:val="30"/>
          <w:lang w:eastAsia="zh-CN"/>
        </w:rPr>
        <w:t>八项规定，</w:t>
      </w:r>
      <w:r>
        <w:rPr>
          <w:rFonts w:hint="eastAsia" w:ascii="仿宋_GB2312" w:eastAsia="仿宋_GB2312"/>
          <w:sz w:val="30"/>
          <w:szCs w:val="30"/>
        </w:rPr>
        <w:t>公务用车制度改革的实施。</w:t>
      </w:r>
    </w:p>
    <w:p w14:paraId="59C203AF">
      <w:pPr>
        <w:ind w:firstLine="450" w:firstLineChars="150"/>
        <w:jc w:val="center"/>
        <w:rPr>
          <w:rFonts w:hint="eastAsia" w:ascii="仿宋_GB2312" w:eastAsia="仿宋_GB2312"/>
          <w:b/>
          <w:sz w:val="30"/>
          <w:szCs w:val="30"/>
          <w:lang w:eastAsia="zh-CN"/>
        </w:rPr>
      </w:pPr>
      <w:r>
        <w:rPr>
          <w:rFonts w:hint="eastAsia" w:ascii="仿宋_GB2312" w:eastAsia="仿宋_GB2312"/>
          <w:b/>
          <w:sz w:val="30"/>
          <w:szCs w:val="30"/>
        </w:rPr>
        <w:t>“三公”经费预算情况及增减</w:t>
      </w:r>
      <w:r>
        <w:rPr>
          <w:rFonts w:hint="eastAsia" w:ascii="仿宋_GB2312" w:eastAsia="仿宋_GB2312"/>
          <w:b/>
          <w:sz w:val="30"/>
          <w:szCs w:val="30"/>
          <w:lang w:eastAsia="zh-CN"/>
        </w:rPr>
        <w:t>变化情况</w:t>
      </w:r>
    </w:p>
    <w:p w14:paraId="755F5819">
      <w:pPr>
        <w:ind w:firstLine="450" w:firstLineChars="150"/>
        <w:jc w:val="right"/>
        <w:rPr>
          <w:rFonts w:ascii="仿宋_GB2312" w:eastAsia="仿宋_GB2312"/>
          <w:sz w:val="30"/>
          <w:szCs w:val="30"/>
        </w:rPr>
      </w:pPr>
      <w:r>
        <w:rPr>
          <w:rFonts w:hint="eastAsia" w:ascii="仿宋_GB2312" w:eastAsia="仿宋_GB2312"/>
          <w:sz w:val="30"/>
          <w:szCs w:val="30"/>
        </w:rPr>
        <w:t>单位：万元</w:t>
      </w:r>
    </w:p>
    <w:tbl>
      <w:tblPr>
        <w:tblStyle w:val="6"/>
        <w:tblW w:w="10257"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2223"/>
        <w:gridCol w:w="2313"/>
        <w:gridCol w:w="1719"/>
        <w:gridCol w:w="2017"/>
      </w:tblGrid>
      <w:tr w14:paraId="3C1BD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2FA8EC3A">
            <w:pPr>
              <w:jc w:val="center"/>
              <w:rPr>
                <w:rFonts w:ascii="仿宋_GB2312" w:eastAsia="仿宋_GB2312"/>
                <w:sz w:val="24"/>
                <w:szCs w:val="24"/>
              </w:rPr>
            </w:pPr>
            <w:r>
              <w:rPr>
                <w:rFonts w:hint="eastAsia" w:ascii="仿宋_GB2312" w:eastAsia="仿宋_GB2312"/>
                <w:sz w:val="24"/>
                <w:szCs w:val="24"/>
              </w:rPr>
              <w:t>项目名称</w:t>
            </w:r>
          </w:p>
        </w:tc>
        <w:tc>
          <w:tcPr>
            <w:tcW w:w="2223" w:type="dxa"/>
          </w:tcPr>
          <w:p w14:paraId="6CB0018B">
            <w:pPr>
              <w:jc w:val="center"/>
              <w:rPr>
                <w:rFonts w:ascii="仿宋_GB2312" w:eastAsia="仿宋_GB2312"/>
                <w:sz w:val="24"/>
                <w:szCs w:val="24"/>
              </w:rPr>
            </w:pPr>
            <w:r>
              <w:rPr>
                <w:rFonts w:hint="eastAsia" w:ascii="仿宋_GB2312" w:eastAsia="仿宋_GB2312"/>
                <w:sz w:val="24"/>
                <w:szCs w:val="24"/>
              </w:rPr>
              <w:t>2016年度预算</w:t>
            </w:r>
          </w:p>
        </w:tc>
        <w:tc>
          <w:tcPr>
            <w:tcW w:w="2313" w:type="dxa"/>
          </w:tcPr>
          <w:p w14:paraId="72F94D37">
            <w:pPr>
              <w:jc w:val="center"/>
              <w:rPr>
                <w:rFonts w:ascii="仿宋_GB2312" w:eastAsia="仿宋_GB2312"/>
                <w:sz w:val="24"/>
                <w:szCs w:val="24"/>
              </w:rPr>
            </w:pPr>
            <w:r>
              <w:rPr>
                <w:rFonts w:hint="eastAsia" w:ascii="仿宋_GB2312" w:eastAsia="仿宋_GB2312"/>
                <w:sz w:val="24"/>
                <w:szCs w:val="24"/>
              </w:rPr>
              <w:t>2017年度预算</w:t>
            </w:r>
          </w:p>
        </w:tc>
        <w:tc>
          <w:tcPr>
            <w:tcW w:w="1719" w:type="dxa"/>
          </w:tcPr>
          <w:p w14:paraId="3423252F">
            <w:pPr>
              <w:jc w:val="center"/>
              <w:rPr>
                <w:rFonts w:ascii="仿宋_GB2312" w:eastAsia="仿宋_GB2312"/>
                <w:sz w:val="24"/>
                <w:szCs w:val="24"/>
              </w:rPr>
            </w:pPr>
            <w:r>
              <w:rPr>
                <w:rFonts w:hint="eastAsia" w:ascii="仿宋_GB2312" w:eastAsia="仿宋_GB2312"/>
                <w:sz w:val="24"/>
                <w:szCs w:val="24"/>
              </w:rPr>
              <w:t>增减金额</w:t>
            </w:r>
          </w:p>
        </w:tc>
        <w:tc>
          <w:tcPr>
            <w:tcW w:w="2017" w:type="dxa"/>
          </w:tcPr>
          <w:p w14:paraId="11067118">
            <w:pPr>
              <w:jc w:val="center"/>
              <w:rPr>
                <w:rFonts w:hint="eastAsia" w:ascii="仿宋_GB2312" w:eastAsia="仿宋_GB2312"/>
                <w:sz w:val="24"/>
                <w:szCs w:val="24"/>
                <w:lang w:eastAsia="zh-CN"/>
              </w:rPr>
            </w:pPr>
            <w:r>
              <w:rPr>
                <w:rFonts w:hint="eastAsia" w:ascii="仿宋_GB2312" w:eastAsia="仿宋_GB2312"/>
                <w:sz w:val="24"/>
                <w:szCs w:val="24"/>
                <w:lang w:eastAsia="zh-CN"/>
              </w:rPr>
              <w:t>变化情况</w:t>
            </w:r>
          </w:p>
        </w:tc>
      </w:tr>
      <w:tr w14:paraId="016D5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0B6992C">
            <w:pPr>
              <w:spacing w:line="560" w:lineRule="exact"/>
              <w:jc w:val="center"/>
              <w:rPr>
                <w:rFonts w:ascii="仿宋_GB2312" w:eastAsia="仿宋_GB2312"/>
                <w:sz w:val="24"/>
                <w:szCs w:val="24"/>
              </w:rPr>
            </w:pPr>
            <w:r>
              <w:rPr>
                <w:rFonts w:hint="eastAsia" w:ascii="仿宋_GB2312" w:eastAsia="仿宋_GB2312"/>
                <w:sz w:val="24"/>
                <w:szCs w:val="24"/>
              </w:rPr>
              <w:t>因公出国经费</w:t>
            </w:r>
          </w:p>
        </w:tc>
        <w:tc>
          <w:tcPr>
            <w:tcW w:w="2223" w:type="dxa"/>
          </w:tcPr>
          <w:p w14:paraId="78D36B35">
            <w:pPr>
              <w:spacing w:line="560" w:lineRule="exact"/>
              <w:jc w:val="center"/>
              <w:rPr>
                <w:rFonts w:ascii="仿宋_GB2312" w:eastAsia="仿宋_GB2312"/>
                <w:sz w:val="24"/>
                <w:szCs w:val="24"/>
              </w:rPr>
            </w:pPr>
            <w:r>
              <w:rPr>
                <w:rFonts w:hint="eastAsia" w:ascii="仿宋_GB2312" w:eastAsia="仿宋_GB2312"/>
                <w:sz w:val="24"/>
                <w:szCs w:val="24"/>
              </w:rPr>
              <w:t>0</w:t>
            </w:r>
          </w:p>
        </w:tc>
        <w:tc>
          <w:tcPr>
            <w:tcW w:w="2313" w:type="dxa"/>
          </w:tcPr>
          <w:p w14:paraId="68DA63C5">
            <w:pPr>
              <w:spacing w:line="560" w:lineRule="exact"/>
              <w:jc w:val="center"/>
              <w:rPr>
                <w:rFonts w:ascii="仿宋_GB2312" w:eastAsia="仿宋_GB2312"/>
                <w:sz w:val="24"/>
                <w:szCs w:val="24"/>
              </w:rPr>
            </w:pPr>
            <w:r>
              <w:rPr>
                <w:rFonts w:hint="eastAsia" w:ascii="仿宋_GB2312" w:eastAsia="仿宋_GB2312"/>
                <w:sz w:val="24"/>
                <w:szCs w:val="24"/>
              </w:rPr>
              <w:t>0</w:t>
            </w:r>
          </w:p>
        </w:tc>
        <w:tc>
          <w:tcPr>
            <w:tcW w:w="1719" w:type="dxa"/>
          </w:tcPr>
          <w:p w14:paraId="23C7CA63">
            <w:pPr>
              <w:spacing w:line="560" w:lineRule="exact"/>
              <w:jc w:val="center"/>
              <w:rPr>
                <w:rFonts w:ascii="仿宋_GB2312" w:eastAsia="仿宋_GB2312"/>
                <w:sz w:val="24"/>
                <w:szCs w:val="24"/>
              </w:rPr>
            </w:pPr>
            <w:r>
              <w:rPr>
                <w:rFonts w:hint="eastAsia" w:ascii="仿宋_GB2312" w:eastAsia="仿宋_GB2312"/>
                <w:sz w:val="24"/>
                <w:szCs w:val="24"/>
              </w:rPr>
              <w:t>0</w:t>
            </w:r>
          </w:p>
        </w:tc>
        <w:tc>
          <w:tcPr>
            <w:tcW w:w="2017" w:type="dxa"/>
          </w:tcPr>
          <w:p w14:paraId="2F2E096C">
            <w:pPr>
              <w:spacing w:line="560" w:lineRule="exact"/>
              <w:jc w:val="center"/>
              <w:rPr>
                <w:rFonts w:ascii="仿宋_GB2312" w:eastAsia="仿宋_GB2312"/>
                <w:sz w:val="24"/>
                <w:szCs w:val="24"/>
              </w:rPr>
            </w:pPr>
            <w:r>
              <w:rPr>
                <w:rFonts w:hint="eastAsia" w:ascii="仿宋_GB2312" w:eastAsia="仿宋_GB2312"/>
                <w:sz w:val="24"/>
                <w:szCs w:val="24"/>
              </w:rPr>
              <w:t>无增减变化</w:t>
            </w:r>
          </w:p>
        </w:tc>
      </w:tr>
      <w:tr w14:paraId="083F4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1B66BB4C">
            <w:pPr>
              <w:spacing w:line="560" w:lineRule="exact"/>
              <w:jc w:val="left"/>
              <w:rPr>
                <w:rFonts w:ascii="仿宋_GB2312" w:eastAsia="仿宋_GB2312"/>
                <w:sz w:val="24"/>
                <w:szCs w:val="24"/>
              </w:rPr>
            </w:pPr>
            <w:r>
              <w:rPr>
                <w:rFonts w:hint="eastAsia" w:ascii="仿宋_GB2312" w:eastAsia="仿宋_GB2312"/>
                <w:sz w:val="24"/>
                <w:szCs w:val="24"/>
              </w:rPr>
              <w:t>公务用车购置经费</w:t>
            </w:r>
          </w:p>
        </w:tc>
        <w:tc>
          <w:tcPr>
            <w:tcW w:w="2223" w:type="dxa"/>
          </w:tcPr>
          <w:p w14:paraId="4BC24977">
            <w:pPr>
              <w:spacing w:line="560" w:lineRule="exact"/>
              <w:jc w:val="center"/>
              <w:rPr>
                <w:rFonts w:ascii="仿宋_GB2312" w:eastAsia="仿宋_GB2312"/>
                <w:sz w:val="24"/>
                <w:szCs w:val="24"/>
              </w:rPr>
            </w:pPr>
            <w:r>
              <w:rPr>
                <w:rFonts w:hint="eastAsia" w:ascii="仿宋_GB2312" w:eastAsia="仿宋_GB2312"/>
                <w:sz w:val="24"/>
                <w:szCs w:val="24"/>
              </w:rPr>
              <w:t>0</w:t>
            </w:r>
          </w:p>
        </w:tc>
        <w:tc>
          <w:tcPr>
            <w:tcW w:w="2313" w:type="dxa"/>
          </w:tcPr>
          <w:p w14:paraId="03C333F1">
            <w:pPr>
              <w:spacing w:line="560" w:lineRule="exact"/>
              <w:jc w:val="center"/>
              <w:rPr>
                <w:rFonts w:ascii="仿宋_GB2312" w:eastAsia="仿宋_GB2312"/>
                <w:sz w:val="24"/>
                <w:szCs w:val="24"/>
              </w:rPr>
            </w:pPr>
            <w:r>
              <w:rPr>
                <w:rFonts w:hint="eastAsia" w:ascii="仿宋_GB2312" w:eastAsia="仿宋_GB2312"/>
                <w:sz w:val="24"/>
                <w:szCs w:val="24"/>
              </w:rPr>
              <w:t>0</w:t>
            </w:r>
          </w:p>
        </w:tc>
        <w:tc>
          <w:tcPr>
            <w:tcW w:w="1719" w:type="dxa"/>
          </w:tcPr>
          <w:p w14:paraId="07785615">
            <w:pPr>
              <w:spacing w:line="560" w:lineRule="exact"/>
              <w:jc w:val="center"/>
              <w:rPr>
                <w:rFonts w:ascii="仿宋_GB2312" w:eastAsia="仿宋_GB2312"/>
                <w:sz w:val="24"/>
                <w:szCs w:val="24"/>
              </w:rPr>
            </w:pPr>
            <w:r>
              <w:rPr>
                <w:rFonts w:hint="eastAsia" w:ascii="仿宋_GB2312" w:eastAsia="仿宋_GB2312"/>
                <w:sz w:val="24"/>
                <w:szCs w:val="24"/>
              </w:rPr>
              <w:t>0</w:t>
            </w:r>
          </w:p>
        </w:tc>
        <w:tc>
          <w:tcPr>
            <w:tcW w:w="2017" w:type="dxa"/>
          </w:tcPr>
          <w:p w14:paraId="57975A08">
            <w:pPr>
              <w:spacing w:line="560" w:lineRule="exact"/>
              <w:jc w:val="center"/>
              <w:rPr>
                <w:rFonts w:ascii="仿宋_GB2312" w:eastAsia="仿宋_GB2312"/>
                <w:sz w:val="24"/>
                <w:szCs w:val="24"/>
              </w:rPr>
            </w:pPr>
            <w:r>
              <w:rPr>
                <w:rFonts w:hint="eastAsia" w:ascii="仿宋_GB2312" w:eastAsia="仿宋_GB2312"/>
                <w:sz w:val="24"/>
                <w:szCs w:val="24"/>
              </w:rPr>
              <w:t>无增减变化</w:t>
            </w:r>
          </w:p>
        </w:tc>
      </w:tr>
      <w:tr w14:paraId="08074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161C0831">
            <w:pPr>
              <w:spacing w:line="560" w:lineRule="exact"/>
              <w:jc w:val="left"/>
              <w:rPr>
                <w:rFonts w:ascii="仿宋_GB2312" w:eastAsia="仿宋_GB2312"/>
                <w:sz w:val="24"/>
                <w:szCs w:val="24"/>
              </w:rPr>
            </w:pPr>
            <w:r>
              <w:rPr>
                <w:rFonts w:hint="eastAsia" w:ascii="仿宋_GB2312" w:eastAsia="仿宋_GB2312"/>
                <w:sz w:val="24"/>
                <w:szCs w:val="24"/>
              </w:rPr>
              <w:t>公务用车运行经费</w:t>
            </w:r>
          </w:p>
        </w:tc>
        <w:tc>
          <w:tcPr>
            <w:tcW w:w="2223" w:type="dxa"/>
          </w:tcPr>
          <w:p w14:paraId="49CAB625">
            <w:pPr>
              <w:spacing w:line="560" w:lineRule="exact"/>
              <w:jc w:val="center"/>
              <w:rPr>
                <w:rFonts w:ascii="仿宋_GB2312" w:eastAsia="仿宋_GB2312"/>
                <w:sz w:val="24"/>
                <w:szCs w:val="24"/>
              </w:rPr>
            </w:pPr>
            <w:r>
              <w:rPr>
                <w:rFonts w:hint="eastAsia" w:ascii="仿宋_GB2312" w:eastAsia="仿宋_GB2312"/>
                <w:sz w:val="24"/>
                <w:szCs w:val="24"/>
              </w:rPr>
              <w:t>2</w:t>
            </w:r>
          </w:p>
        </w:tc>
        <w:tc>
          <w:tcPr>
            <w:tcW w:w="2313" w:type="dxa"/>
          </w:tcPr>
          <w:p w14:paraId="0E0B4DD7">
            <w:pPr>
              <w:spacing w:line="560" w:lineRule="exact"/>
              <w:jc w:val="center"/>
              <w:rPr>
                <w:rFonts w:ascii="仿宋_GB2312" w:eastAsia="仿宋_GB2312"/>
                <w:sz w:val="24"/>
                <w:szCs w:val="24"/>
              </w:rPr>
            </w:pPr>
            <w:r>
              <w:rPr>
                <w:rFonts w:hint="eastAsia" w:ascii="仿宋_GB2312" w:eastAsia="仿宋_GB2312"/>
                <w:sz w:val="24"/>
                <w:szCs w:val="24"/>
              </w:rPr>
              <w:t>0</w:t>
            </w:r>
          </w:p>
        </w:tc>
        <w:tc>
          <w:tcPr>
            <w:tcW w:w="1719" w:type="dxa"/>
          </w:tcPr>
          <w:p w14:paraId="25425D0A">
            <w:pPr>
              <w:spacing w:line="560" w:lineRule="exact"/>
              <w:jc w:val="center"/>
              <w:rPr>
                <w:rFonts w:ascii="仿宋_GB2312" w:eastAsia="仿宋_GB2312"/>
                <w:sz w:val="24"/>
                <w:szCs w:val="24"/>
              </w:rPr>
            </w:pPr>
            <w:r>
              <w:rPr>
                <w:rFonts w:hint="eastAsia" w:ascii="仿宋_GB2312" w:eastAsia="仿宋_GB2312"/>
                <w:sz w:val="24"/>
                <w:szCs w:val="24"/>
              </w:rPr>
              <w:t>-2</w:t>
            </w:r>
          </w:p>
        </w:tc>
        <w:tc>
          <w:tcPr>
            <w:tcW w:w="2017" w:type="dxa"/>
          </w:tcPr>
          <w:p w14:paraId="4C7EB7A9">
            <w:pPr>
              <w:spacing w:line="560" w:lineRule="exact"/>
              <w:jc w:val="left"/>
              <w:rPr>
                <w:rFonts w:ascii="仿宋_GB2312" w:eastAsia="仿宋_GB2312"/>
                <w:sz w:val="24"/>
                <w:szCs w:val="24"/>
              </w:rPr>
            </w:pPr>
            <w:r>
              <w:rPr>
                <w:rFonts w:hint="eastAsia" w:ascii="仿宋_GB2312" w:eastAsia="仿宋_GB2312"/>
                <w:sz w:val="24"/>
                <w:szCs w:val="24"/>
              </w:rPr>
              <w:t>公务用车制度改革的实施</w:t>
            </w:r>
          </w:p>
        </w:tc>
      </w:tr>
      <w:tr w14:paraId="42F1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68D9BCB6">
            <w:pPr>
              <w:spacing w:line="560" w:lineRule="exact"/>
              <w:jc w:val="left"/>
              <w:rPr>
                <w:rFonts w:ascii="仿宋_GB2312" w:eastAsia="仿宋_GB2312"/>
                <w:sz w:val="24"/>
                <w:szCs w:val="24"/>
              </w:rPr>
            </w:pPr>
            <w:r>
              <w:rPr>
                <w:rFonts w:hint="eastAsia" w:ascii="仿宋_GB2312" w:eastAsia="仿宋_GB2312"/>
                <w:sz w:val="24"/>
                <w:szCs w:val="24"/>
              </w:rPr>
              <w:t>公务接待费支出</w:t>
            </w:r>
          </w:p>
        </w:tc>
        <w:tc>
          <w:tcPr>
            <w:tcW w:w="2223" w:type="dxa"/>
          </w:tcPr>
          <w:p w14:paraId="12FBFB8C">
            <w:pPr>
              <w:spacing w:line="560" w:lineRule="exact"/>
              <w:jc w:val="center"/>
              <w:rPr>
                <w:rFonts w:ascii="仿宋_GB2312" w:eastAsia="仿宋_GB2312"/>
                <w:sz w:val="24"/>
                <w:szCs w:val="24"/>
              </w:rPr>
            </w:pPr>
            <w:r>
              <w:rPr>
                <w:rFonts w:hint="eastAsia" w:ascii="仿宋_GB2312" w:eastAsia="仿宋_GB2312"/>
                <w:sz w:val="24"/>
                <w:szCs w:val="24"/>
              </w:rPr>
              <w:t>1.5</w:t>
            </w:r>
          </w:p>
        </w:tc>
        <w:tc>
          <w:tcPr>
            <w:tcW w:w="2313" w:type="dxa"/>
          </w:tcPr>
          <w:p w14:paraId="66137682">
            <w:pPr>
              <w:spacing w:line="560" w:lineRule="exact"/>
              <w:jc w:val="center"/>
              <w:rPr>
                <w:rFonts w:ascii="仿宋_GB2312" w:eastAsia="仿宋_GB2312"/>
                <w:sz w:val="24"/>
                <w:szCs w:val="24"/>
              </w:rPr>
            </w:pPr>
            <w:r>
              <w:rPr>
                <w:rFonts w:hint="eastAsia" w:ascii="仿宋_GB2312" w:eastAsia="仿宋_GB2312"/>
                <w:sz w:val="24"/>
                <w:szCs w:val="24"/>
              </w:rPr>
              <w:t>1.5</w:t>
            </w:r>
          </w:p>
        </w:tc>
        <w:tc>
          <w:tcPr>
            <w:tcW w:w="1719" w:type="dxa"/>
          </w:tcPr>
          <w:p w14:paraId="3D2CDDB6">
            <w:pPr>
              <w:spacing w:line="560" w:lineRule="exact"/>
              <w:jc w:val="center"/>
              <w:rPr>
                <w:rFonts w:ascii="仿宋_GB2312" w:eastAsia="仿宋_GB2312"/>
                <w:sz w:val="24"/>
                <w:szCs w:val="24"/>
              </w:rPr>
            </w:pPr>
            <w:r>
              <w:rPr>
                <w:rFonts w:hint="eastAsia" w:ascii="仿宋_GB2312" w:eastAsia="仿宋_GB2312"/>
                <w:sz w:val="24"/>
                <w:szCs w:val="24"/>
              </w:rPr>
              <w:t>0</w:t>
            </w:r>
          </w:p>
        </w:tc>
        <w:tc>
          <w:tcPr>
            <w:tcW w:w="2017" w:type="dxa"/>
          </w:tcPr>
          <w:p w14:paraId="1839EE01">
            <w:pPr>
              <w:spacing w:line="560" w:lineRule="exact"/>
              <w:jc w:val="center"/>
              <w:rPr>
                <w:rFonts w:ascii="仿宋_GB2312" w:eastAsia="仿宋_GB2312"/>
                <w:sz w:val="24"/>
                <w:szCs w:val="24"/>
              </w:rPr>
            </w:pPr>
            <w:r>
              <w:rPr>
                <w:rFonts w:hint="eastAsia" w:ascii="仿宋_GB2312" w:eastAsia="仿宋_GB2312"/>
                <w:sz w:val="24"/>
                <w:szCs w:val="24"/>
              </w:rPr>
              <w:t>无增减变化</w:t>
            </w:r>
          </w:p>
        </w:tc>
      </w:tr>
      <w:tr w14:paraId="3A30B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5" w:type="dxa"/>
          </w:tcPr>
          <w:p w14:paraId="50BB64F3">
            <w:pPr>
              <w:spacing w:line="560" w:lineRule="exact"/>
              <w:jc w:val="center"/>
              <w:rPr>
                <w:rFonts w:ascii="仿宋_GB2312" w:eastAsia="仿宋_GB2312"/>
                <w:sz w:val="24"/>
                <w:szCs w:val="24"/>
              </w:rPr>
            </w:pPr>
            <w:r>
              <w:rPr>
                <w:rFonts w:hint="eastAsia" w:ascii="仿宋_GB2312" w:eastAsia="仿宋_GB2312"/>
                <w:sz w:val="24"/>
                <w:szCs w:val="24"/>
              </w:rPr>
              <w:t>合计</w:t>
            </w:r>
          </w:p>
        </w:tc>
        <w:tc>
          <w:tcPr>
            <w:tcW w:w="2223" w:type="dxa"/>
          </w:tcPr>
          <w:p w14:paraId="13057459">
            <w:pPr>
              <w:spacing w:line="560" w:lineRule="exact"/>
              <w:jc w:val="center"/>
              <w:rPr>
                <w:rFonts w:ascii="仿宋_GB2312" w:eastAsia="仿宋_GB2312"/>
                <w:sz w:val="24"/>
                <w:szCs w:val="24"/>
              </w:rPr>
            </w:pPr>
            <w:r>
              <w:rPr>
                <w:rFonts w:hint="eastAsia" w:ascii="仿宋_GB2312" w:eastAsia="仿宋_GB2312"/>
                <w:sz w:val="24"/>
                <w:szCs w:val="24"/>
              </w:rPr>
              <w:t>3.5</w:t>
            </w:r>
          </w:p>
        </w:tc>
        <w:tc>
          <w:tcPr>
            <w:tcW w:w="2313" w:type="dxa"/>
          </w:tcPr>
          <w:p w14:paraId="7377B9A9">
            <w:pPr>
              <w:spacing w:line="560" w:lineRule="exact"/>
              <w:jc w:val="center"/>
              <w:rPr>
                <w:rFonts w:ascii="仿宋_GB2312" w:eastAsia="仿宋_GB2312"/>
                <w:sz w:val="24"/>
                <w:szCs w:val="24"/>
              </w:rPr>
            </w:pPr>
            <w:r>
              <w:rPr>
                <w:rFonts w:hint="eastAsia" w:ascii="仿宋_GB2312" w:eastAsia="仿宋_GB2312"/>
                <w:sz w:val="24"/>
                <w:szCs w:val="24"/>
              </w:rPr>
              <w:t>1.5</w:t>
            </w:r>
          </w:p>
        </w:tc>
        <w:tc>
          <w:tcPr>
            <w:tcW w:w="1719" w:type="dxa"/>
          </w:tcPr>
          <w:p w14:paraId="76176F14">
            <w:pPr>
              <w:spacing w:line="560" w:lineRule="exact"/>
              <w:jc w:val="center"/>
              <w:rPr>
                <w:rFonts w:ascii="仿宋_GB2312" w:eastAsia="仿宋_GB2312"/>
                <w:sz w:val="24"/>
                <w:szCs w:val="24"/>
              </w:rPr>
            </w:pPr>
            <w:r>
              <w:rPr>
                <w:rFonts w:hint="eastAsia" w:ascii="仿宋_GB2312" w:eastAsia="仿宋_GB2312"/>
                <w:sz w:val="24"/>
                <w:szCs w:val="24"/>
              </w:rPr>
              <w:t>-2</w:t>
            </w:r>
          </w:p>
        </w:tc>
        <w:tc>
          <w:tcPr>
            <w:tcW w:w="2017" w:type="dxa"/>
          </w:tcPr>
          <w:p w14:paraId="45AD357C">
            <w:pPr>
              <w:spacing w:line="560" w:lineRule="exact"/>
              <w:jc w:val="left"/>
              <w:rPr>
                <w:rFonts w:ascii="仿宋_GB2312" w:eastAsia="仿宋_GB2312"/>
                <w:sz w:val="24"/>
                <w:szCs w:val="24"/>
              </w:rPr>
            </w:pPr>
            <w:r>
              <w:rPr>
                <w:rFonts w:hint="eastAsia" w:ascii="仿宋_GB2312" w:eastAsia="仿宋_GB2312"/>
                <w:sz w:val="24"/>
                <w:szCs w:val="24"/>
              </w:rPr>
              <w:t>公务用车制度改革的实施</w:t>
            </w:r>
          </w:p>
        </w:tc>
      </w:tr>
    </w:tbl>
    <w:p w14:paraId="6A17A92F">
      <w:pPr>
        <w:widowControl/>
        <w:spacing w:line="560" w:lineRule="exact"/>
        <w:rPr>
          <w:rFonts w:hint="eastAsia" w:ascii="黑体" w:hAnsi="黑体" w:eastAsia="黑体" w:cs="黑体"/>
          <w:kern w:val="0"/>
          <w:sz w:val="30"/>
          <w:szCs w:val="30"/>
        </w:rPr>
      </w:pPr>
      <w:r>
        <w:rPr>
          <w:rFonts w:hint="eastAsia" w:ascii="黑体" w:hAnsi="黑体" w:eastAsia="黑体" w:cs="黑体"/>
          <w:kern w:val="0"/>
          <w:sz w:val="30"/>
          <w:szCs w:val="30"/>
        </w:rPr>
        <w:t xml:space="preserve"> </w:t>
      </w:r>
    </w:p>
    <w:p w14:paraId="6E3C8AE2">
      <w:pPr>
        <w:widowControl/>
        <w:spacing w:line="560" w:lineRule="exact"/>
        <w:rPr>
          <w:rFonts w:hint="eastAsia" w:ascii="黑体" w:hAnsi="黑体" w:eastAsia="黑体" w:cs="黑体"/>
          <w:kern w:val="0"/>
          <w:sz w:val="30"/>
          <w:szCs w:val="30"/>
        </w:rPr>
      </w:pPr>
      <w:r>
        <w:rPr>
          <w:rFonts w:hint="eastAsia" w:ascii="仿宋" w:hAnsi="仿宋" w:eastAsia="仿宋" w:cs="仿宋"/>
          <w:sz w:val="32"/>
          <w:szCs w:val="32"/>
          <w:lang w:val="en-US" w:eastAsia="zh-CN"/>
        </w:rPr>
        <w:t xml:space="preserve">    会议费2万元，预计召开五四青年节表彰大会、乡镇团委书记换届等会议6次，累计参加会议人数3000余人次；培训费2万元，预计开展大学生西部计划志愿者、乡镇团委换届等培训会10次，总计2000余人次。</w:t>
      </w:r>
    </w:p>
    <w:p w14:paraId="472CA246">
      <w:pPr>
        <w:widowControl/>
        <w:spacing w:line="560" w:lineRule="exact"/>
        <w:rPr>
          <w:rFonts w:ascii="仿宋" w:hAnsi="仿宋" w:eastAsia="仿宋" w:cs="仿宋"/>
          <w:b/>
          <w:bCs/>
          <w:kern w:val="0"/>
          <w:sz w:val="30"/>
          <w:szCs w:val="30"/>
        </w:rPr>
      </w:pPr>
      <w:r>
        <w:rPr>
          <w:rFonts w:hint="eastAsia" w:ascii="黑体" w:hAnsi="黑体" w:eastAsia="黑体" w:cs="黑体"/>
          <w:kern w:val="0"/>
          <w:sz w:val="30"/>
          <w:szCs w:val="30"/>
        </w:rPr>
        <w:t>五、绩效预算信息情况</w:t>
      </w:r>
    </w:p>
    <w:p w14:paraId="0EC94C46">
      <w:pPr>
        <w:widowControl/>
        <w:spacing w:line="560" w:lineRule="exact"/>
        <w:ind w:firstLine="640"/>
        <w:rPr>
          <w:rFonts w:ascii="仿宋" w:hAnsi="仿宋" w:eastAsia="仿宋" w:cs="仿宋"/>
          <w:kern w:val="0"/>
          <w:sz w:val="30"/>
          <w:szCs w:val="30"/>
        </w:rPr>
      </w:pPr>
      <w:r>
        <w:rPr>
          <w:rFonts w:hint="eastAsia" w:ascii="仿宋_GB2312" w:hAnsi="仿宋_GB2312" w:eastAsia="仿宋_GB2312" w:cs="仿宋_GB2312"/>
          <w:kern w:val="0"/>
          <w:sz w:val="30"/>
          <w:szCs w:val="30"/>
        </w:rPr>
        <w:t>总体绩效目标：团县委紧紧围绕党政中心，以及青年思想动态、工作现状开展各项活动，从而进一步夯实乡镇、学校等基层共青团组织建设，深化共青团改革，大力推进共青团基层组织建设；继续深入推进青年就业创业培训，充分利用五四青年节活动，增强青年凝聚力，做好青年统战对象的团结教育、引领、服务工作，为全县经济社会发展贡献力量。</w:t>
      </w:r>
    </w:p>
    <w:p w14:paraId="023E3BD7">
      <w:pPr>
        <w:widowControl/>
        <w:spacing w:line="560" w:lineRule="exact"/>
        <w:ind w:firstLine="640"/>
        <w:rPr>
          <w:rFonts w:ascii="仿宋" w:hAnsi="仿宋" w:eastAsia="仿宋" w:cs="仿宋"/>
          <w:kern w:val="0"/>
          <w:sz w:val="30"/>
          <w:szCs w:val="30"/>
        </w:rPr>
      </w:pPr>
    </w:p>
    <w:p w14:paraId="37D8DC74">
      <w:pPr>
        <w:widowControl/>
        <w:spacing w:line="560" w:lineRule="exact"/>
        <w:ind w:firstLine="640"/>
        <w:rPr>
          <w:rFonts w:ascii="仿宋" w:hAnsi="仿宋" w:eastAsia="仿宋" w:cs="仿宋"/>
          <w:kern w:val="0"/>
          <w:sz w:val="30"/>
          <w:szCs w:val="30"/>
        </w:rPr>
      </w:pPr>
    </w:p>
    <w:p w14:paraId="0CA9D813">
      <w:pPr>
        <w:widowControl/>
        <w:spacing w:line="560" w:lineRule="exact"/>
        <w:ind w:firstLine="640"/>
        <w:rPr>
          <w:rFonts w:ascii="仿宋" w:hAnsi="仿宋" w:eastAsia="仿宋" w:cs="仿宋"/>
          <w:kern w:val="0"/>
          <w:sz w:val="30"/>
          <w:szCs w:val="30"/>
        </w:rPr>
      </w:pPr>
    </w:p>
    <w:p w14:paraId="00CE5426">
      <w:pPr>
        <w:widowControl/>
        <w:spacing w:line="560" w:lineRule="exact"/>
        <w:ind w:firstLine="640"/>
        <w:rPr>
          <w:rFonts w:ascii="仿宋" w:hAnsi="仿宋" w:eastAsia="仿宋" w:cs="仿宋"/>
          <w:kern w:val="0"/>
          <w:sz w:val="30"/>
          <w:szCs w:val="30"/>
        </w:rPr>
      </w:pPr>
    </w:p>
    <w:p w14:paraId="70A1C664">
      <w:pPr>
        <w:widowControl/>
        <w:spacing w:line="560" w:lineRule="exact"/>
        <w:ind w:firstLine="640"/>
        <w:rPr>
          <w:rFonts w:ascii="仿宋" w:hAnsi="仿宋" w:eastAsia="仿宋" w:cs="仿宋"/>
          <w:kern w:val="0"/>
          <w:sz w:val="30"/>
          <w:szCs w:val="30"/>
        </w:rPr>
      </w:pPr>
    </w:p>
    <w:p w14:paraId="7CA5DD8F">
      <w:pPr>
        <w:widowControl/>
        <w:spacing w:line="560" w:lineRule="exact"/>
        <w:ind w:firstLine="640"/>
        <w:rPr>
          <w:rFonts w:ascii="仿宋" w:hAnsi="仿宋" w:eastAsia="仿宋" w:cs="仿宋"/>
          <w:kern w:val="0"/>
          <w:sz w:val="30"/>
          <w:szCs w:val="30"/>
        </w:rPr>
      </w:pPr>
    </w:p>
    <w:p w14:paraId="64987179">
      <w:pPr>
        <w:widowControl/>
        <w:spacing w:line="560" w:lineRule="exact"/>
        <w:ind w:firstLine="640"/>
        <w:rPr>
          <w:rFonts w:ascii="仿宋" w:hAnsi="仿宋" w:eastAsia="仿宋" w:cs="仿宋"/>
          <w:kern w:val="0"/>
          <w:sz w:val="30"/>
          <w:szCs w:val="30"/>
        </w:rPr>
      </w:pPr>
    </w:p>
    <w:p w14:paraId="1C6233E9">
      <w:pPr>
        <w:widowControl/>
        <w:spacing w:line="560" w:lineRule="exact"/>
        <w:ind w:firstLine="640"/>
        <w:rPr>
          <w:rFonts w:ascii="仿宋" w:hAnsi="仿宋" w:eastAsia="仿宋" w:cs="仿宋"/>
          <w:kern w:val="0"/>
          <w:sz w:val="30"/>
          <w:szCs w:val="30"/>
        </w:rPr>
      </w:pPr>
    </w:p>
    <w:p w14:paraId="27818E21">
      <w:pPr>
        <w:widowControl/>
        <w:spacing w:line="560" w:lineRule="exact"/>
        <w:ind w:firstLine="640"/>
        <w:rPr>
          <w:rFonts w:ascii="仿宋" w:hAnsi="仿宋" w:eastAsia="仿宋" w:cs="仿宋"/>
          <w:kern w:val="0"/>
          <w:sz w:val="30"/>
          <w:szCs w:val="30"/>
        </w:rPr>
      </w:pPr>
    </w:p>
    <w:p w14:paraId="3ED974A6">
      <w:pPr>
        <w:widowControl/>
        <w:spacing w:line="560" w:lineRule="exact"/>
        <w:ind w:firstLine="640"/>
        <w:rPr>
          <w:rFonts w:ascii="仿宋" w:hAnsi="仿宋" w:eastAsia="仿宋" w:cs="仿宋"/>
          <w:kern w:val="0"/>
          <w:sz w:val="30"/>
          <w:szCs w:val="30"/>
        </w:rPr>
      </w:pPr>
    </w:p>
    <w:p w14:paraId="799EE5C5">
      <w:pPr>
        <w:widowControl/>
        <w:spacing w:line="560" w:lineRule="exact"/>
        <w:ind w:firstLine="640"/>
        <w:rPr>
          <w:rFonts w:ascii="仿宋" w:hAnsi="仿宋" w:eastAsia="仿宋" w:cs="仿宋"/>
          <w:kern w:val="0"/>
          <w:sz w:val="30"/>
          <w:szCs w:val="30"/>
        </w:rPr>
      </w:pPr>
    </w:p>
    <w:p w14:paraId="7EE60896">
      <w:pPr>
        <w:jc w:val="center"/>
        <w:outlineLvl w:val="0"/>
        <w:rPr>
          <w:rFonts w:ascii="方正小标宋_GBK" w:eastAsia="方正小标宋_GBK"/>
          <w:sz w:val="32"/>
        </w:rPr>
        <w:sectPr>
          <w:pgSz w:w="11907" w:h="16839"/>
          <w:pgMar w:top="1361" w:right="1021" w:bottom="1361" w:left="1021" w:header="851" w:footer="992" w:gutter="0"/>
          <w:cols w:space="425" w:num="1"/>
          <w:docGrid w:type="linesAndChars" w:linePitch="312" w:charSpace="0"/>
        </w:sectPr>
      </w:pPr>
      <w:bookmarkStart w:id="0" w:name="_Toc446713336"/>
    </w:p>
    <w:p w14:paraId="10097A65">
      <w:pPr>
        <w:jc w:val="center"/>
        <w:outlineLvl w:val="0"/>
        <w:rPr>
          <w:rFonts w:ascii="方正小标宋_GBK" w:eastAsia="方正小标宋_GBK"/>
          <w:sz w:val="32"/>
        </w:rPr>
      </w:pPr>
      <w:r>
        <w:rPr>
          <w:rFonts w:hint="eastAsia" w:ascii="方正小标宋_GBK" w:eastAsia="方正小标宋_GBK"/>
          <w:sz w:val="32"/>
        </w:rPr>
        <w:t>部门职责-工作活动绩效目标</w:t>
      </w:r>
      <w:bookmarkEnd w:id="0"/>
    </w:p>
    <w:tbl>
      <w:tblPr>
        <w:tblStyle w:val="5"/>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38C829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3934" w:type="dxa"/>
            <w:gridSpan w:val="9"/>
            <w:tcBorders>
              <w:top w:val="single" w:color="FFFFFF" w:sz="6" w:space="0"/>
              <w:left w:val="single" w:color="FFFFFF" w:sz="6" w:space="0"/>
              <w:right w:val="single" w:color="FFFFFF" w:sz="6" w:space="0"/>
            </w:tcBorders>
            <w:shd w:val="clear" w:color="auto" w:fill="auto"/>
            <w:vAlign w:val="center"/>
          </w:tcPr>
          <w:p w14:paraId="5332352F">
            <w:pPr>
              <w:spacing w:line="300" w:lineRule="exact"/>
              <w:jc w:val="left"/>
              <w:rPr>
                <w:rFonts w:ascii="方正小标宋_GBK" w:eastAsia="方正小标宋_GBK"/>
                <w:sz w:val="24"/>
              </w:rPr>
            </w:pPr>
            <w:r>
              <w:rPr>
                <w:rFonts w:ascii="方正小标宋_GBK" w:eastAsia="方正小标宋_GBK"/>
                <w:sz w:val="24"/>
              </w:rPr>
              <w:t>712</w:t>
            </w:r>
            <w:r>
              <w:rPr>
                <w:rFonts w:hint="eastAsia" w:ascii="方正小标宋_GBK" w:eastAsia="方正小标宋_GBK"/>
                <w:sz w:val="24"/>
              </w:rPr>
              <w:t>中国共产主义青年团涞水县委员会</w:t>
            </w:r>
          </w:p>
        </w:tc>
      </w:tr>
      <w:tr w14:paraId="4B58B2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shd w:val="clear" w:color="auto" w:fill="auto"/>
            <w:vAlign w:val="center"/>
          </w:tcPr>
          <w:p w14:paraId="37365B3A">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shd w:val="clear" w:color="auto" w:fill="auto"/>
            <w:vAlign w:val="center"/>
          </w:tcPr>
          <w:p w14:paraId="41340F98">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shd w:val="clear" w:color="auto" w:fill="auto"/>
            <w:vAlign w:val="center"/>
          </w:tcPr>
          <w:p w14:paraId="584A8838">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shd w:val="clear" w:color="auto" w:fill="auto"/>
            <w:vAlign w:val="center"/>
          </w:tcPr>
          <w:p w14:paraId="116AEA5A">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shd w:val="clear" w:color="auto" w:fill="auto"/>
            <w:vAlign w:val="center"/>
          </w:tcPr>
          <w:p w14:paraId="3DC2594E">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shd w:val="clear" w:color="auto" w:fill="auto"/>
            <w:vAlign w:val="center"/>
          </w:tcPr>
          <w:p w14:paraId="11227108">
            <w:pPr>
              <w:spacing w:line="300" w:lineRule="exact"/>
              <w:jc w:val="center"/>
              <w:rPr>
                <w:rFonts w:ascii="方正书宋_GBK" w:eastAsia="方正书宋_GBK"/>
                <w:b/>
              </w:rPr>
            </w:pPr>
            <w:r>
              <w:rPr>
                <w:rFonts w:hint="eastAsia" w:ascii="方正书宋_GBK" w:eastAsia="方正书宋_GBK"/>
                <w:b/>
              </w:rPr>
              <w:t>评价标准</w:t>
            </w:r>
          </w:p>
        </w:tc>
      </w:tr>
      <w:tr w14:paraId="3143DC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shd w:val="clear" w:color="auto" w:fill="auto"/>
            <w:vAlign w:val="center"/>
          </w:tcPr>
          <w:p w14:paraId="784F2625">
            <w:pPr>
              <w:spacing w:line="300" w:lineRule="exact"/>
              <w:jc w:val="left"/>
              <w:outlineLvl w:val="0"/>
            </w:pPr>
          </w:p>
        </w:tc>
        <w:tc>
          <w:tcPr>
            <w:tcW w:w="1276" w:type="dxa"/>
            <w:vMerge w:val="continue"/>
            <w:shd w:val="clear" w:color="auto" w:fill="auto"/>
            <w:vAlign w:val="center"/>
          </w:tcPr>
          <w:p w14:paraId="729367BC">
            <w:pPr>
              <w:spacing w:line="300" w:lineRule="exact"/>
              <w:jc w:val="left"/>
              <w:outlineLvl w:val="0"/>
            </w:pPr>
          </w:p>
        </w:tc>
        <w:tc>
          <w:tcPr>
            <w:tcW w:w="2976" w:type="dxa"/>
            <w:vMerge w:val="continue"/>
            <w:shd w:val="clear" w:color="auto" w:fill="auto"/>
            <w:vAlign w:val="center"/>
          </w:tcPr>
          <w:p w14:paraId="3264303D">
            <w:pPr>
              <w:spacing w:line="300" w:lineRule="exact"/>
              <w:jc w:val="left"/>
              <w:outlineLvl w:val="0"/>
            </w:pPr>
          </w:p>
        </w:tc>
        <w:tc>
          <w:tcPr>
            <w:tcW w:w="2976" w:type="dxa"/>
            <w:vMerge w:val="continue"/>
            <w:shd w:val="clear" w:color="auto" w:fill="auto"/>
            <w:vAlign w:val="center"/>
          </w:tcPr>
          <w:p w14:paraId="298A23FC">
            <w:pPr>
              <w:spacing w:line="300" w:lineRule="exact"/>
              <w:jc w:val="left"/>
              <w:outlineLvl w:val="0"/>
            </w:pPr>
          </w:p>
        </w:tc>
        <w:tc>
          <w:tcPr>
            <w:tcW w:w="1417" w:type="dxa"/>
            <w:vMerge w:val="continue"/>
            <w:shd w:val="clear" w:color="auto" w:fill="auto"/>
            <w:vAlign w:val="center"/>
          </w:tcPr>
          <w:p w14:paraId="712990EB">
            <w:pPr>
              <w:spacing w:line="300" w:lineRule="exact"/>
              <w:jc w:val="left"/>
              <w:outlineLvl w:val="0"/>
            </w:pPr>
          </w:p>
        </w:tc>
        <w:tc>
          <w:tcPr>
            <w:tcW w:w="737" w:type="dxa"/>
            <w:shd w:val="clear" w:color="auto" w:fill="auto"/>
            <w:vAlign w:val="center"/>
          </w:tcPr>
          <w:p w14:paraId="04DAFDB1">
            <w:pPr>
              <w:spacing w:line="300" w:lineRule="exact"/>
              <w:jc w:val="center"/>
              <w:rPr>
                <w:rFonts w:ascii="方正书宋_GBK" w:eastAsia="方正书宋_GBK"/>
                <w:b/>
              </w:rPr>
            </w:pPr>
            <w:r>
              <w:rPr>
                <w:rFonts w:hint="eastAsia" w:ascii="方正书宋_GBK" w:eastAsia="方正书宋_GBK"/>
                <w:b/>
              </w:rPr>
              <w:t>优</w:t>
            </w:r>
          </w:p>
        </w:tc>
        <w:tc>
          <w:tcPr>
            <w:tcW w:w="737" w:type="dxa"/>
            <w:shd w:val="clear" w:color="auto" w:fill="auto"/>
            <w:vAlign w:val="center"/>
          </w:tcPr>
          <w:p w14:paraId="5FEE276D">
            <w:pPr>
              <w:spacing w:line="300" w:lineRule="exact"/>
              <w:jc w:val="center"/>
              <w:rPr>
                <w:rFonts w:ascii="方正书宋_GBK" w:eastAsia="方正书宋_GBK"/>
                <w:b/>
              </w:rPr>
            </w:pPr>
            <w:r>
              <w:rPr>
                <w:rFonts w:hint="eastAsia" w:ascii="方正书宋_GBK" w:eastAsia="方正书宋_GBK"/>
                <w:b/>
              </w:rPr>
              <w:t>良</w:t>
            </w:r>
          </w:p>
        </w:tc>
        <w:tc>
          <w:tcPr>
            <w:tcW w:w="737" w:type="dxa"/>
            <w:shd w:val="clear" w:color="auto" w:fill="auto"/>
            <w:vAlign w:val="center"/>
          </w:tcPr>
          <w:p w14:paraId="47CDEDAD">
            <w:pPr>
              <w:spacing w:line="300" w:lineRule="exact"/>
              <w:jc w:val="center"/>
              <w:rPr>
                <w:rFonts w:ascii="方正书宋_GBK" w:eastAsia="方正书宋_GBK"/>
                <w:b/>
              </w:rPr>
            </w:pPr>
            <w:r>
              <w:rPr>
                <w:rFonts w:hint="eastAsia" w:ascii="方正书宋_GBK" w:eastAsia="方正书宋_GBK"/>
                <w:b/>
              </w:rPr>
              <w:t>中</w:t>
            </w:r>
          </w:p>
        </w:tc>
        <w:tc>
          <w:tcPr>
            <w:tcW w:w="737" w:type="dxa"/>
            <w:shd w:val="clear" w:color="auto" w:fill="auto"/>
            <w:vAlign w:val="center"/>
          </w:tcPr>
          <w:p w14:paraId="5F701205">
            <w:pPr>
              <w:spacing w:line="300" w:lineRule="exact"/>
              <w:jc w:val="center"/>
              <w:rPr>
                <w:rFonts w:ascii="方正书宋_GBK" w:eastAsia="方正书宋_GBK"/>
                <w:b/>
              </w:rPr>
            </w:pPr>
            <w:r>
              <w:rPr>
                <w:rFonts w:hint="eastAsia" w:ascii="方正书宋_GBK" w:eastAsia="方正书宋_GBK"/>
                <w:b/>
              </w:rPr>
              <w:t>差</w:t>
            </w:r>
          </w:p>
        </w:tc>
      </w:tr>
      <w:tr w14:paraId="23E085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B52AEA3">
            <w:pPr>
              <w:spacing w:line="300" w:lineRule="exact"/>
              <w:jc w:val="left"/>
              <w:rPr>
                <w:rFonts w:ascii="方正书宋_GBK" w:eastAsia="方正书宋_GBK"/>
                <w:b/>
              </w:rPr>
            </w:pPr>
            <w:r>
              <w:rPr>
                <w:rFonts w:ascii="方正书宋_GBK" w:eastAsia="方正书宋_GBK"/>
                <w:b/>
              </w:rPr>
              <w:t>1.</w:t>
            </w:r>
            <w:r>
              <w:rPr>
                <w:rFonts w:hint="eastAsia" w:ascii="方正书宋_GBK" w:eastAsia="方正书宋_GBK"/>
                <w:b/>
              </w:rPr>
              <w:t>组织建设和宣传教育</w:t>
            </w:r>
          </w:p>
        </w:tc>
        <w:tc>
          <w:tcPr>
            <w:tcW w:w="1276" w:type="dxa"/>
            <w:shd w:val="clear" w:color="auto" w:fill="auto"/>
            <w:vAlign w:val="center"/>
          </w:tcPr>
          <w:p w14:paraId="743F5891">
            <w:pPr>
              <w:spacing w:line="300" w:lineRule="exact"/>
              <w:jc w:val="left"/>
              <w:rPr>
                <w:rFonts w:ascii="方正书宋_GBK" w:eastAsia="方正书宋_GBK"/>
              </w:rPr>
            </w:pPr>
          </w:p>
        </w:tc>
        <w:tc>
          <w:tcPr>
            <w:tcW w:w="2976" w:type="dxa"/>
            <w:shd w:val="clear" w:color="auto" w:fill="auto"/>
            <w:vAlign w:val="center"/>
          </w:tcPr>
          <w:p w14:paraId="6CEBA065">
            <w:pPr>
              <w:spacing w:line="300" w:lineRule="exact"/>
              <w:jc w:val="left"/>
              <w:rPr>
                <w:rFonts w:ascii="方正书宋_GBK" w:eastAsia="方正书宋_GBK"/>
              </w:rPr>
            </w:pPr>
            <w:r>
              <w:rPr>
                <w:rFonts w:hint="eastAsia" w:ascii="方正书宋_GBK" w:eastAsia="方正书宋_GBK"/>
              </w:rPr>
              <w:t>领导全县共青团工作，指导全县青联和少先队工作，对全县性青年社团组织指导和管理；对青少年活动阵地和青少年服务机构的建设等进行规划和管理；协助县政府教育部门做好学生教育管理工作。</w:t>
            </w:r>
          </w:p>
        </w:tc>
        <w:tc>
          <w:tcPr>
            <w:tcW w:w="2976" w:type="dxa"/>
            <w:shd w:val="clear" w:color="auto" w:fill="auto"/>
            <w:vAlign w:val="center"/>
          </w:tcPr>
          <w:p w14:paraId="395A272F">
            <w:pPr>
              <w:spacing w:line="300" w:lineRule="exact"/>
              <w:jc w:val="left"/>
              <w:rPr>
                <w:rFonts w:ascii="方正书宋_GBK" w:eastAsia="方正书宋_GBK"/>
              </w:rPr>
            </w:pPr>
            <w:r>
              <w:rPr>
                <w:rFonts w:hint="eastAsia" w:ascii="方正书宋_GBK" w:eastAsia="方正书宋_GBK"/>
              </w:rPr>
              <w:t>加强团干部思想、作风建设，团干部教育培训；加强对青联、少工委工作的指导；基层团组织服务能力不断提高；构建团的网络新媒体工作阵地；利用重要节点节日、各类阵地、各种形式进行思想引导。</w:t>
            </w:r>
          </w:p>
        </w:tc>
        <w:tc>
          <w:tcPr>
            <w:tcW w:w="1417" w:type="dxa"/>
            <w:shd w:val="clear" w:color="auto" w:fill="auto"/>
            <w:vAlign w:val="center"/>
          </w:tcPr>
          <w:p w14:paraId="717D1ECA">
            <w:pPr>
              <w:spacing w:line="300" w:lineRule="exact"/>
              <w:jc w:val="left"/>
              <w:rPr>
                <w:rFonts w:ascii="方正书宋_GBK" w:eastAsia="方正书宋_GBK"/>
              </w:rPr>
            </w:pPr>
          </w:p>
        </w:tc>
        <w:tc>
          <w:tcPr>
            <w:tcW w:w="737" w:type="dxa"/>
            <w:shd w:val="clear" w:color="auto" w:fill="auto"/>
            <w:vAlign w:val="center"/>
          </w:tcPr>
          <w:p w14:paraId="428D654E">
            <w:pPr>
              <w:spacing w:line="300" w:lineRule="exact"/>
              <w:jc w:val="center"/>
              <w:rPr>
                <w:rFonts w:ascii="方正书宋_GBK" w:eastAsia="方正书宋_GBK"/>
              </w:rPr>
            </w:pPr>
          </w:p>
        </w:tc>
        <w:tc>
          <w:tcPr>
            <w:tcW w:w="737" w:type="dxa"/>
            <w:shd w:val="clear" w:color="auto" w:fill="auto"/>
            <w:vAlign w:val="center"/>
          </w:tcPr>
          <w:p w14:paraId="31097B03">
            <w:pPr>
              <w:spacing w:line="300" w:lineRule="exact"/>
              <w:jc w:val="center"/>
              <w:rPr>
                <w:rFonts w:ascii="方正书宋_GBK" w:eastAsia="方正书宋_GBK"/>
              </w:rPr>
            </w:pPr>
          </w:p>
        </w:tc>
        <w:tc>
          <w:tcPr>
            <w:tcW w:w="737" w:type="dxa"/>
            <w:shd w:val="clear" w:color="auto" w:fill="auto"/>
            <w:vAlign w:val="center"/>
          </w:tcPr>
          <w:p w14:paraId="740407AC">
            <w:pPr>
              <w:spacing w:line="300" w:lineRule="exact"/>
              <w:jc w:val="center"/>
              <w:rPr>
                <w:rFonts w:ascii="方正书宋_GBK" w:eastAsia="方正书宋_GBK"/>
              </w:rPr>
            </w:pPr>
          </w:p>
        </w:tc>
        <w:tc>
          <w:tcPr>
            <w:tcW w:w="737" w:type="dxa"/>
            <w:shd w:val="clear" w:color="auto" w:fill="auto"/>
            <w:vAlign w:val="center"/>
          </w:tcPr>
          <w:p w14:paraId="7DBDA8A7">
            <w:pPr>
              <w:spacing w:line="300" w:lineRule="exact"/>
              <w:jc w:val="center"/>
              <w:rPr>
                <w:rFonts w:ascii="方正书宋_GBK" w:eastAsia="方正书宋_GBK"/>
              </w:rPr>
            </w:pPr>
          </w:p>
        </w:tc>
      </w:tr>
      <w:tr w14:paraId="6726D3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9522793">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 xml:space="preserve"> 1.1</w:t>
            </w:r>
            <w:r>
              <w:rPr>
                <w:rFonts w:hint="eastAsia" w:ascii="方正书宋_GBK" w:eastAsia="方正书宋_GBK"/>
                <w:b/>
              </w:rPr>
              <w:t>组织建设</w:t>
            </w:r>
          </w:p>
        </w:tc>
        <w:tc>
          <w:tcPr>
            <w:tcW w:w="1276" w:type="dxa"/>
            <w:shd w:val="clear" w:color="auto" w:fill="auto"/>
            <w:vAlign w:val="center"/>
          </w:tcPr>
          <w:p w14:paraId="3DC247BF">
            <w:pPr>
              <w:spacing w:line="300" w:lineRule="exact"/>
              <w:jc w:val="left"/>
              <w:rPr>
                <w:rFonts w:ascii="方正书宋_GBK" w:eastAsia="方正书宋_GBK"/>
              </w:rPr>
            </w:pPr>
          </w:p>
        </w:tc>
        <w:tc>
          <w:tcPr>
            <w:tcW w:w="2976" w:type="dxa"/>
            <w:shd w:val="clear" w:color="auto" w:fill="auto"/>
            <w:vAlign w:val="center"/>
          </w:tcPr>
          <w:p w14:paraId="4D31A130">
            <w:pPr>
              <w:spacing w:line="300" w:lineRule="exact"/>
              <w:jc w:val="left"/>
              <w:rPr>
                <w:rFonts w:ascii="方正书宋_GBK" w:eastAsia="方正书宋_GBK"/>
              </w:rPr>
            </w:pPr>
            <w:r>
              <w:rPr>
                <w:rFonts w:hint="eastAsia" w:ascii="方正书宋_GBK" w:eastAsia="方正书宋_GBK"/>
              </w:rPr>
              <w:t>指导全县青联和少先队工作，对全县性青年社团组织进行指导和管理；对青少年活动阵地和青少年服务机构的建设等事务进行规划和管理。</w:t>
            </w:r>
          </w:p>
        </w:tc>
        <w:tc>
          <w:tcPr>
            <w:tcW w:w="2976" w:type="dxa"/>
            <w:shd w:val="clear" w:color="auto" w:fill="auto"/>
            <w:vAlign w:val="center"/>
          </w:tcPr>
          <w:p w14:paraId="3F794779">
            <w:pPr>
              <w:spacing w:line="300" w:lineRule="exact"/>
              <w:jc w:val="left"/>
              <w:rPr>
                <w:rFonts w:ascii="方正书宋_GBK" w:eastAsia="方正书宋_GBK"/>
              </w:rPr>
            </w:pPr>
            <w:r>
              <w:rPr>
                <w:rFonts w:hint="eastAsia" w:ascii="方正书宋_GBK" w:eastAsia="方正书宋_GBK"/>
              </w:rPr>
              <w:t>加强团干部配备和激励，加强思想、作风建设，团干部教育培训；加强青联、少工委工作的指导，加强青年社团组织以及青少年活动阵地的指导和管理。基层团组织服务能力不断提高。</w:t>
            </w:r>
          </w:p>
        </w:tc>
        <w:tc>
          <w:tcPr>
            <w:tcW w:w="1417" w:type="dxa"/>
            <w:shd w:val="clear" w:color="auto" w:fill="auto"/>
            <w:vAlign w:val="center"/>
          </w:tcPr>
          <w:p w14:paraId="0E171604">
            <w:pPr>
              <w:spacing w:line="300" w:lineRule="exact"/>
              <w:jc w:val="left"/>
              <w:rPr>
                <w:rFonts w:ascii="方正书宋_GBK" w:eastAsia="方正书宋_GBK"/>
              </w:rPr>
            </w:pPr>
            <w:r>
              <w:rPr>
                <w:rFonts w:hint="eastAsia" w:ascii="方正书宋_GBK" w:eastAsia="方正书宋_GBK"/>
              </w:rPr>
              <w:t>县乡村三级团组织规范化建设完成率</w:t>
            </w:r>
          </w:p>
        </w:tc>
        <w:tc>
          <w:tcPr>
            <w:tcW w:w="737" w:type="dxa"/>
            <w:shd w:val="clear" w:color="auto" w:fill="auto"/>
            <w:vAlign w:val="center"/>
          </w:tcPr>
          <w:p w14:paraId="2E789ABF">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及以上</w:t>
            </w:r>
          </w:p>
        </w:tc>
        <w:tc>
          <w:tcPr>
            <w:tcW w:w="737" w:type="dxa"/>
            <w:shd w:val="clear" w:color="auto" w:fill="auto"/>
            <w:vAlign w:val="center"/>
          </w:tcPr>
          <w:p w14:paraId="5C3178D2">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及以上</w:t>
            </w:r>
          </w:p>
        </w:tc>
        <w:tc>
          <w:tcPr>
            <w:tcW w:w="737" w:type="dxa"/>
            <w:shd w:val="clear" w:color="auto" w:fill="auto"/>
            <w:vAlign w:val="center"/>
          </w:tcPr>
          <w:p w14:paraId="22C59E76">
            <w:pPr>
              <w:spacing w:line="300" w:lineRule="exact"/>
              <w:jc w:val="center"/>
              <w:rPr>
                <w:rFonts w:ascii="方正书宋_GBK" w:eastAsia="方正书宋_GBK"/>
              </w:rPr>
            </w:pPr>
            <w:r>
              <w:rPr>
                <w:rFonts w:ascii="方正书宋_GBK" w:eastAsia="方正书宋_GBK"/>
              </w:rPr>
              <w:t>70%</w:t>
            </w:r>
            <w:r>
              <w:rPr>
                <w:rFonts w:hint="eastAsia" w:ascii="方正书宋_GBK" w:eastAsia="方正书宋_GBK"/>
              </w:rPr>
              <w:t>及以上</w:t>
            </w:r>
          </w:p>
        </w:tc>
        <w:tc>
          <w:tcPr>
            <w:tcW w:w="737" w:type="dxa"/>
            <w:shd w:val="clear" w:color="auto" w:fill="auto"/>
            <w:vAlign w:val="center"/>
          </w:tcPr>
          <w:p w14:paraId="13CAEE42">
            <w:pPr>
              <w:spacing w:line="300" w:lineRule="exact"/>
              <w:jc w:val="center"/>
              <w:rPr>
                <w:rFonts w:ascii="方正书宋_GBK" w:eastAsia="方正书宋_GBK"/>
              </w:rPr>
            </w:pPr>
            <w:r>
              <w:rPr>
                <w:rFonts w:ascii="方正书宋_GBK" w:eastAsia="方正书宋_GBK"/>
              </w:rPr>
              <w:t>70%</w:t>
            </w:r>
            <w:r>
              <w:rPr>
                <w:rFonts w:hint="eastAsia" w:ascii="方正书宋_GBK" w:eastAsia="方正书宋_GBK"/>
              </w:rPr>
              <w:t>以下</w:t>
            </w:r>
          </w:p>
        </w:tc>
      </w:tr>
      <w:tr w14:paraId="35FDA3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3B39C380">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1.2</w:t>
            </w:r>
            <w:r>
              <w:rPr>
                <w:rFonts w:hint="eastAsia" w:ascii="方正书宋_GBK" w:eastAsia="方正书宋_GBK"/>
                <w:b/>
              </w:rPr>
              <w:t>宣传教育</w:t>
            </w:r>
          </w:p>
        </w:tc>
        <w:tc>
          <w:tcPr>
            <w:tcW w:w="1276" w:type="dxa"/>
            <w:vMerge w:val="restart"/>
            <w:shd w:val="clear" w:color="auto" w:fill="auto"/>
            <w:vAlign w:val="center"/>
          </w:tcPr>
          <w:p w14:paraId="691720C1">
            <w:pPr>
              <w:spacing w:line="300" w:lineRule="exact"/>
              <w:jc w:val="left"/>
              <w:rPr>
                <w:rFonts w:ascii="方正书宋_GBK" w:eastAsia="方正书宋_GBK"/>
              </w:rPr>
            </w:pPr>
          </w:p>
        </w:tc>
        <w:tc>
          <w:tcPr>
            <w:tcW w:w="2976" w:type="dxa"/>
            <w:vMerge w:val="restart"/>
            <w:shd w:val="clear" w:color="auto" w:fill="auto"/>
            <w:vAlign w:val="center"/>
          </w:tcPr>
          <w:p w14:paraId="52C5F57A">
            <w:pPr>
              <w:spacing w:line="300" w:lineRule="exact"/>
              <w:jc w:val="left"/>
              <w:rPr>
                <w:rFonts w:ascii="方正书宋_GBK" w:eastAsia="方正书宋_GBK"/>
              </w:rPr>
            </w:pPr>
            <w:r>
              <w:rPr>
                <w:rFonts w:hint="eastAsia" w:ascii="方正书宋_GBK" w:eastAsia="方正书宋_GBK"/>
              </w:rPr>
              <w:t>有效利用网络和新媒体加强对青年的宣传力度，加强网络和新媒体正面宣传，用科学理论武装青年，用共同理想感召青年，用核心价值观引领青年，协助县政府教育部门做好中小学学生的教育管理工作，维护学校稳定和社会安定团结。</w:t>
            </w:r>
          </w:p>
        </w:tc>
        <w:tc>
          <w:tcPr>
            <w:tcW w:w="2976" w:type="dxa"/>
            <w:vMerge w:val="restart"/>
            <w:shd w:val="clear" w:color="auto" w:fill="auto"/>
            <w:vAlign w:val="center"/>
          </w:tcPr>
          <w:p w14:paraId="01909168">
            <w:pPr>
              <w:spacing w:line="300" w:lineRule="exact"/>
              <w:jc w:val="left"/>
              <w:rPr>
                <w:rFonts w:ascii="方正书宋_GBK" w:eastAsia="方正书宋_GBK"/>
              </w:rPr>
            </w:pPr>
            <w:r>
              <w:rPr>
                <w:rFonts w:hint="eastAsia" w:ascii="方正书宋_GBK" w:eastAsia="方正书宋_GBK"/>
              </w:rPr>
              <w:t>构建团的网络新媒体工作阵地，运用新媒体全方位推进团的工作；利用重要节点节日、各类阵地、各种形式进行思想引导，培养青年骨干，打造适应青少年特点的文化产品。维护青少年队伍稳定，促进和谐社会建设。</w:t>
            </w:r>
          </w:p>
        </w:tc>
        <w:tc>
          <w:tcPr>
            <w:tcW w:w="1417" w:type="dxa"/>
            <w:shd w:val="clear" w:color="auto" w:fill="auto"/>
            <w:vAlign w:val="center"/>
          </w:tcPr>
          <w:p w14:paraId="288F0661">
            <w:pPr>
              <w:spacing w:line="300" w:lineRule="exact"/>
              <w:jc w:val="left"/>
              <w:rPr>
                <w:rFonts w:ascii="方正书宋_GBK" w:eastAsia="方正书宋_GBK"/>
              </w:rPr>
            </w:pPr>
            <w:r>
              <w:rPr>
                <w:rFonts w:hint="eastAsia" w:ascii="方正书宋_GBK" w:eastAsia="方正书宋_GBK"/>
              </w:rPr>
              <w:t>希望工程资助完成率</w:t>
            </w:r>
          </w:p>
        </w:tc>
        <w:tc>
          <w:tcPr>
            <w:tcW w:w="737" w:type="dxa"/>
            <w:shd w:val="clear" w:color="auto" w:fill="auto"/>
            <w:vAlign w:val="center"/>
          </w:tcPr>
          <w:p w14:paraId="33DA4836">
            <w:pPr>
              <w:spacing w:line="300" w:lineRule="exact"/>
              <w:jc w:val="center"/>
              <w:rPr>
                <w:rFonts w:ascii="方正书宋_GBK" w:eastAsia="方正书宋_GBK"/>
              </w:rPr>
            </w:pPr>
            <w:r>
              <w:rPr>
                <w:rFonts w:ascii="方正书宋_GBK" w:eastAsia="方正书宋_GBK"/>
              </w:rPr>
              <w:t>1</w:t>
            </w:r>
          </w:p>
        </w:tc>
        <w:tc>
          <w:tcPr>
            <w:tcW w:w="737" w:type="dxa"/>
            <w:shd w:val="clear" w:color="auto" w:fill="auto"/>
            <w:vAlign w:val="center"/>
          </w:tcPr>
          <w:p w14:paraId="6FD0D31A">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及以上</w:t>
            </w:r>
          </w:p>
        </w:tc>
        <w:tc>
          <w:tcPr>
            <w:tcW w:w="737" w:type="dxa"/>
            <w:shd w:val="clear" w:color="auto" w:fill="auto"/>
            <w:vAlign w:val="center"/>
          </w:tcPr>
          <w:p w14:paraId="0DA45C5B">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及以上</w:t>
            </w:r>
          </w:p>
        </w:tc>
        <w:tc>
          <w:tcPr>
            <w:tcW w:w="737" w:type="dxa"/>
            <w:shd w:val="clear" w:color="auto" w:fill="auto"/>
            <w:vAlign w:val="center"/>
          </w:tcPr>
          <w:p w14:paraId="142C0EDE">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以下</w:t>
            </w:r>
          </w:p>
        </w:tc>
      </w:tr>
      <w:tr w14:paraId="2BA5E0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40CF994A">
            <w:pPr>
              <w:spacing w:line="300" w:lineRule="exact"/>
              <w:jc w:val="left"/>
              <w:rPr>
                <w:rFonts w:ascii="方正书宋_GBK" w:eastAsia="方正书宋_GBK"/>
                <w:b/>
              </w:rPr>
            </w:pPr>
          </w:p>
        </w:tc>
        <w:tc>
          <w:tcPr>
            <w:tcW w:w="1276" w:type="dxa"/>
            <w:vMerge w:val="continue"/>
            <w:shd w:val="clear" w:color="auto" w:fill="auto"/>
            <w:vAlign w:val="center"/>
          </w:tcPr>
          <w:p w14:paraId="4F987ED4">
            <w:pPr>
              <w:spacing w:line="300" w:lineRule="exact"/>
              <w:jc w:val="left"/>
              <w:rPr>
                <w:rFonts w:ascii="方正书宋_GBK" w:eastAsia="方正书宋_GBK"/>
              </w:rPr>
            </w:pPr>
          </w:p>
        </w:tc>
        <w:tc>
          <w:tcPr>
            <w:tcW w:w="2976" w:type="dxa"/>
            <w:vMerge w:val="continue"/>
            <w:shd w:val="clear" w:color="auto" w:fill="auto"/>
            <w:vAlign w:val="center"/>
          </w:tcPr>
          <w:p w14:paraId="693880E2">
            <w:pPr>
              <w:spacing w:line="300" w:lineRule="exact"/>
              <w:jc w:val="left"/>
              <w:rPr>
                <w:rFonts w:ascii="方正书宋_GBK" w:eastAsia="方正书宋_GBK"/>
              </w:rPr>
            </w:pPr>
          </w:p>
        </w:tc>
        <w:tc>
          <w:tcPr>
            <w:tcW w:w="2976" w:type="dxa"/>
            <w:vMerge w:val="continue"/>
            <w:shd w:val="clear" w:color="auto" w:fill="auto"/>
            <w:vAlign w:val="center"/>
          </w:tcPr>
          <w:p w14:paraId="131C9FDE">
            <w:pPr>
              <w:spacing w:line="300" w:lineRule="exact"/>
              <w:jc w:val="left"/>
              <w:rPr>
                <w:rFonts w:ascii="方正书宋_GBK" w:eastAsia="方正书宋_GBK"/>
              </w:rPr>
            </w:pPr>
          </w:p>
        </w:tc>
        <w:tc>
          <w:tcPr>
            <w:tcW w:w="1417" w:type="dxa"/>
            <w:shd w:val="clear" w:color="auto" w:fill="auto"/>
            <w:vAlign w:val="center"/>
          </w:tcPr>
          <w:p w14:paraId="2B025A6F">
            <w:pPr>
              <w:spacing w:line="300" w:lineRule="exact"/>
              <w:jc w:val="left"/>
              <w:rPr>
                <w:rFonts w:ascii="方正书宋_GBK" w:eastAsia="方正书宋_GBK"/>
              </w:rPr>
            </w:pPr>
            <w:r>
              <w:rPr>
                <w:rFonts w:hint="eastAsia" w:ascii="方正书宋_GBK" w:eastAsia="方正书宋_GBK"/>
              </w:rPr>
              <w:t>团干部培训覆盖率</w:t>
            </w:r>
          </w:p>
        </w:tc>
        <w:tc>
          <w:tcPr>
            <w:tcW w:w="737" w:type="dxa"/>
            <w:shd w:val="clear" w:color="auto" w:fill="auto"/>
            <w:vAlign w:val="center"/>
          </w:tcPr>
          <w:p w14:paraId="431366E6">
            <w:pPr>
              <w:spacing w:line="300" w:lineRule="exact"/>
              <w:jc w:val="center"/>
              <w:rPr>
                <w:rFonts w:ascii="方正书宋_GBK" w:eastAsia="方正书宋_GBK"/>
              </w:rPr>
            </w:pPr>
            <w:r>
              <w:rPr>
                <w:rFonts w:ascii="方正书宋_GBK" w:eastAsia="方正书宋_GBK"/>
              </w:rPr>
              <w:t>95%</w:t>
            </w:r>
            <w:r>
              <w:rPr>
                <w:rFonts w:hint="eastAsia" w:ascii="方正书宋_GBK" w:eastAsia="方正书宋_GBK"/>
              </w:rPr>
              <w:t>及以上</w:t>
            </w:r>
          </w:p>
        </w:tc>
        <w:tc>
          <w:tcPr>
            <w:tcW w:w="737" w:type="dxa"/>
            <w:shd w:val="clear" w:color="auto" w:fill="auto"/>
            <w:vAlign w:val="center"/>
          </w:tcPr>
          <w:p w14:paraId="47B828FA">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及以上</w:t>
            </w:r>
          </w:p>
        </w:tc>
        <w:tc>
          <w:tcPr>
            <w:tcW w:w="737" w:type="dxa"/>
            <w:shd w:val="clear" w:color="auto" w:fill="auto"/>
            <w:vAlign w:val="center"/>
          </w:tcPr>
          <w:p w14:paraId="1B972E87">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及以上</w:t>
            </w:r>
          </w:p>
        </w:tc>
        <w:tc>
          <w:tcPr>
            <w:tcW w:w="737" w:type="dxa"/>
            <w:shd w:val="clear" w:color="auto" w:fill="auto"/>
            <w:vAlign w:val="center"/>
          </w:tcPr>
          <w:p w14:paraId="6D547291">
            <w:pPr>
              <w:spacing w:line="300" w:lineRule="exact"/>
              <w:jc w:val="center"/>
              <w:rPr>
                <w:rFonts w:ascii="方正书宋_GBK" w:eastAsia="方正书宋_GBK"/>
              </w:rPr>
            </w:pPr>
            <w:r>
              <w:rPr>
                <w:rFonts w:ascii="方正书宋_GBK" w:eastAsia="方正书宋_GBK"/>
              </w:rPr>
              <w:t>85%</w:t>
            </w:r>
            <w:r>
              <w:rPr>
                <w:rFonts w:hint="eastAsia" w:ascii="方正书宋_GBK" w:eastAsia="方正书宋_GBK"/>
              </w:rPr>
              <w:t>以下</w:t>
            </w:r>
          </w:p>
        </w:tc>
      </w:tr>
      <w:tr w14:paraId="029097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0AFBA82B">
            <w:pPr>
              <w:spacing w:line="300" w:lineRule="exact"/>
              <w:jc w:val="left"/>
              <w:rPr>
                <w:rFonts w:ascii="方正书宋_GBK" w:eastAsia="方正书宋_GBK"/>
                <w:b/>
              </w:rPr>
            </w:pPr>
            <w:r>
              <w:rPr>
                <w:rFonts w:ascii="方正书宋_GBK" w:eastAsia="方正书宋_GBK"/>
                <w:b/>
              </w:rPr>
              <w:t>2.</w:t>
            </w:r>
            <w:r>
              <w:rPr>
                <w:rFonts w:hint="eastAsia" w:ascii="方正书宋_GBK" w:eastAsia="方正书宋_GBK"/>
                <w:b/>
              </w:rPr>
              <w:t>服务、引导青少年工作</w:t>
            </w:r>
          </w:p>
        </w:tc>
        <w:tc>
          <w:tcPr>
            <w:tcW w:w="1276" w:type="dxa"/>
            <w:shd w:val="clear" w:color="auto" w:fill="auto"/>
            <w:vAlign w:val="center"/>
          </w:tcPr>
          <w:p w14:paraId="045466D0">
            <w:pPr>
              <w:spacing w:line="300" w:lineRule="exact"/>
              <w:jc w:val="left"/>
              <w:rPr>
                <w:rFonts w:ascii="方正书宋_GBK" w:eastAsia="方正书宋_GBK"/>
              </w:rPr>
            </w:pPr>
          </w:p>
        </w:tc>
        <w:tc>
          <w:tcPr>
            <w:tcW w:w="2976" w:type="dxa"/>
            <w:shd w:val="clear" w:color="auto" w:fill="auto"/>
            <w:vAlign w:val="center"/>
          </w:tcPr>
          <w:p w14:paraId="316DD2F4">
            <w:pPr>
              <w:spacing w:line="300" w:lineRule="exact"/>
              <w:jc w:val="left"/>
              <w:rPr>
                <w:rFonts w:ascii="方正书宋_GBK" w:eastAsia="方正书宋_GBK"/>
              </w:rPr>
            </w:pPr>
            <w:r>
              <w:rPr>
                <w:rFonts w:hint="eastAsia" w:ascii="方正书宋_GBK" w:eastAsia="方正书宋_GBK"/>
              </w:rPr>
              <w:t>调查青年思想动态和工作状况，研究青少年运动、青少年工作理论和思想教育问题并开展各种活动；组织和带领青年在经济建设中发挥生力军和突击队作用；丰富青少年活动，服务青年学习成才、交流交友、社会融入等现实需求。</w:t>
            </w:r>
          </w:p>
        </w:tc>
        <w:tc>
          <w:tcPr>
            <w:tcW w:w="2976" w:type="dxa"/>
            <w:shd w:val="clear" w:color="auto" w:fill="auto"/>
            <w:vAlign w:val="center"/>
          </w:tcPr>
          <w:p w14:paraId="4D96B6BB">
            <w:pPr>
              <w:spacing w:line="300" w:lineRule="exact"/>
              <w:jc w:val="left"/>
              <w:rPr>
                <w:rFonts w:ascii="方正书宋_GBK" w:eastAsia="方正书宋_GBK"/>
              </w:rPr>
            </w:pPr>
            <w:r>
              <w:rPr>
                <w:rFonts w:hint="eastAsia" w:ascii="方正书宋_GBK" w:eastAsia="方正书宋_GBK"/>
              </w:rPr>
              <w:t>组织开展各种活动，全力服务青少年健康成长，做好青年统战对象的团结教育工作，积极为全县社会发展贡献力量。</w:t>
            </w:r>
          </w:p>
        </w:tc>
        <w:tc>
          <w:tcPr>
            <w:tcW w:w="1417" w:type="dxa"/>
            <w:shd w:val="clear" w:color="auto" w:fill="auto"/>
            <w:vAlign w:val="center"/>
          </w:tcPr>
          <w:p w14:paraId="562865AC">
            <w:pPr>
              <w:spacing w:line="300" w:lineRule="exact"/>
              <w:jc w:val="left"/>
              <w:rPr>
                <w:rFonts w:ascii="方正书宋_GBK" w:eastAsia="方正书宋_GBK"/>
              </w:rPr>
            </w:pPr>
          </w:p>
        </w:tc>
        <w:tc>
          <w:tcPr>
            <w:tcW w:w="737" w:type="dxa"/>
            <w:shd w:val="clear" w:color="auto" w:fill="auto"/>
            <w:vAlign w:val="center"/>
          </w:tcPr>
          <w:p w14:paraId="5C44A0EA">
            <w:pPr>
              <w:spacing w:line="300" w:lineRule="exact"/>
              <w:jc w:val="center"/>
              <w:rPr>
                <w:rFonts w:ascii="方正书宋_GBK" w:eastAsia="方正书宋_GBK"/>
              </w:rPr>
            </w:pPr>
          </w:p>
        </w:tc>
        <w:tc>
          <w:tcPr>
            <w:tcW w:w="737" w:type="dxa"/>
            <w:shd w:val="clear" w:color="auto" w:fill="auto"/>
            <w:vAlign w:val="center"/>
          </w:tcPr>
          <w:p w14:paraId="1B28E40C">
            <w:pPr>
              <w:spacing w:line="300" w:lineRule="exact"/>
              <w:jc w:val="center"/>
              <w:rPr>
                <w:rFonts w:ascii="方正书宋_GBK" w:eastAsia="方正书宋_GBK"/>
              </w:rPr>
            </w:pPr>
          </w:p>
        </w:tc>
        <w:tc>
          <w:tcPr>
            <w:tcW w:w="737" w:type="dxa"/>
            <w:shd w:val="clear" w:color="auto" w:fill="auto"/>
            <w:vAlign w:val="center"/>
          </w:tcPr>
          <w:p w14:paraId="32B61AFD">
            <w:pPr>
              <w:spacing w:line="300" w:lineRule="exact"/>
              <w:jc w:val="center"/>
              <w:rPr>
                <w:rFonts w:ascii="方正书宋_GBK" w:eastAsia="方正书宋_GBK"/>
              </w:rPr>
            </w:pPr>
          </w:p>
        </w:tc>
        <w:tc>
          <w:tcPr>
            <w:tcW w:w="737" w:type="dxa"/>
            <w:shd w:val="clear" w:color="auto" w:fill="auto"/>
            <w:vAlign w:val="center"/>
          </w:tcPr>
          <w:p w14:paraId="5015A198">
            <w:pPr>
              <w:spacing w:line="300" w:lineRule="exact"/>
              <w:jc w:val="center"/>
              <w:rPr>
                <w:rFonts w:ascii="方正书宋_GBK" w:eastAsia="方正书宋_GBK"/>
              </w:rPr>
            </w:pPr>
          </w:p>
        </w:tc>
      </w:tr>
      <w:tr w14:paraId="5FEF77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4455D0A1">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2.1</w:t>
            </w:r>
            <w:r>
              <w:rPr>
                <w:rFonts w:hint="eastAsia" w:ascii="方正书宋_GBK" w:eastAsia="方正书宋_GBK"/>
                <w:b/>
              </w:rPr>
              <w:t>青少年服务引导工作</w:t>
            </w:r>
          </w:p>
        </w:tc>
        <w:tc>
          <w:tcPr>
            <w:tcW w:w="1276" w:type="dxa"/>
            <w:vMerge w:val="restart"/>
            <w:shd w:val="clear" w:color="auto" w:fill="auto"/>
            <w:vAlign w:val="center"/>
          </w:tcPr>
          <w:p w14:paraId="1CF99999">
            <w:pPr>
              <w:spacing w:line="300" w:lineRule="exact"/>
              <w:jc w:val="left"/>
              <w:rPr>
                <w:rFonts w:ascii="方正书宋_GBK" w:eastAsia="方正书宋_GBK"/>
              </w:rPr>
            </w:pPr>
          </w:p>
        </w:tc>
        <w:tc>
          <w:tcPr>
            <w:tcW w:w="2976" w:type="dxa"/>
            <w:vMerge w:val="restart"/>
            <w:shd w:val="clear" w:color="auto" w:fill="auto"/>
            <w:vAlign w:val="center"/>
          </w:tcPr>
          <w:p w14:paraId="19DA63E3">
            <w:pPr>
              <w:spacing w:line="300" w:lineRule="exact"/>
              <w:jc w:val="left"/>
              <w:rPr>
                <w:rFonts w:ascii="方正书宋_GBK" w:eastAsia="方正书宋_GBK"/>
              </w:rPr>
            </w:pPr>
            <w:r>
              <w:rPr>
                <w:rFonts w:hint="eastAsia" w:ascii="方正书宋_GBK" w:eastAsia="方正书宋_GBK"/>
              </w:rPr>
              <w:t>围绕青年思想动态和青年工作状况，研究青少年运动、青少年工作理论和思想教育问题开展调研活动；围绕经济建设开展团的各项活动；参与制定有关本县的青年统战工作的政策，做好青年统战对象的团结教育工作。</w:t>
            </w:r>
          </w:p>
        </w:tc>
        <w:tc>
          <w:tcPr>
            <w:tcW w:w="2976" w:type="dxa"/>
            <w:vMerge w:val="restart"/>
            <w:shd w:val="clear" w:color="auto" w:fill="auto"/>
            <w:vAlign w:val="center"/>
          </w:tcPr>
          <w:p w14:paraId="238EB6AB">
            <w:pPr>
              <w:spacing w:line="300" w:lineRule="exact"/>
              <w:jc w:val="left"/>
              <w:rPr>
                <w:rFonts w:ascii="方正书宋_GBK" w:eastAsia="方正书宋_GBK"/>
              </w:rPr>
            </w:pPr>
            <w:r>
              <w:rPr>
                <w:rFonts w:hint="eastAsia" w:ascii="方正书宋_GBK" w:eastAsia="方正书宋_GBK"/>
              </w:rPr>
              <w:t>做好青年统战对象的团结教育工作，积极为全县社会发展贡献力量。</w:t>
            </w:r>
          </w:p>
        </w:tc>
        <w:tc>
          <w:tcPr>
            <w:tcW w:w="1417" w:type="dxa"/>
            <w:shd w:val="clear" w:color="auto" w:fill="auto"/>
            <w:vAlign w:val="center"/>
          </w:tcPr>
          <w:p w14:paraId="6C659572">
            <w:pPr>
              <w:spacing w:line="300" w:lineRule="exact"/>
              <w:jc w:val="left"/>
              <w:rPr>
                <w:rFonts w:ascii="方正书宋_GBK" w:eastAsia="方正书宋_GBK"/>
              </w:rPr>
            </w:pPr>
            <w:r>
              <w:rPr>
                <w:rFonts w:hint="eastAsia" w:ascii="方正书宋_GBK" w:eastAsia="方正书宋_GBK"/>
              </w:rPr>
              <w:t>五四表彰评选</w:t>
            </w:r>
          </w:p>
        </w:tc>
        <w:tc>
          <w:tcPr>
            <w:tcW w:w="737" w:type="dxa"/>
            <w:shd w:val="clear" w:color="auto" w:fill="auto"/>
            <w:vAlign w:val="center"/>
          </w:tcPr>
          <w:p w14:paraId="2ADE9F9D">
            <w:pPr>
              <w:spacing w:line="300" w:lineRule="exact"/>
              <w:jc w:val="center"/>
              <w:rPr>
                <w:rFonts w:ascii="方正书宋_GBK" w:eastAsia="方正书宋_GBK"/>
              </w:rPr>
            </w:pPr>
            <w:r>
              <w:rPr>
                <w:rFonts w:hint="eastAsia" w:ascii="方正书宋_GBK" w:eastAsia="方正书宋_GBK"/>
              </w:rPr>
              <w:t>按计划完成</w:t>
            </w:r>
          </w:p>
        </w:tc>
        <w:tc>
          <w:tcPr>
            <w:tcW w:w="737" w:type="dxa"/>
            <w:shd w:val="clear" w:color="auto" w:fill="auto"/>
            <w:vAlign w:val="center"/>
          </w:tcPr>
          <w:p w14:paraId="68FE3D1E">
            <w:pPr>
              <w:spacing w:line="300" w:lineRule="exact"/>
              <w:jc w:val="center"/>
              <w:rPr>
                <w:rFonts w:ascii="方正书宋_GBK" w:eastAsia="方正书宋_GBK"/>
              </w:rPr>
            </w:pPr>
            <w:r>
              <w:rPr>
                <w:rFonts w:hint="eastAsia" w:ascii="方正书宋_GBK" w:eastAsia="方正书宋_GBK"/>
              </w:rPr>
              <w:t>基本按计划完成</w:t>
            </w:r>
          </w:p>
        </w:tc>
        <w:tc>
          <w:tcPr>
            <w:tcW w:w="737" w:type="dxa"/>
            <w:shd w:val="clear" w:color="auto" w:fill="auto"/>
            <w:vAlign w:val="center"/>
          </w:tcPr>
          <w:p w14:paraId="67A6CC3F">
            <w:pPr>
              <w:spacing w:line="300" w:lineRule="exact"/>
              <w:jc w:val="center"/>
              <w:rPr>
                <w:rFonts w:ascii="方正书宋_GBK" w:eastAsia="方正书宋_GBK"/>
              </w:rPr>
            </w:pPr>
            <w:r>
              <w:rPr>
                <w:rFonts w:hint="eastAsia" w:ascii="方正书宋_GBK" w:eastAsia="方正书宋_GBK"/>
              </w:rPr>
              <w:t>未完成</w:t>
            </w:r>
          </w:p>
        </w:tc>
        <w:tc>
          <w:tcPr>
            <w:tcW w:w="737" w:type="dxa"/>
            <w:shd w:val="clear" w:color="auto" w:fill="auto"/>
            <w:vAlign w:val="center"/>
          </w:tcPr>
          <w:p w14:paraId="4961A7DF">
            <w:pPr>
              <w:spacing w:line="300" w:lineRule="exact"/>
              <w:jc w:val="center"/>
              <w:rPr>
                <w:rFonts w:ascii="方正书宋_GBK" w:eastAsia="方正书宋_GBK"/>
              </w:rPr>
            </w:pPr>
            <w:r>
              <w:rPr>
                <w:rFonts w:hint="eastAsia" w:ascii="方正书宋_GBK" w:eastAsia="方正书宋_GBK"/>
              </w:rPr>
              <w:t>未开展</w:t>
            </w:r>
          </w:p>
        </w:tc>
      </w:tr>
      <w:tr w14:paraId="20E002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67D47201">
            <w:pPr>
              <w:spacing w:line="300" w:lineRule="exact"/>
              <w:jc w:val="left"/>
              <w:rPr>
                <w:rFonts w:ascii="方正书宋_GBK" w:eastAsia="方正书宋_GBK"/>
                <w:b/>
              </w:rPr>
            </w:pPr>
          </w:p>
        </w:tc>
        <w:tc>
          <w:tcPr>
            <w:tcW w:w="1276" w:type="dxa"/>
            <w:vMerge w:val="continue"/>
            <w:shd w:val="clear" w:color="auto" w:fill="auto"/>
            <w:vAlign w:val="center"/>
          </w:tcPr>
          <w:p w14:paraId="7D8EFE3F">
            <w:pPr>
              <w:spacing w:line="300" w:lineRule="exact"/>
              <w:jc w:val="left"/>
              <w:rPr>
                <w:rFonts w:ascii="方正书宋_GBK" w:eastAsia="方正书宋_GBK"/>
              </w:rPr>
            </w:pPr>
          </w:p>
        </w:tc>
        <w:tc>
          <w:tcPr>
            <w:tcW w:w="2976" w:type="dxa"/>
            <w:vMerge w:val="continue"/>
            <w:shd w:val="clear" w:color="auto" w:fill="auto"/>
            <w:vAlign w:val="center"/>
          </w:tcPr>
          <w:p w14:paraId="6364CEB6">
            <w:pPr>
              <w:spacing w:line="300" w:lineRule="exact"/>
              <w:jc w:val="left"/>
              <w:rPr>
                <w:rFonts w:ascii="方正书宋_GBK" w:eastAsia="方正书宋_GBK"/>
              </w:rPr>
            </w:pPr>
          </w:p>
        </w:tc>
        <w:tc>
          <w:tcPr>
            <w:tcW w:w="2976" w:type="dxa"/>
            <w:vMerge w:val="continue"/>
            <w:shd w:val="clear" w:color="auto" w:fill="auto"/>
            <w:vAlign w:val="center"/>
          </w:tcPr>
          <w:p w14:paraId="38C9A043">
            <w:pPr>
              <w:spacing w:line="300" w:lineRule="exact"/>
              <w:jc w:val="left"/>
              <w:rPr>
                <w:rFonts w:ascii="方正书宋_GBK" w:eastAsia="方正书宋_GBK"/>
              </w:rPr>
            </w:pPr>
          </w:p>
        </w:tc>
        <w:tc>
          <w:tcPr>
            <w:tcW w:w="1417" w:type="dxa"/>
            <w:shd w:val="clear" w:color="auto" w:fill="auto"/>
            <w:vAlign w:val="center"/>
          </w:tcPr>
          <w:p w14:paraId="5111954D">
            <w:pPr>
              <w:spacing w:line="300" w:lineRule="exact"/>
              <w:jc w:val="left"/>
              <w:rPr>
                <w:rFonts w:ascii="方正书宋_GBK" w:eastAsia="方正书宋_GBK"/>
              </w:rPr>
            </w:pPr>
            <w:r>
              <w:rPr>
                <w:rFonts w:hint="eastAsia" w:ascii="方正书宋_GBK" w:eastAsia="方正书宋_GBK"/>
              </w:rPr>
              <w:t>培训、联谊、竞赛活动完成率</w:t>
            </w:r>
          </w:p>
        </w:tc>
        <w:tc>
          <w:tcPr>
            <w:tcW w:w="737" w:type="dxa"/>
            <w:shd w:val="clear" w:color="auto" w:fill="auto"/>
            <w:vAlign w:val="center"/>
          </w:tcPr>
          <w:p w14:paraId="4F76633A">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7DBB6766">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及以上</w:t>
            </w:r>
          </w:p>
        </w:tc>
        <w:tc>
          <w:tcPr>
            <w:tcW w:w="737" w:type="dxa"/>
            <w:shd w:val="clear" w:color="auto" w:fill="auto"/>
            <w:vAlign w:val="center"/>
          </w:tcPr>
          <w:p w14:paraId="2EC6CC93">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及以上</w:t>
            </w:r>
          </w:p>
        </w:tc>
        <w:tc>
          <w:tcPr>
            <w:tcW w:w="737" w:type="dxa"/>
            <w:shd w:val="clear" w:color="auto" w:fill="auto"/>
            <w:vAlign w:val="center"/>
          </w:tcPr>
          <w:p w14:paraId="26FE43EA">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以下</w:t>
            </w:r>
          </w:p>
        </w:tc>
      </w:tr>
      <w:tr w14:paraId="437AA6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57BBB0CE">
            <w:pPr>
              <w:spacing w:line="300" w:lineRule="exact"/>
              <w:jc w:val="left"/>
              <w:rPr>
                <w:rFonts w:ascii="方正书宋_GBK" w:eastAsia="方正书宋_GBK"/>
                <w:b/>
              </w:rPr>
            </w:pPr>
          </w:p>
        </w:tc>
        <w:tc>
          <w:tcPr>
            <w:tcW w:w="1276" w:type="dxa"/>
            <w:vMerge w:val="continue"/>
            <w:shd w:val="clear" w:color="auto" w:fill="auto"/>
            <w:vAlign w:val="center"/>
          </w:tcPr>
          <w:p w14:paraId="1572B850">
            <w:pPr>
              <w:spacing w:line="300" w:lineRule="exact"/>
              <w:jc w:val="left"/>
              <w:rPr>
                <w:rFonts w:ascii="方正书宋_GBK" w:eastAsia="方正书宋_GBK"/>
              </w:rPr>
            </w:pPr>
          </w:p>
        </w:tc>
        <w:tc>
          <w:tcPr>
            <w:tcW w:w="2976" w:type="dxa"/>
            <w:vMerge w:val="continue"/>
            <w:shd w:val="clear" w:color="auto" w:fill="auto"/>
            <w:vAlign w:val="center"/>
          </w:tcPr>
          <w:p w14:paraId="0DE50B7E">
            <w:pPr>
              <w:spacing w:line="300" w:lineRule="exact"/>
              <w:jc w:val="left"/>
              <w:rPr>
                <w:rFonts w:ascii="方正书宋_GBK" w:eastAsia="方正书宋_GBK"/>
              </w:rPr>
            </w:pPr>
          </w:p>
        </w:tc>
        <w:tc>
          <w:tcPr>
            <w:tcW w:w="2976" w:type="dxa"/>
            <w:vMerge w:val="continue"/>
            <w:shd w:val="clear" w:color="auto" w:fill="auto"/>
            <w:vAlign w:val="center"/>
          </w:tcPr>
          <w:p w14:paraId="028CDAA2">
            <w:pPr>
              <w:spacing w:line="300" w:lineRule="exact"/>
              <w:jc w:val="left"/>
              <w:rPr>
                <w:rFonts w:ascii="方正书宋_GBK" w:eastAsia="方正书宋_GBK"/>
              </w:rPr>
            </w:pPr>
          </w:p>
        </w:tc>
        <w:tc>
          <w:tcPr>
            <w:tcW w:w="1417" w:type="dxa"/>
            <w:shd w:val="clear" w:color="auto" w:fill="auto"/>
            <w:vAlign w:val="center"/>
          </w:tcPr>
          <w:p w14:paraId="4B34AC1D">
            <w:pPr>
              <w:spacing w:line="300" w:lineRule="exact"/>
              <w:jc w:val="left"/>
              <w:rPr>
                <w:rFonts w:ascii="方正书宋_GBK" w:eastAsia="方正书宋_GBK"/>
              </w:rPr>
            </w:pPr>
            <w:r>
              <w:rPr>
                <w:rFonts w:hint="eastAsia" w:ascii="方正书宋_GBK" w:eastAsia="方正书宋_GBK"/>
              </w:rPr>
              <w:t>青年创新创业创优活动完成率</w:t>
            </w:r>
          </w:p>
        </w:tc>
        <w:tc>
          <w:tcPr>
            <w:tcW w:w="737" w:type="dxa"/>
            <w:shd w:val="clear" w:color="auto" w:fill="auto"/>
            <w:vAlign w:val="center"/>
          </w:tcPr>
          <w:p w14:paraId="45FED32F">
            <w:pPr>
              <w:spacing w:line="300" w:lineRule="exact"/>
              <w:jc w:val="center"/>
              <w:rPr>
                <w:rFonts w:ascii="方正书宋_GBK" w:eastAsia="方正书宋_GBK"/>
              </w:rPr>
            </w:pPr>
            <w:r>
              <w:rPr>
                <w:rFonts w:ascii="方正书宋_GBK" w:eastAsia="方正书宋_GBK"/>
              </w:rPr>
              <w:t>100%</w:t>
            </w:r>
          </w:p>
        </w:tc>
        <w:tc>
          <w:tcPr>
            <w:tcW w:w="737" w:type="dxa"/>
            <w:shd w:val="clear" w:color="auto" w:fill="auto"/>
            <w:vAlign w:val="center"/>
          </w:tcPr>
          <w:p w14:paraId="0C0AF927">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及以上</w:t>
            </w:r>
          </w:p>
        </w:tc>
        <w:tc>
          <w:tcPr>
            <w:tcW w:w="737" w:type="dxa"/>
            <w:shd w:val="clear" w:color="auto" w:fill="auto"/>
            <w:vAlign w:val="center"/>
          </w:tcPr>
          <w:p w14:paraId="55F4C04F">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及以上</w:t>
            </w:r>
          </w:p>
        </w:tc>
        <w:tc>
          <w:tcPr>
            <w:tcW w:w="737" w:type="dxa"/>
            <w:shd w:val="clear" w:color="auto" w:fill="auto"/>
            <w:vAlign w:val="center"/>
          </w:tcPr>
          <w:p w14:paraId="577D06A3">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以下</w:t>
            </w:r>
          </w:p>
        </w:tc>
      </w:tr>
      <w:tr w14:paraId="405AC8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1F6B5609">
            <w:pPr>
              <w:spacing w:line="300" w:lineRule="exact"/>
              <w:jc w:val="left"/>
              <w:rPr>
                <w:rFonts w:ascii="方正书宋_GBK" w:eastAsia="方正书宋_GBK"/>
                <w:b/>
              </w:rPr>
            </w:pPr>
            <w:r>
              <w:rPr>
                <w:rFonts w:ascii="方正书宋_GBK" w:eastAsia="方正书宋_GBK"/>
                <w:b/>
              </w:rPr>
              <w:t>3.</w:t>
            </w:r>
            <w:r>
              <w:rPr>
                <w:rFonts w:hint="eastAsia" w:ascii="方正书宋_GBK" w:eastAsia="方正书宋_GBK"/>
                <w:b/>
              </w:rPr>
              <w:t>维护青少年权益工作</w:t>
            </w:r>
          </w:p>
        </w:tc>
        <w:tc>
          <w:tcPr>
            <w:tcW w:w="1276" w:type="dxa"/>
            <w:shd w:val="clear" w:color="auto" w:fill="auto"/>
            <w:vAlign w:val="center"/>
          </w:tcPr>
          <w:p w14:paraId="2701B97A">
            <w:pPr>
              <w:spacing w:line="300" w:lineRule="exact"/>
              <w:jc w:val="left"/>
              <w:rPr>
                <w:rFonts w:ascii="方正书宋_GBK" w:eastAsia="方正书宋_GBK"/>
              </w:rPr>
            </w:pPr>
          </w:p>
        </w:tc>
        <w:tc>
          <w:tcPr>
            <w:tcW w:w="2976" w:type="dxa"/>
            <w:shd w:val="clear" w:color="auto" w:fill="auto"/>
            <w:vAlign w:val="center"/>
          </w:tcPr>
          <w:p w14:paraId="3D8E8D07">
            <w:pPr>
              <w:spacing w:line="300" w:lineRule="exact"/>
              <w:jc w:val="left"/>
              <w:rPr>
                <w:rFonts w:ascii="方正书宋_GBK" w:eastAsia="方正书宋_GBK"/>
              </w:rPr>
            </w:pPr>
            <w:r>
              <w:rPr>
                <w:rFonts w:hint="eastAsia" w:ascii="方正书宋_GBK" w:eastAsia="方正书宋_GBK"/>
              </w:rPr>
              <w:t>研究有关青少年发展问题，参与制定本县保护青少年健康成长的法律、地方性法规；参与监督青少年法规的执行、处理侵害青少年合法权益的问题。</w:t>
            </w:r>
          </w:p>
        </w:tc>
        <w:tc>
          <w:tcPr>
            <w:tcW w:w="2976" w:type="dxa"/>
            <w:shd w:val="clear" w:color="auto" w:fill="auto"/>
            <w:vAlign w:val="center"/>
          </w:tcPr>
          <w:p w14:paraId="6CDC425C">
            <w:pPr>
              <w:spacing w:line="300" w:lineRule="exact"/>
              <w:jc w:val="left"/>
              <w:rPr>
                <w:rFonts w:ascii="方正书宋_GBK" w:eastAsia="方正书宋_GBK"/>
              </w:rPr>
            </w:pPr>
            <w:r>
              <w:rPr>
                <w:rFonts w:hint="eastAsia" w:ascii="方正书宋_GBK" w:eastAsia="方正书宋_GBK"/>
              </w:rPr>
              <w:t>加强青少年法制宣传教育</w:t>
            </w:r>
            <w:r>
              <w:rPr>
                <w:rFonts w:ascii="方正书宋_GBK" w:eastAsia="方正书宋_GBK"/>
              </w:rPr>
              <w:t>,</w:t>
            </w:r>
            <w:r>
              <w:rPr>
                <w:rFonts w:hint="eastAsia" w:ascii="方正书宋_GBK" w:eastAsia="方正书宋_GBK"/>
              </w:rPr>
              <w:t>增强青少年学法尊法守法用法意识，为青少年提供法律保护。</w:t>
            </w:r>
          </w:p>
        </w:tc>
        <w:tc>
          <w:tcPr>
            <w:tcW w:w="1417" w:type="dxa"/>
            <w:shd w:val="clear" w:color="auto" w:fill="auto"/>
            <w:vAlign w:val="center"/>
          </w:tcPr>
          <w:p w14:paraId="67E31FC0">
            <w:pPr>
              <w:spacing w:line="300" w:lineRule="exact"/>
              <w:jc w:val="left"/>
              <w:rPr>
                <w:rFonts w:ascii="方正书宋_GBK" w:eastAsia="方正书宋_GBK"/>
              </w:rPr>
            </w:pPr>
          </w:p>
        </w:tc>
        <w:tc>
          <w:tcPr>
            <w:tcW w:w="737" w:type="dxa"/>
            <w:shd w:val="clear" w:color="auto" w:fill="auto"/>
            <w:vAlign w:val="center"/>
          </w:tcPr>
          <w:p w14:paraId="7C0E4CD3">
            <w:pPr>
              <w:spacing w:line="300" w:lineRule="exact"/>
              <w:jc w:val="center"/>
              <w:rPr>
                <w:rFonts w:ascii="方正书宋_GBK" w:eastAsia="方正书宋_GBK"/>
              </w:rPr>
            </w:pPr>
          </w:p>
        </w:tc>
        <w:tc>
          <w:tcPr>
            <w:tcW w:w="737" w:type="dxa"/>
            <w:shd w:val="clear" w:color="auto" w:fill="auto"/>
            <w:vAlign w:val="center"/>
          </w:tcPr>
          <w:p w14:paraId="77C35ED8">
            <w:pPr>
              <w:spacing w:line="300" w:lineRule="exact"/>
              <w:jc w:val="center"/>
              <w:rPr>
                <w:rFonts w:ascii="方正书宋_GBK" w:eastAsia="方正书宋_GBK"/>
              </w:rPr>
            </w:pPr>
          </w:p>
        </w:tc>
        <w:tc>
          <w:tcPr>
            <w:tcW w:w="737" w:type="dxa"/>
            <w:shd w:val="clear" w:color="auto" w:fill="auto"/>
            <w:vAlign w:val="center"/>
          </w:tcPr>
          <w:p w14:paraId="3DE16AD7">
            <w:pPr>
              <w:spacing w:line="300" w:lineRule="exact"/>
              <w:jc w:val="center"/>
              <w:rPr>
                <w:rFonts w:ascii="方正书宋_GBK" w:eastAsia="方正书宋_GBK"/>
              </w:rPr>
            </w:pPr>
          </w:p>
        </w:tc>
        <w:tc>
          <w:tcPr>
            <w:tcW w:w="737" w:type="dxa"/>
            <w:shd w:val="clear" w:color="auto" w:fill="auto"/>
            <w:vAlign w:val="center"/>
          </w:tcPr>
          <w:p w14:paraId="3922898A">
            <w:pPr>
              <w:spacing w:line="300" w:lineRule="exact"/>
              <w:jc w:val="center"/>
              <w:rPr>
                <w:rFonts w:ascii="方正书宋_GBK" w:eastAsia="方正书宋_GBK"/>
              </w:rPr>
            </w:pPr>
          </w:p>
        </w:tc>
      </w:tr>
      <w:tr w14:paraId="4586E1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shd w:val="clear" w:color="auto" w:fill="auto"/>
            <w:vAlign w:val="center"/>
          </w:tcPr>
          <w:p w14:paraId="65DAE8A6">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3.1</w:t>
            </w:r>
            <w:r>
              <w:rPr>
                <w:rFonts w:hint="eastAsia" w:ascii="方正书宋_GBK" w:eastAsia="方正书宋_GBK"/>
                <w:b/>
              </w:rPr>
              <w:t>预防青少年违法犯罪</w:t>
            </w:r>
          </w:p>
        </w:tc>
        <w:tc>
          <w:tcPr>
            <w:tcW w:w="1276" w:type="dxa"/>
            <w:vMerge w:val="restart"/>
            <w:shd w:val="clear" w:color="auto" w:fill="auto"/>
            <w:vAlign w:val="center"/>
          </w:tcPr>
          <w:p w14:paraId="3B4377BA">
            <w:pPr>
              <w:spacing w:line="300" w:lineRule="exact"/>
              <w:jc w:val="left"/>
              <w:rPr>
                <w:rFonts w:ascii="方正书宋_GBK" w:eastAsia="方正书宋_GBK"/>
              </w:rPr>
            </w:pPr>
          </w:p>
        </w:tc>
        <w:tc>
          <w:tcPr>
            <w:tcW w:w="2976" w:type="dxa"/>
            <w:vMerge w:val="restart"/>
            <w:shd w:val="clear" w:color="auto" w:fill="auto"/>
            <w:vAlign w:val="center"/>
          </w:tcPr>
          <w:p w14:paraId="4CD0957E">
            <w:pPr>
              <w:spacing w:line="300" w:lineRule="exact"/>
              <w:jc w:val="left"/>
              <w:rPr>
                <w:rFonts w:ascii="方正书宋_GBK" w:eastAsia="方正书宋_GBK"/>
              </w:rPr>
            </w:pPr>
            <w:r>
              <w:rPr>
                <w:rFonts w:hint="eastAsia" w:ascii="方正书宋_GBK" w:eastAsia="方正书宋_GBK"/>
              </w:rPr>
              <w:t>做好中小</w:t>
            </w:r>
            <w:bookmarkStart w:id="1" w:name="_GoBack"/>
            <w:bookmarkEnd w:id="1"/>
            <w:r>
              <w:rPr>
                <w:rFonts w:hint="eastAsia" w:ascii="方正书宋_GBK" w:eastAsia="方正书宋_GBK"/>
              </w:rPr>
              <w:t>学生的教育管理工作，维护学校稳定和社会安定团结；推动青少年事务社会工作开展，提高源头治理力度，做好预防青少年违法犯罪工作。</w:t>
            </w:r>
          </w:p>
        </w:tc>
        <w:tc>
          <w:tcPr>
            <w:tcW w:w="2976" w:type="dxa"/>
            <w:vMerge w:val="restart"/>
            <w:shd w:val="clear" w:color="auto" w:fill="auto"/>
            <w:vAlign w:val="center"/>
          </w:tcPr>
          <w:p w14:paraId="61117D32">
            <w:pPr>
              <w:spacing w:line="300" w:lineRule="exact"/>
              <w:jc w:val="left"/>
              <w:rPr>
                <w:rFonts w:ascii="方正书宋_GBK" w:eastAsia="方正书宋_GBK"/>
              </w:rPr>
            </w:pPr>
            <w:r>
              <w:rPr>
                <w:rFonts w:hint="eastAsia" w:ascii="方正书宋_GBK" w:eastAsia="方正书宋_GBK"/>
              </w:rPr>
              <w:t>加强青少年法制宣传教育</w:t>
            </w:r>
            <w:r>
              <w:rPr>
                <w:rFonts w:ascii="方正书宋_GBK" w:eastAsia="方正书宋_GBK"/>
              </w:rPr>
              <w:t>,</w:t>
            </w:r>
            <w:r>
              <w:rPr>
                <w:rFonts w:hint="eastAsia" w:ascii="方正书宋_GBK" w:eastAsia="方正书宋_GBK"/>
              </w:rPr>
              <w:t>增强青少年学法尊法守法用法意识，为青少年提供法律保护。</w:t>
            </w:r>
          </w:p>
        </w:tc>
        <w:tc>
          <w:tcPr>
            <w:tcW w:w="1417" w:type="dxa"/>
            <w:shd w:val="clear" w:color="auto" w:fill="auto"/>
            <w:vAlign w:val="center"/>
          </w:tcPr>
          <w:p w14:paraId="4BA2DFC6">
            <w:pPr>
              <w:spacing w:line="300" w:lineRule="exact"/>
              <w:jc w:val="left"/>
              <w:rPr>
                <w:rFonts w:ascii="方正书宋_GBK" w:eastAsia="方正书宋_GBK"/>
              </w:rPr>
            </w:pPr>
            <w:r>
              <w:rPr>
                <w:rFonts w:hint="eastAsia" w:ascii="方正书宋_GBK" w:eastAsia="方正书宋_GBK"/>
              </w:rPr>
              <w:t>青少年事务社工人数</w:t>
            </w:r>
          </w:p>
        </w:tc>
        <w:tc>
          <w:tcPr>
            <w:tcW w:w="737" w:type="dxa"/>
            <w:shd w:val="clear" w:color="auto" w:fill="auto"/>
            <w:vAlign w:val="center"/>
          </w:tcPr>
          <w:p w14:paraId="5A2DFBA8">
            <w:pPr>
              <w:spacing w:line="300" w:lineRule="exact"/>
              <w:jc w:val="center"/>
              <w:rPr>
                <w:rFonts w:ascii="方正书宋_GBK" w:eastAsia="方正书宋_GBK"/>
              </w:rPr>
            </w:pPr>
            <w:r>
              <w:rPr>
                <w:rFonts w:ascii="方正书宋_GBK" w:eastAsia="方正书宋_GBK"/>
              </w:rPr>
              <w:t>45</w:t>
            </w:r>
            <w:r>
              <w:rPr>
                <w:rFonts w:hint="eastAsia" w:ascii="方正书宋_GBK" w:eastAsia="方正书宋_GBK"/>
              </w:rPr>
              <w:t>及以上</w:t>
            </w:r>
          </w:p>
        </w:tc>
        <w:tc>
          <w:tcPr>
            <w:tcW w:w="737" w:type="dxa"/>
            <w:shd w:val="clear" w:color="auto" w:fill="auto"/>
            <w:vAlign w:val="center"/>
          </w:tcPr>
          <w:p w14:paraId="22C315C3">
            <w:pPr>
              <w:spacing w:line="300" w:lineRule="exact"/>
              <w:jc w:val="center"/>
              <w:rPr>
                <w:rFonts w:ascii="方正书宋_GBK" w:eastAsia="方正书宋_GBK"/>
              </w:rPr>
            </w:pPr>
            <w:r>
              <w:rPr>
                <w:rFonts w:ascii="方正书宋_GBK" w:eastAsia="方正书宋_GBK"/>
              </w:rPr>
              <w:t>30</w:t>
            </w:r>
            <w:r>
              <w:rPr>
                <w:rFonts w:hint="eastAsia" w:ascii="方正书宋_GBK" w:eastAsia="方正书宋_GBK"/>
              </w:rPr>
              <w:t>及以上</w:t>
            </w:r>
          </w:p>
        </w:tc>
        <w:tc>
          <w:tcPr>
            <w:tcW w:w="737" w:type="dxa"/>
            <w:shd w:val="clear" w:color="auto" w:fill="auto"/>
            <w:vAlign w:val="center"/>
          </w:tcPr>
          <w:p w14:paraId="36AE60FE">
            <w:pPr>
              <w:spacing w:line="300" w:lineRule="exact"/>
              <w:jc w:val="center"/>
              <w:rPr>
                <w:rFonts w:ascii="方正书宋_GBK" w:eastAsia="方正书宋_GBK"/>
              </w:rPr>
            </w:pPr>
            <w:r>
              <w:rPr>
                <w:rFonts w:ascii="方正书宋_GBK" w:eastAsia="方正书宋_GBK"/>
              </w:rPr>
              <w:t>15</w:t>
            </w:r>
            <w:r>
              <w:rPr>
                <w:rFonts w:hint="eastAsia" w:ascii="方正书宋_GBK" w:eastAsia="方正书宋_GBK"/>
              </w:rPr>
              <w:t>及以上</w:t>
            </w:r>
          </w:p>
        </w:tc>
        <w:tc>
          <w:tcPr>
            <w:tcW w:w="737" w:type="dxa"/>
            <w:shd w:val="clear" w:color="auto" w:fill="auto"/>
            <w:vAlign w:val="center"/>
          </w:tcPr>
          <w:p w14:paraId="19805902">
            <w:pPr>
              <w:spacing w:line="300" w:lineRule="exact"/>
              <w:jc w:val="center"/>
              <w:rPr>
                <w:rFonts w:ascii="方正书宋_GBK" w:eastAsia="方正书宋_GBK"/>
              </w:rPr>
            </w:pPr>
            <w:r>
              <w:rPr>
                <w:rFonts w:ascii="方正书宋_GBK" w:eastAsia="方正书宋_GBK"/>
              </w:rPr>
              <w:t>15</w:t>
            </w:r>
            <w:r>
              <w:rPr>
                <w:rFonts w:hint="eastAsia" w:ascii="方正书宋_GBK" w:eastAsia="方正书宋_GBK"/>
              </w:rPr>
              <w:t>以下</w:t>
            </w:r>
          </w:p>
        </w:tc>
      </w:tr>
      <w:tr w14:paraId="504A3F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shd w:val="clear" w:color="auto" w:fill="auto"/>
            <w:vAlign w:val="center"/>
          </w:tcPr>
          <w:p w14:paraId="0FD2E464">
            <w:pPr>
              <w:spacing w:line="300" w:lineRule="exact"/>
              <w:jc w:val="left"/>
              <w:rPr>
                <w:rFonts w:ascii="方正书宋_GBK" w:eastAsia="方正书宋_GBK"/>
                <w:b/>
              </w:rPr>
            </w:pPr>
          </w:p>
        </w:tc>
        <w:tc>
          <w:tcPr>
            <w:tcW w:w="1276" w:type="dxa"/>
            <w:vMerge w:val="continue"/>
            <w:shd w:val="clear" w:color="auto" w:fill="auto"/>
            <w:vAlign w:val="center"/>
          </w:tcPr>
          <w:p w14:paraId="1FA8FEBE">
            <w:pPr>
              <w:spacing w:line="300" w:lineRule="exact"/>
              <w:jc w:val="left"/>
              <w:rPr>
                <w:rFonts w:ascii="方正书宋_GBK" w:eastAsia="方正书宋_GBK"/>
              </w:rPr>
            </w:pPr>
          </w:p>
        </w:tc>
        <w:tc>
          <w:tcPr>
            <w:tcW w:w="2976" w:type="dxa"/>
            <w:vMerge w:val="continue"/>
            <w:shd w:val="clear" w:color="auto" w:fill="auto"/>
            <w:vAlign w:val="center"/>
          </w:tcPr>
          <w:p w14:paraId="2093C01D">
            <w:pPr>
              <w:spacing w:line="300" w:lineRule="exact"/>
              <w:jc w:val="left"/>
              <w:rPr>
                <w:rFonts w:ascii="方正书宋_GBK" w:eastAsia="方正书宋_GBK"/>
              </w:rPr>
            </w:pPr>
          </w:p>
        </w:tc>
        <w:tc>
          <w:tcPr>
            <w:tcW w:w="2976" w:type="dxa"/>
            <w:vMerge w:val="continue"/>
            <w:shd w:val="clear" w:color="auto" w:fill="auto"/>
            <w:vAlign w:val="center"/>
          </w:tcPr>
          <w:p w14:paraId="75AD759B">
            <w:pPr>
              <w:spacing w:line="300" w:lineRule="exact"/>
              <w:jc w:val="left"/>
              <w:rPr>
                <w:rFonts w:ascii="方正书宋_GBK" w:eastAsia="方正书宋_GBK"/>
              </w:rPr>
            </w:pPr>
          </w:p>
        </w:tc>
        <w:tc>
          <w:tcPr>
            <w:tcW w:w="1417" w:type="dxa"/>
            <w:shd w:val="clear" w:color="auto" w:fill="auto"/>
            <w:vAlign w:val="center"/>
          </w:tcPr>
          <w:p w14:paraId="77BC9EB0">
            <w:pPr>
              <w:spacing w:line="300" w:lineRule="exact"/>
              <w:jc w:val="left"/>
              <w:rPr>
                <w:rFonts w:ascii="方正书宋_GBK" w:eastAsia="方正书宋_GBK"/>
              </w:rPr>
            </w:pPr>
            <w:r>
              <w:rPr>
                <w:rFonts w:hint="eastAsia" w:ascii="方正书宋_GBK" w:eastAsia="方正书宋_GBK"/>
              </w:rPr>
              <w:t>全县专家、志愿服务队伍组建数量</w:t>
            </w:r>
          </w:p>
        </w:tc>
        <w:tc>
          <w:tcPr>
            <w:tcW w:w="737" w:type="dxa"/>
            <w:shd w:val="clear" w:color="auto" w:fill="auto"/>
            <w:vAlign w:val="center"/>
          </w:tcPr>
          <w:p w14:paraId="021D1454">
            <w:pPr>
              <w:spacing w:line="300" w:lineRule="exact"/>
              <w:jc w:val="center"/>
              <w:rPr>
                <w:rFonts w:ascii="方正书宋_GBK" w:eastAsia="方正书宋_GBK"/>
              </w:rPr>
            </w:pPr>
            <w:r>
              <w:rPr>
                <w:rFonts w:ascii="方正书宋_GBK" w:eastAsia="方正书宋_GBK"/>
              </w:rPr>
              <w:t>20</w:t>
            </w:r>
            <w:r>
              <w:rPr>
                <w:rFonts w:hint="eastAsia" w:ascii="方正书宋_GBK" w:eastAsia="方正书宋_GBK"/>
              </w:rPr>
              <w:t>个及以上</w:t>
            </w:r>
          </w:p>
        </w:tc>
        <w:tc>
          <w:tcPr>
            <w:tcW w:w="737" w:type="dxa"/>
            <w:shd w:val="clear" w:color="auto" w:fill="auto"/>
            <w:vAlign w:val="center"/>
          </w:tcPr>
          <w:p w14:paraId="39FFBE9E">
            <w:pPr>
              <w:spacing w:line="300" w:lineRule="exact"/>
              <w:jc w:val="center"/>
              <w:rPr>
                <w:rFonts w:ascii="方正书宋_GBK" w:eastAsia="方正书宋_GBK"/>
              </w:rPr>
            </w:pPr>
            <w:r>
              <w:rPr>
                <w:rFonts w:ascii="方正书宋_GBK" w:eastAsia="方正书宋_GBK"/>
              </w:rPr>
              <w:t>13</w:t>
            </w:r>
            <w:r>
              <w:rPr>
                <w:rFonts w:hint="eastAsia" w:ascii="方正书宋_GBK" w:eastAsia="方正书宋_GBK"/>
              </w:rPr>
              <w:t>个及以上</w:t>
            </w:r>
          </w:p>
        </w:tc>
        <w:tc>
          <w:tcPr>
            <w:tcW w:w="737" w:type="dxa"/>
            <w:shd w:val="clear" w:color="auto" w:fill="auto"/>
            <w:vAlign w:val="center"/>
          </w:tcPr>
          <w:p w14:paraId="03FF7F50">
            <w:pPr>
              <w:spacing w:line="300" w:lineRule="exact"/>
              <w:jc w:val="center"/>
              <w:rPr>
                <w:rFonts w:ascii="方正书宋_GBK" w:eastAsia="方正书宋_GBK"/>
              </w:rPr>
            </w:pPr>
            <w:r>
              <w:rPr>
                <w:rFonts w:ascii="方正书宋_GBK" w:eastAsia="方正书宋_GBK"/>
              </w:rPr>
              <w:t>4</w:t>
            </w:r>
            <w:r>
              <w:rPr>
                <w:rFonts w:hint="eastAsia" w:ascii="方正书宋_GBK" w:eastAsia="方正书宋_GBK"/>
              </w:rPr>
              <w:t>个及以上</w:t>
            </w:r>
          </w:p>
        </w:tc>
        <w:tc>
          <w:tcPr>
            <w:tcW w:w="737" w:type="dxa"/>
            <w:shd w:val="clear" w:color="auto" w:fill="auto"/>
            <w:vAlign w:val="center"/>
          </w:tcPr>
          <w:p w14:paraId="04751ED3">
            <w:pPr>
              <w:spacing w:line="300" w:lineRule="exact"/>
              <w:jc w:val="center"/>
              <w:rPr>
                <w:rFonts w:ascii="方正书宋_GBK" w:eastAsia="方正书宋_GBK"/>
              </w:rPr>
            </w:pPr>
            <w:r>
              <w:rPr>
                <w:rFonts w:hint="eastAsia" w:ascii="方正书宋_GBK" w:eastAsia="方正书宋_GBK"/>
              </w:rPr>
              <w:t>不足</w:t>
            </w:r>
            <w:r>
              <w:rPr>
                <w:rFonts w:ascii="方正书宋_GBK" w:eastAsia="方正书宋_GBK"/>
              </w:rPr>
              <w:t>4</w:t>
            </w:r>
            <w:r>
              <w:rPr>
                <w:rFonts w:hint="eastAsia" w:ascii="方正书宋_GBK" w:eastAsia="方正书宋_GBK"/>
              </w:rPr>
              <w:t>个</w:t>
            </w:r>
          </w:p>
        </w:tc>
      </w:tr>
      <w:tr w14:paraId="17F8BB1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7A23B4AB">
            <w:pPr>
              <w:spacing w:line="300" w:lineRule="exact"/>
              <w:jc w:val="left"/>
              <w:rPr>
                <w:rFonts w:ascii="方正书宋_GBK" w:eastAsia="方正书宋_GBK"/>
                <w:b/>
              </w:rPr>
            </w:pPr>
            <w:r>
              <w:rPr>
                <w:rFonts w:ascii="方正书宋_GBK" w:eastAsia="方正书宋_GBK"/>
                <w:b/>
              </w:rPr>
              <w:t>4.</w:t>
            </w:r>
            <w:r>
              <w:rPr>
                <w:rFonts w:hint="eastAsia" w:ascii="方正书宋_GBK" w:eastAsia="方正书宋_GBK"/>
                <w:b/>
              </w:rPr>
              <w:t>团委事务管理</w:t>
            </w:r>
          </w:p>
        </w:tc>
        <w:tc>
          <w:tcPr>
            <w:tcW w:w="1276" w:type="dxa"/>
            <w:shd w:val="clear" w:color="auto" w:fill="auto"/>
            <w:vAlign w:val="center"/>
          </w:tcPr>
          <w:p w14:paraId="2CAF7BDB">
            <w:pPr>
              <w:spacing w:line="300" w:lineRule="exact"/>
              <w:jc w:val="left"/>
              <w:rPr>
                <w:rFonts w:ascii="方正书宋_GBK" w:eastAsia="方正书宋_GBK"/>
              </w:rPr>
            </w:pPr>
            <w:r>
              <w:rPr>
                <w:rFonts w:ascii="方正书宋_GBK" w:eastAsia="方正书宋_GBK"/>
              </w:rPr>
              <w:t>3.00</w:t>
            </w:r>
          </w:p>
        </w:tc>
        <w:tc>
          <w:tcPr>
            <w:tcW w:w="2976" w:type="dxa"/>
            <w:shd w:val="clear" w:color="auto" w:fill="auto"/>
            <w:vAlign w:val="center"/>
          </w:tcPr>
          <w:p w14:paraId="292E1B34">
            <w:pPr>
              <w:spacing w:line="300" w:lineRule="exact"/>
              <w:jc w:val="left"/>
              <w:rPr>
                <w:rFonts w:ascii="方正书宋_GBK" w:eastAsia="方正书宋_GBK"/>
              </w:rPr>
            </w:pPr>
            <w:r>
              <w:rPr>
                <w:rFonts w:hint="eastAsia" w:ascii="方正书宋_GBK" w:eastAsia="方正书宋_GBK"/>
              </w:rPr>
              <w:t>负责团县委综合业务管理。</w:t>
            </w:r>
          </w:p>
        </w:tc>
        <w:tc>
          <w:tcPr>
            <w:tcW w:w="2976" w:type="dxa"/>
            <w:shd w:val="clear" w:color="auto" w:fill="auto"/>
            <w:vAlign w:val="center"/>
          </w:tcPr>
          <w:p w14:paraId="6BEE1D7E">
            <w:pPr>
              <w:spacing w:line="300" w:lineRule="exact"/>
              <w:jc w:val="left"/>
              <w:rPr>
                <w:rFonts w:ascii="方正书宋_GBK" w:eastAsia="方正书宋_GBK"/>
              </w:rPr>
            </w:pPr>
            <w:r>
              <w:rPr>
                <w:rFonts w:hint="eastAsia" w:ascii="方正书宋_GBK" w:eastAsia="方正书宋_GBK"/>
              </w:rPr>
              <w:t>高质量完成全县青少年发展规划和方针政策的制定，圆满完成县委、县政府和团市委交办的各项任务。</w:t>
            </w:r>
          </w:p>
        </w:tc>
        <w:tc>
          <w:tcPr>
            <w:tcW w:w="1417" w:type="dxa"/>
            <w:shd w:val="clear" w:color="auto" w:fill="auto"/>
            <w:vAlign w:val="center"/>
          </w:tcPr>
          <w:p w14:paraId="6FA5A0C7">
            <w:pPr>
              <w:spacing w:line="300" w:lineRule="exact"/>
              <w:jc w:val="left"/>
              <w:rPr>
                <w:rFonts w:ascii="方正书宋_GBK" w:eastAsia="方正书宋_GBK"/>
              </w:rPr>
            </w:pPr>
          </w:p>
        </w:tc>
        <w:tc>
          <w:tcPr>
            <w:tcW w:w="737" w:type="dxa"/>
            <w:shd w:val="clear" w:color="auto" w:fill="auto"/>
            <w:vAlign w:val="center"/>
          </w:tcPr>
          <w:p w14:paraId="51CE04FC">
            <w:pPr>
              <w:spacing w:line="300" w:lineRule="exact"/>
              <w:jc w:val="center"/>
              <w:rPr>
                <w:rFonts w:ascii="方正书宋_GBK" w:eastAsia="方正书宋_GBK"/>
              </w:rPr>
            </w:pPr>
          </w:p>
        </w:tc>
        <w:tc>
          <w:tcPr>
            <w:tcW w:w="737" w:type="dxa"/>
            <w:shd w:val="clear" w:color="auto" w:fill="auto"/>
            <w:vAlign w:val="center"/>
          </w:tcPr>
          <w:p w14:paraId="6367367F">
            <w:pPr>
              <w:spacing w:line="300" w:lineRule="exact"/>
              <w:jc w:val="center"/>
              <w:rPr>
                <w:rFonts w:ascii="方正书宋_GBK" w:eastAsia="方正书宋_GBK"/>
              </w:rPr>
            </w:pPr>
          </w:p>
        </w:tc>
        <w:tc>
          <w:tcPr>
            <w:tcW w:w="737" w:type="dxa"/>
            <w:shd w:val="clear" w:color="auto" w:fill="auto"/>
            <w:vAlign w:val="center"/>
          </w:tcPr>
          <w:p w14:paraId="1ADAA41D">
            <w:pPr>
              <w:spacing w:line="300" w:lineRule="exact"/>
              <w:jc w:val="center"/>
              <w:rPr>
                <w:rFonts w:ascii="方正书宋_GBK" w:eastAsia="方正书宋_GBK"/>
              </w:rPr>
            </w:pPr>
          </w:p>
        </w:tc>
        <w:tc>
          <w:tcPr>
            <w:tcW w:w="737" w:type="dxa"/>
            <w:shd w:val="clear" w:color="auto" w:fill="auto"/>
            <w:vAlign w:val="center"/>
          </w:tcPr>
          <w:p w14:paraId="43DB6846">
            <w:pPr>
              <w:spacing w:line="300" w:lineRule="exact"/>
              <w:jc w:val="center"/>
              <w:rPr>
                <w:rFonts w:ascii="方正书宋_GBK" w:eastAsia="方正书宋_GBK"/>
              </w:rPr>
            </w:pPr>
          </w:p>
        </w:tc>
      </w:tr>
      <w:tr w14:paraId="0DDE0C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shd w:val="clear" w:color="auto" w:fill="auto"/>
            <w:vAlign w:val="center"/>
          </w:tcPr>
          <w:p w14:paraId="5E390777">
            <w:pPr>
              <w:spacing w:line="300" w:lineRule="exact"/>
              <w:jc w:val="left"/>
              <w:rPr>
                <w:rFonts w:ascii="方正书宋_GBK" w:eastAsia="方正书宋_GBK"/>
                <w:b/>
              </w:rPr>
            </w:pPr>
            <w:r>
              <w:rPr>
                <w:rFonts w:hint="eastAsia" w:ascii="方正书宋_GBK" w:eastAsia="方正书宋_GBK"/>
                <w:b/>
              </w:rPr>
              <w:t>　　</w:t>
            </w:r>
            <w:r>
              <w:rPr>
                <w:rFonts w:ascii="方正书宋_GBK" w:eastAsia="方正书宋_GBK"/>
                <w:b/>
              </w:rPr>
              <w:t>4.1</w:t>
            </w:r>
            <w:r>
              <w:rPr>
                <w:rFonts w:hint="eastAsia" w:ascii="方正书宋_GBK" w:eastAsia="方正书宋_GBK"/>
                <w:b/>
              </w:rPr>
              <w:t>综合业务管理</w:t>
            </w:r>
          </w:p>
        </w:tc>
        <w:tc>
          <w:tcPr>
            <w:tcW w:w="1276" w:type="dxa"/>
            <w:shd w:val="clear" w:color="auto" w:fill="auto"/>
            <w:vAlign w:val="center"/>
          </w:tcPr>
          <w:p w14:paraId="7CAC2362">
            <w:pPr>
              <w:spacing w:line="300" w:lineRule="exact"/>
              <w:jc w:val="left"/>
              <w:rPr>
                <w:rFonts w:ascii="方正书宋_GBK" w:eastAsia="方正书宋_GBK"/>
              </w:rPr>
            </w:pPr>
            <w:r>
              <w:rPr>
                <w:rFonts w:ascii="方正书宋_GBK" w:eastAsia="方正书宋_GBK"/>
              </w:rPr>
              <w:t>3.00</w:t>
            </w:r>
          </w:p>
        </w:tc>
        <w:tc>
          <w:tcPr>
            <w:tcW w:w="2976" w:type="dxa"/>
            <w:shd w:val="clear" w:color="auto" w:fill="auto"/>
            <w:vAlign w:val="center"/>
          </w:tcPr>
          <w:p w14:paraId="5151E18F">
            <w:pPr>
              <w:spacing w:line="300" w:lineRule="exact"/>
              <w:jc w:val="left"/>
              <w:rPr>
                <w:rFonts w:ascii="方正书宋_GBK" w:eastAsia="方正书宋_GBK"/>
              </w:rPr>
            </w:pPr>
            <w:r>
              <w:rPr>
                <w:rFonts w:hint="eastAsia" w:ascii="方正书宋_GBK" w:eastAsia="方正书宋_GBK"/>
              </w:rPr>
              <w:t>参与制定全县的青少年事业发展规划和青少年工作方针、政策</w:t>
            </w:r>
            <w:r>
              <w:rPr>
                <w:rFonts w:ascii="方正书宋_GBK" w:eastAsia="方正书宋_GBK"/>
              </w:rPr>
              <w:t>;</w:t>
            </w:r>
            <w:r>
              <w:rPr>
                <w:rFonts w:hint="eastAsia" w:ascii="方正书宋_GBK" w:eastAsia="方正书宋_GBK"/>
              </w:rPr>
              <w:t>承担县委、县政府和团市委交办的有关事项。</w:t>
            </w:r>
          </w:p>
        </w:tc>
        <w:tc>
          <w:tcPr>
            <w:tcW w:w="2976" w:type="dxa"/>
            <w:shd w:val="clear" w:color="auto" w:fill="auto"/>
            <w:vAlign w:val="center"/>
          </w:tcPr>
          <w:p w14:paraId="60BE56C4">
            <w:pPr>
              <w:spacing w:line="300" w:lineRule="exact"/>
              <w:jc w:val="left"/>
              <w:rPr>
                <w:rFonts w:ascii="方正书宋_GBK" w:eastAsia="方正书宋_GBK"/>
              </w:rPr>
            </w:pPr>
            <w:r>
              <w:rPr>
                <w:rFonts w:hint="eastAsia" w:ascii="方正书宋_GBK" w:eastAsia="方正书宋_GBK"/>
              </w:rPr>
              <w:t>高质量完成全县青少年发展规划和方针政策的制定，圆满完成县委、县政府和团市委交办的各项任务。</w:t>
            </w:r>
          </w:p>
        </w:tc>
        <w:tc>
          <w:tcPr>
            <w:tcW w:w="1417" w:type="dxa"/>
            <w:shd w:val="clear" w:color="auto" w:fill="auto"/>
            <w:vAlign w:val="center"/>
          </w:tcPr>
          <w:p w14:paraId="67656F74">
            <w:pPr>
              <w:spacing w:line="300" w:lineRule="exact"/>
              <w:jc w:val="left"/>
              <w:rPr>
                <w:rFonts w:ascii="方正书宋_GBK" w:eastAsia="方正书宋_GBK"/>
              </w:rPr>
            </w:pPr>
            <w:r>
              <w:rPr>
                <w:rFonts w:hint="eastAsia" w:ascii="方正书宋_GBK" w:eastAsia="方正书宋_GBK"/>
              </w:rPr>
              <w:t>综合业务完成率</w:t>
            </w:r>
          </w:p>
        </w:tc>
        <w:tc>
          <w:tcPr>
            <w:tcW w:w="737" w:type="dxa"/>
            <w:shd w:val="clear" w:color="auto" w:fill="auto"/>
            <w:vAlign w:val="center"/>
          </w:tcPr>
          <w:p w14:paraId="12644D16">
            <w:pPr>
              <w:spacing w:line="300" w:lineRule="exact"/>
              <w:jc w:val="center"/>
              <w:rPr>
                <w:rFonts w:ascii="方正书宋_GBK" w:eastAsia="方正书宋_GBK"/>
              </w:rPr>
            </w:pPr>
            <w:r>
              <w:rPr>
                <w:rFonts w:ascii="方正书宋_GBK" w:eastAsia="方正书宋_GBK"/>
              </w:rPr>
              <w:t>1</w:t>
            </w:r>
          </w:p>
        </w:tc>
        <w:tc>
          <w:tcPr>
            <w:tcW w:w="737" w:type="dxa"/>
            <w:shd w:val="clear" w:color="auto" w:fill="auto"/>
            <w:vAlign w:val="center"/>
          </w:tcPr>
          <w:p w14:paraId="5F396DCC">
            <w:pPr>
              <w:spacing w:line="300" w:lineRule="exact"/>
              <w:jc w:val="center"/>
              <w:rPr>
                <w:rFonts w:ascii="方正书宋_GBK" w:eastAsia="方正书宋_GBK"/>
              </w:rPr>
            </w:pPr>
            <w:r>
              <w:rPr>
                <w:rFonts w:ascii="方正书宋_GBK" w:eastAsia="方正书宋_GBK"/>
              </w:rPr>
              <w:t>90%</w:t>
            </w:r>
            <w:r>
              <w:rPr>
                <w:rFonts w:hint="eastAsia" w:ascii="方正书宋_GBK" w:eastAsia="方正书宋_GBK"/>
              </w:rPr>
              <w:t>及以上</w:t>
            </w:r>
          </w:p>
        </w:tc>
        <w:tc>
          <w:tcPr>
            <w:tcW w:w="737" w:type="dxa"/>
            <w:shd w:val="clear" w:color="auto" w:fill="auto"/>
            <w:vAlign w:val="center"/>
          </w:tcPr>
          <w:p w14:paraId="51D95350">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及以上</w:t>
            </w:r>
          </w:p>
        </w:tc>
        <w:tc>
          <w:tcPr>
            <w:tcW w:w="737" w:type="dxa"/>
            <w:shd w:val="clear" w:color="auto" w:fill="auto"/>
            <w:vAlign w:val="center"/>
          </w:tcPr>
          <w:p w14:paraId="33D963E2">
            <w:pPr>
              <w:spacing w:line="300" w:lineRule="exact"/>
              <w:jc w:val="center"/>
              <w:rPr>
                <w:rFonts w:ascii="方正书宋_GBK" w:eastAsia="方正书宋_GBK"/>
              </w:rPr>
            </w:pPr>
            <w:r>
              <w:rPr>
                <w:rFonts w:ascii="方正书宋_GBK" w:eastAsia="方正书宋_GBK"/>
              </w:rPr>
              <w:t>80%</w:t>
            </w:r>
            <w:r>
              <w:rPr>
                <w:rFonts w:hint="eastAsia" w:ascii="方正书宋_GBK" w:eastAsia="方正书宋_GBK"/>
              </w:rPr>
              <w:t>以下</w:t>
            </w:r>
          </w:p>
        </w:tc>
      </w:tr>
    </w:tbl>
    <w:p w14:paraId="49AFF265">
      <w:pPr>
        <w:spacing w:line="300" w:lineRule="exact"/>
        <w:jc w:val="left"/>
        <w:outlineLvl w:val="0"/>
        <w:sectPr>
          <w:pgSz w:w="16839" w:h="11907" w:orient="landscape"/>
          <w:pgMar w:top="1021" w:right="1361" w:bottom="1021" w:left="1361" w:header="851" w:footer="992" w:gutter="0"/>
          <w:cols w:space="425" w:num="1"/>
          <w:docGrid w:type="lines" w:linePitch="312" w:charSpace="0"/>
        </w:sectPr>
      </w:pPr>
    </w:p>
    <w:p w14:paraId="6CA5B478">
      <w:pPr>
        <w:rPr>
          <w:rFonts w:ascii="黑体" w:hAnsi="黑体" w:eastAsia="黑体" w:cs="黑体"/>
          <w:sz w:val="30"/>
          <w:szCs w:val="30"/>
        </w:rPr>
        <w:sectPr>
          <w:pgSz w:w="11907" w:h="16839"/>
          <w:pgMar w:top="1361" w:right="1021" w:bottom="1361" w:left="1021" w:header="851" w:footer="992" w:gutter="0"/>
          <w:cols w:space="720" w:num="1"/>
          <w:docGrid w:linePitch="312" w:charSpace="0"/>
        </w:sectPr>
      </w:pPr>
    </w:p>
    <w:p w14:paraId="77522806">
      <w:pPr>
        <w:widowControl/>
        <w:spacing w:line="560" w:lineRule="exact"/>
        <w:ind w:firstLine="596" w:firstLineChars="198"/>
        <w:rPr>
          <w:rFonts w:ascii="黑体" w:hAnsi="黑体" w:eastAsia="黑体" w:cs="黑体"/>
          <w:b/>
          <w:bCs/>
          <w:kern w:val="0"/>
          <w:sz w:val="30"/>
          <w:szCs w:val="30"/>
        </w:rPr>
      </w:pPr>
      <w:r>
        <w:rPr>
          <w:rFonts w:hint="eastAsia" w:ascii="黑体" w:hAnsi="黑体" w:eastAsia="黑体" w:cs="黑体"/>
          <w:b/>
          <w:bCs/>
          <w:kern w:val="0"/>
          <w:sz w:val="30"/>
          <w:szCs w:val="30"/>
        </w:rPr>
        <w:t>六、政府采购预算情况</w:t>
      </w:r>
    </w:p>
    <w:p w14:paraId="1C48A83B">
      <w:pPr>
        <w:widowControl/>
        <w:spacing w:line="560" w:lineRule="exact"/>
        <w:ind w:firstLine="602"/>
        <w:rPr>
          <w:rFonts w:ascii="黑体" w:hAnsi="黑体" w:eastAsia="黑体" w:cs="黑体"/>
          <w:b/>
          <w:bCs/>
          <w:kern w:val="0"/>
          <w:sz w:val="30"/>
          <w:szCs w:val="30"/>
        </w:rPr>
      </w:pPr>
      <w:r>
        <w:rPr>
          <w:rFonts w:hint="eastAsia" w:ascii="黑体" w:hAnsi="黑体" w:eastAsia="黑体" w:cs="黑体"/>
          <w:b/>
          <w:bCs/>
          <w:kern w:val="0"/>
          <w:sz w:val="30"/>
          <w:szCs w:val="30"/>
        </w:rPr>
        <w:t>2017年我单位无政府采购预算。</w:t>
      </w:r>
    </w:p>
    <w:p w14:paraId="0CB6DC19">
      <w:pPr>
        <w:widowControl/>
        <w:spacing w:line="560" w:lineRule="exact"/>
        <w:ind w:firstLine="600"/>
        <w:rPr>
          <w:rFonts w:ascii="黑体" w:hAnsi="黑体" w:eastAsia="黑体" w:cs="黑体"/>
          <w:b/>
          <w:bCs/>
          <w:kern w:val="0"/>
          <w:sz w:val="30"/>
          <w:szCs w:val="30"/>
        </w:rPr>
      </w:pPr>
      <w:r>
        <w:rPr>
          <w:rFonts w:hint="eastAsia" w:ascii="黑体" w:hAnsi="黑体" w:eastAsia="黑体" w:cs="黑体"/>
          <w:kern w:val="0"/>
          <w:sz w:val="30"/>
          <w:szCs w:val="30"/>
        </w:rPr>
        <w:t>七</w:t>
      </w:r>
      <w:r>
        <w:rPr>
          <w:rFonts w:hint="eastAsia" w:ascii="黑体" w:hAnsi="黑体" w:eastAsia="黑体" w:cs="黑体"/>
          <w:b/>
          <w:bCs/>
          <w:kern w:val="0"/>
          <w:sz w:val="30"/>
          <w:szCs w:val="30"/>
        </w:rPr>
        <w:t>、国有资产信息情况</w:t>
      </w:r>
    </w:p>
    <w:p w14:paraId="79A71F4B">
      <w:pPr>
        <w:widowControl/>
        <w:spacing w:line="460" w:lineRule="exact"/>
        <w:ind w:firstLine="548" w:firstLineChars="196"/>
        <w:rPr>
          <w:rFonts w:ascii="宋体" w:hAnsi="宋体" w:cs="仿宋"/>
          <w:bCs/>
          <w:kern w:val="0"/>
          <w:sz w:val="28"/>
          <w:szCs w:val="28"/>
        </w:rPr>
      </w:pPr>
      <w:r>
        <w:rPr>
          <w:rFonts w:hint="eastAsia" w:ascii="宋体" w:hAnsi="宋体" w:cs="仿宋"/>
          <w:bCs/>
          <w:kern w:val="0"/>
          <w:sz w:val="28"/>
          <w:szCs w:val="28"/>
        </w:rPr>
        <w:t>团县委2016年末固定资产总金额1.95万元（详见下表）。 2017年拟购置固定资产为零。</w:t>
      </w:r>
    </w:p>
    <w:p w14:paraId="48E5B8AE">
      <w:pPr>
        <w:rPr>
          <w:rFonts w:ascii="宋体" w:hAnsi="宋体"/>
          <w:b/>
          <w:sz w:val="28"/>
          <w:szCs w:val="28"/>
        </w:rPr>
      </w:pPr>
    </w:p>
    <w:tbl>
      <w:tblPr>
        <w:tblStyle w:val="5"/>
        <w:tblW w:w="8804" w:type="dxa"/>
        <w:tblInd w:w="93" w:type="dxa"/>
        <w:tblLayout w:type="fixed"/>
        <w:tblCellMar>
          <w:top w:w="0" w:type="dxa"/>
          <w:left w:w="108" w:type="dxa"/>
          <w:bottom w:w="0" w:type="dxa"/>
          <w:right w:w="108" w:type="dxa"/>
        </w:tblCellMar>
      </w:tblPr>
      <w:tblGrid>
        <w:gridCol w:w="3811"/>
        <w:gridCol w:w="1591"/>
        <w:gridCol w:w="3402"/>
      </w:tblGrid>
      <w:tr w14:paraId="393B8FEA">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shd w:val="clear" w:color="auto" w:fill="auto"/>
            <w:vAlign w:val="center"/>
          </w:tcPr>
          <w:p w14:paraId="1D66F184">
            <w:pPr>
              <w:widowControl/>
              <w:jc w:val="center"/>
              <w:rPr>
                <w:rFonts w:ascii="宋体" w:hAnsi="宋体" w:cs="宋体"/>
                <w:color w:val="000000"/>
                <w:kern w:val="0"/>
                <w:sz w:val="28"/>
                <w:szCs w:val="28"/>
              </w:rPr>
            </w:pPr>
            <w:r>
              <w:rPr>
                <w:rFonts w:hint="eastAsia" w:ascii="宋体" w:hAnsi="宋体"/>
                <w:sz w:val="28"/>
                <w:szCs w:val="28"/>
              </w:rPr>
              <w:t>共青团涞水县委固定资产占用情况表</w:t>
            </w:r>
          </w:p>
        </w:tc>
      </w:tr>
      <w:tr w14:paraId="5C8CB464">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shd w:val="clear" w:color="auto" w:fill="auto"/>
            <w:vAlign w:val="center"/>
          </w:tcPr>
          <w:p w14:paraId="02B1DA2F">
            <w:pPr>
              <w:widowControl/>
              <w:jc w:val="center"/>
              <w:rPr>
                <w:rFonts w:ascii="宋体" w:hAnsi="宋体" w:cs="宋体"/>
                <w:color w:val="000000"/>
                <w:kern w:val="0"/>
                <w:sz w:val="28"/>
                <w:szCs w:val="28"/>
              </w:rPr>
            </w:pPr>
            <w:r>
              <w:rPr>
                <w:rFonts w:hint="eastAsia" w:ascii="宋体" w:hAnsi="宋体" w:cs="宋体"/>
                <w:bCs/>
                <w:color w:val="000000"/>
                <w:kern w:val="0"/>
                <w:sz w:val="28"/>
                <w:szCs w:val="28"/>
              </w:rPr>
              <w:t xml:space="preserve">                           截止时间：2016年12月31日</w:t>
            </w:r>
          </w:p>
        </w:tc>
      </w:tr>
      <w:tr w14:paraId="2C76EE97">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344D32BE">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　　目</w:t>
            </w:r>
          </w:p>
        </w:tc>
        <w:tc>
          <w:tcPr>
            <w:tcW w:w="1591" w:type="dxa"/>
            <w:tcBorders>
              <w:top w:val="nil"/>
              <w:left w:val="nil"/>
              <w:bottom w:val="single" w:color="auto" w:sz="4" w:space="0"/>
              <w:right w:val="single" w:color="auto" w:sz="4" w:space="0"/>
            </w:tcBorders>
            <w:shd w:val="clear" w:color="auto" w:fill="auto"/>
            <w:vAlign w:val="center"/>
          </w:tcPr>
          <w:p w14:paraId="6E253817">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数量</w:t>
            </w:r>
          </w:p>
        </w:tc>
        <w:tc>
          <w:tcPr>
            <w:tcW w:w="3402" w:type="dxa"/>
            <w:tcBorders>
              <w:top w:val="nil"/>
              <w:left w:val="nil"/>
              <w:bottom w:val="single" w:color="auto" w:sz="4" w:space="0"/>
              <w:right w:val="single" w:color="auto" w:sz="4" w:space="0"/>
            </w:tcBorders>
            <w:shd w:val="clear" w:color="auto" w:fill="auto"/>
            <w:vAlign w:val="center"/>
          </w:tcPr>
          <w:p w14:paraId="5D81DAEF">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价值（单位：万元）</w:t>
            </w:r>
          </w:p>
        </w:tc>
      </w:tr>
      <w:tr w14:paraId="426F47C8">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10156D44">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固定资产总额</w:t>
            </w:r>
          </w:p>
        </w:tc>
        <w:tc>
          <w:tcPr>
            <w:tcW w:w="1591" w:type="dxa"/>
            <w:tcBorders>
              <w:top w:val="nil"/>
              <w:left w:val="nil"/>
              <w:bottom w:val="single" w:color="auto" w:sz="4" w:space="0"/>
              <w:right w:val="single" w:color="auto" w:sz="4" w:space="0"/>
            </w:tcBorders>
            <w:shd w:val="clear" w:color="auto" w:fill="auto"/>
            <w:vAlign w:val="center"/>
          </w:tcPr>
          <w:p w14:paraId="0B373CF0">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3A3728BD">
            <w:pPr>
              <w:widowControl/>
              <w:jc w:val="center"/>
              <w:rPr>
                <w:rFonts w:ascii="宋体" w:hAnsi="宋体" w:cs="宋体"/>
                <w:b/>
                <w:color w:val="000000"/>
                <w:kern w:val="0"/>
                <w:sz w:val="28"/>
                <w:szCs w:val="28"/>
              </w:rPr>
            </w:pPr>
            <w:r>
              <w:rPr>
                <w:rFonts w:hint="eastAsia" w:ascii="宋体" w:hAnsi="宋体" w:cs="宋体"/>
                <w:b/>
                <w:color w:val="000000"/>
                <w:kern w:val="0"/>
                <w:sz w:val="28"/>
                <w:szCs w:val="28"/>
              </w:rPr>
              <w:t>1.95</w:t>
            </w:r>
          </w:p>
        </w:tc>
      </w:tr>
      <w:tr w14:paraId="4B080138">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5D499650">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1、房屋（平方米）</w:t>
            </w:r>
          </w:p>
        </w:tc>
        <w:tc>
          <w:tcPr>
            <w:tcW w:w="1591" w:type="dxa"/>
            <w:tcBorders>
              <w:top w:val="nil"/>
              <w:left w:val="nil"/>
              <w:bottom w:val="single" w:color="auto" w:sz="4" w:space="0"/>
              <w:right w:val="single" w:color="auto" w:sz="4" w:space="0"/>
            </w:tcBorders>
            <w:shd w:val="clear" w:color="auto" w:fill="auto"/>
            <w:vAlign w:val="center"/>
          </w:tcPr>
          <w:p w14:paraId="04F53E56">
            <w:pPr>
              <w:widowControl/>
              <w:jc w:val="center"/>
              <w:rPr>
                <w:rFonts w:ascii="宋体" w:hAnsi="宋体" w:cs="宋体"/>
                <w:color w:val="000000"/>
                <w:kern w:val="0"/>
                <w:sz w:val="28"/>
                <w:szCs w:val="28"/>
              </w:rPr>
            </w:pPr>
          </w:p>
        </w:tc>
        <w:tc>
          <w:tcPr>
            <w:tcW w:w="3402" w:type="dxa"/>
            <w:tcBorders>
              <w:top w:val="nil"/>
              <w:left w:val="nil"/>
              <w:bottom w:val="single" w:color="auto" w:sz="4" w:space="0"/>
              <w:right w:val="single" w:color="auto" w:sz="4" w:space="0"/>
            </w:tcBorders>
            <w:shd w:val="clear" w:color="auto" w:fill="auto"/>
            <w:vAlign w:val="center"/>
          </w:tcPr>
          <w:p w14:paraId="540CD66B">
            <w:pPr>
              <w:widowControl/>
              <w:jc w:val="center"/>
              <w:rPr>
                <w:rFonts w:ascii="宋体" w:hAnsi="宋体" w:cs="宋体"/>
                <w:color w:val="000000"/>
                <w:kern w:val="0"/>
                <w:sz w:val="28"/>
                <w:szCs w:val="28"/>
              </w:rPr>
            </w:pPr>
          </w:p>
        </w:tc>
      </w:tr>
      <w:tr w14:paraId="1E859CE4">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1A00E8F7">
            <w:pPr>
              <w:jc w:val="left"/>
              <w:rPr>
                <w:rFonts w:ascii="宋体" w:hAnsi="宋体" w:cs="宋体"/>
                <w:color w:val="000000"/>
                <w:kern w:val="0"/>
                <w:sz w:val="28"/>
                <w:szCs w:val="28"/>
              </w:rPr>
            </w:pPr>
            <w:r>
              <w:rPr>
                <w:rFonts w:hint="eastAsia" w:ascii="宋体" w:hAnsi="宋体" w:cs="宋体"/>
                <w:color w:val="000000"/>
                <w:kern w:val="0"/>
                <w:sz w:val="28"/>
                <w:szCs w:val="28"/>
              </w:rPr>
              <w:t xml:space="preserve">   其中：办公用房（平方米）</w:t>
            </w:r>
          </w:p>
        </w:tc>
        <w:tc>
          <w:tcPr>
            <w:tcW w:w="1591" w:type="dxa"/>
            <w:tcBorders>
              <w:top w:val="single" w:color="auto" w:sz="4" w:space="0"/>
              <w:left w:val="nil"/>
              <w:bottom w:val="single" w:color="auto" w:sz="4" w:space="0"/>
              <w:right w:val="single" w:color="auto" w:sz="4" w:space="0"/>
            </w:tcBorders>
            <w:shd w:val="clear" w:color="auto" w:fill="auto"/>
            <w:vAlign w:val="center"/>
          </w:tcPr>
          <w:p w14:paraId="0BC337A6">
            <w:pPr>
              <w:jc w:val="center"/>
              <w:rPr>
                <w:rFonts w:ascii="宋体" w:hAnsi="宋体" w:cs="宋体"/>
                <w:color w:val="000000"/>
                <w:kern w:val="0"/>
                <w:sz w:val="28"/>
                <w:szCs w:val="28"/>
              </w:rPr>
            </w:pPr>
          </w:p>
        </w:tc>
        <w:tc>
          <w:tcPr>
            <w:tcW w:w="3402" w:type="dxa"/>
            <w:tcBorders>
              <w:top w:val="single" w:color="auto" w:sz="4" w:space="0"/>
              <w:left w:val="nil"/>
              <w:bottom w:val="single" w:color="auto" w:sz="4" w:space="0"/>
              <w:right w:val="single" w:color="auto" w:sz="4" w:space="0"/>
            </w:tcBorders>
            <w:shd w:val="clear" w:color="auto" w:fill="auto"/>
            <w:vAlign w:val="center"/>
          </w:tcPr>
          <w:p w14:paraId="597397B0">
            <w:pPr>
              <w:jc w:val="center"/>
              <w:rPr>
                <w:rFonts w:ascii="宋体" w:hAnsi="宋体" w:cs="宋体"/>
                <w:color w:val="000000"/>
                <w:kern w:val="0"/>
                <w:sz w:val="28"/>
                <w:szCs w:val="28"/>
              </w:rPr>
            </w:pPr>
          </w:p>
        </w:tc>
      </w:tr>
      <w:tr w14:paraId="7DACC6F8">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315ED4DC">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2、车辆（台、辆）</w:t>
            </w:r>
          </w:p>
        </w:tc>
        <w:tc>
          <w:tcPr>
            <w:tcW w:w="1591" w:type="dxa"/>
            <w:tcBorders>
              <w:top w:val="nil"/>
              <w:left w:val="nil"/>
              <w:bottom w:val="single" w:color="auto" w:sz="4" w:space="0"/>
              <w:right w:val="single" w:color="auto" w:sz="4" w:space="0"/>
            </w:tcBorders>
            <w:shd w:val="clear" w:color="auto" w:fill="auto"/>
            <w:vAlign w:val="center"/>
          </w:tcPr>
          <w:p w14:paraId="40489CE3">
            <w:pPr>
              <w:widowControl/>
              <w:jc w:val="center"/>
              <w:rPr>
                <w:rFonts w:ascii="宋体" w:hAnsi="宋体" w:cs="宋体"/>
                <w:color w:val="000000"/>
                <w:kern w:val="0"/>
                <w:sz w:val="28"/>
                <w:szCs w:val="28"/>
              </w:rPr>
            </w:pPr>
          </w:p>
        </w:tc>
        <w:tc>
          <w:tcPr>
            <w:tcW w:w="3402" w:type="dxa"/>
            <w:tcBorders>
              <w:top w:val="nil"/>
              <w:left w:val="nil"/>
              <w:bottom w:val="single" w:color="auto" w:sz="4" w:space="0"/>
              <w:right w:val="single" w:color="auto" w:sz="4" w:space="0"/>
            </w:tcBorders>
            <w:shd w:val="clear" w:color="auto" w:fill="auto"/>
            <w:vAlign w:val="center"/>
          </w:tcPr>
          <w:p w14:paraId="03C2500C">
            <w:pPr>
              <w:widowControl/>
              <w:jc w:val="center"/>
              <w:rPr>
                <w:rFonts w:ascii="宋体" w:hAnsi="宋体" w:cs="宋体"/>
                <w:color w:val="000000"/>
                <w:kern w:val="0"/>
                <w:sz w:val="28"/>
                <w:szCs w:val="28"/>
              </w:rPr>
            </w:pPr>
          </w:p>
        </w:tc>
      </w:tr>
      <w:tr w14:paraId="39F9DDA6">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7F257143">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3、单价在20万元以上的设备</w:t>
            </w:r>
          </w:p>
        </w:tc>
        <w:tc>
          <w:tcPr>
            <w:tcW w:w="1591" w:type="dxa"/>
            <w:tcBorders>
              <w:top w:val="nil"/>
              <w:left w:val="nil"/>
              <w:bottom w:val="single" w:color="auto" w:sz="4" w:space="0"/>
              <w:right w:val="single" w:color="auto" w:sz="4" w:space="0"/>
            </w:tcBorders>
            <w:shd w:val="clear" w:color="auto" w:fill="auto"/>
            <w:vAlign w:val="center"/>
          </w:tcPr>
          <w:p w14:paraId="17FB99C4">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2476851B">
            <w:pPr>
              <w:widowControl/>
              <w:jc w:val="center"/>
              <w:rPr>
                <w:rFonts w:ascii="宋体" w:hAnsi="宋体" w:cs="宋体"/>
                <w:color w:val="000000"/>
                <w:kern w:val="0"/>
                <w:sz w:val="28"/>
                <w:szCs w:val="28"/>
              </w:rPr>
            </w:pPr>
          </w:p>
        </w:tc>
      </w:tr>
      <w:tr w14:paraId="37DE4C40">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38B8CE09">
            <w:pPr>
              <w:jc w:val="left"/>
              <w:rPr>
                <w:rFonts w:ascii="宋体" w:hAnsi="宋体" w:cs="宋体"/>
                <w:color w:val="000000"/>
                <w:kern w:val="0"/>
                <w:sz w:val="28"/>
                <w:szCs w:val="28"/>
              </w:rPr>
            </w:pPr>
            <w:r>
              <w:rPr>
                <w:rFonts w:hint="eastAsia" w:ascii="宋体" w:hAnsi="宋体" w:cs="宋体"/>
                <w:color w:val="000000"/>
                <w:kern w:val="0"/>
                <w:sz w:val="28"/>
                <w:szCs w:val="28"/>
              </w:rPr>
              <w:t xml:space="preserve">  4、其他固定资产</w:t>
            </w:r>
          </w:p>
        </w:tc>
        <w:tc>
          <w:tcPr>
            <w:tcW w:w="1591" w:type="dxa"/>
            <w:tcBorders>
              <w:top w:val="single" w:color="auto" w:sz="4" w:space="0"/>
              <w:left w:val="nil"/>
              <w:bottom w:val="single" w:color="auto" w:sz="4" w:space="0"/>
              <w:right w:val="single" w:color="auto" w:sz="4" w:space="0"/>
            </w:tcBorders>
            <w:shd w:val="clear" w:color="auto" w:fill="auto"/>
            <w:vAlign w:val="center"/>
          </w:tcPr>
          <w:p w14:paraId="70B0DD91">
            <w:pPr>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single" w:color="auto" w:sz="4" w:space="0"/>
              <w:left w:val="nil"/>
              <w:bottom w:val="single" w:color="auto" w:sz="4" w:space="0"/>
              <w:right w:val="single" w:color="auto" w:sz="4" w:space="0"/>
            </w:tcBorders>
            <w:shd w:val="clear" w:color="auto" w:fill="auto"/>
            <w:vAlign w:val="center"/>
          </w:tcPr>
          <w:p w14:paraId="13AC10F1">
            <w:pPr>
              <w:jc w:val="center"/>
              <w:rPr>
                <w:rFonts w:ascii="宋体" w:hAnsi="宋体" w:cs="宋体"/>
                <w:color w:val="000000"/>
                <w:kern w:val="0"/>
                <w:sz w:val="28"/>
                <w:szCs w:val="28"/>
              </w:rPr>
            </w:pPr>
            <w:r>
              <w:rPr>
                <w:rFonts w:hint="eastAsia" w:ascii="宋体" w:hAnsi="宋体" w:cs="宋体"/>
                <w:color w:val="000000"/>
                <w:kern w:val="0"/>
                <w:sz w:val="28"/>
                <w:szCs w:val="28"/>
              </w:rPr>
              <w:t>1.95</w:t>
            </w:r>
          </w:p>
        </w:tc>
      </w:tr>
    </w:tbl>
    <w:p w14:paraId="6A6CACDA">
      <w:pPr>
        <w:jc w:val="left"/>
        <w:rPr>
          <w:rFonts w:ascii="宋体" w:cs="宋体"/>
          <w:sz w:val="28"/>
          <w:szCs w:val="28"/>
        </w:rPr>
      </w:pPr>
    </w:p>
    <w:p w14:paraId="7A79A5BF">
      <w:pPr>
        <w:widowControl/>
        <w:spacing w:line="560" w:lineRule="exact"/>
        <w:ind w:firstLine="600"/>
        <w:rPr>
          <w:rFonts w:ascii="黑体" w:hAnsi="黑体" w:eastAsia="黑体" w:cs="黑体"/>
          <w:kern w:val="0"/>
          <w:sz w:val="30"/>
          <w:szCs w:val="30"/>
        </w:rPr>
      </w:pPr>
    </w:p>
    <w:p w14:paraId="075F7DC4">
      <w:pPr>
        <w:widowControl/>
        <w:spacing w:line="560" w:lineRule="exact"/>
        <w:rPr>
          <w:rFonts w:ascii="仿宋_GB2312" w:hAnsi="仿宋" w:eastAsia="仿宋_GB2312" w:cs="仿宋"/>
          <w:kern w:val="0"/>
          <w:sz w:val="30"/>
          <w:szCs w:val="30"/>
        </w:rPr>
      </w:pPr>
      <w:r>
        <w:rPr>
          <w:rFonts w:hint="eastAsia" w:ascii="仿宋_GB2312" w:hAnsi="仿宋_GB2312" w:eastAsia="仿宋_GB2312" w:cs="仿宋_GB2312"/>
          <w:kern w:val="0"/>
          <w:sz w:val="30"/>
          <w:szCs w:val="30"/>
        </w:rPr>
        <w:t>团县委</w:t>
      </w:r>
      <w:r>
        <w:rPr>
          <w:rFonts w:hint="eastAsia" w:ascii="仿宋_GB2312" w:hAnsi="仿宋" w:eastAsia="仿宋_GB2312" w:cs="仿宋"/>
          <w:bCs/>
          <w:kern w:val="0"/>
          <w:sz w:val="30"/>
          <w:szCs w:val="30"/>
        </w:rPr>
        <w:t>在县委大楼五楼办公，共占用四间房。上年</w:t>
      </w:r>
      <w:r>
        <w:rPr>
          <w:rFonts w:hint="eastAsia" w:ascii="仿宋_GB2312" w:hAnsi="仿宋" w:eastAsia="仿宋_GB2312" w:cs="仿宋"/>
          <w:kern w:val="0"/>
          <w:sz w:val="30"/>
          <w:szCs w:val="30"/>
        </w:rPr>
        <w:t>末其他固定资产货物类14个，总额1.95万元。包括</w:t>
      </w:r>
      <w:r>
        <w:rPr>
          <w:rFonts w:ascii="仿宋_GB2312" w:hAnsi="仿宋" w:eastAsia="仿宋_GB2312" w:cs="仿宋"/>
          <w:kern w:val="0"/>
          <w:sz w:val="30"/>
          <w:szCs w:val="30"/>
        </w:rPr>
        <w:t>201</w:t>
      </w:r>
      <w:r>
        <w:rPr>
          <w:rFonts w:hint="eastAsia" w:ascii="仿宋_GB2312" w:hAnsi="仿宋" w:eastAsia="仿宋_GB2312" w:cs="仿宋"/>
          <w:kern w:val="0"/>
          <w:sz w:val="30"/>
          <w:szCs w:val="30"/>
        </w:rPr>
        <w:t>0年9月份购格兰仕</w:t>
      </w:r>
      <w:r>
        <w:rPr>
          <w:rFonts w:ascii="仿宋_GB2312" w:hAnsi="仿宋" w:eastAsia="仿宋_GB2312" w:cs="仿宋"/>
          <w:kern w:val="0"/>
          <w:sz w:val="30"/>
          <w:szCs w:val="30"/>
        </w:rPr>
        <w:t>KFR-</w:t>
      </w:r>
      <w:r>
        <w:rPr>
          <w:rFonts w:hint="eastAsia" w:ascii="仿宋_GB2312" w:hAnsi="仿宋" w:eastAsia="仿宋_GB2312" w:cs="仿宋"/>
          <w:kern w:val="0"/>
          <w:sz w:val="30"/>
          <w:szCs w:val="30"/>
        </w:rPr>
        <w:t>26GW空调两台，价值</w:t>
      </w:r>
      <w:r>
        <w:rPr>
          <w:rFonts w:ascii="仿宋_GB2312" w:hAnsi="仿宋" w:eastAsia="仿宋_GB2312" w:cs="仿宋"/>
          <w:kern w:val="0"/>
          <w:sz w:val="30"/>
          <w:szCs w:val="30"/>
        </w:rPr>
        <w:t>0.</w:t>
      </w:r>
      <w:r>
        <w:rPr>
          <w:rFonts w:hint="eastAsia" w:ascii="仿宋_GB2312" w:hAnsi="仿宋" w:eastAsia="仿宋_GB2312" w:cs="仿宋"/>
          <w:kern w:val="0"/>
          <w:sz w:val="30"/>
          <w:szCs w:val="30"/>
        </w:rPr>
        <w:t>5万元</w:t>
      </w:r>
      <w:r>
        <w:rPr>
          <w:rFonts w:ascii="仿宋_GB2312" w:hAnsi="仿宋" w:eastAsia="仿宋_GB2312" w:cs="仿宋"/>
          <w:kern w:val="0"/>
          <w:sz w:val="30"/>
          <w:szCs w:val="30"/>
        </w:rPr>
        <w:t>;201</w:t>
      </w:r>
      <w:r>
        <w:rPr>
          <w:rFonts w:hint="eastAsia" w:ascii="仿宋_GB2312" w:hAnsi="仿宋" w:eastAsia="仿宋_GB2312" w:cs="仿宋"/>
          <w:kern w:val="0"/>
          <w:sz w:val="30"/>
          <w:szCs w:val="30"/>
        </w:rPr>
        <w:t>2年8月份购联想</w:t>
      </w:r>
      <w:r>
        <w:rPr>
          <w:rFonts w:ascii="仿宋_GB2312" w:hAnsi="仿宋" w:eastAsia="仿宋_GB2312" w:cs="仿宋"/>
          <w:kern w:val="0"/>
          <w:sz w:val="30"/>
          <w:szCs w:val="30"/>
        </w:rPr>
        <w:t>-</w:t>
      </w:r>
      <w:r>
        <w:rPr>
          <w:rFonts w:hint="eastAsia" w:ascii="仿宋_GB2312" w:hAnsi="仿宋" w:eastAsia="仿宋_GB2312" w:cs="仿宋"/>
          <w:kern w:val="0"/>
          <w:sz w:val="30"/>
          <w:szCs w:val="30"/>
        </w:rPr>
        <w:t>杨天T</w:t>
      </w:r>
      <w:r>
        <w:rPr>
          <w:rFonts w:ascii="仿宋_GB2312" w:hAnsi="仿宋" w:eastAsia="仿宋_GB2312" w:cs="仿宋"/>
          <w:kern w:val="0"/>
          <w:sz w:val="30"/>
          <w:szCs w:val="30"/>
        </w:rPr>
        <w:t>2</w:t>
      </w:r>
      <w:r>
        <w:rPr>
          <w:rFonts w:hint="eastAsia" w:ascii="仿宋_GB2312" w:hAnsi="仿宋" w:eastAsia="仿宋_GB2312" w:cs="仿宋"/>
          <w:kern w:val="0"/>
          <w:sz w:val="30"/>
          <w:szCs w:val="30"/>
        </w:rPr>
        <w:t>9</w:t>
      </w:r>
      <w:r>
        <w:rPr>
          <w:rFonts w:ascii="仿宋_GB2312" w:hAnsi="仿宋" w:eastAsia="仿宋_GB2312" w:cs="仿宋"/>
          <w:kern w:val="0"/>
          <w:sz w:val="30"/>
          <w:szCs w:val="30"/>
        </w:rPr>
        <w:t>0D</w:t>
      </w:r>
      <w:r>
        <w:rPr>
          <w:rFonts w:hint="eastAsia" w:ascii="仿宋_GB2312" w:hAnsi="仿宋" w:eastAsia="仿宋_GB2312" w:cs="仿宋"/>
          <w:kern w:val="0"/>
          <w:sz w:val="30"/>
          <w:szCs w:val="30"/>
        </w:rPr>
        <w:t>电脑两台，价值</w:t>
      </w:r>
      <w:r>
        <w:rPr>
          <w:rFonts w:ascii="仿宋_GB2312" w:hAnsi="仿宋" w:eastAsia="仿宋_GB2312" w:cs="仿宋"/>
          <w:kern w:val="0"/>
          <w:sz w:val="30"/>
          <w:szCs w:val="30"/>
        </w:rPr>
        <w:t>0.</w:t>
      </w:r>
      <w:r>
        <w:rPr>
          <w:rFonts w:hint="eastAsia" w:ascii="仿宋_GB2312" w:hAnsi="仿宋" w:eastAsia="仿宋_GB2312" w:cs="仿宋"/>
          <w:kern w:val="0"/>
          <w:sz w:val="30"/>
          <w:szCs w:val="30"/>
        </w:rPr>
        <w:t>7万元</w:t>
      </w:r>
      <w:r>
        <w:rPr>
          <w:rFonts w:ascii="仿宋_GB2312" w:hAnsi="仿宋" w:eastAsia="仿宋_GB2312" w:cs="仿宋"/>
          <w:kern w:val="0"/>
          <w:sz w:val="30"/>
          <w:szCs w:val="30"/>
        </w:rPr>
        <w:t>; 201</w:t>
      </w:r>
      <w:r>
        <w:rPr>
          <w:rFonts w:hint="eastAsia" w:ascii="仿宋_GB2312" w:hAnsi="仿宋" w:eastAsia="仿宋_GB2312" w:cs="仿宋"/>
          <w:kern w:val="0"/>
          <w:sz w:val="30"/>
          <w:szCs w:val="30"/>
        </w:rPr>
        <w:t>2年8月份购krocera—FS—1110打印机一台，价值</w:t>
      </w:r>
      <w:r>
        <w:rPr>
          <w:rFonts w:ascii="仿宋_GB2312" w:hAnsi="仿宋" w:eastAsia="仿宋_GB2312" w:cs="仿宋"/>
          <w:kern w:val="0"/>
          <w:sz w:val="30"/>
          <w:szCs w:val="30"/>
        </w:rPr>
        <w:t>0.17</w:t>
      </w:r>
      <w:r>
        <w:rPr>
          <w:rFonts w:hint="eastAsia" w:ascii="仿宋_GB2312" w:hAnsi="仿宋" w:eastAsia="仿宋_GB2312" w:cs="仿宋"/>
          <w:kern w:val="0"/>
          <w:sz w:val="30"/>
          <w:szCs w:val="30"/>
        </w:rPr>
        <w:t>万元</w:t>
      </w:r>
      <w:r>
        <w:rPr>
          <w:rFonts w:ascii="仿宋_GB2312" w:hAnsi="仿宋" w:eastAsia="仿宋_GB2312" w:cs="仿宋"/>
          <w:kern w:val="0"/>
          <w:sz w:val="30"/>
          <w:szCs w:val="30"/>
        </w:rPr>
        <w:t>;  201</w:t>
      </w:r>
      <w:r>
        <w:rPr>
          <w:rFonts w:hint="eastAsia" w:ascii="仿宋_GB2312" w:hAnsi="仿宋" w:eastAsia="仿宋_GB2312" w:cs="仿宋"/>
          <w:kern w:val="0"/>
          <w:sz w:val="30"/>
          <w:szCs w:val="30"/>
        </w:rPr>
        <w:t>3年2月份财政统一购办公椅四把，价值0.06万元；</w:t>
      </w:r>
      <w:r>
        <w:rPr>
          <w:rFonts w:ascii="仿宋_GB2312" w:hAnsi="仿宋" w:eastAsia="仿宋_GB2312" w:cs="仿宋"/>
          <w:kern w:val="0"/>
          <w:sz w:val="30"/>
          <w:szCs w:val="30"/>
        </w:rPr>
        <w:t>201</w:t>
      </w:r>
      <w:r>
        <w:rPr>
          <w:rFonts w:hint="eastAsia" w:ascii="仿宋_GB2312" w:hAnsi="仿宋" w:eastAsia="仿宋_GB2312" w:cs="仿宋"/>
          <w:kern w:val="0"/>
          <w:sz w:val="30"/>
          <w:szCs w:val="30"/>
        </w:rPr>
        <w:t>3年2月份财政统一购办公柜四个，价值0.16万元；</w:t>
      </w:r>
      <w:r>
        <w:rPr>
          <w:rFonts w:ascii="仿宋_GB2312" w:hAnsi="仿宋" w:eastAsia="仿宋_GB2312" w:cs="仿宋"/>
          <w:kern w:val="0"/>
          <w:sz w:val="30"/>
          <w:szCs w:val="30"/>
        </w:rPr>
        <w:t>201</w:t>
      </w:r>
      <w:r>
        <w:rPr>
          <w:rFonts w:hint="eastAsia" w:ascii="仿宋_GB2312" w:hAnsi="仿宋" w:eastAsia="仿宋_GB2312" w:cs="仿宋"/>
          <w:kern w:val="0"/>
          <w:sz w:val="30"/>
          <w:szCs w:val="30"/>
        </w:rPr>
        <w:t>5年7月份购戴尔</w:t>
      </w:r>
      <w:r>
        <w:rPr>
          <w:rFonts w:ascii="仿宋_GB2312" w:hAnsi="仿宋" w:eastAsia="仿宋_GB2312" w:cs="仿宋"/>
          <w:kern w:val="0"/>
          <w:sz w:val="30"/>
          <w:szCs w:val="30"/>
        </w:rPr>
        <w:t>-</w:t>
      </w:r>
      <w:r>
        <w:rPr>
          <w:rFonts w:hint="eastAsia" w:ascii="仿宋_GB2312" w:hAnsi="仿宋" w:eastAsia="仿宋_GB2312" w:cs="仿宋"/>
          <w:kern w:val="0"/>
          <w:sz w:val="30"/>
          <w:szCs w:val="30"/>
        </w:rPr>
        <w:t>CN-011HFV-72872-4CC-A65M电脑一台，价值</w:t>
      </w:r>
      <w:r>
        <w:rPr>
          <w:rFonts w:ascii="仿宋_GB2312" w:hAnsi="仿宋" w:eastAsia="仿宋_GB2312" w:cs="仿宋"/>
          <w:kern w:val="0"/>
          <w:sz w:val="30"/>
          <w:szCs w:val="30"/>
        </w:rPr>
        <w:t>0.3</w:t>
      </w:r>
      <w:r>
        <w:rPr>
          <w:rFonts w:hint="eastAsia" w:ascii="仿宋_GB2312" w:hAnsi="仿宋" w:eastAsia="仿宋_GB2312" w:cs="仿宋"/>
          <w:kern w:val="0"/>
          <w:sz w:val="30"/>
          <w:szCs w:val="30"/>
        </w:rPr>
        <w:t>6万元。</w:t>
      </w:r>
    </w:p>
    <w:p w14:paraId="6A593E55">
      <w:pPr>
        <w:ind w:firstLine="630" w:firstLineChars="196"/>
        <w:rPr>
          <w:rFonts w:ascii="黑体" w:hAnsi="仿宋_GB2312" w:eastAsia="黑体" w:cs="仿宋_GB2312"/>
          <w:b/>
          <w:sz w:val="32"/>
          <w:szCs w:val="32"/>
        </w:rPr>
      </w:pPr>
      <w:r>
        <w:rPr>
          <w:rFonts w:hint="eastAsia" w:ascii="黑体" w:hAnsi="仿宋_GB2312" w:eastAsia="黑体" w:cs="仿宋_GB2312"/>
          <w:b/>
          <w:sz w:val="32"/>
          <w:szCs w:val="32"/>
        </w:rPr>
        <w:t>八、专业名词解释</w:t>
      </w:r>
    </w:p>
    <w:p w14:paraId="546CDDF1">
      <w:pPr>
        <w:ind w:firstLine="630" w:firstLineChars="196"/>
        <w:rPr>
          <w:rFonts w:ascii="仿宋_GB2312" w:hAnsi="宋体" w:eastAsia="仿宋_GB2312"/>
          <w:sz w:val="32"/>
          <w:szCs w:val="32"/>
        </w:rPr>
      </w:pPr>
      <w:r>
        <w:rPr>
          <w:rFonts w:ascii="仿宋_GB2312" w:hAnsi="宋体" w:eastAsia="仿宋_GB2312"/>
          <w:b/>
          <w:bCs/>
          <w:sz w:val="32"/>
          <w:szCs w:val="32"/>
        </w:rPr>
        <w:t>1</w:t>
      </w:r>
      <w:r>
        <w:rPr>
          <w:rFonts w:hint="eastAsia" w:ascii="仿宋_GB2312" w:hAnsi="宋体" w:eastAsia="仿宋_GB2312"/>
          <w:b/>
          <w:bCs/>
          <w:sz w:val="32"/>
          <w:szCs w:val="32"/>
        </w:rPr>
        <w:t>、一般公共预算财政拨款收入：</w:t>
      </w:r>
      <w:r>
        <w:rPr>
          <w:rFonts w:hint="eastAsia" w:ascii="仿宋_GB2312" w:hAnsi="宋体" w:eastAsia="仿宋_GB2312"/>
          <w:sz w:val="32"/>
          <w:szCs w:val="32"/>
        </w:rPr>
        <w:t>县级财政当年拨付的资金。</w:t>
      </w:r>
    </w:p>
    <w:p w14:paraId="07EBE5C5">
      <w:pPr>
        <w:pStyle w:val="4"/>
        <w:widowControl/>
        <w:ind w:firstLine="578" w:firstLineChars="180"/>
        <w:rPr>
          <w:rFonts w:ascii="仿宋_GB2312" w:hAnsi="仿宋_GB2312" w:eastAsia="仿宋_GB2312" w:cs="仿宋_GB2312"/>
          <w:sz w:val="32"/>
          <w:szCs w:val="32"/>
        </w:rPr>
      </w:pPr>
      <w:r>
        <w:rPr>
          <w:rStyle w:val="8"/>
          <w:rFonts w:ascii="仿宋_GB2312" w:hAnsi="仿宋_GB2312" w:eastAsia="仿宋_GB2312" w:cs="仿宋_GB2312"/>
          <w:sz w:val="32"/>
          <w:szCs w:val="32"/>
          <w:shd w:val="clear" w:color="auto" w:fill="FFFFFF"/>
        </w:rPr>
        <w:t>2</w:t>
      </w:r>
      <w:r>
        <w:rPr>
          <w:rStyle w:val="8"/>
          <w:rFonts w:hint="eastAsia" w:ascii="仿宋_GB2312" w:hAnsi="仿宋_GB2312" w:eastAsia="仿宋_GB2312" w:cs="仿宋_GB2312"/>
          <w:sz w:val="32"/>
          <w:szCs w:val="32"/>
          <w:shd w:val="clear" w:color="auto" w:fill="FFFFFF"/>
        </w:rPr>
        <w:t>、其他收入：</w:t>
      </w:r>
      <w:r>
        <w:rPr>
          <w:rFonts w:hint="eastAsia" w:ascii="仿宋_GB2312" w:hAnsi="仿宋_GB2312" w:eastAsia="仿宋_GB2312" w:cs="仿宋_GB2312"/>
          <w:sz w:val="32"/>
          <w:szCs w:val="32"/>
          <w:shd w:val="clear" w:color="auto" w:fill="FFFFFF"/>
        </w:rPr>
        <w:t>指除上述财政拨款收入以外的收入。主要是存款利息收入。</w:t>
      </w:r>
    </w:p>
    <w:p w14:paraId="338E10B2">
      <w:pPr>
        <w:pStyle w:val="4"/>
        <w:widowControl/>
        <w:ind w:firstLine="578" w:firstLineChars="180"/>
        <w:rPr>
          <w:rFonts w:ascii="仿宋_GB2312" w:hAnsi="宋体" w:eastAsia="仿宋_GB2312"/>
          <w:sz w:val="32"/>
          <w:szCs w:val="32"/>
        </w:rPr>
      </w:pPr>
      <w:r>
        <w:rPr>
          <w:rStyle w:val="8"/>
          <w:rFonts w:ascii="仿宋_GB2312" w:hAnsi="仿宋_GB2312" w:eastAsia="仿宋_GB2312" w:cs="仿宋_GB2312"/>
          <w:color w:val="000000"/>
          <w:sz w:val="32"/>
          <w:szCs w:val="32"/>
          <w:shd w:val="clear" w:color="auto" w:fill="FFFFFF"/>
        </w:rPr>
        <w:t>3</w:t>
      </w:r>
      <w:r>
        <w:rPr>
          <w:rFonts w:hint="eastAsia" w:ascii="仿宋_GB2312" w:hAnsi="宋体" w:eastAsia="仿宋_GB2312"/>
          <w:b/>
          <w:bCs/>
          <w:sz w:val="32"/>
          <w:szCs w:val="32"/>
        </w:rPr>
        <w:t>、基本支出：</w:t>
      </w:r>
      <w:r>
        <w:rPr>
          <w:rFonts w:hint="eastAsia" w:ascii="仿宋_GB2312" w:hAnsi="宋体" w:eastAsia="仿宋_GB2312"/>
          <w:sz w:val="32"/>
          <w:szCs w:val="32"/>
        </w:rPr>
        <w:t>指为保障机构正常运转、完成日常工作任务而发生的人员支出和公用支出。</w:t>
      </w:r>
    </w:p>
    <w:p w14:paraId="35AAF91E">
      <w:pPr>
        <w:pStyle w:val="4"/>
        <w:widowControl/>
        <w:rPr>
          <w:rFonts w:ascii="仿宋_GB2312" w:hAnsi="宋体" w:eastAsia="仿宋_GB2312"/>
          <w:sz w:val="32"/>
          <w:szCs w:val="32"/>
        </w:rPr>
      </w:pPr>
      <w:r>
        <w:rPr>
          <w:rFonts w:ascii="仿宋_GB2312" w:hAnsi="宋体" w:eastAsia="仿宋_GB2312"/>
          <w:b/>
          <w:bCs/>
          <w:sz w:val="32"/>
          <w:szCs w:val="32"/>
        </w:rPr>
        <w:t xml:space="preserve">    4</w:t>
      </w:r>
      <w:r>
        <w:rPr>
          <w:rFonts w:hint="eastAsia" w:ascii="仿宋_GB2312" w:hAnsi="宋体" w:eastAsia="仿宋_GB2312"/>
          <w:b/>
          <w:bCs/>
          <w:sz w:val="32"/>
          <w:szCs w:val="32"/>
        </w:rPr>
        <w:t>、项目支出</w:t>
      </w:r>
      <w:r>
        <w:rPr>
          <w:rFonts w:hint="eastAsia" w:ascii="仿宋_GB2312" w:hAnsi="宋体" w:eastAsia="仿宋_GB2312"/>
          <w:sz w:val="32"/>
          <w:szCs w:val="32"/>
        </w:rPr>
        <w:t>：指在基本支出之外为完成特定行政任务和事业发展目标所发生的支出。</w:t>
      </w:r>
    </w:p>
    <w:p w14:paraId="1D124CE4">
      <w:pPr>
        <w:pStyle w:val="4"/>
        <w:widowControl/>
        <w:ind w:firstLine="643" w:firstLineChars="200"/>
        <w:rPr>
          <w:rFonts w:ascii="仿宋_GB2312" w:hAnsi="宋体" w:eastAsia="仿宋_GB2312"/>
          <w:sz w:val="32"/>
          <w:szCs w:val="32"/>
        </w:rPr>
      </w:pPr>
      <w:r>
        <w:rPr>
          <w:rFonts w:ascii="仿宋_GB2312" w:hAnsi="宋体" w:eastAsia="仿宋_GB2312"/>
          <w:b/>
          <w:bCs/>
          <w:sz w:val="32"/>
          <w:szCs w:val="32"/>
        </w:rPr>
        <w:t>5</w:t>
      </w:r>
      <w:r>
        <w:rPr>
          <w:rFonts w:hint="eastAsia" w:ascii="仿宋_GB2312" w:hAnsi="宋体" w:eastAsia="仿宋_GB2312"/>
          <w:b/>
          <w:bCs/>
          <w:sz w:val="32"/>
          <w:szCs w:val="32"/>
        </w:rPr>
        <w:t>、“三公”经费：</w:t>
      </w:r>
      <w:r>
        <w:rPr>
          <w:rFonts w:hint="eastAsia" w:ascii="仿宋_GB2312" w:hAnsi="宋体" w:eastAsia="仿宋_GB2312"/>
          <w:sz w:val="32"/>
          <w:szCs w:val="32"/>
        </w:rPr>
        <w:t>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6B6A3FF">
      <w:pPr>
        <w:pStyle w:val="4"/>
        <w:widowControl/>
        <w:ind w:firstLine="643" w:firstLineChars="200"/>
        <w:rPr>
          <w:rFonts w:ascii="仿宋_GB2312" w:hAnsi="宋体" w:eastAsia="仿宋_GB2312"/>
          <w:sz w:val="32"/>
          <w:szCs w:val="32"/>
        </w:rPr>
      </w:pPr>
      <w:r>
        <w:rPr>
          <w:rFonts w:ascii="仿宋_GB2312" w:hAnsi="宋体" w:eastAsia="仿宋_GB2312"/>
          <w:b/>
          <w:bCs/>
          <w:sz w:val="32"/>
          <w:szCs w:val="32"/>
        </w:rPr>
        <w:t>6</w:t>
      </w:r>
      <w:r>
        <w:rPr>
          <w:rFonts w:hint="eastAsia" w:ascii="仿宋_GB2312" w:hAnsi="宋体" w:eastAsia="仿宋_GB2312"/>
          <w:b/>
          <w:bCs/>
          <w:sz w:val="32"/>
          <w:szCs w:val="32"/>
        </w:rPr>
        <w:t>、机关运行经费：</w:t>
      </w:r>
      <w:r>
        <w:rPr>
          <w:rFonts w:hint="eastAsia" w:ascii="仿宋_GB2312" w:hAnsi="宋体" w:eastAsia="仿宋_GB2312"/>
          <w:sz w:val="32"/>
          <w:szCs w:val="32"/>
        </w:rPr>
        <w:t>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19AAD0D">
      <w:pPr>
        <w:rPr>
          <w:rFonts w:ascii="黑体" w:hAnsi="黑体" w:eastAsia="黑体" w:cs="黑体"/>
          <w:sz w:val="32"/>
          <w:szCs w:val="32"/>
        </w:rPr>
      </w:pPr>
      <w:r>
        <w:rPr>
          <w:rFonts w:hint="eastAsia" w:ascii="黑体" w:hAnsi="黑体" w:eastAsia="黑体" w:cs="黑体"/>
          <w:sz w:val="32"/>
          <w:szCs w:val="32"/>
        </w:rPr>
        <w:t xml:space="preserve"> 九、其他需要说明的事项</w:t>
      </w:r>
    </w:p>
    <w:p w14:paraId="3CC3932F">
      <w:pPr>
        <w:rPr>
          <w:rFonts w:ascii="仿宋" w:hAnsi="仿宋" w:eastAsia="仿宋" w:cs="仿宋"/>
          <w:sz w:val="32"/>
          <w:szCs w:val="32"/>
        </w:rPr>
      </w:pPr>
      <w:r>
        <w:rPr>
          <w:rFonts w:hint="eastAsia" w:ascii="仿宋" w:hAnsi="仿宋" w:eastAsia="仿宋" w:cs="仿宋"/>
          <w:sz w:val="32"/>
          <w:szCs w:val="32"/>
        </w:rPr>
        <w:t>我部门无政府性基金预算及国有资本经营预算，空表列示。</w:t>
      </w:r>
    </w:p>
    <w:p w14:paraId="2827BC48"/>
    <w:p w14:paraId="7DE3819D"/>
    <w:p w14:paraId="711A6F59">
      <w:pPr>
        <w:widowControl/>
        <w:spacing w:line="560" w:lineRule="exact"/>
        <w:ind w:firstLine="660"/>
        <w:rPr>
          <w:rFonts w:ascii="仿宋_GB2312" w:hAnsi="仿宋" w:eastAsia="仿宋_GB2312" w:cs="仿宋"/>
          <w:kern w:val="0"/>
          <w:sz w:val="30"/>
          <w:szCs w:val="30"/>
        </w:rPr>
      </w:pPr>
    </w:p>
    <w:p w14:paraId="38387055">
      <w:pPr>
        <w:widowControl/>
        <w:spacing w:line="560" w:lineRule="exact"/>
        <w:rPr>
          <w:rFonts w:ascii="仿宋" w:hAnsi="仿宋" w:eastAsia="仿宋" w:cs="仿宋"/>
          <w:kern w:val="0"/>
          <w:sz w:val="32"/>
          <w:szCs w:val="32"/>
        </w:rPr>
      </w:pPr>
    </w:p>
    <w:p w14:paraId="29032207">
      <w:pPr>
        <w:spacing w:line="480" w:lineRule="exact"/>
        <w:ind w:firstLine="3885" w:firstLineChars="1850"/>
      </w:pPr>
    </w:p>
    <w:p w14:paraId="159CA820"/>
    <w:sectPr>
      <w:pgSz w:w="11907" w:h="16839"/>
      <w:pgMar w:top="1361" w:right="1021" w:bottom="1361" w:left="1021"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宋体"/>
    <w:panose1 w:val="00000000000000000000"/>
    <w:charset w:val="86"/>
    <w:family w:val="roman"/>
    <w:pitch w:val="default"/>
    <w:sig w:usb0="00000000" w:usb1="00000000" w:usb2="00000000" w:usb3="00000000" w:csb0="00000000" w:csb1="00000000"/>
  </w:font>
  <w:font w:name="方正书宋_GBK">
    <w:altName w:val="宋体"/>
    <w:panose1 w:val="00000000000000000000"/>
    <w:charset w:val="86"/>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B"/>
    <w:multiLevelType w:val="singleLevel"/>
    <w:tmpl w:val="0000000B"/>
    <w:lvl w:ilvl="0" w:tentative="0">
      <w:start w:val="1"/>
      <w:numFmt w:val="decimal"/>
      <w:suff w:val="nothing"/>
      <w:lvlText w:val="%1、"/>
      <w:lvlJc w:val="left"/>
    </w:lvl>
  </w:abstractNum>
  <w:abstractNum w:abstractNumId="1">
    <w:nsid w:val="0000000C"/>
    <w:multiLevelType w:val="singleLevel"/>
    <w:tmpl w:val="0000000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2C237E6"/>
    <w:rsid w:val="00213D60"/>
    <w:rsid w:val="00282BB8"/>
    <w:rsid w:val="003B6ED3"/>
    <w:rsid w:val="003F3822"/>
    <w:rsid w:val="0044784B"/>
    <w:rsid w:val="00542722"/>
    <w:rsid w:val="00685A65"/>
    <w:rsid w:val="006A6306"/>
    <w:rsid w:val="00766A8B"/>
    <w:rsid w:val="00784567"/>
    <w:rsid w:val="007868A2"/>
    <w:rsid w:val="007B30DD"/>
    <w:rsid w:val="008425A4"/>
    <w:rsid w:val="00966A0F"/>
    <w:rsid w:val="009D5158"/>
    <w:rsid w:val="00A102A7"/>
    <w:rsid w:val="00B6703D"/>
    <w:rsid w:val="00C065F7"/>
    <w:rsid w:val="00D16340"/>
    <w:rsid w:val="00DE5ED0"/>
    <w:rsid w:val="02C237E6"/>
    <w:rsid w:val="04F82D37"/>
    <w:rsid w:val="052E523B"/>
    <w:rsid w:val="06D258EB"/>
    <w:rsid w:val="0ADA28A6"/>
    <w:rsid w:val="0B310B66"/>
    <w:rsid w:val="17CC041E"/>
    <w:rsid w:val="3D9D5A63"/>
    <w:rsid w:val="426D0F7B"/>
    <w:rsid w:val="439C056B"/>
    <w:rsid w:val="47933CC2"/>
    <w:rsid w:val="4E4E48AF"/>
    <w:rsid w:val="506A1CAE"/>
    <w:rsid w:val="50C554CC"/>
    <w:rsid w:val="56BE1536"/>
    <w:rsid w:val="7F467AB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7">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jc w:val="left"/>
    </w:pPr>
    <w:rPr>
      <w:sz w:val="18"/>
      <w:szCs w:val="18"/>
    </w:rPr>
  </w:style>
  <w:style w:type="paragraph" w:styleId="3">
    <w:name w:val="header"/>
    <w:basedOn w:val="1"/>
    <w:link w:val="9"/>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jc w:val="left"/>
    </w:pPr>
    <w:rPr>
      <w:kern w:val="0"/>
      <w:sz w:val="24"/>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customStyle="1" w:styleId="9">
    <w:name w:val="页眉 Char"/>
    <w:basedOn w:val="7"/>
    <w:link w:val="3"/>
    <w:qFormat/>
    <w:uiPriority w:val="0"/>
    <w:rPr>
      <w:rFonts w:asciiTheme="minorHAnsi" w:hAnsiTheme="minorHAnsi" w:cstheme="minorBidi"/>
      <w:kern w:val="2"/>
      <w:sz w:val="18"/>
      <w:szCs w:val="18"/>
    </w:rPr>
  </w:style>
  <w:style w:type="character" w:customStyle="1" w:styleId="10">
    <w:name w:val="页脚 Char"/>
    <w:basedOn w:val="7"/>
    <w:link w:val="2"/>
    <w:qFormat/>
    <w:uiPriority w:val="0"/>
    <w:rPr>
      <w:rFonts w:asciiTheme="minorHAnsi" w:hAnsiTheme="minorHAnsi"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4391</Words>
  <Characters>4738</Characters>
  <Lines>35</Lines>
  <Paragraphs>9</Paragraphs>
  <TotalTime>1</TotalTime>
  <ScaleCrop>false</ScaleCrop>
  <LinksUpToDate>false</LinksUpToDate>
  <CharactersWithSpaces>4809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2017-03-30T02:17:00Z</dcterms:created>
  <dc:creator>Administrator</dc:creator>
  <cp:lastModifiedBy>八爪小鱼</cp:lastModifiedBy>
  <cp:lastPrinted>2017-03-30T02:29:00Z</cp:lastPrinted>
  <dcterms:modified xsi:type="dcterms:W3CDTF">2024-12-04T07:45:51Z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81FF34427BEC458982BF20EDB7007A96_12</vt:lpwstr>
  </property>
</Properties>
</file>