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olor w:val="FF0000"/>
          <w:sz w:val="96"/>
          <w:szCs w:val="96"/>
        </w:rPr>
      </w:pPr>
      <w:r>
        <w:rPr>
          <w:rFonts w:hint="eastAsia" w:ascii="方正小标宋简体" w:hAnsi="宋体" w:eastAsia="方正小标宋简体"/>
          <w:color w:val="FF0000"/>
          <w:sz w:val="96"/>
          <w:szCs w:val="96"/>
        </w:rPr>
        <w:t>涞水县审计局文件</w:t>
      </w:r>
    </w:p>
    <w:p>
      <w:pPr>
        <w:spacing w:line="520" w:lineRule="exact"/>
        <w:jc w:val="center"/>
        <w:rPr>
          <w:rFonts w:hint="eastAsia" w:ascii="仿宋_GB2312"/>
        </w:rPr>
      </w:pPr>
    </w:p>
    <w:p>
      <w:pPr>
        <w:spacing w:line="520" w:lineRule="exact"/>
        <w:jc w:val="center"/>
        <w:rPr>
          <w:rFonts w:hint="eastAsia" w:ascii="仿宋_GB2312"/>
          <w:b/>
        </w:rPr>
      </w:pPr>
    </w:p>
    <w:p>
      <w:pPr>
        <w:spacing w:line="0" w:lineRule="atLeast"/>
        <w:ind w:right="-3"/>
        <w:jc w:val="center"/>
        <w:rPr>
          <w:rFonts w:hint="eastAsia" w:ascii="仿宋_GB2312"/>
        </w:rPr>
      </w:pPr>
      <w:r>
        <w:rPr>
          <w:rFonts w:hint="eastAsia" w:ascii="仿宋_GB2312"/>
        </w:rPr>
        <w:t>涞审办〔2017〕6号</w:t>
      </w:r>
    </w:p>
    <w:p>
      <w:pPr>
        <w:pBdr>
          <w:bottom w:val="single" w:color="FF0000" w:sz="12" w:space="1"/>
        </w:pBdr>
        <w:spacing w:line="120" w:lineRule="exact"/>
        <w:jc w:val="center"/>
        <w:rPr>
          <w:rFonts w:hint="eastAsia" w:eastAsia="长城小标宋体"/>
          <w:color w:val="FF0000"/>
          <w:spacing w:val="-20"/>
        </w:rPr>
      </w:pPr>
    </w:p>
    <w:p>
      <w:pPr>
        <w:spacing w:line="400" w:lineRule="exact"/>
        <w:rPr>
          <w:rFonts w:ascii="仿宋_GB2312"/>
          <w:szCs w:val="32"/>
        </w:rPr>
      </w:pPr>
    </w:p>
    <w:p>
      <w:pPr>
        <w:spacing w:line="400" w:lineRule="exact"/>
        <w:rPr>
          <w:rFonts w:hint="eastAsia" w:ascii="仿宋_GB2312"/>
          <w:szCs w:val="32"/>
        </w:rPr>
      </w:pPr>
    </w:p>
    <w:p>
      <w:pPr>
        <w:spacing w:line="660" w:lineRule="exact"/>
        <w:jc w:val="center"/>
        <w:rPr>
          <w:rFonts w:hint="eastAsia" w:ascii="宋体" w:hAnsi="宋体" w:eastAsia="宋体"/>
          <w:b/>
          <w:sz w:val="44"/>
          <w:szCs w:val="44"/>
        </w:rPr>
      </w:pPr>
      <w:r>
        <w:rPr>
          <w:rFonts w:hint="eastAsia" w:ascii="宋体" w:hAnsi="宋体" w:eastAsia="宋体"/>
          <w:b/>
          <w:sz w:val="44"/>
          <w:szCs w:val="44"/>
        </w:rPr>
        <w:t>涞水县审计局</w:t>
      </w:r>
      <w:r>
        <w:rPr>
          <w:rFonts w:ascii="宋体" w:hAnsi="宋体" w:eastAsia="宋体"/>
          <w:b/>
          <w:sz w:val="44"/>
          <w:szCs w:val="44"/>
        </w:rPr>
        <w:t> </w:t>
      </w:r>
    </w:p>
    <w:p>
      <w:pPr>
        <w:spacing w:line="660" w:lineRule="exact"/>
        <w:jc w:val="center"/>
        <w:rPr>
          <w:rFonts w:ascii="宋体" w:hAnsi="宋体" w:eastAsia="宋体"/>
          <w:b/>
          <w:sz w:val="44"/>
          <w:szCs w:val="44"/>
        </w:rPr>
      </w:pPr>
      <w:r>
        <w:rPr>
          <w:rFonts w:hint="eastAsia" w:ascii="宋体" w:hAnsi="宋体" w:eastAsia="宋体"/>
          <w:b/>
          <w:sz w:val="44"/>
          <w:szCs w:val="44"/>
        </w:rPr>
        <w:t>信息公开保密审查制度</w:t>
      </w:r>
      <w:r>
        <w:rPr>
          <w:rFonts w:ascii="宋体" w:hAnsi="宋体" w:eastAsia="宋体"/>
          <w:b/>
          <w:sz w:val="44"/>
          <w:szCs w:val="44"/>
        </w:rPr>
        <w:t>  </w:t>
      </w:r>
    </w:p>
    <w:p>
      <w:pPr>
        <w:pStyle w:val="4"/>
        <w:shd w:val="clear" w:color="auto" w:fill="FFFFFF"/>
        <w:spacing w:before="0" w:beforeAutospacing="0" w:after="0" w:afterAutospacing="0" w:line="180" w:lineRule="auto"/>
        <w:ind w:firstLine="800" w:firstLineChars="25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第一条</w:t>
      </w:r>
      <w:r>
        <w:rPr>
          <w:rFonts w:ascii="仿宋" w:hAnsi="仿宋" w:eastAsia="仿宋" w:cs="Times New Roman"/>
          <w:color w:val="000000"/>
          <w:kern w:val="2"/>
          <w:sz w:val="32"/>
          <w:szCs w:val="32"/>
        </w:rPr>
        <w:t> </w:t>
      </w:r>
      <w:r>
        <w:rPr>
          <w:rFonts w:hint="eastAsia" w:ascii="仿宋" w:hAnsi="仿宋" w:eastAsia="仿宋" w:cs="Times New Roman"/>
          <w:color w:val="000000"/>
          <w:kern w:val="2"/>
          <w:sz w:val="32"/>
          <w:szCs w:val="32"/>
        </w:rPr>
        <w:t>为做好我局信息公开的保密审查工作，根据《中华人民共和国保守国家秘密法》、《中华人民共和国我局信息公开条例》，经我局信息公开工作领导小组研究，制定本制度。</w:t>
      </w:r>
    </w:p>
    <w:p>
      <w:pPr>
        <w:pStyle w:val="5"/>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第二条</w:t>
      </w:r>
      <w:r>
        <w:rPr>
          <w:rFonts w:ascii="仿宋" w:hAnsi="仿宋" w:eastAsia="仿宋" w:cs="Times New Roman"/>
          <w:color w:val="000000"/>
          <w:kern w:val="2"/>
          <w:sz w:val="32"/>
          <w:szCs w:val="32"/>
        </w:rPr>
        <w:t> </w:t>
      </w:r>
      <w:r>
        <w:rPr>
          <w:rFonts w:hint="eastAsia" w:ascii="仿宋" w:hAnsi="仿宋" w:eastAsia="仿宋" w:cs="Times New Roman"/>
          <w:color w:val="000000"/>
          <w:kern w:val="2"/>
          <w:sz w:val="32"/>
          <w:szCs w:val="32"/>
        </w:rPr>
        <w:t>本制度适用于对拟公开的我局信息在公开前，要依照《中华人民共和国保守国家秘密法》以及其他法律、法规和国家有关规定进行保密审查。</w:t>
      </w:r>
      <w:r>
        <w:rPr>
          <w:rFonts w:ascii="仿宋" w:hAnsi="仿宋" w:eastAsia="仿宋" w:cs="Times New Roman"/>
          <w:color w:val="000000"/>
          <w:kern w:val="2"/>
          <w:sz w:val="32"/>
          <w:szCs w:val="32"/>
        </w:rPr>
        <w:t> </w:t>
      </w:r>
    </w:p>
    <w:p>
      <w:pPr>
        <w:pStyle w:val="6"/>
        <w:shd w:val="clear" w:color="auto" w:fill="FFFFFF"/>
        <w:spacing w:before="0" w:beforeAutospacing="0" w:after="0" w:afterAutospacing="0" w:line="180" w:lineRule="auto"/>
        <w:ind w:firstLine="320" w:firstLineChars="1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第三条</w:t>
      </w:r>
      <w:r>
        <w:rPr>
          <w:rFonts w:ascii="仿宋" w:hAnsi="仿宋" w:eastAsia="仿宋" w:cs="Times New Roman"/>
          <w:color w:val="000000"/>
          <w:kern w:val="2"/>
          <w:sz w:val="32"/>
          <w:szCs w:val="32"/>
        </w:rPr>
        <w:t> </w:t>
      </w:r>
      <w:r>
        <w:rPr>
          <w:rFonts w:hint="eastAsia" w:ascii="仿宋" w:hAnsi="仿宋" w:eastAsia="仿宋" w:cs="Times New Roman"/>
          <w:color w:val="000000"/>
          <w:kern w:val="2"/>
          <w:sz w:val="32"/>
          <w:szCs w:val="32"/>
        </w:rPr>
        <w:t>我局信息公开保密审查应遵循“谁主管、谁负责；谁公开、谁审查”的原则。拟公开的我局信息均应进行保密审查。</w:t>
      </w:r>
    </w:p>
    <w:p>
      <w:pPr>
        <w:pStyle w:val="6"/>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第四条  对拟公开我局信息的保密审查，应当以《中华人民共和国保守国家秘密法》等有关法律、法规的规定及由国家保密局会同中央国家机关确定的国家秘密及其密级具体范围的规定为依据。</w:t>
      </w:r>
    </w:p>
    <w:p>
      <w:pPr>
        <w:pStyle w:val="5"/>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第五条  建立健全我局信息发布保密审查机制,依照国家有关规定和本制度的要求，结合本机关业务工作流程和特点，明确审查的程序和责任，并明确1名机关行政负责人分管保密审查工作，指定股室负责保密审查的日常工作，开展保密审查时应履行审查审批手续。</w:t>
      </w:r>
    </w:p>
    <w:p>
      <w:pPr>
        <w:pStyle w:val="4"/>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第六条</w:t>
      </w:r>
      <w:r>
        <w:rPr>
          <w:rFonts w:ascii="仿宋" w:hAnsi="仿宋" w:eastAsia="仿宋" w:cs="Times New Roman"/>
          <w:color w:val="000000"/>
          <w:kern w:val="2"/>
          <w:sz w:val="32"/>
          <w:szCs w:val="32"/>
        </w:rPr>
        <w:t> </w:t>
      </w:r>
      <w:r>
        <w:rPr>
          <w:rFonts w:hint="eastAsia" w:ascii="仿宋" w:hAnsi="仿宋" w:eastAsia="仿宋" w:cs="Times New Roman"/>
          <w:color w:val="000000"/>
          <w:kern w:val="2"/>
          <w:sz w:val="32"/>
          <w:szCs w:val="32"/>
        </w:rPr>
        <w:t>不得公开涉及国家秘密、商业秘密、工作秘密、个人隐私的下列我局信息：</w:t>
      </w:r>
    </w:p>
    <w:p>
      <w:pPr>
        <w:pStyle w:val="4"/>
        <w:shd w:val="clear" w:color="auto" w:fill="FFFFFF"/>
        <w:spacing w:before="0" w:beforeAutospacing="0" w:after="0" w:afterAutospacing="0" w:line="180" w:lineRule="auto"/>
        <w:ind w:firstLine="480" w:firstLineChars="15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（一）依照国家保密范围和定密规定，明确标识为“秘密”、“机密”、“绝密”的信息；</w:t>
      </w:r>
    </w:p>
    <w:p>
      <w:pPr>
        <w:pStyle w:val="7"/>
        <w:shd w:val="clear" w:color="auto" w:fill="FFFFFF"/>
        <w:spacing w:before="0" w:beforeAutospacing="0" w:after="0" w:afterAutospacing="0" w:line="180" w:lineRule="auto"/>
        <w:ind w:firstLine="480" w:firstLineChars="15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（二）虽未标识，但内容涉及国家秘密、商业秘密、工作秘密、个人隐私的信息；</w:t>
      </w:r>
    </w:p>
    <w:p>
      <w:pPr>
        <w:pStyle w:val="8"/>
        <w:shd w:val="clear" w:color="auto" w:fill="FFFFFF"/>
        <w:spacing w:before="0" w:beforeAutospacing="0" w:after="0" w:afterAutospacing="0" w:line="180" w:lineRule="auto"/>
        <w:ind w:firstLine="480" w:firstLineChars="15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（三）其他公开后可能危机国家安全、公共安全、经济安全和社会稳定的信息。</w:t>
      </w:r>
    </w:p>
    <w:p>
      <w:pPr>
        <w:pStyle w:val="4"/>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第七条   对我局信息的保密审查应当依照以下程序进行：</w:t>
      </w:r>
    </w:p>
    <w:p>
      <w:pPr>
        <w:pStyle w:val="9"/>
        <w:shd w:val="clear" w:color="auto" w:fill="FFFFFF"/>
        <w:spacing w:before="0" w:beforeAutospacing="0" w:after="0" w:afterAutospacing="0" w:line="180" w:lineRule="auto"/>
        <w:ind w:firstLine="480" w:firstLineChars="15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（一）由信息产生的股室提出是否公开的初步意见；</w:t>
      </w:r>
      <w:r>
        <w:rPr>
          <w:rFonts w:ascii="仿宋" w:hAnsi="仿宋" w:eastAsia="仿宋" w:cs="Times New Roman"/>
          <w:color w:val="000000"/>
          <w:kern w:val="2"/>
          <w:sz w:val="32"/>
          <w:szCs w:val="32"/>
        </w:rPr>
        <w:t> </w:t>
      </w:r>
    </w:p>
    <w:p>
      <w:pPr>
        <w:pStyle w:val="4"/>
        <w:shd w:val="clear" w:color="auto" w:fill="FFFFFF"/>
        <w:spacing w:before="0" w:beforeAutospacing="0" w:after="0" w:afterAutospacing="0" w:line="180" w:lineRule="auto"/>
        <w:ind w:firstLine="480" w:firstLineChars="15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（二）由信息产生股室的负责人提出是否公开的审查意见；</w:t>
      </w:r>
    </w:p>
    <w:p>
      <w:pPr>
        <w:pStyle w:val="9"/>
        <w:shd w:val="clear" w:color="auto" w:fill="FFFFFF"/>
        <w:spacing w:before="0" w:beforeAutospacing="0" w:after="0" w:afterAutospacing="0" w:line="180" w:lineRule="auto"/>
        <w:ind w:firstLine="320" w:firstLineChars="1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（三）机关负责保密审查工作的股室提出审查意见；</w:t>
      </w:r>
    </w:p>
    <w:p>
      <w:pPr>
        <w:pStyle w:val="10"/>
        <w:shd w:val="clear" w:color="auto" w:fill="FFFFFF"/>
        <w:spacing w:before="0" w:beforeAutospacing="0" w:after="0" w:afterAutospacing="0" w:line="180" w:lineRule="auto"/>
        <w:ind w:firstLine="320" w:firstLineChars="1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（四）机关分管领导审查批准。</w:t>
      </w:r>
    </w:p>
    <w:p>
      <w:pPr>
        <w:pStyle w:val="4"/>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第八条  与其他行政机关共同形成的我局信息拟公开时，应由主办的行政机关负责公开前的保密审查，并以文字形式征得其他机关单位同意后方可予以公开。</w:t>
      </w:r>
    </w:p>
    <w:p>
      <w:pPr>
        <w:pStyle w:val="4"/>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第九条  对我局信息是否属于国家秘密和属于何种密级不明确的，属于主管业务方面的，逐级报至有权确定该事项密级的上级机关或保密工作部门确定；其他方面的事项逐级报至有权确定该事项密级的保密工作部门确定。</w:t>
      </w:r>
      <w:r>
        <w:rPr>
          <w:rFonts w:ascii="仿宋" w:hAnsi="仿宋" w:eastAsia="仿宋" w:cs="Times New Roman"/>
          <w:color w:val="000000"/>
          <w:kern w:val="2"/>
          <w:sz w:val="32"/>
          <w:szCs w:val="32"/>
        </w:rPr>
        <w:t> </w:t>
      </w:r>
    </w:p>
    <w:p>
      <w:pPr>
        <w:pStyle w:val="11"/>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第十条</w:t>
      </w:r>
      <w:r>
        <w:rPr>
          <w:rFonts w:ascii="仿宋" w:hAnsi="仿宋" w:eastAsia="仿宋" w:cs="Times New Roman"/>
          <w:color w:val="000000"/>
          <w:kern w:val="2"/>
          <w:sz w:val="32"/>
          <w:szCs w:val="32"/>
        </w:rPr>
        <w:t> </w:t>
      </w:r>
      <w:r>
        <w:rPr>
          <w:rFonts w:hint="eastAsia" w:ascii="仿宋" w:hAnsi="仿宋" w:eastAsia="仿宋" w:cs="Times New Roman"/>
          <w:color w:val="000000"/>
          <w:kern w:val="2"/>
          <w:sz w:val="32"/>
          <w:szCs w:val="32"/>
        </w:rPr>
        <w:t>已确定为国家秘密但已超过保密期限并拟公开的我局信息，行政机关应在保密审查确认能够公开后，按保密规定办理解密手续，再予以公开。</w:t>
      </w:r>
      <w:r>
        <w:rPr>
          <w:kern w:val="2"/>
        </w:rPr>
        <w:t> </w:t>
      </w:r>
    </w:p>
    <w:p>
      <w:pPr>
        <w:pStyle w:val="12"/>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第十一条  本机关业务机构在我局信息产生、审签时标明是否属于保密事项；在进行保密审查时，负责保密审查工作的机构和人员应当提出“公开”、“免于公开”等审查意见，并注明其依据和理由。</w:t>
      </w:r>
    </w:p>
    <w:p>
      <w:pPr>
        <w:pStyle w:val="11"/>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第十二条  负责保密审查工作的股室接到信息审查申请后，应在15个工作日内提出审查确认的意见。</w:t>
      </w:r>
      <w:r>
        <w:rPr>
          <w:rFonts w:ascii="仿宋" w:hAnsi="仿宋" w:eastAsia="仿宋" w:cs="Times New Roman"/>
          <w:color w:val="000000"/>
          <w:kern w:val="2"/>
          <w:sz w:val="32"/>
          <w:szCs w:val="32"/>
        </w:rPr>
        <w:t> </w:t>
      </w:r>
    </w:p>
    <w:p>
      <w:pPr>
        <w:pStyle w:val="12"/>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第十三条</w:t>
      </w:r>
      <w:r>
        <w:rPr>
          <w:rFonts w:ascii="仿宋" w:hAnsi="仿宋" w:eastAsia="仿宋" w:cs="Times New Roman"/>
          <w:color w:val="000000"/>
          <w:kern w:val="2"/>
          <w:sz w:val="32"/>
          <w:szCs w:val="32"/>
        </w:rPr>
        <w:t> </w:t>
      </w:r>
      <w:r>
        <w:rPr>
          <w:rFonts w:hint="eastAsia" w:ascii="仿宋" w:hAnsi="仿宋" w:eastAsia="仿宋" w:cs="Times New Roman"/>
          <w:color w:val="000000"/>
          <w:kern w:val="2"/>
          <w:sz w:val="32"/>
          <w:szCs w:val="32"/>
        </w:rPr>
        <w:t>拟公开的我局信息中含有部分涉密内容的，应当按照有关规定进行非密处理,采取属于国家秘密的部分不予公开、其余部分公开的方法处理。</w:t>
      </w:r>
      <w:r>
        <w:rPr>
          <w:rFonts w:ascii="仿宋" w:hAnsi="仿宋" w:eastAsia="仿宋" w:cs="Times New Roman"/>
          <w:color w:val="000000"/>
          <w:kern w:val="2"/>
          <w:sz w:val="32"/>
          <w:szCs w:val="32"/>
        </w:rPr>
        <w:t> </w:t>
      </w:r>
    </w:p>
    <w:p>
      <w:pPr>
        <w:pStyle w:val="12"/>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第十四条  公民、法人或者其他组织对我局信息公开工作中因保密问题未公开相关信息存在质疑的，可以向县审计局提出申请，要求说明不予公开有关信息的依据和理由。</w:t>
      </w:r>
      <w:r>
        <w:rPr>
          <w:rFonts w:ascii="仿宋" w:hAnsi="仿宋" w:eastAsia="仿宋" w:cs="Times New Roman"/>
          <w:color w:val="000000"/>
          <w:kern w:val="2"/>
          <w:sz w:val="32"/>
          <w:szCs w:val="32"/>
        </w:rPr>
        <w:t> </w:t>
      </w:r>
    </w:p>
    <w:p>
      <w:pPr>
        <w:pStyle w:val="12"/>
        <w:shd w:val="clear" w:color="auto" w:fill="FFFFFF"/>
        <w:spacing w:before="0" w:beforeAutospacing="0" w:after="0" w:afterAutospacing="0" w:line="180" w:lineRule="auto"/>
        <w:ind w:firstLine="640" w:firstLineChars="200"/>
        <w:rPr>
          <w:rFonts w:hint="eastAsia"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第十五条  违反有关规定，公开涉及国家秘密的我局信息,造成泄密事件的，依照有关规定进行查处。</w:t>
      </w:r>
      <w:r>
        <w:rPr>
          <w:rFonts w:ascii="仿宋" w:hAnsi="仿宋" w:eastAsia="仿宋" w:cs="Times New Roman"/>
          <w:color w:val="000000"/>
          <w:kern w:val="2"/>
          <w:sz w:val="32"/>
          <w:szCs w:val="32"/>
        </w:rPr>
        <w:t> </w:t>
      </w:r>
    </w:p>
    <w:p>
      <w:pPr>
        <w:pStyle w:val="12"/>
        <w:shd w:val="clear" w:color="auto" w:fill="FFFFFF"/>
        <w:spacing w:before="0" w:beforeAutospacing="0" w:after="0" w:afterAutospacing="0" w:line="180" w:lineRule="auto"/>
        <w:ind w:firstLine="640" w:firstLineChars="200"/>
        <w:rPr>
          <w:rFonts w:ascii="仿宋" w:hAnsi="仿宋" w:eastAsia="仿宋" w:cs="Times New Roman"/>
          <w:color w:val="000000"/>
          <w:kern w:val="2"/>
          <w:sz w:val="32"/>
          <w:szCs w:val="32"/>
        </w:rPr>
      </w:pPr>
      <w:r>
        <w:rPr>
          <w:rFonts w:hint="eastAsia" w:ascii="仿宋" w:hAnsi="仿宋" w:eastAsia="仿宋" w:cs="Times New Roman"/>
          <w:color w:val="000000"/>
          <w:kern w:val="2"/>
          <w:sz w:val="32"/>
          <w:szCs w:val="32"/>
        </w:rPr>
        <w:t>第十六条  本制度自发布之日起施行。</w:t>
      </w:r>
    </w:p>
    <w:p>
      <w:pPr>
        <w:spacing w:line="180" w:lineRule="auto"/>
        <w:jc w:val="left"/>
        <w:rPr>
          <w:rFonts w:ascii="仿宋" w:hAnsi="仿宋" w:eastAsia="仿宋"/>
          <w:color w:val="000000"/>
          <w:szCs w:val="32"/>
        </w:rPr>
      </w:pPr>
    </w:p>
    <w:p>
      <w:pPr>
        <w:spacing w:line="180" w:lineRule="auto"/>
        <w:jc w:val="left"/>
        <w:rPr>
          <w:rFonts w:ascii="仿宋" w:hAnsi="仿宋" w:eastAsia="仿宋"/>
          <w:color w:val="000000"/>
          <w:szCs w:val="32"/>
        </w:rPr>
      </w:pPr>
    </w:p>
    <w:p>
      <w:pPr>
        <w:spacing w:line="180" w:lineRule="auto"/>
        <w:jc w:val="left"/>
        <w:rPr>
          <w:rFonts w:ascii="仿宋" w:hAnsi="仿宋" w:eastAsia="仿宋"/>
          <w:color w:val="000000"/>
          <w:szCs w:val="32"/>
        </w:rPr>
      </w:pPr>
    </w:p>
    <w:p>
      <w:pPr>
        <w:spacing w:line="180" w:lineRule="auto"/>
        <w:jc w:val="left"/>
        <w:rPr>
          <w:rFonts w:ascii="仿宋" w:hAnsi="仿宋" w:eastAsia="仿宋"/>
          <w:color w:val="000000"/>
          <w:szCs w:val="32"/>
        </w:rPr>
      </w:pPr>
    </w:p>
    <w:p>
      <w:pPr>
        <w:spacing w:line="180" w:lineRule="auto"/>
        <w:jc w:val="left"/>
        <w:rPr>
          <w:rFonts w:hint="eastAsia" w:ascii="仿宋" w:hAnsi="仿宋" w:eastAsia="仿宋"/>
          <w:color w:val="000000"/>
          <w:szCs w:val="32"/>
        </w:rPr>
      </w:pPr>
    </w:p>
    <w:p>
      <w:pPr>
        <w:spacing w:line="180" w:lineRule="auto"/>
        <w:jc w:val="left"/>
        <w:rPr>
          <w:rFonts w:ascii="仿宋" w:hAnsi="仿宋" w:eastAsia="仿宋"/>
          <w:color w:val="000000"/>
          <w:szCs w:val="32"/>
        </w:rPr>
      </w:pPr>
    </w:p>
    <w:p>
      <w:pPr>
        <w:spacing w:line="180" w:lineRule="auto"/>
        <w:jc w:val="left"/>
        <w:rPr>
          <w:rFonts w:ascii="仿宋" w:hAnsi="仿宋" w:eastAsia="仿宋"/>
          <w:color w:val="000000"/>
          <w:szCs w:val="32"/>
        </w:rPr>
      </w:pPr>
    </w:p>
    <w:p>
      <w:pPr>
        <w:spacing w:line="180" w:lineRule="auto"/>
        <w:jc w:val="left"/>
        <w:rPr>
          <w:rFonts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8" w:space="1"/>
        </w:pBdr>
        <w:spacing w:line="180" w:lineRule="auto"/>
        <w:ind w:right="6"/>
        <w:jc w:val="left"/>
        <w:outlineLvl w:val="0"/>
        <w:rPr>
          <w:rFonts w:hint="eastAsia" w:ascii="仿宋" w:hAnsi="仿宋" w:eastAsia="仿宋"/>
          <w:color w:val="000000"/>
          <w:szCs w:val="32"/>
        </w:rPr>
      </w:pPr>
    </w:p>
    <w:p>
      <w:pPr>
        <w:pBdr>
          <w:bottom w:val="single" w:color="auto" w:sz="6" w:space="1"/>
        </w:pBdr>
        <w:spacing w:line="180" w:lineRule="auto"/>
        <w:ind w:right="6" w:firstLine="320" w:firstLineChars="100"/>
        <w:jc w:val="left"/>
        <w:outlineLvl w:val="0"/>
        <w:rPr>
          <w:rFonts w:hint="eastAsia" w:ascii="仿宋" w:hAnsi="仿宋" w:eastAsia="仿宋"/>
          <w:color w:val="000000"/>
          <w:szCs w:val="32"/>
        </w:rPr>
      </w:pPr>
      <w:r>
        <w:rPr>
          <w:rFonts w:hint="eastAsia" w:ascii="仿宋" w:hAnsi="仿宋" w:eastAsia="仿宋"/>
          <w:color w:val="000000"/>
          <w:szCs w:val="32"/>
        </w:rPr>
        <w:t>局内分送：存（5）。 　</w:t>
      </w:r>
    </w:p>
    <w:p>
      <w:pPr>
        <w:pBdr>
          <w:bottom w:val="single" w:color="auto" w:sz="8" w:space="1"/>
        </w:pBdr>
        <w:spacing w:line="180" w:lineRule="auto"/>
        <w:ind w:right="-3"/>
        <w:jc w:val="left"/>
      </w:pPr>
      <w:r>
        <w:rPr>
          <w:rFonts w:hint="eastAsia" w:ascii="仿宋" w:hAnsi="仿宋" w:eastAsia="仿宋"/>
          <w:color w:val="000000"/>
          <w:szCs w:val="32"/>
        </w:rPr>
        <w:t>　涞水县审计局办公室　　　　　　2017年5月16日印发</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Calisto MT"/>
    <w:panose1 w:val="02040503050406030204"/>
    <w:charset w:val="00"/>
    <w:family w:val="roman"/>
    <w:pitch w:val="default"/>
    <w:sig w:usb0="00000000" w:usb1="00000000" w:usb2="00000000" w:usb3="00000000" w:csb0="0000019F" w:csb1="00000000"/>
  </w:font>
  <w:font w:name="Calibri">
    <w:altName w:val="Arial Rounded MT Bold"/>
    <w:panose1 w:val="020F0502020204030204"/>
    <w:charset w:val="00"/>
    <w:family w:val="swiss"/>
    <w:pitch w:val="default"/>
    <w:sig w:usb0="00000000" w:usb1="00000000" w:usb2="00000001" w:usb3="00000000" w:csb0="0000019F" w:csb1="00000000"/>
  </w:font>
  <w:font w:name="Calisto MT">
    <w:panose1 w:val="02040603050505030304"/>
    <w:charset w:val="00"/>
    <w:family w:val="auto"/>
    <w:pitch w:val="default"/>
    <w:sig w:usb0="00000003" w:usb1="00000000" w:usb2="00000000" w:usb3="00000000" w:csb0="20000001" w:csb1="00000000"/>
  </w:font>
  <w:font w:name="Arial Rounded MT Bold">
    <w:panose1 w:val="020F0704030504030204"/>
    <w:charset w:val="00"/>
    <w:family w:val="auto"/>
    <w:pitch w:val="default"/>
    <w:sig w:usb0="00000003"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长城小标宋体">
    <w:panose1 w:val="02010609010101010101"/>
    <w:charset w:val="86"/>
    <w:family w:val="modern"/>
    <w:pitch w:val="default"/>
    <w:sig w:usb0="00000000" w:usb1="00000000" w:usb2="00000000" w:usb3="00000000" w:csb0="00000000" w:csb1="00000000"/>
  </w:font>
  <w:font w:name="仿宋">
    <w:altName w:val="仿宋_GB2312"/>
    <w:panose1 w:val="02010609060101010101"/>
    <w:charset w:val="86"/>
    <w:family w:val="modern"/>
    <w:pitch w:val="default"/>
    <w:sig w:usb0="00000000" w:usb1="00000000" w:usb2="00000016" w:usb3="00000000" w:csb0="00040001" w:csb1="00000000"/>
  </w:font>
  <w:font w:name="Arial">
    <w:panose1 w:val="020B06040202020202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220543"/>
    <w:rsid w:val="06220543"/>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kern w:val="2"/>
      <w:sz w:val="32"/>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reader-word-layer reader-word-s2-4"/>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5">
    <w:name w:val="reader-word-layer reader-word-s1-5"/>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
    <w:name w:val="reader-word-layer reader-word-s1-6"/>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
    <w:name w:val="reader-word-layer reader-word-s2-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8">
    <w:name w:val="reader-word-layer reader-word-s2-6"/>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9">
    <w:name w:val="reader-word-layer reader-word-s2-7"/>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0">
    <w:name w:val="reader-word-layer reader-word-s2-8"/>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1">
    <w:name w:val="reader-word-layer reader-word-s3-1"/>
    <w:basedOn w:val="1"/>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2">
    <w:name w:val="reader-word-layer reader-word-s3-5"/>
    <w:basedOn w:val="1"/>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Office_10.1.0.5850_F1E327BC-269C-435d-A152-05C5408002CA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2017-08-24T00:49:00Z</dcterms:created>
  <dc:creator>Administrator</dc:creator>
  <cp:lastModifiedBy>Administrator</cp:lastModifiedBy>
  <dcterms:modified xsi:type="dcterms:W3CDTF">2017-08-24T00:55:32Z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2052-10.1.0.5850</vt:lpwstr>
  </property>
</Properties>
</file>