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066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涞水县发展改革和科学技术局（商务）</w:t>
      </w:r>
    </w:p>
    <w:p w14:paraId="213A75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8"/>
          <w:sz w:val="44"/>
          <w:szCs w:val="44"/>
        </w:rPr>
      </w:pPr>
      <w:r>
        <w:rPr>
          <w:rFonts w:hint="eastAsia" w:ascii="方正小标宋_GBK" w:hAnsi="方正小标宋_GBK" w:eastAsia="方正小标宋_GBK" w:cs="方正小标宋_GBK"/>
          <w:b w:val="0"/>
          <w:bCs w:val="0"/>
          <w:i w:val="0"/>
          <w:iCs w:val="0"/>
          <w:caps w:val="0"/>
          <w:color w:val="000000"/>
          <w:spacing w:val="8"/>
          <w:kern w:val="0"/>
          <w:sz w:val="44"/>
          <w:szCs w:val="44"/>
          <w:shd w:val="clear" w:fill="FFFFFF"/>
          <w:lang w:val="en-US" w:eastAsia="zh-CN" w:bidi="ar"/>
        </w:rPr>
        <w:t>行政执法服务指南</w:t>
      </w:r>
    </w:p>
    <w:p w14:paraId="46DCC9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center"/>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24"/>
          <w:szCs w:val="24"/>
          <w:shd w:val="clear" w:fill="FFFFFF"/>
          <w:lang w:val="en-US" w:eastAsia="zh-CN" w:bidi="ar"/>
        </w:rPr>
        <w:t> </w:t>
      </w:r>
    </w:p>
    <w:p w14:paraId="45076E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商务行政执法主要承担全市商务领域内的报废机动车回收、单用途商业预付卡销售、汽车销售等行业的行政执法职能，维护市场流通秩序。</w:t>
      </w:r>
    </w:p>
    <w:p w14:paraId="53C3B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一、商务行政执法服务承诺</w:t>
      </w:r>
    </w:p>
    <w:p w14:paraId="3241AD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1、坚持依法行政，严格按照法律规定的程序，做到“有法必依、执法必严、违法必究”，杜绝乱作为、不作为、慢作为现象；</w:t>
      </w:r>
    </w:p>
    <w:p w14:paraId="1C7FAD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8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24"/>
          <w:szCs w:val="24"/>
          <w:shd w:val="clear" w:fill="FFFFFF"/>
          <w:lang w:val="en-US" w:eastAsia="zh-CN" w:bidi="ar"/>
        </w:rPr>
        <w:t> </w:t>
      </w:r>
      <w:r>
        <w:rPr>
          <w:rFonts w:hint="eastAsia" w:ascii="宋体" w:hAnsi="宋体" w:eastAsia="宋体" w:cs="宋体"/>
          <w:i w:val="0"/>
          <w:iCs w:val="0"/>
          <w:caps w:val="0"/>
          <w:color w:val="000000"/>
          <w:spacing w:val="8"/>
          <w:kern w:val="0"/>
          <w:sz w:val="32"/>
          <w:szCs w:val="32"/>
          <w:shd w:val="clear" w:fill="FFFFFF"/>
          <w:lang w:val="en-US" w:eastAsia="zh-CN" w:bidi="ar"/>
        </w:rPr>
        <w:t>2、坚持规范执法，做到公开、公平、公正，对执法对象一视同仁，真正做到法律面前人人平等；</w:t>
      </w:r>
    </w:p>
    <w:p w14:paraId="26E5D8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8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24"/>
          <w:szCs w:val="24"/>
          <w:shd w:val="clear" w:fill="FFFFFF"/>
          <w:lang w:val="en-US" w:eastAsia="zh-CN" w:bidi="ar"/>
        </w:rPr>
        <w:t> </w:t>
      </w:r>
      <w:r>
        <w:rPr>
          <w:rFonts w:hint="eastAsia" w:ascii="宋体" w:hAnsi="宋体" w:eastAsia="宋体" w:cs="宋体"/>
          <w:i w:val="0"/>
          <w:iCs w:val="0"/>
          <w:caps w:val="0"/>
          <w:color w:val="000000"/>
          <w:spacing w:val="8"/>
          <w:kern w:val="0"/>
          <w:sz w:val="32"/>
          <w:szCs w:val="32"/>
          <w:shd w:val="clear" w:fill="FFFFFF"/>
          <w:lang w:val="en-US" w:eastAsia="zh-CN" w:bidi="ar"/>
        </w:rPr>
        <w:t>3、坚持高效执法，加强日常巡查，提高工作效率，对发现的违法行为及时制止，尽量减少当事人的损失；</w:t>
      </w:r>
    </w:p>
    <w:p w14:paraId="1A4E83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4、坚持阳光执法，严格遵守廉政建设的各项规定，不索取、收受当事人的礼品礼金，不接受当事人的宴请，不利用职权牟取非法利益；</w:t>
      </w:r>
    </w:p>
    <w:p w14:paraId="149D81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5、追求和谐执法，积极探索人性化执法新模式，努力寻求执法和服务的最佳结合点，寓服务于执法，从而真正保护公正的合法权益；</w:t>
      </w:r>
    </w:p>
    <w:p w14:paraId="709C0D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二、商务行政执法依据</w:t>
      </w:r>
    </w:p>
    <w:p w14:paraId="68E2F0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1、《报废机动车回收管理办法》（国务院令第715号）</w:t>
      </w:r>
    </w:p>
    <w:p w14:paraId="2B0906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b w:val="0"/>
          <w:bCs w:val="0"/>
          <w:i w:val="0"/>
          <w:iCs w:val="0"/>
          <w:caps w:val="0"/>
          <w:color w:val="000000"/>
          <w:spacing w:val="8"/>
          <w:kern w:val="0"/>
          <w:sz w:val="32"/>
          <w:szCs w:val="32"/>
          <w:shd w:val="clear" w:fill="FFFFFF"/>
          <w:lang w:val="en-US" w:eastAsia="zh-CN" w:bidi="ar"/>
        </w:rPr>
        <w:t>2、</w:t>
      </w:r>
      <w:r>
        <w:rPr>
          <w:rFonts w:hint="eastAsia" w:ascii="宋体" w:hAnsi="宋体" w:eastAsia="宋体" w:cs="宋体"/>
          <w:i w:val="0"/>
          <w:iCs w:val="0"/>
          <w:caps w:val="0"/>
          <w:color w:val="000000"/>
          <w:spacing w:val="8"/>
          <w:kern w:val="0"/>
          <w:sz w:val="32"/>
          <w:szCs w:val="32"/>
          <w:shd w:val="clear" w:fill="FFFFFF"/>
          <w:lang w:val="en-US" w:eastAsia="zh-CN" w:bidi="ar"/>
        </w:rPr>
        <w:t>《汽车销售管理办法》（商务部令2017年第1号）</w:t>
      </w:r>
    </w:p>
    <w:p w14:paraId="3F33FE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both"/>
        <w:textAlignment w:val="baseline"/>
        <w:rPr>
          <w:rFonts w:hint="eastAsia" w:ascii="宋体" w:hAnsi="宋体" w:eastAsia="宋体" w:cs="宋体"/>
          <w:i w:val="0"/>
          <w:iCs w:val="0"/>
          <w:caps w:val="0"/>
          <w:color w:val="000000"/>
          <w:spacing w:val="8"/>
          <w:sz w:val="24"/>
          <w:szCs w:val="24"/>
        </w:rPr>
      </w:pPr>
      <w:r>
        <w:rPr>
          <w:rFonts w:hint="eastAsia" w:ascii="宋体" w:hAnsi="宋体" w:eastAsia="宋体" w:cs="宋体"/>
          <w:b w:val="0"/>
          <w:bCs w:val="0"/>
          <w:i w:val="0"/>
          <w:iCs w:val="0"/>
          <w:caps w:val="0"/>
          <w:color w:val="000000"/>
          <w:spacing w:val="8"/>
          <w:kern w:val="0"/>
          <w:sz w:val="32"/>
          <w:szCs w:val="32"/>
          <w:shd w:val="clear" w:fill="FFFFFF"/>
          <w:vertAlign w:val="baseline"/>
          <w:lang w:val="en-US" w:eastAsia="zh-CN" w:bidi="ar"/>
        </w:rPr>
        <w:t>3、《单用途商业预付卡管理办法（试行）》（商务部令2012年第9号）</w:t>
      </w:r>
    </w:p>
    <w:p w14:paraId="3B3BB8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三、商务行政执法权限</w:t>
      </w:r>
    </w:p>
    <w:p w14:paraId="3AFB85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(一) 违反《报废机动车回收管理办法》的</w:t>
      </w:r>
    </w:p>
    <w:p w14:paraId="2C6583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处罚种类：没收违法所得、责令停业整顿、罚款</w:t>
      </w:r>
    </w:p>
    <w:p w14:paraId="65606E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依据法律、法规、规章名称和条文：</w:t>
      </w:r>
    </w:p>
    <w:p w14:paraId="2C2363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1、《报废机动车回收管理办法》第十九条“未取得资质认定，擅自从事报废机动车回收活动的，由负责报废机动车回收管理的部门没收非法回收的报废机动车、报废机动车“五大总成”和其他零部件，没收违法所得；违法所得在5万元以上的，并处违法所得2倍以上5倍以下的罚款；违法所得不足5万元或者没有违法所得的，并处5万元以上10万元以下的罚款。”</w:t>
      </w:r>
      <w:r>
        <w:rPr>
          <w:rFonts w:hint="eastAsia" w:ascii="宋体" w:hAnsi="宋体" w:eastAsia="宋体" w:cs="宋体"/>
          <w:i w:val="0"/>
          <w:iCs w:val="0"/>
          <w:caps w:val="0"/>
          <w:color w:val="000000"/>
          <w:spacing w:val="8"/>
          <w:kern w:val="0"/>
          <w:sz w:val="24"/>
          <w:szCs w:val="24"/>
          <w:shd w:val="clear" w:fill="FFFFFF"/>
          <w:lang w:val="en-US" w:eastAsia="zh-CN" w:bidi="ar"/>
        </w:rPr>
        <w:t> </w:t>
      </w:r>
    </w:p>
    <w:p w14:paraId="70CE90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textAlignment w:val="top"/>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2、《报废机动车回收管理办法》第二十一条报废机动车回收企业有下列情形之一的，由负责报废机动车回收管理的部门责令改正，没收报废机动车“五大总成”和其他零部件，没收违法所得；违法所得在5万元以上的，并处违法所得2倍以上5倍以下的罚款；违法所得不足5万元或者没有违法所得的，并处5万元以上10万元以下的罚款；情节严重的，责令停业整顿直至由原发证部门吊销资质认定书：</w:t>
      </w:r>
      <w:r>
        <w:rPr>
          <w:rFonts w:hint="eastAsia" w:ascii="宋体" w:hAnsi="宋体" w:eastAsia="宋体" w:cs="宋体"/>
          <w:i w:val="0"/>
          <w:iCs w:val="0"/>
          <w:caps w:val="0"/>
          <w:color w:val="000000"/>
          <w:spacing w:val="8"/>
          <w:kern w:val="0"/>
          <w:sz w:val="32"/>
          <w:szCs w:val="32"/>
          <w:shd w:val="clear" w:fill="FFFFFF"/>
          <w:lang w:val="en-US" w:eastAsia="zh-CN" w:bidi="ar"/>
        </w:rPr>
        <w:br w:type="textWrapping"/>
      </w:r>
      <w:r>
        <w:rPr>
          <w:rFonts w:hint="eastAsia" w:ascii="宋体" w:hAnsi="宋体" w:eastAsia="宋体" w:cs="宋体"/>
          <w:i w:val="0"/>
          <w:iCs w:val="0"/>
          <w:caps w:val="0"/>
          <w:color w:val="000000"/>
          <w:spacing w:val="8"/>
          <w:kern w:val="0"/>
          <w:sz w:val="32"/>
          <w:szCs w:val="32"/>
          <w:shd w:val="clear" w:fill="FFFFFF"/>
          <w:lang w:val="en-US" w:eastAsia="zh-CN" w:bidi="ar"/>
        </w:rPr>
        <w:t>  ①出售不具备再制造条件的报废机动车“五大总成”；</w:t>
      </w:r>
    </w:p>
    <w:p w14:paraId="53BBFD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firstLine="672" w:firstLineChars="200"/>
        <w:jc w:val="left"/>
        <w:textAlignment w:val="top"/>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②出售不能继续使用的报废机动车“五大总成”以外的零部件；</w:t>
      </w:r>
    </w:p>
    <w:p w14:paraId="3D7A1B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textAlignment w:val="top"/>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③出售的报废机动车“五大总成”以外的零部件未标明“报废机动车回用件”。</w:t>
      </w:r>
    </w:p>
    <w:p w14:paraId="16A479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firstLine="672" w:firstLineChars="200"/>
        <w:jc w:val="left"/>
        <w:textAlignment w:val="top"/>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3、《报废机动车回收管理办法》第二十二条报废机动车回收企业对回收的报废机动车，未按照国家有关规定及时向公安机关交通管理部门办理注销登记并将注销证明转交机动车所有人的，由负责报废机动车回收管理的部门责令改正，可以处1万元以上5万元以下的罚款。</w:t>
      </w:r>
    </w:p>
    <w:p w14:paraId="34AA56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4、《报废机动车回收管理办法》第二十三条报废机动车回收企业未如实记录本企业回收的报废机动车“五大总成”等主要部件的数量、型号、流向等信息并上传至报废机动车回收信息系统的，由负责报废机动车回收管理的部门责令改正，并处1万元以上5万元以下的罚款；情节严重的，责令停业整顿。</w:t>
      </w:r>
      <w:r>
        <w:rPr>
          <w:rFonts w:hint="eastAsia" w:ascii="宋体" w:hAnsi="宋体" w:eastAsia="宋体" w:cs="宋体"/>
          <w:i w:val="0"/>
          <w:iCs w:val="0"/>
          <w:caps w:val="0"/>
          <w:color w:val="000000"/>
          <w:spacing w:val="8"/>
          <w:kern w:val="0"/>
          <w:sz w:val="24"/>
          <w:szCs w:val="24"/>
          <w:shd w:val="clear" w:fill="FFFFFF"/>
          <w:lang w:val="en-US" w:eastAsia="zh-CN" w:bidi="ar"/>
        </w:rPr>
        <w:t> </w:t>
      </w:r>
    </w:p>
    <w:p w14:paraId="041B08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（二） 违反《汽车销售管理办法》的</w:t>
      </w:r>
    </w:p>
    <w:p w14:paraId="7ADE2C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处罚种类：责令限期改正、罚款</w:t>
      </w:r>
    </w:p>
    <w:p w14:paraId="224A37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依据法律、法规、规章名称和条文</w:t>
      </w:r>
    </w:p>
    <w:p w14:paraId="1234DA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《汽车销售管理办法》（商务部令2017年第1号）第二十九条 县级以上地方商务主管部门应当依据职责，采取“双随机”办法对汽车销售及其相关服务活动实施日常监督检查。</w:t>
      </w:r>
    </w:p>
    <w:p w14:paraId="60A936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监督检查可以采取下列措施：</w:t>
      </w:r>
    </w:p>
    <w:p w14:paraId="24765C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1、进入供应商、经销商从事经营活动的场所进行现场检查；</w:t>
      </w:r>
    </w:p>
    <w:p w14:paraId="5F9BAC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2、询问与监督检查事项有关的单位和个人，要求其说明情况；</w:t>
      </w:r>
    </w:p>
    <w:p w14:paraId="4CEE77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3、查阅、复制有关文件、资料，检查相关数据信息系统及复制相关信息数据；</w:t>
      </w:r>
    </w:p>
    <w:p w14:paraId="703DDF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4、依据国家有关规定采取的其他措施。</w:t>
      </w:r>
    </w:p>
    <w:p w14:paraId="64EFBA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第三十二条 违反本办法第十条、第十二条、第十四条、第十七条第一款、第二十一条、第二十三条第二款、第二十四条、第二十五条、第二十六条有关规定的，由县级以上地方商务主管部门责令改正，并可给予警告或3万元以下罚款。</w:t>
      </w:r>
    </w:p>
    <w:p w14:paraId="094CA3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第三十三条 违反本办法第十一条、第十五条、第十八条、第二十条第二款、第二十七条、第二十八条有关规定的，由县级以上地方商务主管部门责令改正，并可给予警告或1万元以下罚款。</w:t>
      </w:r>
    </w:p>
    <w:p w14:paraId="462563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（三）违反《单用途商业预付卡管理办法》的</w:t>
      </w:r>
    </w:p>
    <w:p w14:paraId="026D17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处罚种类：责令限期改正、罚款</w:t>
      </w:r>
    </w:p>
    <w:p w14:paraId="396BBE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依据法律、法规、规章名称和条文：</w:t>
      </w:r>
    </w:p>
    <w:p w14:paraId="20114E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第三十六条 发卡企业违反本办法第七条规定的，由违法行为发生地县级以上地方人民政府商务主管部门责令限期改正；逾期仍不改正的，处以1万元以上3万元以下罚款。</w:t>
      </w:r>
      <w:r>
        <w:rPr>
          <w:rFonts w:hint="eastAsia" w:ascii="宋体" w:hAnsi="宋体" w:eastAsia="宋体" w:cs="宋体"/>
          <w:i w:val="0"/>
          <w:iCs w:val="0"/>
          <w:caps w:val="0"/>
          <w:color w:val="000000"/>
          <w:spacing w:val="8"/>
          <w:kern w:val="0"/>
          <w:sz w:val="32"/>
          <w:szCs w:val="32"/>
          <w:shd w:val="clear" w:fill="FFFFFF"/>
          <w:lang w:val="en-US" w:eastAsia="zh-CN" w:bidi="ar"/>
        </w:rPr>
        <w:br w:type="textWrapping"/>
      </w:r>
      <w:r>
        <w:rPr>
          <w:rFonts w:hint="eastAsia" w:ascii="宋体" w:hAnsi="宋体" w:eastAsia="宋体" w:cs="宋体"/>
          <w:i w:val="0"/>
          <w:iCs w:val="0"/>
          <w:caps w:val="0"/>
          <w:color w:val="000000"/>
          <w:spacing w:val="8"/>
          <w:kern w:val="0"/>
          <w:sz w:val="32"/>
          <w:szCs w:val="32"/>
          <w:shd w:val="clear" w:fill="FFFFFF"/>
          <w:lang w:val="en-US" w:eastAsia="zh-CN" w:bidi="ar"/>
        </w:rPr>
        <w:t>  第三十七条 发卡企业或售卡企业违反本办法第十四条至第二十二条规定的，由违法行为发生地县级以上地方人民政府商务主管部门责令限期改正；逾期仍不改正的，处以1万元以上3万元以下罚款。</w:t>
      </w:r>
      <w:r>
        <w:rPr>
          <w:rFonts w:hint="eastAsia" w:ascii="宋体" w:hAnsi="宋体" w:eastAsia="宋体" w:cs="宋体"/>
          <w:i w:val="0"/>
          <w:iCs w:val="0"/>
          <w:caps w:val="0"/>
          <w:color w:val="000000"/>
          <w:spacing w:val="8"/>
          <w:kern w:val="0"/>
          <w:sz w:val="32"/>
          <w:szCs w:val="32"/>
          <w:shd w:val="clear" w:fill="FFFFFF"/>
          <w:lang w:val="en-US" w:eastAsia="zh-CN" w:bidi="ar"/>
        </w:rPr>
        <w:br w:type="textWrapping"/>
      </w:r>
      <w:r>
        <w:rPr>
          <w:rFonts w:hint="eastAsia" w:ascii="宋体" w:hAnsi="宋体" w:eastAsia="宋体" w:cs="宋体"/>
          <w:i w:val="0"/>
          <w:iCs w:val="0"/>
          <w:caps w:val="0"/>
          <w:color w:val="000000"/>
          <w:spacing w:val="8"/>
          <w:kern w:val="0"/>
          <w:sz w:val="32"/>
          <w:szCs w:val="32"/>
          <w:shd w:val="clear" w:fill="FFFFFF"/>
          <w:lang w:val="en-US" w:eastAsia="zh-CN" w:bidi="ar"/>
        </w:rPr>
        <w:t>  发卡企业违反本办法第二十四条至第二十七条、第三十一条规定的，由备案机关责令限期改正；逾期仍不改正的，处以1万元以上3万元以下罚款。  </w:t>
      </w:r>
      <w:r>
        <w:rPr>
          <w:rFonts w:hint="eastAsia" w:ascii="宋体" w:hAnsi="宋体" w:eastAsia="宋体" w:cs="宋体"/>
          <w:i w:val="0"/>
          <w:iCs w:val="0"/>
          <w:caps w:val="0"/>
          <w:color w:val="000000"/>
          <w:spacing w:val="8"/>
          <w:kern w:val="0"/>
          <w:sz w:val="32"/>
          <w:szCs w:val="32"/>
          <w:shd w:val="clear" w:fill="FFFFFF"/>
          <w:lang w:val="en-US" w:eastAsia="zh-CN" w:bidi="ar"/>
        </w:rPr>
        <w:br w:type="textWrapping"/>
      </w:r>
      <w:r>
        <w:rPr>
          <w:rFonts w:hint="eastAsia" w:ascii="宋体" w:hAnsi="宋体" w:eastAsia="宋体" w:cs="宋体"/>
          <w:i w:val="0"/>
          <w:iCs w:val="0"/>
          <w:caps w:val="0"/>
          <w:color w:val="000000"/>
          <w:spacing w:val="8"/>
          <w:kern w:val="0"/>
          <w:sz w:val="32"/>
          <w:szCs w:val="32"/>
          <w:shd w:val="clear" w:fill="FFFFFF"/>
          <w:lang w:val="en-US" w:eastAsia="zh-CN" w:bidi="ar"/>
        </w:rPr>
        <w:t>  第三十八条 发卡企业违反本办法第二十九条规定，造成重大损失的，由备案机关处以1万元以上3万元以下罚款。</w:t>
      </w:r>
      <w:r>
        <w:rPr>
          <w:rFonts w:hint="eastAsia" w:ascii="宋体" w:hAnsi="宋体" w:eastAsia="宋体" w:cs="宋体"/>
          <w:i w:val="0"/>
          <w:iCs w:val="0"/>
          <w:caps w:val="0"/>
          <w:color w:val="000000"/>
          <w:spacing w:val="8"/>
          <w:kern w:val="0"/>
          <w:sz w:val="24"/>
          <w:szCs w:val="24"/>
          <w:shd w:val="clear" w:fill="FFFFFF"/>
          <w:lang w:val="en-US" w:eastAsia="zh-CN" w:bidi="ar"/>
        </w:rPr>
        <w:t> </w:t>
      </w:r>
    </w:p>
    <w:p w14:paraId="4774C9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四、当事人的权利</w:t>
      </w:r>
    </w:p>
    <w:p w14:paraId="237F3C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当事人依法享有以下权利：</w:t>
      </w:r>
    </w:p>
    <w:p w14:paraId="46F019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（1）申请回避；</w:t>
      </w:r>
    </w:p>
    <w:p w14:paraId="171059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（2）陈述和申辩；</w:t>
      </w:r>
    </w:p>
    <w:p w14:paraId="22EA1A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（3）听证；</w:t>
      </w:r>
    </w:p>
    <w:p w14:paraId="5F8AD5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（4）行政复议；</w:t>
      </w:r>
    </w:p>
    <w:p w14:paraId="188B6B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（5）行政诉讼；</w:t>
      </w:r>
    </w:p>
    <w:p w14:paraId="4165AF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（6）行政赔偿。</w:t>
      </w:r>
    </w:p>
    <w:p w14:paraId="0FC36D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当事人对商务行政处罚决定不服的，可以在收到处罚决定书60日内向</w:t>
      </w:r>
      <w:r>
        <w:rPr>
          <w:rFonts w:hint="eastAsia" w:ascii="宋体" w:hAnsi="宋体" w:cs="宋体"/>
          <w:i w:val="0"/>
          <w:iCs w:val="0"/>
          <w:caps w:val="0"/>
          <w:color w:val="000000"/>
          <w:spacing w:val="8"/>
          <w:kern w:val="0"/>
          <w:sz w:val="32"/>
          <w:szCs w:val="32"/>
          <w:shd w:val="clear" w:fill="FFFFFF"/>
          <w:lang w:val="en-US" w:eastAsia="zh-CN" w:bidi="ar"/>
        </w:rPr>
        <w:t>涞水县</w:t>
      </w:r>
      <w:r>
        <w:rPr>
          <w:rFonts w:hint="eastAsia" w:ascii="宋体" w:hAnsi="宋体" w:eastAsia="宋体" w:cs="宋体"/>
          <w:i w:val="0"/>
          <w:iCs w:val="0"/>
          <w:caps w:val="0"/>
          <w:color w:val="000000"/>
          <w:spacing w:val="8"/>
          <w:kern w:val="0"/>
          <w:sz w:val="32"/>
          <w:szCs w:val="32"/>
          <w:shd w:val="clear" w:fill="FFFFFF"/>
          <w:lang w:val="en-US" w:eastAsia="zh-CN" w:bidi="ar"/>
        </w:rPr>
        <w:t>人民政府</w:t>
      </w:r>
      <w:bookmarkStart w:id="0" w:name="_GoBack"/>
      <w:bookmarkEnd w:id="0"/>
      <w:r>
        <w:rPr>
          <w:rFonts w:hint="eastAsia" w:ascii="宋体" w:hAnsi="宋体" w:eastAsia="宋体" w:cs="宋体"/>
          <w:i w:val="0"/>
          <w:iCs w:val="0"/>
          <w:caps w:val="0"/>
          <w:color w:val="000000"/>
          <w:spacing w:val="8"/>
          <w:kern w:val="0"/>
          <w:sz w:val="32"/>
          <w:szCs w:val="32"/>
          <w:shd w:val="clear" w:fill="FFFFFF"/>
          <w:lang w:val="en-US" w:eastAsia="zh-CN" w:bidi="ar"/>
        </w:rPr>
        <w:t>法制办或</w:t>
      </w:r>
      <w:r>
        <w:rPr>
          <w:rFonts w:hint="eastAsia" w:ascii="宋体" w:hAnsi="宋体" w:cs="宋体"/>
          <w:i w:val="0"/>
          <w:iCs w:val="0"/>
          <w:caps w:val="0"/>
          <w:color w:val="000000"/>
          <w:spacing w:val="8"/>
          <w:kern w:val="0"/>
          <w:sz w:val="32"/>
          <w:szCs w:val="32"/>
          <w:shd w:val="clear" w:fill="FFFFFF"/>
          <w:lang w:val="en-US" w:eastAsia="zh-CN" w:bidi="ar"/>
        </w:rPr>
        <w:t>涞水县发改局</w:t>
      </w:r>
      <w:r>
        <w:rPr>
          <w:rFonts w:hint="eastAsia" w:ascii="宋体" w:hAnsi="宋体" w:eastAsia="宋体" w:cs="宋体"/>
          <w:i w:val="0"/>
          <w:iCs w:val="0"/>
          <w:caps w:val="0"/>
          <w:color w:val="000000"/>
          <w:spacing w:val="8"/>
          <w:kern w:val="0"/>
          <w:sz w:val="32"/>
          <w:szCs w:val="32"/>
          <w:shd w:val="clear" w:fill="FFFFFF"/>
          <w:lang w:val="en-US" w:eastAsia="zh-CN" w:bidi="ar"/>
        </w:rPr>
        <w:t>提出复议申请。当事人对行政复议不服的，可以依法提起行政诉讼。</w:t>
      </w:r>
      <w:r>
        <w:rPr>
          <w:rFonts w:hint="eastAsia" w:ascii="宋体" w:hAnsi="宋体" w:eastAsia="宋体" w:cs="宋体"/>
          <w:i w:val="0"/>
          <w:iCs w:val="0"/>
          <w:caps w:val="0"/>
          <w:color w:val="000000"/>
          <w:spacing w:val="8"/>
          <w:kern w:val="0"/>
          <w:sz w:val="24"/>
          <w:szCs w:val="24"/>
          <w:shd w:val="clear" w:fill="FFFFFF"/>
          <w:lang w:val="en-US" w:eastAsia="zh-CN" w:bidi="ar"/>
        </w:rPr>
        <w:t> </w:t>
      </w:r>
    </w:p>
    <w:p w14:paraId="52932C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五、接受社会监督</w:t>
      </w:r>
    </w:p>
    <w:p w14:paraId="72A95E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eastAsia" w:ascii="宋体" w:hAnsi="宋体" w:eastAsia="宋体" w:cs="宋体"/>
          <w:i w:val="0"/>
          <w:iCs w:val="0"/>
          <w:caps w:val="0"/>
          <w:color w:val="000000"/>
          <w:spacing w:val="8"/>
          <w:sz w:val="24"/>
          <w:szCs w:val="24"/>
        </w:rPr>
      </w:pPr>
      <w:r>
        <w:rPr>
          <w:rFonts w:hint="eastAsia" w:ascii="宋体" w:hAnsi="宋体" w:eastAsia="宋体" w:cs="宋体"/>
          <w:i w:val="0"/>
          <w:iCs w:val="0"/>
          <w:caps w:val="0"/>
          <w:color w:val="000000"/>
          <w:spacing w:val="8"/>
          <w:kern w:val="0"/>
          <w:sz w:val="32"/>
          <w:szCs w:val="32"/>
          <w:shd w:val="clear" w:fill="FFFFFF"/>
          <w:lang w:val="en-US" w:eastAsia="zh-CN" w:bidi="ar"/>
        </w:rPr>
        <w:t>欢迎社会各界以电话、书信、互联网或来访等形式进行举报、投诉、咨询。</w:t>
      </w:r>
    </w:p>
    <w:p w14:paraId="7C40CE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default" w:ascii="宋体" w:hAnsi="宋体" w:eastAsia="宋体" w:cs="宋体"/>
          <w:i w:val="0"/>
          <w:iCs w:val="0"/>
          <w:caps w:val="0"/>
          <w:color w:val="000000"/>
          <w:spacing w:val="8"/>
          <w:sz w:val="24"/>
          <w:szCs w:val="24"/>
          <w:lang w:val="en-US"/>
        </w:rPr>
      </w:pPr>
      <w:r>
        <w:rPr>
          <w:rFonts w:hint="eastAsia" w:ascii="宋体" w:hAnsi="宋体" w:eastAsia="宋体" w:cs="宋体"/>
          <w:i w:val="0"/>
          <w:iCs w:val="0"/>
          <w:caps w:val="0"/>
          <w:color w:val="000000"/>
          <w:spacing w:val="8"/>
          <w:kern w:val="0"/>
          <w:sz w:val="32"/>
          <w:szCs w:val="32"/>
          <w:shd w:val="clear" w:fill="FFFFFF"/>
          <w:lang w:val="en-US" w:eastAsia="zh-CN" w:bidi="ar"/>
        </w:rPr>
        <w:t>电话：031</w:t>
      </w:r>
      <w:r>
        <w:rPr>
          <w:rFonts w:hint="eastAsia" w:ascii="宋体" w:hAnsi="宋体" w:cs="宋体"/>
          <w:i w:val="0"/>
          <w:iCs w:val="0"/>
          <w:caps w:val="0"/>
          <w:color w:val="000000"/>
          <w:spacing w:val="8"/>
          <w:kern w:val="0"/>
          <w:sz w:val="32"/>
          <w:szCs w:val="32"/>
          <w:shd w:val="clear" w:fill="FFFFFF"/>
          <w:lang w:val="en-US" w:eastAsia="zh-CN" w:bidi="ar"/>
        </w:rPr>
        <w:t>2</w:t>
      </w:r>
      <w:r>
        <w:rPr>
          <w:rFonts w:hint="eastAsia" w:ascii="宋体" w:hAnsi="宋体" w:eastAsia="宋体" w:cs="宋体"/>
          <w:i w:val="0"/>
          <w:iCs w:val="0"/>
          <w:caps w:val="0"/>
          <w:color w:val="000000"/>
          <w:spacing w:val="8"/>
          <w:kern w:val="0"/>
          <w:sz w:val="32"/>
          <w:szCs w:val="32"/>
          <w:shd w:val="clear" w:fill="FFFFFF"/>
          <w:lang w:val="en-US" w:eastAsia="zh-CN" w:bidi="ar"/>
        </w:rPr>
        <w:t>-</w:t>
      </w:r>
      <w:r>
        <w:rPr>
          <w:rFonts w:hint="eastAsia" w:ascii="宋体" w:hAnsi="宋体" w:cs="宋体"/>
          <w:i w:val="0"/>
          <w:iCs w:val="0"/>
          <w:caps w:val="0"/>
          <w:color w:val="000000"/>
          <w:spacing w:val="8"/>
          <w:kern w:val="0"/>
          <w:sz w:val="32"/>
          <w:szCs w:val="32"/>
          <w:shd w:val="clear" w:fill="FFFFFF"/>
          <w:lang w:val="en-US" w:eastAsia="zh-CN" w:bidi="ar"/>
        </w:rPr>
        <w:t>4525054</w:t>
      </w:r>
    </w:p>
    <w:p w14:paraId="3A38EE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jc w:val="left"/>
        <w:rPr>
          <w:rFonts w:hint="default" w:ascii="仿宋" w:hAnsi="仿宋" w:eastAsia="仿宋"/>
          <w:sz w:val="32"/>
          <w:szCs w:val="32"/>
          <w:lang w:val="en-US"/>
        </w:rPr>
      </w:pPr>
      <w:r>
        <w:rPr>
          <w:rFonts w:hint="eastAsia" w:ascii="宋体" w:hAnsi="宋体" w:eastAsia="宋体" w:cs="宋体"/>
          <w:i w:val="0"/>
          <w:iCs w:val="0"/>
          <w:caps w:val="0"/>
          <w:color w:val="000000"/>
          <w:spacing w:val="8"/>
          <w:kern w:val="0"/>
          <w:sz w:val="32"/>
          <w:szCs w:val="32"/>
          <w:shd w:val="clear" w:fill="FFFFFF"/>
          <w:lang w:val="en-US" w:eastAsia="zh-CN" w:bidi="ar"/>
        </w:rPr>
        <w:t>地址：</w:t>
      </w:r>
      <w:r>
        <w:rPr>
          <w:rFonts w:hint="eastAsia" w:ascii="宋体" w:hAnsi="宋体" w:cs="宋体"/>
          <w:i w:val="0"/>
          <w:iCs w:val="0"/>
          <w:caps w:val="0"/>
          <w:color w:val="000000"/>
          <w:spacing w:val="8"/>
          <w:kern w:val="0"/>
          <w:sz w:val="32"/>
          <w:szCs w:val="32"/>
          <w:shd w:val="clear" w:fill="FFFFFF"/>
          <w:lang w:val="en-US" w:eastAsia="zh-CN" w:bidi="ar"/>
        </w:rPr>
        <w:t>涞水县发展改革和科学技术局商务股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12FE15AF-AE8F-4A3B-90CF-125858B5DEEF}"/>
  </w:font>
  <w:font w:name="仿宋">
    <w:panose1 w:val="02010609060101010101"/>
    <w:charset w:val="86"/>
    <w:family w:val="modern"/>
    <w:pitch w:val="default"/>
    <w:sig w:usb0="800002BF" w:usb1="38CF7CFA" w:usb2="00000016" w:usb3="00000000" w:csb0="00040001" w:csb1="00000000"/>
    <w:embedRegular r:id="rId2" w:fontKey="{9DF5F3D2-3D33-41F0-A90A-8A40947B082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lMTI5OTRlNzhmYjJhODM1NjE1ZjcwYTVjY2Y2YmUifQ=="/>
  </w:docVars>
  <w:rsids>
    <w:rsidRoot w:val="00F420CF"/>
    <w:rsid w:val="000605CB"/>
    <w:rsid w:val="000B3B99"/>
    <w:rsid w:val="0034790E"/>
    <w:rsid w:val="00555AB9"/>
    <w:rsid w:val="00785533"/>
    <w:rsid w:val="00A10ECE"/>
    <w:rsid w:val="00B15891"/>
    <w:rsid w:val="00C36294"/>
    <w:rsid w:val="00F420CF"/>
    <w:rsid w:val="13FA496D"/>
    <w:rsid w:val="164544B2"/>
    <w:rsid w:val="165C4551"/>
    <w:rsid w:val="3C95678C"/>
    <w:rsid w:val="4D104C94"/>
    <w:rsid w:val="73D72A6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iPriority w:val="99"/>
    <w:pPr>
      <w:tabs>
        <w:tab w:val="center" w:pos="4153"/>
        <w:tab w:val="right" w:pos="8306"/>
      </w:tabs>
      <w:snapToGrid w:val="0"/>
      <w:jc w:val="left"/>
    </w:pPr>
    <w:rPr>
      <w:sz w:val="18"/>
      <w:szCs w:val="18"/>
    </w:rPr>
  </w:style>
  <w:style w:type="paragraph" w:styleId="3">
    <w:name w:val="header"/>
    <w:basedOn w:val="1"/>
    <w:link w:val="6"/>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5"/>
    <w:link w:val="3"/>
    <w:semiHidden/>
    <w:locked/>
    <w:uiPriority w:val="99"/>
    <w:rPr>
      <w:rFonts w:cs="Times New Roman"/>
      <w:sz w:val="18"/>
      <w:szCs w:val="18"/>
    </w:rPr>
  </w:style>
  <w:style w:type="character" w:customStyle="1" w:styleId="7">
    <w:name w:val="Footer Char"/>
    <w:basedOn w:val="5"/>
    <w:link w:val="2"/>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5</Pages>
  <Words>2157</Words>
  <Characters>2182</Characters>
  <Lines>0</Lines>
  <Paragraphs>0</Paragraphs>
  <TotalTime>8</TotalTime>
  <ScaleCrop>false</ScaleCrop>
  <LinksUpToDate>false</LinksUpToDate>
  <CharactersWithSpaces>2207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2019-05-07T01:27:00Z</dcterms:created>
  <dc:creator>微软用户</dc:creator>
  <cp:lastModifiedBy>断舍离</cp:lastModifiedBy>
  <dcterms:modified xsi:type="dcterms:W3CDTF">2024-11-21T08:34:13Z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02D71E71F861417A973E60D2C6A6ABAA</vt:lpwstr>
  </property>
</Properties>
</file>