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2F38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firstLine="0"/>
        <w:jc w:val="center"/>
        <w:rPr>
          <w:rFonts w:hint="eastAsia" w:ascii="方正小标宋简体" w:hAnsi="方正小标宋简体" w:eastAsia="方正小标宋简体" w:cs="方正小标宋简体"/>
          <w:b w:val="0"/>
          <w:bCs w:val="0"/>
          <w:i w:val="0"/>
          <w:iCs w:val="0"/>
          <w:caps w:val="0"/>
          <w:color w:val="auto"/>
          <w:spacing w:val="0"/>
          <w:sz w:val="36"/>
          <w:szCs w:val="36"/>
          <w:lang w:val="en-US" w:eastAsia="zh-CN"/>
        </w:rPr>
      </w:pPr>
      <w:bookmarkStart w:id="0" w:name="_GoBack"/>
      <w:r>
        <w:rPr>
          <w:rFonts w:hint="eastAsia" w:ascii="方正小标宋简体" w:hAnsi="方正小标宋简体" w:eastAsia="方正小标宋简体" w:cs="方正小标宋简体"/>
          <w:b w:val="0"/>
          <w:bCs w:val="0"/>
          <w:i w:val="0"/>
          <w:iCs w:val="0"/>
          <w:caps w:val="0"/>
          <w:color w:val="auto"/>
          <w:spacing w:val="0"/>
          <w:sz w:val="36"/>
          <w:szCs w:val="36"/>
          <w:lang w:val="en-US" w:eastAsia="zh-CN"/>
        </w:rPr>
        <w:t>涞水县住房和城乡建设局</w:t>
      </w:r>
    </w:p>
    <w:p w14:paraId="6A6233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firstLine="0"/>
        <w:jc w:val="center"/>
        <w:rPr>
          <w:color w:val="404040"/>
          <w:sz w:val="36"/>
          <w:szCs w:val="36"/>
        </w:rPr>
      </w:pPr>
      <w:r>
        <w:rPr>
          <w:rFonts w:hint="eastAsia" w:ascii="方正小标宋简体" w:hAnsi="方正小标宋简体" w:eastAsia="方正小标宋简体" w:cs="方正小标宋简体"/>
          <w:b w:val="0"/>
          <w:bCs w:val="0"/>
          <w:i w:val="0"/>
          <w:iCs w:val="0"/>
          <w:caps w:val="0"/>
          <w:color w:val="auto"/>
          <w:spacing w:val="0"/>
          <w:sz w:val="36"/>
          <w:szCs w:val="36"/>
        </w:rPr>
        <w:t>行政执法全过程记录办法</w:t>
      </w:r>
    </w:p>
    <w:bookmarkEnd w:id="0"/>
    <w:p w14:paraId="5C5EBCD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微软雅黑" w:hAnsi="微软雅黑" w:eastAsia="微软雅黑" w:cs="微软雅黑"/>
          <w:i w:val="0"/>
          <w:iCs w:val="0"/>
          <w:caps w:val="0"/>
          <w:color w:val="404040"/>
          <w:spacing w:val="0"/>
          <w:sz w:val="24"/>
          <w:szCs w:val="24"/>
        </w:rPr>
        <w:t> </w:t>
      </w:r>
      <w:r>
        <w:rPr>
          <w:rFonts w:hint="eastAsia" w:ascii="仿宋_GB2312" w:hAnsi="仿宋_GB2312" w:eastAsia="仿宋_GB2312" w:cs="仿宋_GB2312"/>
          <w:i w:val="0"/>
          <w:iCs w:val="0"/>
          <w:caps w:val="0"/>
          <w:color w:val="404040"/>
          <w:spacing w:val="0"/>
          <w:sz w:val="28"/>
          <w:szCs w:val="28"/>
        </w:rPr>
        <w:t>   第一条</w:t>
      </w:r>
      <w:r>
        <w:rPr>
          <w:rFonts w:hint="eastAsia" w:ascii="仿宋_GB2312" w:hAnsi="仿宋_GB2312" w:eastAsia="仿宋_GB2312" w:cs="仿宋_GB2312"/>
          <w:i w:val="0"/>
          <w:iCs w:val="0"/>
          <w:caps w:val="0"/>
          <w:color w:val="404040"/>
          <w:spacing w:val="0"/>
          <w:sz w:val="28"/>
          <w:szCs w:val="28"/>
          <w:lang w:val="en-US" w:eastAsia="zh-CN"/>
        </w:rPr>
        <w:t xml:space="preserve"> </w:t>
      </w:r>
      <w:r>
        <w:rPr>
          <w:rFonts w:hint="eastAsia" w:ascii="仿宋_GB2312" w:hAnsi="仿宋_GB2312" w:eastAsia="仿宋_GB2312" w:cs="仿宋_GB2312"/>
          <w:i w:val="0"/>
          <w:iCs w:val="0"/>
          <w:caps w:val="0"/>
          <w:color w:val="404040"/>
          <w:spacing w:val="0"/>
          <w:sz w:val="28"/>
          <w:szCs w:val="28"/>
        </w:rPr>
        <w:t>为规范行政执法程序，促进严格规范公正文明执法，依据国家有关规定，结合本</w:t>
      </w:r>
      <w:r>
        <w:rPr>
          <w:rFonts w:hint="eastAsia" w:ascii="仿宋_GB2312" w:hAnsi="仿宋_GB2312" w:eastAsia="仿宋_GB2312" w:cs="仿宋_GB2312"/>
          <w:i w:val="0"/>
          <w:iCs w:val="0"/>
          <w:caps w:val="0"/>
          <w:color w:val="404040"/>
          <w:spacing w:val="0"/>
          <w:sz w:val="28"/>
          <w:szCs w:val="28"/>
          <w:lang w:val="en-US" w:eastAsia="zh-CN"/>
        </w:rPr>
        <w:t>县</w:t>
      </w:r>
      <w:r>
        <w:rPr>
          <w:rFonts w:hint="eastAsia" w:ascii="仿宋_GB2312" w:hAnsi="仿宋_GB2312" w:eastAsia="仿宋_GB2312" w:cs="仿宋_GB2312"/>
          <w:i w:val="0"/>
          <w:iCs w:val="0"/>
          <w:caps w:val="0"/>
          <w:color w:val="404040"/>
          <w:spacing w:val="0"/>
          <w:sz w:val="28"/>
          <w:szCs w:val="28"/>
        </w:rPr>
        <w:t>住建系统执法实际，制定本办法。</w:t>
      </w:r>
    </w:p>
    <w:p w14:paraId="14BC784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第二条</w:t>
      </w:r>
      <w:r>
        <w:rPr>
          <w:rFonts w:hint="eastAsia" w:ascii="仿宋_GB2312" w:hAnsi="仿宋_GB2312" w:eastAsia="仿宋_GB2312" w:cs="仿宋_GB2312"/>
          <w:i w:val="0"/>
          <w:iCs w:val="0"/>
          <w:caps w:val="0"/>
          <w:color w:val="404040"/>
          <w:spacing w:val="0"/>
          <w:sz w:val="28"/>
          <w:szCs w:val="28"/>
          <w:lang w:val="en-US" w:eastAsia="zh-CN"/>
        </w:rPr>
        <w:t xml:space="preserve"> </w:t>
      </w:r>
      <w:r>
        <w:rPr>
          <w:rFonts w:hint="eastAsia" w:ascii="仿宋_GB2312" w:hAnsi="仿宋_GB2312" w:eastAsia="仿宋_GB2312" w:cs="仿宋_GB2312"/>
          <w:i w:val="0"/>
          <w:iCs w:val="0"/>
          <w:caps w:val="0"/>
          <w:color w:val="404040"/>
          <w:spacing w:val="0"/>
          <w:sz w:val="28"/>
          <w:szCs w:val="28"/>
        </w:rPr>
        <w:t>本</w:t>
      </w:r>
      <w:r>
        <w:rPr>
          <w:rFonts w:hint="eastAsia" w:ascii="仿宋_GB2312" w:hAnsi="仿宋_GB2312" w:eastAsia="仿宋_GB2312" w:cs="仿宋_GB2312"/>
          <w:i w:val="0"/>
          <w:iCs w:val="0"/>
          <w:caps w:val="0"/>
          <w:color w:val="404040"/>
          <w:spacing w:val="0"/>
          <w:sz w:val="28"/>
          <w:szCs w:val="28"/>
          <w:lang w:val="en-US" w:eastAsia="zh-CN"/>
        </w:rPr>
        <w:t>县</w:t>
      </w:r>
      <w:r>
        <w:rPr>
          <w:rFonts w:hint="eastAsia" w:ascii="仿宋_GB2312" w:hAnsi="仿宋_GB2312" w:eastAsia="仿宋_GB2312" w:cs="仿宋_GB2312"/>
          <w:i w:val="0"/>
          <w:iCs w:val="0"/>
          <w:caps w:val="0"/>
          <w:color w:val="404040"/>
          <w:spacing w:val="0"/>
          <w:sz w:val="28"/>
          <w:szCs w:val="28"/>
        </w:rPr>
        <w:t>住建系统具有行政执法权的行政机关、法律法规授权的组织或依法受委托的组织(以下简称“行政执法机关”)依据法律、法规和规章规定，对行政执法过程进行记录的活动适用本办法。</w:t>
      </w:r>
    </w:p>
    <w:p w14:paraId="35D6511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第三条</w:t>
      </w:r>
      <w:r>
        <w:rPr>
          <w:rFonts w:hint="eastAsia" w:ascii="仿宋_GB2312" w:hAnsi="仿宋_GB2312" w:eastAsia="仿宋_GB2312" w:cs="仿宋_GB2312"/>
          <w:i w:val="0"/>
          <w:iCs w:val="0"/>
          <w:caps w:val="0"/>
          <w:color w:val="404040"/>
          <w:spacing w:val="0"/>
          <w:sz w:val="28"/>
          <w:szCs w:val="28"/>
          <w:lang w:val="en-US" w:eastAsia="zh-CN"/>
        </w:rPr>
        <w:t xml:space="preserve"> </w:t>
      </w:r>
      <w:r>
        <w:rPr>
          <w:rFonts w:hint="eastAsia" w:ascii="仿宋_GB2312" w:hAnsi="仿宋_GB2312" w:eastAsia="仿宋_GB2312" w:cs="仿宋_GB2312"/>
          <w:i w:val="0"/>
          <w:iCs w:val="0"/>
          <w:caps w:val="0"/>
          <w:color w:val="404040"/>
          <w:spacing w:val="0"/>
          <w:sz w:val="28"/>
          <w:szCs w:val="28"/>
        </w:rPr>
        <w:t>本办法所称行政执法全过程，是指从行政执法程序启动直至执法程序完结经历的过程。执法全过程自接收相关办理材料开始，包括接收、受理、审查决定、送达等一般程序环节和补正、勘验、中止、延期、听证等特别程序环节。</w:t>
      </w:r>
    </w:p>
    <w:p w14:paraId="05594A1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行政检查的全过程自检查活动开始，包括现场核查、送达、复查等一般程序环节和询问、勘验、抽样、鉴定、责令改正等特别程序环节。</w:t>
      </w:r>
    </w:p>
    <w:p w14:paraId="017A462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行政处罚的全过程自获取违法线索开始，包括受案、立案、调查取证、审查决定、送达、终结等一般程序环节和抽样调查、先行登记保存、听证、中止、延期等特别程序环节。</w:t>
      </w:r>
    </w:p>
    <w:p w14:paraId="7116698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第四条</w:t>
      </w:r>
      <w:r>
        <w:rPr>
          <w:rFonts w:hint="eastAsia" w:ascii="仿宋_GB2312" w:hAnsi="仿宋_GB2312" w:eastAsia="仿宋_GB2312" w:cs="仿宋_GB2312"/>
          <w:i w:val="0"/>
          <w:iCs w:val="0"/>
          <w:caps w:val="0"/>
          <w:color w:val="404040"/>
          <w:spacing w:val="0"/>
          <w:sz w:val="28"/>
          <w:szCs w:val="28"/>
          <w:lang w:val="en-US" w:eastAsia="zh-CN"/>
        </w:rPr>
        <w:t xml:space="preserve"> </w:t>
      </w:r>
      <w:r>
        <w:rPr>
          <w:rFonts w:hint="eastAsia" w:ascii="仿宋_GB2312" w:hAnsi="仿宋_GB2312" w:eastAsia="仿宋_GB2312" w:cs="仿宋_GB2312"/>
          <w:i w:val="0"/>
          <w:iCs w:val="0"/>
          <w:caps w:val="0"/>
          <w:color w:val="404040"/>
          <w:spacing w:val="0"/>
          <w:sz w:val="28"/>
          <w:szCs w:val="28"/>
        </w:rPr>
        <w:t>行政执法全过程记录应当遵循合法、全面、客观、准确和可回溯管理的原则。</w:t>
      </w:r>
    </w:p>
    <w:p w14:paraId="5526835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第五条</w:t>
      </w:r>
      <w:r>
        <w:rPr>
          <w:rFonts w:hint="eastAsia" w:ascii="仿宋_GB2312" w:hAnsi="仿宋_GB2312" w:eastAsia="仿宋_GB2312" w:cs="仿宋_GB2312"/>
          <w:i w:val="0"/>
          <w:iCs w:val="0"/>
          <w:caps w:val="0"/>
          <w:color w:val="404040"/>
          <w:spacing w:val="0"/>
          <w:sz w:val="28"/>
          <w:szCs w:val="28"/>
          <w:lang w:val="en-US" w:eastAsia="zh-CN"/>
        </w:rPr>
        <w:t xml:space="preserve"> </w:t>
      </w:r>
      <w:r>
        <w:rPr>
          <w:rFonts w:hint="eastAsia" w:ascii="仿宋_GB2312" w:hAnsi="仿宋_GB2312" w:eastAsia="仿宋_GB2312" w:cs="仿宋_GB2312"/>
          <w:i w:val="0"/>
          <w:iCs w:val="0"/>
          <w:caps w:val="0"/>
          <w:color w:val="404040"/>
          <w:spacing w:val="0"/>
          <w:sz w:val="28"/>
          <w:szCs w:val="28"/>
        </w:rPr>
        <w:t>行政执法全过程记录应当采取文字记录、音像记录等方式。</w:t>
      </w:r>
    </w:p>
    <w:p w14:paraId="697234A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文字记录可以采用纸质文书或者电子文书进行记录。鼓励行政执法机关采用电子文书并结合电子签章等信息化技术对行政执法全过程进行记录和管理。音像记录可以采用执法记录仪、摄像机、音视频监控等设备进行记录。</w:t>
      </w:r>
    </w:p>
    <w:p w14:paraId="308C8A0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第六条</w:t>
      </w:r>
      <w:r>
        <w:rPr>
          <w:rFonts w:hint="eastAsia" w:ascii="仿宋_GB2312" w:hAnsi="仿宋_GB2312" w:eastAsia="仿宋_GB2312" w:cs="仿宋_GB2312"/>
          <w:i w:val="0"/>
          <w:iCs w:val="0"/>
          <w:caps w:val="0"/>
          <w:color w:val="404040"/>
          <w:spacing w:val="0"/>
          <w:sz w:val="28"/>
          <w:szCs w:val="28"/>
          <w:lang w:val="en-US" w:eastAsia="zh-CN"/>
        </w:rPr>
        <w:t xml:space="preserve"> </w:t>
      </w:r>
      <w:r>
        <w:rPr>
          <w:rFonts w:hint="eastAsia" w:ascii="仿宋_GB2312" w:hAnsi="仿宋_GB2312" w:eastAsia="仿宋_GB2312" w:cs="仿宋_GB2312"/>
          <w:i w:val="0"/>
          <w:iCs w:val="0"/>
          <w:caps w:val="0"/>
          <w:color w:val="404040"/>
          <w:spacing w:val="0"/>
          <w:sz w:val="28"/>
          <w:szCs w:val="28"/>
        </w:rPr>
        <w:t>纸质文书记录应当使用行政执法机关印制的制式文书，过程记录的要素应当包括时间、地点、执法人员、执法对象、执法事项等过程性信息。</w:t>
      </w:r>
    </w:p>
    <w:p w14:paraId="0EA785D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纸质文书记录的制作、归档、保管、使用，依照国家和本市有关行政执法档案或者文书档案管理的规定执行。</w:t>
      </w:r>
    </w:p>
    <w:p w14:paraId="3FFBAE0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第七条</w:t>
      </w:r>
      <w:r>
        <w:rPr>
          <w:rFonts w:hint="eastAsia" w:ascii="仿宋_GB2312" w:hAnsi="仿宋_GB2312" w:eastAsia="仿宋_GB2312" w:cs="仿宋_GB2312"/>
          <w:i w:val="0"/>
          <w:iCs w:val="0"/>
          <w:caps w:val="0"/>
          <w:color w:val="404040"/>
          <w:spacing w:val="0"/>
          <w:sz w:val="28"/>
          <w:szCs w:val="28"/>
          <w:lang w:val="en-US" w:eastAsia="zh-CN"/>
        </w:rPr>
        <w:t xml:space="preserve"> </w:t>
      </w:r>
      <w:r>
        <w:rPr>
          <w:rFonts w:hint="eastAsia" w:ascii="仿宋_GB2312" w:hAnsi="仿宋_GB2312" w:eastAsia="仿宋_GB2312" w:cs="仿宋_GB2312"/>
          <w:i w:val="0"/>
          <w:iCs w:val="0"/>
          <w:caps w:val="0"/>
          <w:color w:val="404040"/>
          <w:spacing w:val="0"/>
          <w:sz w:val="28"/>
          <w:szCs w:val="28"/>
        </w:rPr>
        <w:t>对直接涉及人身自由、生命健康、重大财产权益的现场执法活动和执法办案场所，推行全程音像记录。</w:t>
      </w:r>
    </w:p>
    <w:p w14:paraId="51F173F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对现场执法、调查取证、举行听证、留置送达和公告送达等容易引发争议的行政执法过程，要根据实际情况进行音像记录。</w:t>
      </w:r>
    </w:p>
    <w:p w14:paraId="7AA8A0A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鼓励行政执法机关在办事窗口、询问室、听证室等场所安装音视频监控系统，对执法过程进行记录。</w:t>
      </w:r>
    </w:p>
    <w:p w14:paraId="2F23572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法律法规规章或者国家有关部门对使用音像设备记录执法过程有强制性规定的，从其规定。</w:t>
      </w:r>
    </w:p>
    <w:p w14:paraId="28A1F29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第八条</w:t>
      </w:r>
      <w:r>
        <w:rPr>
          <w:rFonts w:hint="eastAsia" w:ascii="仿宋_GB2312" w:hAnsi="仿宋_GB2312" w:eastAsia="仿宋_GB2312" w:cs="仿宋_GB2312"/>
          <w:i w:val="0"/>
          <w:iCs w:val="0"/>
          <w:caps w:val="0"/>
          <w:color w:val="404040"/>
          <w:spacing w:val="0"/>
          <w:sz w:val="28"/>
          <w:szCs w:val="28"/>
          <w:lang w:val="en-US" w:eastAsia="zh-CN"/>
        </w:rPr>
        <w:t xml:space="preserve"> </w:t>
      </w:r>
      <w:r>
        <w:rPr>
          <w:rFonts w:hint="eastAsia" w:ascii="仿宋_GB2312" w:hAnsi="仿宋_GB2312" w:eastAsia="仿宋_GB2312" w:cs="仿宋_GB2312"/>
          <w:i w:val="0"/>
          <w:iCs w:val="0"/>
          <w:caps w:val="0"/>
          <w:color w:val="404040"/>
          <w:spacing w:val="0"/>
          <w:sz w:val="28"/>
          <w:szCs w:val="28"/>
        </w:rPr>
        <w:t>行政执法机关在实施行政许可、行政裁决等申请行政执法行为时，应当依照相关法律法规规定对涉及以下内容进行记录：</w:t>
      </w:r>
    </w:p>
    <w:p w14:paraId="771D217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(一)当事人提交申请情况；</w:t>
      </w:r>
    </w:p>
    <w:p w14:paraId="4125EFC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(二)一次性告知情况；</w:t>
      </w:r>
    </w:p>
    <w:p w14:paraId="01C00E1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(三)申请材料补正情况；</w:t>
      </w:r>
    </w:p>
    <w:p w14:paraId="3285EAD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(四)受理或者不受理情况；</w:t>
      </w:r>
    </w:p>
    <w:p w14:paraId="0E2F131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(五)现场核查、勘验、鉴定、检测等情况；</w:t>
      </w:r>
    </w:p>
    <w:p w14:paraId="08E38FB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(六)评审、论证、听证等情况；</w:t>
      </w:r>
    </w:p>
    <w:p w14:paraId="1B56C15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(七)征求意见情况；</w:t>
      </w:r>
    </w:p>
    <w:p w14:paraId="68185A1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(八)法制审核情况；</w:t>
      </w:r>
    </w:p>
    <w:p w14:paraId="2D80052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(九)审查决定情况；</w:t>
      </w:r>
    </w:p>
    <w:p w14:paraId="44CBE5E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(十)颁发许可和送达情况；</w:t>
      </w:r>
    </w:p>
    <w:p w14:paraId="43AC487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(十一)应当记录的其他事项。</w:t>
      </w:r>
    </w:p>
    <w:p w14:paraId="0602008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第九条</w:t>
      </w:r>
      <w:r>
        <w:rPr>
          <w:rFonts w:hint="eastAsia" w:ascii="仿宋_GB2312" w:hAnsi="仿宋_GB2312" w:eastAsia="仿宋_GB2312" w:cs="仿宋_GB2312"/>
          <w:i w:val="0"/>
          <w:iCs w:val="0"/>
          <w:caps w:val="0"/>
          <w:color w:val="404040"/>
          <w:spacing w:val="0"/>
          <w:sz w:val="28"/>
          <w:szCs w:val="28"/>
          <w:lang w:val="en-US" w:eastAsia="zh-CN"/>
        </w:rPr>
        <w:t xml:space="preserve"> </w:t>
      </w:r>
      <w:r>
        <w:rPr>
          <w:rFonts w:hint="eastAsia" w:ascii="仿宋_GB2312" w:hAnsi="仿宋_GB2312" w:eastAsia="仿宋_GB2312" w:cs="仿宋_GB2312"/>
          <w:i w:val="0"/>
          <w:iCs w:val="0"/>
          <w:caps w:val="0"/>
          <w:color w:val="404040"/>
          <w:spacing w:val="0"/>
          <w:sz w:val="28"/>
          <w:szCs w:val="28"/>
        </w:rPr>
        <w:t>行政执法机关在实施行政处罚、行政检查等依职权行政执法行为时，应当依照相关法律法规规定对涉及到的以下内容进行记录：</w:t>
      </w:r>
    </w:p>
    <w:p w14:paraId="0AE420C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(一)案由、案件来源和立案情况；</w:t>
      </w:r>
    </w:p>
    <w:p w14:paraId="29A94F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(二)执法人员姓名、执法证号及出示证件情况；</w:t>
      </w:r>
    </w:p>
    <w:p w14:paraId="3BF254B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(三)调查询问情况；</w:t>
      </w:r>
    </w:p>
    <w:p w14:paraId="016B8DF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(四)现场检查(勘验)情况；</w:t>
      </w:r>
    </w:p>
    <w:p w14:paraId="5B611BA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(五)调取书证、物证及其他证据情况；</w:t>
      </w:r>
    </w:p>
    <w:p w14:paraId="22ABF53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(六)抽样取证情况；</w:t>
      </w:r>
    </w:p>
    <w:p w14:paraId="3407462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(七)检验、检测鉴定情况；</w:t>
      </w:r>
    </w:p>
    <w:p w14:paraId="78F84BB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(八)证据先行登记保存情况；</w:t>
      </w:r>
    </w:p>
    <w:p w14:paraId="4E0A8A1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(九)实施行政强制措施情况；</w:t>
      </w:r>
    </w:p>
    <w:p w14:paraId="78966A6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(十)告知当事人陈述、申辩、申请回避、申请听证等权利以及当事人陈述、申辩、申请回避、申请听证等情况；</w:t>
      </w:r>
    </w:p>
    <w:p w14:paraId="3356F22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(十一)听证会情况；</w:t>
      </w:r>
    </w:p>
    <w:p w14:paraId="0712CB4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(十二)专家评审情况；</w:t>
      </w:r>
    </w:p>
    <w:p w14:paraId="3B43B92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(十三)承办人的处理意见以及有关事实、证据、法律依据、有关行政裁量权适用规则；</w:t>
      </w:r>
    </w:p>
    <w:p w14:paraId="01B4A10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(十四)承办机构审核情况；</w:t>
      </w:r>
    </w:p>
    <w:p w14:paraId="00F402C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(十五)法制审核情况；</w:t>
      </w:r>
    </w:p>
    <w:p w14:paraId="341D7DC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(十六)集体讨论情况；</w:t>
      </w:r>
    </w:p>
    <w:p w14:paraId="4CAD53A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(十七)审批决定情况；</w:t>
      </w:r>
    </w:p>
    <w:p w14:paraId="7865E71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(十八)送达情况；</w:t>
      </w:r>
    </w:p>
    <w:p w14:paraId="7459ACA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(十九)当事人履行行政执法决定情况；</w:t>
      </w:r>
    </w:p>
    <w:p w14:paraId="6CB6971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(二十)没收物品处理情况；</w:t>
      </w:r>
    </w:p>
    <w:p w14:paraId="5B32AFF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(二十一)应当记录的其他有关事项。</w:t>
      </w:r>
    </w:p>
    <w:p w14:paraId="4BB2EAC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第十条</w:t>
      </w:r>
      <w:r>
        <w:rPr>
          <w:rFonts w:hint="eastAsia" w:ascii="仿宋_GB2312" w:hAnsi="仿宋_GB2312" w:eastAsia="仿宋_GB2312" w:cs="仿宋_GB2312"/>
          <w:i w:val="0"/>
          <w:iCs w:val="0"/>
          <w:caps w:val="0"/>
          <w:color w:val="404040"/>
          <w:spacing w:val="0"/>
          <w:sz w:val="28"/>
          <w:szCs w:val="28"/>
          <w:lang w:val="en-US" w:eastAsia="zh-CN"/>
        </w:rPr>
        <w:t xml:space="preserve"> </w:t>
      </w:r>
      <w:r>
        <w:rPr>
          <w:rFonts w:hint="eastAsia" w:ascii="仿宋_GB2312" w:hAnsi="仿宋_GB2312" w:eastAsia="仿宋_GB2312" w:cs="仿宋_GB2312"/>
          <w:i w:val="0"/>
          <w:iCs w:val="0"/>
          <w:caps w:val="0"/>
          <w:color w:val="404040"/>
          <w:spacing w:val="0"/>
          <w:sz w:val="28"/>
          <w:szCs w:val="28"/>
        </w:rPr>
        <w:t>采取音像记录的应当对以下重点内容进行记录：</w:t>
      </w:r>
    </w:p>
    <w:p w14:paraId="7406E17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(一)执法现场环境；</w:t>
      </w:r>
    </w:p>
    <w:p w14:paraId="775A812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(二)当事人、证人、第三人等现场有关人员的体貌特征和言行举止；</w:t>
      </w:r>
    </w:p>
    <w:p w14:paraId="5582AFF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(三)重要涉案物品及其主要特征，以及其他证明违法行为的证据；</w:t>
      </w:r>
    </w:p>
    <w:p w14:paraId="564CC3C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(四)执法人员对有关人员、财物采取措施情况；</w:t>
      </w:r>
    </w:p>
    <w:p w14:paraId="610B1E7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(五)执法人员现场制作、送达法律文书情况；</w:t>
      </w:r>
    </w:p>
    <w:p w14:paraId="1CA02F7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(六)应当记录的其他重要内容。</w:t>
      </w:r>
    </w:p>
    <w:p w14:paraId="7B1214E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第十一条</w:t>
      </w:r>
      <w:r>
        <w:rPr>
          <w:rFonts w:hint="eastAsia" w:ascii="仿宋_GB2312" w:hAnsi="仿宋_GB2312" w:eastAsia="仿宋_GB2312" w:cs="仿宋_GB2312"/>
          <w:i w:val="0"/>
          <w:iCs w:val="0"/>
          <w:caps w:val="0"/>
          <w:color w:val="404040"/>
          <w:spacing w:val="0"/>
          <w:sz w:val="28"/>
          <w:szCs w:val="28"/>
          <w:lang w:val="en-US" w:eastAsia="zh-CN"/>
        </w:rPr>
        <w:t xml:space="preserve"> </w:t>
      </w:r>
      <w:r>
        <w:rPr>
          <w:rFonts w:hint="eastAsia" w:ascii="仿宋_GB2312" w:hAnsi="仿宋_GB2312" w:eastAsia="仿宋_GB2312" w:cs="仿宋_GB2312"/>
          <w:i w:val="0"/>
          <w:iCs w:val="0"/>
          <w:caps w:val="0"/>
          <w:color w:val="404040"/>
          <w:spacing w:val="0"/>
          <w:sz w:val="28"/>
          <w:szCs w:val="28"/>
        </w:rPr>
        <w:t>音像记录设备使用前，执法人员应当检查音像设备的性能、电量和存储空间使用情况，并对系统时间进行校准。</w:t>
      </w:r>
    </w:p>
    <w:p w14:paraId="2CCF0B7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音像记录应当包含记录时间、记录地点、执法人员、执法对象等基本信息。有条件的可以使用多台音像设备从不同角度，同时进行不间断记录。</w:t>
      </w:r>
    </w:p>
    <w:p w14:paraId="6EBBFA0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音像记录过程中，因天气恶劣、设备故障、设备损坏等原因造成音像记录中断的，应当在重新开启设备后对中断原因进行语音说明；无法继续记录的，应当事后书面说明情况。</w:t>
      </w:r>
    </w:p>
    <w:p w14:paraId="3EEF719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第十二条</w:t>
      </w:r>
      <w:r>
        <w:rPr>
          <w:rFonts w:hint="eastAsia" w:ascii="仿宋_GB2312" w:hAnsi="仿宋_GB2312" w:eastAsia="仿宋_GB2312" w:cs="仿宋_GB2312"/>
          <w:i w:val="0"/>
          <w:iCs w:val="0"/>
          <w:caps w:val="0"/>
          <w:color w:val="404040"/>
          <w:spacing w:val="0"/>
          <w:sz w:val="28"/>
          <w:szCs w:val="28"/>
          <w:lang w:val="en-US" w:eastAsia="zh-CN"/>
        </w:rPr>
        <w:t xml:space="preserve"> </w:t>
      </w:r>
      <w:r>
        <w:rPr>
          <w:rFonts w:hint="eastAsia" w:ascii="仿宋_GB2312" w:hAnsi="仿宋_GB2312" w:eastAsia="仿宋_GB2312" w:cs="仿宋_GB2312"/>
          <w:i w:val="0"/>
          <w:iCs w:val="0"/>
          <w:caps w:val="0"/>
          <w:color w:val="404040"/>
          <w:spacing w:val="0"/>
          <w:sz w:val="28"/>
          <w:szCs w:val="28"/>
        </w:rPr>
        <w:t>专门负责人员应当在当日执法活动结束后及时将执法音像信息导出；因特殊原因，当日不能导出的，应当在24小时内及时导出储存。对所导出的音像记录信息能否正常回放进行检查确认，登记建立台账。台账应标明记录执法人员姓名、执法证号、日期和时段。</w:t>
      </w:r>
    </w:p>
    <w:p w14:paraId="39D56FF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导出和存储执法音像设备中的音像记录应当使用专用存储设备进行。</w:t>
      </w:r>
    </w:p>
    <w:p w14:paraId="23BF7D3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行政执法记录的保管、借阅、复制和使用应当按照档案管理的有关规定执行。</w:t>
      </w:r>
    </w:p>
    <w:p w14:paraId="7BAA785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第十三条</w:t>
      </w:r>
      <w:r>
        <w:rPr>
          <w:rFonts w:hint="eastAsia" w:ascii="仿宋_GB2312" w:hAnsi="仿宋_GB2312" w:eastAsia="仿宋_GB2312" w:cs="仿宋_GB2312"/>
          <w:i w:val="0"/>
          <w:iCs w:val="0"/>
          <w:caps w:val="0"/>
          <w:color w:val="404040"/>
          <w:spacing w:val="0"/>
          <w:sz w:val="28"/>
          <w:szCs w:val="28"/>
          <w:lang w:val="en-US" w:eastAsia="zh-CN"/>
        </w:rPr>
        <w:t xml:space="preserve"> </w:t>
      </w:r>
      <w:r>
        <w:rPr>
          <w:rFonts w:hint="eastAsia" w:ascii="仿宋_GB2312" w:hAnsi="仿宋_GB2312" w:eastAsia="仿宋_GB2312" w:cs="仿宋_GB2312"/>
          <w:i w:val="0"/>
          <w:iCs w:val="0"/>
          <w:caps w:val="0"/>
          <w:color w:val="404040"/>
          <w:spacing w:val="0"/>
          <w:sz w:val="28"/>
          <w:szCs w:val="28"/>
        </w:rPr>
        <w:t>执法过程的文字记录保存期限按照行政执法档案或文书档案的保存期限执行。专用设备存储的音像记录保存期限不少于6个月。</w:t>
      </w:r>
    </w:p>
    <w:p w14:paraId="553FBEE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音像记录作为证据使用的，应当刻制光盘并注明制作人、提取人、提取时间等信息，与档案一并归档。光盘保存期限按照行政执法档案或文书档案保存期限执行。</w:t>
      </w:r>
    </w:p>
    <w:p w14:paraId="77211ED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第十四条</w:t>
      </w:r>
      <w:r>
        <w:rPr>
          <w:rFonts w:hint="eastAsia" w:ascii="仿宋_GB2312" w:hAnsi="仿宋_GB2312" w:eastAsia="仿宋_GB2312" w:cs="仿宋_GB2312"/>
          <w:i w:val="0"/>
          <w:iCs w:val="0"/>
          <w:caps w:val="0"/>
          <w:color w:val="404040"/>
          <w:spacing w:val="0"/>
          <w:sz w:val="28"/>
          <w:szCs w:val="28"/>
          <w:lang w:val="en-US" w:eastAsia="zh-CN"/>
        </w:rPr>
        <w:t xml:space="preserve"> </w:t>
      </w:r>
      <w:r>
        <w:rPr>
          <w:rFonts w:hint="eastAsia" w:ascii="仿宋_GB2312" w:hAnsi="仿宋_GB2312" w:eastAsia="仿宋_GB2312" w:cs="仿宋_GB2312"/>
          <w:i w:val="0"/>
          <w:iCs w:val="0"/>
          <w:caps w:val="0"/>
          <w:color w:val="404040"/>
          <w:spacing w:val="0"/>
          <w:sz w:val="28"/>
          <w:szCs w:val="28"/>
        </w:rPr>
        <w:t>行政执法机关应当综合考虑部门职责、岗位性质、工作职权等因素，严格限定音像记录的使用权限。行政执法机关及其工作人员不得伪造、篡改、编辑、剪辑执法过程的原始记录；不得在保存期内销毁执法过程的文字记录和专用存储设备中的音像记录。</w:t>
      </w:r>
    </w:p>
    <w:p w14:paraId="3B44316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第十五条</w:t>
      </w:r>
      <w:r>
        <w:rPr>
          <w:rFonts w:hint="eastAsia" w:ascii="仿宋_GB2312" w:hAnsi="仿宋_GB2312" w:eastAsia="仿宋_GB2312" w:cs="仿宋_GB2312"/>
          <w:i w:val="0"/>
          <w:iCs w:val="0"/>
          <w:caps w:val="0"/>
          <w:color w:val="404040"/>
          <w:spacing w:val="0"/>
          <w:sz w:val="28"/>
          <w:szCs w:val="28"/>
          <w:lang w:val="en-US" w:eastAsia="zh-CN"/>
        </w:rPr>
        <w:t xml:space="preserve"> </w:t>
      </w:r>
      <w:r>
        <w:rPr>
          <w:rFonts w:hint="eastAsia" w:ascii="仿宋_GB2312" w:hAnsi="仿宋_GB2312" w:eastAsia="仿宋_GB2312" w:cs="仿宋_GB2312"/>
          <w:i w:val="0"/>
          <w:iCs w:val="0"/>
          <w:caps w:val="0"/>
          <w:color w:val="404040"/>
          <w:spacing w:val="0"/>
          <w:sz w:val="28"/>
          <w:szCs w:val="28"/>
        </w:rPr>
        <w:t>行政执法全过程记录为行政执法机关内部资料，不向社会公开。涉及国家秘密的，应当严格按照保密工作的有关规定进行管理。</w:t>
      </w:r>
    </w:p>
    <w:p w14:paraId="4C5B273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监察、司法、审计等国家机关基于办案需要，依法调阅、复制相关案件执法过程记录的，行政执法机关应当协助提供。</w:t>
      </w:r>
    </w:p>
    <w:p w14:paraId="7161CEF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行政执法相对人要求查阅、复制与其相关的执法过程记录的，行政执法机关应当协助提供，但不得泄露国家秘密或者举报人、投诉人以及其他第三人的信息。已经结案归档的执法过程记录，应当按照档案管理有关规定办理查阅、复制手续。</w:t>
      </w:r>
    </w:p>
    <w:p w14:paraId="2DEE899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226" w:afterAutospacing="0" w:line="500" w:lineRule="exact"/>
        <w:ind w:left="0" w:right="0" w:firstLine="210"/>
        <w:jc w:val="left"/>
        <w:textAlignment w:val="auto"/>
        <w:rPr>
          <w:rFonts w:hint="eastAsia" w:ascii="仿宋_GB2312" w:hAnsi="仿宋_GB2312" w:eastAsia="仿宋_GB2312" w:cs="仿宋_GB2312"/>
          <w:color w:val="404040"/>
          <w:sz w:val="28"/>
          <w:szCs w:val="28"/>
        </w:rPr>
      </w:pPr>
      <w:r>
        <w:rPr>
          <w:rFonts w:hint="eastAsia" w:ascii="仿宋_GB2312" w:hAnsi="仿宋_GB2312" w:eastAsia="仿宋_GB2312" w:cs="仿宋_GB2312"/>
          <w:i w:val="0"/>
          <w:iCs w:val="0"/>
          <w:caps w:val="0"/>
          <w:color w:val="404040"/>
          <w:spacing w:val="0"/>
          <w:sz w:val="28"/>
          <w:szCs w:val="28"/>
        </w:rPr>
        <w:t>    第十六条</w:t>
      </w:r>
      <w:r>
        <w:rPr>
          <w:rFonts w:hint="eastAsia" w:ascii="仿宋_GB2312" w:hAnsi="仿宋_GB2312" w:eastAsia="仿宋_GB2312" w:cs="仿宋_GB2312"/>
          <w:i w:val="0"/>
          <w:iCs w:val="0"/>
          <w:caps w:val="0"/>
          <w:color w:val="404040"/>
          <w:spacing w:val="0"/>
          <w:sz w:val="28"/>
          <w:szCs w:val="28"/>
          <w:lang w:val="en-US" w:eastAsia="zh-CN"/>
        </w:rPr>
        <w:t xml:space="preserve"> </w:t>
      </w:r>
      <w:r>
        <w:rPr>
          <w:rFonts w:hint="eastAsia" w:ascii="仿宋_GB2312" w:hAnsi="仿宋_GB2312" w:eastAsia="仿宋_GB2312" w:cs="仿宋_GB2312"/>
          <w:i w:val="0"/>
          <w:iCs w:val="0"/>
          <w:caps w:val="0"/>
          <w:color w:val="404040"/>
          <w:spacing w:val="0"/>
          <w:sz w:val="28"/>
          <w:szCs w:val="28"/>
        </w:rPr>
        <w:t>本办法自</w:t>
      </w:r>
      <w:r>
        <w:rPr>
          <w:rFonts w:hint="eastAsia" w:ascii="仿宋_GB2312" w:hAnsi="仿宋_GB2312" w:eastAsia="仿宋_GB2312" w:cs="仿宋_GB2312"/>
          <w:i w:val="0"/>
          <w:iCs w:val="0"/>
          <w:caps w:val="0"/>
          <w:color w:val="404040"/>
          <w:spacing w:val="0"/>
          <w:sz w:val="28"/>
          <w:szCs w:val="28"/>
          <w:lang w:val="en-US" w:eastAsia="zh-CN"/>
        </w:rPr>
        <w:t>发布之日</w:t>
      </w:r>
      <w:r>
        <w:rPr>
          <w:rFonts w:hint="eastAsia" w:ascii="仿宋_GB2312" w:hAnsi="仿宋_GB2312" w:eastAsia="仿宋_GB2312" w:cs="仿宋_GB2312"/>
          <w:i w:val="0"/>
          <w:iCs w:val="0"/>
          <w:caps w:val="0"/>
          <w:color w:val="404040"/>
          <w:spacing w:val="0"/>
          <w:sz w:val="28"/>
          <w:szCs w:val="28"/>
        </w:rPr>
        <w:t>起施行。</w:t>
      </w:r>
    </w:p>
    <w:p w14:paraId="074926F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jNzgwZDQzZDdkODNkOWQxNTUzMDkxOTMwOGY4OTEifQ=="/>
  </w:docVars>
  <w:rsids>
    <w:rsidRoot w:val="00000000"/>
    <w:rsid w:val="027F2F8E"/>
    <w:rsid w:val="0DB02CF3"/>
    <w:rsid w:val="19450D2E"/>
    <w:rsid w:val="2128655C"/>
    <w:rsid w:val="3BF53366"/>
    <w:rsid w:val="646C261C"/>
    <w:rsid w:val="6620152E"/>
    <w:rsid w:val="66507267"/>
    <w:rsid w:val="696B1FA5"/>
    <w:rsid w:val="6BA749FB"/>
    <w:rsid w:val="70713E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2472</Words>
  <Characters>2473</Characters>
  <Lines>0</Lines>
  <Paragraphs>0</Paragraphs>
  <TotalTime>16</TotalTime>
  <ScaleCrop>false</ScaleCrop>
  <LinksUpToDate>false</LinksUpToDate>
  <CharactersWithSpaces>2761</CharactersWithSpaces>
  <Application>WPS Office_12.1.0.18372_F1E327BC-269C-435d-A152-05C5408002CA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2023-05-30T09:05:00Z</dcterms:created>
  <dc:creator>Administrator</dc:creator>
  <cp:lastModifiedBy>CHENG #</cp:lastModifiedBy>
  <dcterms:modified xsi:type="dcterms:W3CDTF">2024-11-22T00:55:02Z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2052-12.1.0.18372</vt:lpwstr>
  </property>
  <property fmtid="{D5CDD505-2E9C-101B-9397-08002B2CF9AE}" pid="3" name="ICV">
    <vt:lpwstr>8B2332488D934C7E8732D55240A06020_13</vt:lpwstr>
  </property>
</Properties>
</file>