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一季度</w:t>
      </w:r>
      <w:r>
        <w:rPr>
          <w:rFonts w:hint="eastAsia" w:ascii="黑体" w:hAnsi="黑体" w:eastAsia="黑体" w:cs="黑体"/>
          <w:sz w:val="44"/>
          <w:szCs w:val="44"/>
        </w:rPr>
        <w:t>村级组织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运行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一季度</w:t>
      </w:r>
      <w:r>
        <w:rPr>
          <w:rFonts w:hint="eastAsia" w:ascii="仿宋_GB2312" w:hAnsi="宋体" w:eastAsia="仿宋_GB2312"/>
          <w:sz w:val="32"/>
          <w:szCs w:val="32"/>
        </w:rPr>
        <w:t>村级组织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运行经费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68.975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68.975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1D1C067D"/>
    <w:rsid w:val="3D417D28"/>
    <w:rsid w:val="43B01B63"/>
    <w:rsid w:val="5493049A"/>
    <w:rsid w:val="5CCF6398"/>
    <w:rsid w:val="67F82A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2022-04-28T07:57:36Z</cp:lastPrinted>
  <dcterms:modified xsi:type="dcterms:W3CDTF">2022-04-28T07:57:50Z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