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公务用车购置经费项目开展自评工作，具体情况如下：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根据《涞水县部门预算项目绩效自评管理办法》，我局组建了绩效评价小组，由机关事务管理股和人事财务股人员组成。采取听取汇报、查看资料等方法进行。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6项评价指标，针对公务用车购置经费项目，特别对项目产出和效果重点进行了评价。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2021年我局公务用车购置经费项目资金14万元，使用资金14万元，全部用于公务用车购置支出。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）数量指标：购置公务用车</w:t>
      </w:r>
      <w:r>
        <w:rPr>
          <w:rFonts w:hint="eastAsia" w:ascii="仿宋" w:hAnsi="仿宋" w:eastAsia="仿宋" w:cs="仿宋"/>
          <w:b w:val="0"/>
          <w:bCs w:val="0"/>
          <w:sz w:val="32"/>
          <w:szCs w:val="32"/>
          <w:lang w:val="en-US" w:eastAsia="zh-CN"/>
        </w:rPr>
        <w:t>1辆</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（2）质量指标：已购置长城品牌汽车。</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（3）时效指标：7月份完成购置。</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（4）成本指标：严格按预算支出。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bookmarkStart w:id="0" w:name="_GoBack"/>
      <w:bookmarkEnd w:id="0"/>
      <w:r>
        <w:rPr>
          <w:rFonts w:hint="eastAsia" w:ascii="仿宋" w:hAnsi="仿宋" w:eastAsia="仿宋" w:cs="仿宋"/>
          <w:b w:val="0"/>
          <w:bCs w:val="0"/>
          <w:sz w:val="32"/>
          <w:szCs w:val="32"/>
          <w:lang w:eastAsia="zh-CN"/>
        </w:rPr>
        <w:t>可持续影响指标：新购置公务用车可使用</w:t>
      </w:r>
      <w:r>
        <w:rPr>
          <w:rFonts w:hint="eastAsia" w:ascii="仿宋" w:hAnsi="仿宋" w:eastAsia="仿宋" w:cs="仿宋"/>
          <w:b w:val="0"/>
          <w:bCs w:val="0"/>
          <w:sz w:val="32"/>
          <w:szCs w:val="32"/>
          <w:lang w:val="en-US" w:eastAsia="zh-CN"/>
        </w:rPr>
        <w:t>10年以上，满足执法工作需要，完成目标值。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局职工满意数量达到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公务用车购置经费14万元，实际支出14万元，预算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通过绩效自评，机关事务管理股按照年初预算确定的绩效目标和绩效指标为依据，逐项进行对比分析。依据自评结果，本项目较好的完成了预期目标，发挥了资金的使用效益，项目绩效设定清晰准确。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B1575EE"/>
    <w:rsid w:val="284525EF"/>
    <w:rsid w:val="2943132C"/>
    <w:rsid w:val="32D411FC"/>
    <w:rsid w:val="413D04CA"/>
    <w:rsid w:val="42920D4B"/>
    <w:rsid w:val="4C8D6CA0"/>
    <w:rsid w:val="686370EF"/>
    <w:rsid w:val="6AD1680F"/>
    <w:rsid w:val="6F697A3B"/>
    <w:rsid w:val="787B4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0</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2022-05-01T07:47:44Z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