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老干部局</w:t>
      </w:r>
      <w:r>
        <w:rPr>
          <w:rFonts w:hint="eastAsia" w:ascii="黑体" w:hAnsi="黑体" w:eastAsia="黑体" w:cs="Tahoma"/>
          <w:kern w:val="0"/>
          <w:sz w:val="44"/>
          <w:szCs w:val="44"/>
        </w:rPr>
        <w:t>部门年度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4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napToGrid w:val="0"/>
        <w:spacing w:line="58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一、绩效自评工作组织开展情况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1.资金情况：本部门预算项目7个，资金规模：</w:t>
      </w:r>
      <w:r>
        <w:rPr>
          <w:rFonts w:ascii="仿宋" w:hAnsi="仿宋" w:eastAsia="仿宋" w:cs="Times New Roman"/>
          <w:sz w:val="32"/>
          <w:szCs w:val="32"/>
        </w:rPr>
        <w:t>资金规模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共设计332.62万元。其中老区建设促进会经费2.00万元；离退休干部特需经费8.70万元；2021年贫困县离休干部药费补助7.20万元；离休干部药费300.00万元；春节慰问老干部经费5.00万元；离退休干部帮扶经费5.00万元；关心下一代工作经费4.00万元；企业离休干部物业补贴及年终一次性生活补贴2.72万元。</w:t>
      </w:r>
    </w:p>
    <w:p>
      <w:pPr>
        <w:snapToGrid w:val="0"/>
        <w:spacing w:line="58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2.监控开展那情况：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shd w:val="clear" w:fill="FFFFFF"/>
        </w:rPr>
        <w:t>及时性。重点关资金较大、当年新增预算且前期准备不充分，以及预算执行环境发生重大变化等情况。合规性。重点关注相关预算管理制度落实情况、项目预算资金使用过程中的无预算开支、超预算开支、挤占挪用预算资金、超标准配置资产等情况。有效性。重点关注项目执行是否与绩效目标一致、执行效果能否达到预期等</w:t>
      </w:r>
      <w:r>
        <w:rPr>
          <w:rFonts w:ascii="仿宋" w:hAnsi="仿宋" w:eastAsia="仿宋" w:cs="Times New Roman"/>
          <w:sz w:val="32"/>
          <w:szCs w:val="32"/>
        </w:rPr>
        <w:t>。</w:t>
      </w:r>
    </w:p>
    <w:p>
      <w:pPr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3.重点监控工作情况：本部门预算规模较大资金为离休干部药费，此项支出均由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县委5个单位组成的联审小组审核后执行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离休干部药费审核小组审核后，出具审核报告，依据审核报告，完成支出。</w:t>
      </w:r>
    </w:p>
    <w:p>
      <w:pPr>
        <w:snapToGrid w:val="0"/>
        <w:spacing w:line="580" w:lineRule="exact"/>
        <w:ind w:firstLine="643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二、绩效目标实现情况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本部门年度绩效目标实现程度达到100%的项目有7个，绩效目标实现程度在90%以上的有1个。</w:t>
      </w:r>
    </w:p>
    <w:p>
      <w:pPr>
        <w:snapToGrid w:val="0"/>
        <w:spacing w:line="58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三、绩效目标设定质量情况</w:t>
      </w:r>
    </w:p>
    <w:tbl>
      <w:tblPr>
        <w:tblStyle w:val="4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2636"/>
        <w:gridCol w:w="1110"/>
        <w:gridCol w:w="1350"/>
        <w:gridCol w:w="1136"/>
        <w:gridCol w:w="995"/>
        <w:gridCol w:w="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部门名称</w:t>
            </w:r>
          </w:p>
        </w:tc>
        <w:tc>
          <w:tcPr>
            <w:tcW w:w="2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资金数额（万元）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底绩效目标实现程度（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预计年底绩效目标实现情况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完全实现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差距较大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老干部局</w:t>
            </w:r>
          </w:p>
        </w:tc>
        <w:tc>
          <w:tcPr>
            <w:tcW w:w="2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离休干部药费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73.55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未完全实现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老干部局</w:t>
            </w:r>
          </w:p>
        </w:tc>
        <w:tc>
          <w:tcPr>
            <w:tcW w:w="2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离退休干部特需经费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8.7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老干部局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春节慰问离休干部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经费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老干部局</w:t>
            </w:r>
          </w:p>
        </w:tc>
        <w:tc>
          <w:tcPr>
            <w:tcW w:w="2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离退休干部帮扶经费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老干部局</w:t>
            </w:r>
          </w:p>
        </w:tc>
        <w:tc>
          <w:tcPr>
            <w:tcW w:w="2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关心下一代经费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老干部局</w:t>
            </w:r>
          </w:p>
        </w:tc>
        <w:tc>
          <w:tcPr>
            <w:tcW w:w="2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2021年贫困县离休干部药费补助资金（冀财社【2020】199）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已实现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老干部局</w:t>
            </w:r>
          </w:p>
        </w:tc>
        <w:tc>
          <w:tcPr>
            <w:tcW w:w="2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企业离休干部物业补贴及年终一次性生活补贴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2.72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已实现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偏差原因分析：离退休干部药费，因离休干部逐年减少药费支出数额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支出不确定性因素较大，只能按照实际发生数目完成支出。</w:t>
      </w:r>
    </w:p>
    <w:p>
      <w:pPr>
        <w:snapToGrid w:val="0"/>
        <w:spacing w:line="58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四、整改措施及结果应用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在监控过程中我们主要采取主管财务领导定期督导、检查，工作人员认真执行支出规定，确保本单位完成目标任务。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一是对于绩效目标执行正常项目，提出保障目标实现的具体措施。二是加强日常监控工作。在日常监控工作中主管财务人员及财务人员各司其职，加强执行目标任务的监控工作。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涞水县委老干部局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2022年4月25日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A3"/>
    <w:rsid w:val="001627CF"/>
    <w:rsid w:val="00176210"/>
    <w:rsid w:val="001D2D4C"/>
    <w:rsid w:val="00364309"/>
    <w:rsid w:val="00383AC5"/>
    <w:rsid w:val="003B412A"/>
    <w:rsid w:val="00432709"/>
    <w:rsid w:val="00491FCD"/>
    <w:rsid w:val="004E6C05"/>
    <w:rsid w:val="004F6F9F"/>
    <w:rsid w:val="00546BCB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C31C3"/>
    <w:rsid w:val="008E0E58"/>
    <w:rsid w:val="00941865"/>
    <w:rsid w:val="00986803"/>
    <w:rsid w:val="0099577A"/>
    <w:rsid w:val="009F1522"/>
    <w:rsid w:val="00A06D88"/>
    <w:rsid w:val="00AB70A8"/>
    <w:rsid w:val="00AF5C06"/>
    <w:rsid w:val="00B8177D"/>
    <w:rsid w:val="00B86365"/>
    <w:rsid w:val="00BE032C"/>
    <w:rsid w:val="00C242EC"/>
    <w:rsid w:val="00CE156F"/>
    <w:rsid w:val="00DE50A2"/>
    <w:rsid w:val="00DF6FF4"/>
    <w:rsid w:val="00E17D5D"/>
    <w:rsid w:val="00E61BFC"/>
    <w:rsid w:val="00E841B7"/>
    <w:rsid w:val="00ED5E84"/>
    <w:rsid w:val="00EF16A3"/>
    <w:rsid w:val="00F57E52"/>
    <w:rsid w:val="11AA463D"/>
    <w:rsid w:val="14E265D1"/>
    <w:rsid w:val="3C6E72A5"/>
    <w:rsid w:val="49577A04"/>
    <w:rsid w:val="4B8F4681"/>
    <w:rsid w:val="4F076DE6"/>
    <w:rsid w:val="773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884</Words>
  <Characters>959</Characters>
  <Lines>3</Lines>
  <Paragraphs>1</Paragraphs>
  <TotalTime>15</TotalTime>
  <ScaleCrop>false</ScaleCrop>
  <LinksUpToDate>false</LinksUpToDate>
  <CharactersWithSpaces>960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Lenovo</cp:lastModifiedBy>
  <cp:lastPrinted>2022-04-25T02:10:12Z</cp:lastPrinted>
  <dcterms:modified xsi:type="dcterms:W3CDTF">2022-04-25T02:10:24Z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48F280D3ECF14CD59868055F5C35541D</vt:lpwstr>
  </property>
  <property fmtid="{D5CDD505-2E9C-101B-9397-08002B2CF9AE}" pid="4" name="commondata">
    <vt:lpwstr>eyJoZGlkIjoiNTgxZTRiYzM2MTUxOWZkMTA4NjU2NjYzMGQ3NjQ4OTAifQ==</vt:lpwstr>
  </property>
</Properties>
</file>