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第一批农业生产救灾资金项目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度第一批农业生产救灾资金项目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第一批农业生产救灾资金项目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第一批农业生产救灾资金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2022年4月26日   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3E46A6A"/>
    <w:rsid w:val="1A74457E"/>
    <w:rsid w:val="24082954"/>
    <w:rsid w:val="25614E97"/>
    <w:rsid w:val="26864FD8"/>
    <w:rsid w:val="26B22D42"/>
    <w:rsid w:val="27D668C5"/>
    <w:rsid w:val="30D65281"/>
    <w:rsid w:val="33CF6FEA"/>
    <w:rsid w:val="37432065"/>
    <w:rsid w:val="387D5266"/>
    <w:rsid w:val="3AA755AA"/>
    <w:rsid w:val="474D0DF1"/>
    <w:rsid w:val="4A422C31"/>
    <w:rsid w:val="5D616655"/>
    <w:rsid w:val="5DC728A1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383</Words>
  <Characters>412</Characters>
  <Lines>8</Lines>
  <Paragraphs>2</Paragraphs>
  <TotalTime>0</TotalTime>
  <ScaleCrop>false</ScaleCrop>
  <LinksUpToDate>false</LinksUpToDate>
  <CharactersWithSpaces>498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2022-07-13T01:21:49Z</cp:lastPrinted>
  <dcterms:modified xsi:type="dcterms:W3CDTF">2022-07-13T01:21:54Z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