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全域旅游工作专项经费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根据预算绩效管理要求，本部门组织对全域旅游工作专项经费项目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通过全域旅游推进，推进旅游转型升级和可持续发展。通过全域旅游，促进旅游+产业融合发展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全域旅游覆盖率在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80%以上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优良率良好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时效</w:t>
      </w:r>
      <w:r>
        <w:rPr>
          <w:rFonts w:hint="eastAsia" w:ascii="仿宋" w:hAnsi="仿宋" w:eastAsia="仿宋" w:cs="仿宋"/>
          <w:sz w:val="32"/>
          <w:szCs w:val="32"/>
        </w:rPr>
        <w:t>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</w:t>
      </w:r>
      <w:r>
        <w:rPr>
          <w:rFonts w:hint="eastAsia" w:ascii="仿宋" w:hAnsi="仿宋" w:eastAsia="仿宋" w:cs="仿宋"/>
          <w:sz w:val="32"/>
          <w:szCs w:val="32"/>
        </w:rPr>
        <w:t>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）经济效益指标。县域旅游产业带动经济发展情况稳中有升。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可持续影响指标。全域旅游的影响力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稳步提高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MzdkNzk5ODI1ZGM4N2M0Zjk1NmMyMzlkN2M0NTk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0B464C1"/>
    <w:rsid w:val="139840D3"/>
    <w:rsid w:val="143E091F"/>
    <w:rsid w:val="14865FC8"/>
    <w:rsid w:val="150C2DB0"/>
    <w:rsid w:val="15E607D0"/>
    <w:rsid w:val="1A487997"/>
    <w:rsid w:val="1DAF3BF7"/>
    <w:rsid w:val="1E761F05"/>
    <w:rsid w:val="1FC7205C"/>
    <w:rsid w:val="228B3D05"/>
    <w:rsid w:val="27781ED7"/>
    <w:rsid w:val="27BA5BA7"/>
    <w:rsid w:val="284E74F8"/>
    <w:rsid w:val="2ADB48E8"/>
    <w:rsid w:val="2EB778D9"/>
    <w:rsid w:val="324C567F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D67E21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6959B6"/>
    <w:rsid w:val="76A548F2"/>
    <w:rsid w:val="7765772E"/>
    <w:rsid w:val="77867685"/>
    <w:rsid w:val="778F6C8C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426</Words>
  <Characters>437</Characters>
  <Lines>2</Lines>
  <Paragraphs>1</Paragraphs>
  <TotalTime>10</TotalTime>
  <ScaleCrop>false</ScaleCrop>
  <LinksUpToDate>false</LinksUpToDate>
  <CharactersWithSpaces>437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2022-04-24T07:28:00Z</cp:lastPrinted>
  <dcterms:modified xsi:type="dcterms:W3CDTF">2022-04-29T03:19:31Z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05B1726AB8D441CA90794B8E21EE7C41</vt:lpwstr>
  </property>
</Properties>
</file>