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</w:rPr>
      </w:pPr>
      <w:r>
        <w:rPr>
          <w:rFonts w:hint="eastAsia" w:ascii="Arial" w:hAnsi="Arial" w:eastAsia="宋体" w:cs="Arial"/>
          <w:b/>
          <w:sz w:val="44"/>
          <w:szCs w:val="44"/>
        </w:rPr>
        <w:t>文化旅游市场行政执法工作经费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根据预算绩效管理要求，本部门组织对文化旅游市场行政执法工作经费项目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通过项目的开展，规范了文化旅游市场秩序，繁荣文化旅游市场发展，达到了预期完成情况。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开展外宣活动数量。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社会效益。突发事件处置完成情况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）可持续影响。通过旅游项目实施，完善全域旅游规划，推动全域旅游可持续发展。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执法规范市场秩序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5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2022-04-29T02:28:52Z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