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ascii="仿宋_GB2312" w:hAnsi="宋体" w:eastAsia="仿宋_GB2312"/>
          <w:b/>
          <w:sz w:val="32"/>
          <w:szCs w:val="32"/>
        </w:rPr>
      </w:pPr>
      <w:r>
        <w:rPr>
          <w:rFonts w:hint="eastAsia" w:ascii="黑体" w:hAnsi="黑体" w:eastAsia="黑体" w:cs="Tahoma"/>
          <w:kern w:val="0"/>
          <w:sz w:val="44"/>
          <w:szCs w:val="44"/>
        </w:rPr>
        <w:t>部门年度</w:t>
      </w:r>
      <w:r>
        <w:rPr>
          <w:rFonts w:hint="eastAsia" w:ascii="黑体" w:hAnsi="黑体" w:eastAsia="黑体"/>
          <w:sz w:val="44"/>
          <w:szCs w:val="44"/>
        </w:rPr>
        <w:t>绩效自评工作报告</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snapToGrid w:val="0"/>
        <w:spacing w:line="58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宋体" w:eastAsia="仿宋_GB2312"/>
          <w:sz w:val="32"/>
          <w:szCs w:val="32"/>
          <w:lang w:val="en-US" w:eastAsia="zh-CN"/>
        </w:rPr>
        <w:t>为加强部门项目支出绩效管理，提高财政资金使用效益和公共服务质量，按照</w:t>
      </w:r>
      <w:r>
        <w:rPr>
          <w:rFonts w:hint="eastAsia" w:ascii="黑体" w:hAnsi="黑体" w:eastAsia="黑体" w:cs="黑体"/>
          <w:sz w:val="32"/>
          <w:szCs w:val="32"/>
          <w:lang w:val="en-US" w:eastAsia="zh-CN"/>
        </w:rPr>
        <w:t>《</w:t>
      </w:r>
      <w:r>
        <w:rPr>
          <w:rFonts w:hint="eastAsia" w:ascii="仿宋_GB2312" w:hAnsi="仿宋_GB2312" w:eastAsia="仿宋_GB2312" w:cs="仿宋_GB2312"/>
          <w:b w:val="0"/>
          <w:bCs w:val="0"/>
          <w:sz w:val="32"/>
          <w:szCs w:val="32"/>
          <w:lang w:val="en-US" w:eastAsia="zh-CN"/>
        </w:rPr>
        <w:t>涞水县部门预算项目绩效自评管理办法》规定和涞财监[2021]12号文件的要求，我局组织力量对本局2020年年初项目垃圾场承包费和环卫承包费进行了客观、公正的绩效评价。</w:t>
      </w:r>
    </w:p>
    <w:p>
      <w:pPr>
        <w:snapToGrid w:val="0"/>
        <w:spacing w:line="580" w:lineRule="exact"/>
        <w:ind w:firstLine="960" w:firstLineChars="300"/>
        <w:jc w:val="lef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为确保项目的正常支出，我单位严格执行各项财经纪律，财务规章制度，认真抓好内部财务管理与监督工作。制定工作标准、规定和管理办法。垃圾场承包费项目是我县为了提高城市承载能力和宜居度，加强城区建设，改善城区人居环境，实现城乡统筹发展,</w:t>
      </w:r>
      <w:r>
        <w:rPr>
          <w:rFonts w:hint="eastAsia" w:ascii="仿宋_GB2312" w:eastAsia="仿宋_GB2312"/>
          <w:sz w:val="32"/>
          <w:szCs w:val="32"/>
        </w:rPr>
        <w:t>于201</w:t>
      </w:r>
      <w:r>
        <w:rPr>
          <w:rFonts w:hint="eastAsia" w:ascii="仿宋_GB2312" w:eastAsia="仿宋_GB2312"/>
          <w:sz w:val="32"/>
          <w:szCs w:val="32"/>
          <w:lang w:val="en-US" w:eastAsia="zh-CN"/>
        </w:rPr>
        <w:t>5</w:t>
      </w:r>
      <w:r>
        <w:rPr>
          <w:rFonts w:hint="eastAsia" w:ascii="仿宋_GB2312" w:eastAsia="仿宋_GB2312"/>
          <w:sz w:val="32"/>
          <w:szCs w:val="32"/>
        </w:rPr>
        <w:t>年开始逐步开展</w:t>
      </w:r>
      <w:r>
        <w:rPr>
          <w:rFonts w:hint="eastAsia" w:ascii="仿宋_GB2312" w:eastAsia="仿宋_GB2312"/>
          <w:sz w:val="32"/>
          <w:szCs w:val="32"/>
          <w:lang w:eastAsia="zh-CN"/>
        </w:rPr>
        <w:t>环卫市场化</w:t>
      </w:r>
      <w:r>
        <w:rPr>
          <w:rFonts w:hint="eastAsia" w:ascii="仿宋_GB2312" w:eastAsia="仿宋_GB2312"/>
          <w:sz w:val="32"/>
          <w:szCs w:val="32"/>
        </w:rPr>
        <w:t>工作，推行</w:t>
      </w:r>
      <w:r>
        <w:rPr>
          <w:rFonts w:hint="eastAsia" w:ascii="仿宋_GB2312" w:eastAsia="仿宋_GB2312"/>
          <w:sz w:val="32"/>
          <w:szCs w:val="32"/>
          <w:lang w:eastAsia="zh-CN"/>
        </w:rPr>
        <w:t>生活</w:t>
      </w:r>
      <w:r>
        <w:rPr>
          <w:rFonts w:hint="eastAsia" w:ascii="仿宋_GB2312" w:eastAsia="仿宋_GB2312"/>
          <w:sz w:val="32"/>
          <w:szCs w:val="32"/>
        </w:rPr>
        <w:t>垃圾</w:t>
      </w:r>
      <w:r>
        <w:rPr>
          <w:rFonts w:hint="eastAsia" w:ascii="仿宋_GB2312" w:eastAsia="仿宋_GB2312"/>
          <w:sz w:val="32"/>
          <w:szCs w:val="32"/>
          <w:lang w:eastAsia="zh-CN"/>
        </w:rPr>
        <w:t>定时定点</w:t>
      </w:r>
      <w:r>
        <w:rPr>
          <w:rFonts w:hint="eastAsia" w:ascii="仿宋_GB2312" w:eastAsia="仿宋_GB2312"/>
          <w:sz w:val="32"/>
          <w:szCs w:val="32"/>
        </w:rPr>
        <w:t>收集，密闭运输，规范处理的管理模式</w:t>
      </w:r>
      <w:r>
        <w:rPr>
          <w:rFonts w:hint="eastAsia" w:ascii="仿宋_GB2312" w:eastAsia="仿宋_GB2312"/>
          <w:sz w:val="32"/>
          <w:szCs w:val="32"/>
          <w:lang w:eastAsia="zh-CN"/>
        </w:rPr>
        <w:t>。截至目前</w:t>
      </w:r>
      <w:r>
        <w:rPr>
          <w:rFonts w:hint="eastAsia" w:ascii="仿宋_GB2312" w:hAnsi="宋体" w:eastAsia="仿宋_GB2312"/>
          <w:sz w:val="32"/>
          <w:szCs w:val="32"/>
          <w:lang w:val="en-US" w:eastAsia="zh-CN"/>
        </w:rPr>
        <w:t xml:space="preserve">规范化填埋、垃圾处理率已达到100%，资金分配按季度拨付。环卫承包费项目是为了贯彻落实国家和省、市有关城市管理的政策和法规，制定和完善了市容市貌、环境卫生等有关工作标准、规定和管理办法。对城建界垃圾清运过程中造成的扬撒遗漏现象进行监督检查，对环境卫生工作进行考核，目前市容市貌机械化清扫率达到96%以上，市容环境治理完成率达到96%以上,城市的美丽度提高，道路清扫与垃圾运行及时程度提高，群众满意度达到97%。                                                                                                                                                                                                                                                                                                                                                                                                                                                                                                                                                                                                                                                                                                                                                                                                                                                                                                                </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snapToGrid w:val="0"/>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垃圾场承包费项目年初预算数为275.97万元，拨付金额根据合同按季度拨付，第一季度为57.847150万元，第二季度为65.873150万元，第三季度为40.139350，第四季度为57.10895万元，共计220.9686万元，完成率为80.07%。垃圾处理率完成值100%，自评得分30分，规范化填埋完成值100%，自评得分20分。降低城市环境监测，自评分15分，减少对环境的污染，自评分15分。城市满意度达到≥97%，自评分为10分。预算执行率为10分，总计自评得分为100分。</w:t>
      </w:r>
    </w:p>
    <w:p>
      <w:pPr>
        <w:snapToGrid w:val="0"/>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环卫承包费预算数为1073.08万元，拨付金额根据合同按季度拨付，第一季度为240.969482万元，第二季度为277.369482万元，第三季度为277.369482，第四季度为277.36948万元，共计1073.077926万元，完成率为100%。机械化清扫率达到96%，自评分为30分，清扫程度≤5处，自评得分19分，提高城市的美丽度，自评分15分，提高道路清扫与垃圾运输及时程度，自评分为15分，群众满意度达到≥97%，自评得分10分 。预算执行率为10分，总计自评得分为99分。</w:t>
      </w:r>
    </w:p>
    <w:p>
      <w:pPr>
        <w:numPr>
          <w:ilvl w:val="0"/>
          <w:numId w:val="0"/>
        </w:numPr>
        <w:ind w:left="0" w:leftChars="0"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垃圾场预算执行率预与年初绩效偏离较大的原因是</w:t>
      </w:r>
      <w:r>
        <w:rPr>
          <w:rFonts w:hint="eastAsia" w:ascii="仿宋_GB2312" w:hAnsi="仿宋_GB2312" w:eastAsia="仿宋_GB2312" w:cs="仿宋_GB2312"/>
          <w:color w:val="000000"/>
          <w:kern w:val="0"/>
          <w:sz w:val="32"/>
          <w:szCs w:val="32"/>
          <w:lang w:eastAsia="zh-CN"/>
        </w:rPr>
        <w:t>垃圾场承包费项目与年初预算数相差金额为</w:t>
      </w:r>
      <w:r>
        <w:rPr>
          <w:rFonts w:hint="eastAsia" w:ascii="仿宋_GB2312" w:hAnsi="仿宋_GB2312" w:eastAsia="仿宋_GB2312" w:cs="仿宋_GB2312"/>
          <w:color w:val="000000"/>
          <w:kern w:val="0"/>
          <w:sz w:val="32"/>
          <w:szCs w:val="32"/>
          <w:lang w:val="en-US" w:eastAsia="zh-CN"/>
        </w:rPr>
        <w:t>55万元，原因是</w:t>
      </w:r>
      <w:r>
        <w:rPr>
          <w:rFonts w:hint="eastAsia" w:ascii="仿宋_GB2312" w:hAnsi="仿宋_GB2312" w:eastAsia="仿宋_GB2312" w:cs="仿宋_GB2312"/>
          <w:sz w:val="32"/>
          <w:szCs w:val="32"/>
          <w:lang w:eastAsia="zh-CN"/>
        </w:rPr>
        <w:t>《涞水县生活垃圾填埋场承包运营合同》中根据涞水县生活垃圾处理费（</w:t>
      </w:r>
      <w:r>
        <w:rPr>
          <w:rFonts w:hint="eastAsia" w:ascii="仿宋_GB2312" w:hAnsi="仿宋_GB2312" w:eastAsia="仿宋_GB2312" w:cs="仿宋_GB2312"/>
          <w:sz w:val="32"/>
          <w:szCs w:val="32"/>
          <w:lang w:val="en-US" w:eastAsia="zh-CN"/>
        </w:rPr>
        <w:t>2016-2018</w:t>
      </w:r>
      <w:r>
        <w:rPr>
          <w:rFonts w:hint="eastAsia" w:ascii="仿宋_GB2312" w:hAnsi="仿宋_GB2312" w:eastAsia="仿宋_GB2312" w:cs="仿宋_GB2312"/>
          <w:sz w:val="32"/>
          <w:szCs w:val="32"/>
          <w:lang w:eastAsia="zh-CN"/>
        </w:rPr>
        <w:t>）三年的收费情况和县政府的财政情况，核定该笔费用的年收取金额为</w:t>
      </w:r>
      <w:r>
        <w:rPr>
          <w:rFonts w:hint="eastAsia" w:ascii="仿宋_GB2312" w:hAnsi="仿宋_GB2312" w:eastAsia="仿宋_GB2312" w:cs="仿宋_GB2312"/>
          <w:sz w:val="32"/>
          <w:szCs w:val="32"/>
          <w:lang w:val="en-US" w:eastAsia="zh-CN"/>
        </w:rPr>
        <w:t>55万元（伍拾伍万元整），该笔费用由乙方收取，收费金额抵消相应的运营费用，年初做预算时没有扣除此部分资金，故年终实际少支出预算金额55万元，完成率为</w:t>
      </w:r>
      <w:r>
        <w:rPr>
          <w:rFonts w:hint="eastAsia" w:ascii="仿宋_GB2312" w:hAnsi="宋体" w:eastAsia="仿宋_GB2312"/>
          <w:sz w:val="32"/>
          <w:szCs w:val="32"/>
          <w:lang w:val="en-US" w:eastAsia="zh-CN"/>
        </w:rPr>
        <w:t>80.07%。</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三、绩效目标设定质量情况</w:t>
      </w:r>
    </w:p>
    <w:p>
      <w:pPr>
        <w:snapToGrid w:val="0"/>
        <w:spacing w:line="580" w:lineRule="exact"/>
        <w:ind w:firstLine="960" w:firstLineChars="300"/>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通</w:t>
      </w:r>
      <w:r>
        <w:rPr>
          <w:rFonts w:hint="eastAsia" w:ascii="仿宋_GB2312" w:hAnsi="宋体" w:eastAsia="仿宋_GB2312"/>
          <w:sz w:val="32"/>
          <w:szCs w:val="32"/>
        </w:rPr>
        <w:t>过绩效自评结果对比</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大重点项目分别从产出指标、效益指标和满意度指标考核。产出指标只从数量指标和质量指标考核，时效指标和成本指标未列示，效益指标只从社会效益指标和生态效益指标考核，未列示可持续影响绩效目标和经济效益指标，设定目标清晰准确，比较科学合理，但不全面。</w:t>
      </w:r>
      <w:r>
        <w:rPr>
          <w:rFonts w:hint="eastAsia" w:ascii="仿宋_GB2312" w:hAnsi="宋体" w:eastAsia="仿宋_GB2312"/>
          <w:sz w:val="32"/>
          <w:szCs w:val="32"/>
          <w:lang w:eastAsia="zh-CN"/>
        </w:rPr>
        <w:t>根据项目支出后的实际状况与年初绩效目标对比，从项目的量化指标完成情况、产出指标和效果指标的完成情况进行具体分析为产出质量和数量能够按要求完成，社会效益、生态效益等方面贡献率较明显，垃圾场承包费项目</w:t>
      </w:r>
      <w:r>
        <w:rPr>
          <w:rFonts w:hint="eastAsia" w:ascii="仿宋_GB2312" w:hAnsi="宋体" w:eastAsia="仿宋_GB2312"/>
          <w:sz w:val="32"/>
          <w:szCs w:val="32"/>
          <w:lang w:val="en-US" w:eastAsia="zh-CN"/>
        </w:rPr>
        <w:t>产出指标自评为50分，环卫承包费项目自评为49分，群众满意度指标均为10分。</w:t>
      </w:r>
    </w:p>
    <w:p>
      <w:pPr>
        <w:snapToGrid w:val="0"/>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四、整改措施及结果应用</w:t>
      </w:r>
    </w:p>
    <w:p>
      <w:pPr>
        <w:snapToGrid w:val="0"/>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针对指标不全面，部分指标数据有待更科学合理，整改措施如下：</w:t>
      </w:r>
    </w:p>
    <w:p>
      <w:pPr>
        <w:snapToGrid w:val="0"/>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加强组织领导，成立领导小组，建立统筹协调、分配协作、密切配合、合力推进的工作体系。将事前评估、目标管理、运行监控、绩效评估、结果应用等各项改革措施，有效融入预算管理的全过程环节，建立健全绩效管理的长效机制。</w:t>
      </w:r>
    </w:p>
    <w:p>
      <w:pPr>
        <w:snapToGrid w:val="0"/>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2.加强与项目前期有关部门的沟通与协调工作着力化解项目落地的主要制约因素，为项目落地提供强有力保障。强化与各部门对接，督促各部门采取更加扎实有效措施。密切跟踪检查绩效目标完成情况，对于不能按时保质完成任务的，要加强督办，逐项落实。建立健全财政绩效评价指标体系，加强工作人员的业务培训和财政绩效管理信息化建设，加大绩效评价结果的运用。</w:t>
      </w:r>
      <w:r>
        <w:rPr>
          <w:rFonts w:hint="eastAsia" w:ascii="仿宋_GB2312" w:hAnsi="宋体" w:eastAsia="仿宋_GB2312"/>
          <w:sz w:val="32"/>
          <w:szCs w:val="32"/>
          <w:lang w:eastAsia="zh-CN"/>
        </w:rPr>
        <w:t>。</w:t>
      </w:r>
    </w:p>
    <w:p>
      <w:pPr>
        <w:snapToGrid w:val="0"/>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加强支出管理。通过优先支出结构，编细编实预算、按规定及时下达资金等多种措施，确保支出进度达标。</w:t>
      </w:r>
    </w:p>
    <w:p>
      <w:pPr>
        <w:snapToGrid w:val="0"/>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加强绩效运行监控，开展绩效运行监控，发现问题及时采取措施，确保绩效目标如期保质实现。完善制度建设。以构建权责清晰，服务优先、管理优先、执法规范、安全有序的城市管理体制为目标，加快形成城市管理综合执法新机制，进一步提高城市管理执法水平。</w:t>
      </w:r>
    </w:p>
    <w:p>
      <w:pPr>
        <w:snapToGrid w:val="0"/>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最后做好绩效自评。及时开展上年度部门预算绩效自评和重点评价工作，对评价中发现的问题及时整改，调整优化支出结构，提高财政资金使用效益。</w:t>
      </w:r>
    </w:p>
    <w:p>
      <w:pPr>
        <w:snapToGrid w:val="0"/>
        <w:spacing w:line="580" w:lineRule="exact"/>
        <w:ind w:firstLine="640" w:firstLineChars="200"/>
        <w:rPr>
          <w:rFonts w:hint="eastAsia" w:ascii="仿宋_GB2312" w:hAnsi="宋体" w:eastAsia="仿宋_GB2312"/>
          <w:sz w:val="32"/>
          <w:szCs w:val="32"/>
          <w:lang w:eastAsia="zh-CN"/>
        </w:rPr>
      </w:pPr>
    </w:p>
    <w:p>
      <w:pPr>
        <w:snapToGrid w:val="0"/>
        <w:spacing w:line="580" w:lineRule="exact"/>
        <w:ind w:firstLine="420" w:firstLineChars="200"/>
        <w:rPr>
          <w:rFonts w:hint="eastAsia" w:ascii="仿宋_GB2312" w:eastAsia="仿宋_GB2312"/>
        </w:rPr>
      </w:pPr>
      <w:bookmarkStart w:id="0" w:name="_GoBack"/>
      <w:bookmarkEnd w:id="0"/>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26134"/>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0FD42E4"/>
    <w:rsid w:val="01160EAF"/>
    <w:rsid w:val="08881323"/>
    <w:rsid w:val="0A1A6A13"/>
    <w:rsid w:val="18E731D4"/>
    <w:rsid w:val="1C58595E"/>
    <w:rsid w:val="1D027EC2"/>
    <w:rsid w:val="212B310D"/>
    <w:rsid w:val="21D9723D"/>
    <w:rsid w:val="23260929"/>
    <w:rsid w:val="24DF1ED5"/>
    <w:rsid w:val="255A231C"/>
    <w:rsid w:val="29CC0568"/>
    <w:rsid w:val="2C111580"/>
    <w:rsid w:val="2D40331F"/>
    <w:rsid w:val="327C4DEF"/>
    <w:rsid w:val="340D5CCE"/>
    <w:rsid w:val="36013446"/>
    <w:rsid w:val="3848023F"/>
    <w:rsid w:val="3AA65FE2"/>
    <w:rsid w:val="3B1F4D1A"/>
    <w:rsid w:val="3CC44B6D"/>
    <w:rsid w:val="3DE87905"/>
    <w:rsid w:val="3E2A0339"/>
    <w:rsid w:val="3FDE3413"/>
    <w:rsid w:val="428D06A4"/>
    <w:rsid w:val="43406932"/>
    <w:rsid w:val="46131241"/>
    <w:rsid w:val="46B136E2"/>
    <w:rsid w:val="4F771C0A"/>
    <w:rsid w:val="4FD479B9"/>
    <w:rsid w:val="53A50349"/>
    <w:rsid w:val="542508DA"/>
    <w:rsid w:val="55850F34"/>
    <w:rsid w:val="5F795C18"/>
    <w:rsid w:val="5FC14BA6"/>
    <w:rsid w:val="62CA770D"/>
    <w:rsid w:val="64491EC7"/>
    <w:rsid w:val="67DB4465"/>
    <w:rsid w:val="6A3F2956"/>
    <w:rsid w:val="6B190E5E"/>
    <w:rsid w:val="6B7C7594"/>
    <w:rsid w:val="6C654E19"/>
    <w:rsid w:val="6C927E31"/>
    <w:rsid w:val="6CAF1C5D"/>
    <w:rsid w:val="70BD77E1"/>
    <w:rsid w:val="797310CA"/>
    <w:rsid w:val="799C43BD"/>
    <w:rsid w:val="79D6510B"/>
    <w:rsid w:val="7CF9458C"/>
    <w:rsid w:val="7D941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64</Words>
  <Characters>369</Characters>
  <Lines>3</Lines>
  <Paragraphs>1</Paragraphs>
  <TotalTime>6</TotalTime>
  <ScaleCrop>false</ScaleCrop>
  <LinksUpToDate>false</LinksUpToDate>
  <CharactersWithSpaces>432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喜怒哀乐:</cp:lastModifiedBy>
  <cp:lastPrinted>2019-12-10T10:08:00Z</cp:lastPrinted>
  <dcterms:modified xsi:type="dcterms:W3CDTF">2021-08-26T02:57:19Z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