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方正黑体_GBK" w:hAnsi="Tahoma" w:eastAsia="方正黑体_GBK" w:cs="Tahoma"/>
          <w:kern w:val="0"/>
          <w:sz w:val="32"/>
          <w:szCs w:val="32"/>
        </w:rPr>
      </w:pPr>
      <w:r>
        <w:rPr>
          <w:rFonts w:hint="eastAsia" w:ascii="方正黑体_GBK" w:hAnsi="宋体" w:eastAsia="方正黑体_GBK"/>
          <w:sz w:val="32"/>
          <w:szCs w:val="32"/>
        </w:rPr>
        <w:t>附件</w:t>
      </w:r>
      <w:r>
        <w:rPr>
          <w:rFonts w:ascii="方正黑体_GBK" w:hAnsi="宋体" w:eastAsia="方正黑体_GBK"/>
          <w:sz w:val="32"/>
          <w:szCs w:val="32"/>
        </w:rPr>
        <w:t>2</w:t>
      </w:r>
      <w:r>
        <w:rPr>
          <w:rFonts w:hint="eastAsia" w:ascii="方正黑体_GBK" w:hAnsi="宋体" w:eastAsia="方正黑体_GBK"/>
          <w:sz w:val="32"/>
          <w:szCs w:val="32"/>
        </w:rPr>
        <w:t>：</w:t>
      </w:r>
      <w:r>
        <w:rPr>
          <w:rFonts w:ascii="方正黑体_GBK" w:hAnsi="Tahoma" w:eastAsia="方正黑体_GBK" w:cs="Tahoma"/>
          <w:kern w:val="0"/>
          <w:sz w:val="32"/>
          <w:szCs w:val="32"/>
        </w:rPr>
        <w:t xml:space="preserve"> </w:t>
      </w:r>
    </w:p>
    <w:p>
      <w:pPr>
        <w:snapToGrid w:val="0"/>
        <w:spacing w:line="300" w:lineRule="exact"/>
        <w:rPr>
          <w:rFonts w:ascii="黑体" w:hAnsi="宋体" w:eastAsia="黑体"/>
          <w:sz w:val="32"/>
          <w:szCs w:val="32"/>
        </w:rPr>
      </w:pPr>
    </w:p>
    <w:p>
      <w:pPr>
        <w:snapToGrid w:val="0"/>
        <w:spacing w:line="300" w:lineRule="exact"/>
        <w:rPr>
          <w:rFonts w:ascii="黑体" w:hAnsi="宋体" w:eastAsia="黑体"/>
          <w:sz w:val="32"/>
          <w:szCs w:val="32"/>
        </w:rPr>
      </w:pPr>
    </w:p>
    <w:p>
      <w:pPr>
        <w:snapToGrid w:val="0"/>
        <w:spacing w:line="580" w:lineRule="exact"/>
        <w:jc w:val="center"/>
        <w:rPr>
          <w:rFonts w:ascii="黑体" w:hAnsi="黑体" w:eastAsia="黑体"/>
          <w:sz w:val="44"/>
          <w:szCs w:val="44"/>
        </w:rPr>
      </w:pPr>
      <w:r>
        <w:rPr>
          <w:rFonts w:hint="eastAsia" w:ascii="黑体" w:hAnsi="黑体" w:eastAsia="黑体" w:cs="Tahoma"/>
          <w:kern w:val="0"/>
          <w:sz w:val="44"/>
          <w:szCs w:val="44"/>
        </w:rPr>
        <w:t>部门年度</w:t>
      </w:r>
      <w:r>
        <w:rPr>
          <w:rFonts w:hint="eastAsia" w:ascii="黑体" w:hAnsi="黑体" w:eastAsia="黑体"/>
          <w:sz w:val="44"/>
          <w:szCs w:val="44"/>
        </w:rPr>
        <w:t>绩效自评工作报告</w:t>
      </w:r>
    </w:p>
    <w:p>
      <w:pPr>
        <w:snapToGrid w:val="0"/>
        <w:spacing w:line="580" w:lineRule="exact"/>
        <w:jc w:val="center"/>
        <w:rPr>
          <w:rFonts w:ascii="黑体" w:hAnsi="黑体" w:eastAsia="黑体"/>
          <w:sz w:val="44"/>
          <w:szCs w:val="44"/>
        </w:rPr>
      </w:pPr>
    </w:p>
    <w:p>
      <w:pPr>
        <w:snapToGrid w:val="0"/>
        <w:spacing w:line="580" w:lineRule="exact"/>
        <w:ind w:firstLine="640" w:firstLineChars="200"/>
        <w:jc w:val="left"/>
        <w:rPr>
          <w:rFonts w:ascii="黑体" w:hAnsi="宋体" w:eastAsia="黑体"/>
          <w:sz w:val="32"/>
          <w:szCs w:val="32"/>
        </w:rPr>
      </w:pPr>
      <w:r>
        <w:rPr>
          <w:rFonts w:hint="eastAsia" w:ascii="黑体" w:hAnsi="宋体" w:eastAsia="黑体"/>
          <w:sz w:val="32"/>
          <w:szCs w:val="32"/>
        </w:rPr>
        <w:t>一、绩效自评工作组织开展情况</w:t>
      </w:r>
    </w:p>
    <w:p>
      <w:pPr>
        <w:ind w:firstLine="640" w:firstLineChars="200"/>
        <w:rPr>
          <w:rFonts w:ascii="仿宋_GB2312" w:hAnsi="宋体" w:eastAsia="仿宋_GB2312"/>
          <w:sz w:val="32"/>
          <w:szCs w:val="32"/>
        </w:rPr>
      </w:pPr>
      <w:r>
        <w:rPr>
          <w:rFonts w:ascii="仿宋_GB2312" w:hAnsi="宋体" w:eastAsia="仿宋_GB2312"/>
          <w:sz w:val="32"/>
          <w:szCs w:val="32"/>
        </w:rPr>
        <w:t>2021</w:t>
      </w:r>
      <w:r>
        <w:rPr>
          <w:rFonts w:hint="eastAsia" w:ascii="仿宋_GB2312" w:hAnsi="宋体" w:eastAsia="仿宋_GB2312"/>
          <w:sz w:val="32"/>
          <w:szCs w:val="32"/>
        </w:rPr>
        <w:t>年度党建工作经费预算资金为</w:t>
      </w:r>
      <w:r>
        <w:rPr>
          <w:rFonts w:ascii="仿宋_GB2312" w:hAnsi="宋体" w:eastAsia="仿宋_GB2312"/>
          <w:sz w:val="32"/>
          <w:szCs w:val="32"/>
        </w:rPr>
        <w:t>4</w:t>
      </w:r>
      <w:r>
        <w:rPr>
          <w:rFonts w:hint="eastAsia" w:ascii="仿宋_GB2312" w:hAnsi="宋体" w:eastAsia="仿宋_GB2312"/>
          <w:sz w:val="32"/>
          <w:szCs w:val="32"/>
        </w:rPr>
        <w:t>万元，于</w:t>
      </w:r>
      <w:r>
        <w:rPr>
          <w:rFonts w:ascii="仿宋_GB2312" w:hAnsi="宋体" w:eastAsia="仿宋_GB2312"/>
          <w:sz w:val="32"/>
          <w:szCs w:val="32"/>
        </w:rPr>
        <w:t>2021</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月支出</w:t>
      </w:r>
      <w:r>
        <w:rPr>
          <w:rFonts w:ascii="仿宋_GB2312" w:hAnsi="宋体" w:eastAsia="仿宋_GB2312"/>
          <w:sz w:val="32"/>
          <w:szCs w:val="32"/>
        </w:rPr>
        <w:t>4</w:t>
      </w:r>
      <w:r>
        <w:rPr>
          <w:rFonts w:hint="eastAsia" w:ascii="仿宋_GB2312" w:hAnsi="宋体" w:eastAsia="仿宋_GB2312"/>
          <w:sz w:val="32"/>
          <w:szCs w:val="32"/>
        </w:rPr>
        <w:t>万元，已完成全年社区党建专项工作经费项目支出总额的</w:t>
      </w:r>
      <w:r>
        <w:rPr>
          <w:rFonts w:ascii="仿宋_GB2312" w:hAnsi="宋体" w:eastAsia="仿宋_GB2312"/>
          <w:sz w:val="32"/>
          <w:szCs w:val="32"/>
        </w:rPr>
        <w:t>100%</w:t>
      </w:r>
      <w:r>
        <w:rPr>
          <w:rFonts w:hint="eastAsia" w:ascii="仿宋_GB2312" w:hAnsi="宋体" w:eastAsia="仿宋_GB2312"/>
          <w:sz w:val="32"/>
          <w:szCs w:val="32"/>
        </w:rPr>
        <w:t>。经费的投入保障</w:t>
      </w:r>
      <w:r>
        <w:rPr>
          <w:rFonts w:ascii="仿宋_GB2312" w:hAnsi="宋体" w:eastAsia="仿宋_GB2312"/>
          <w:sz w:val="32"/>
          <w:szCs w:val="32"/>
        </w:rPr>
        <w:t>63</w:t>
      </w:r>
      <w:r>
        <w:rPr>
          <w:rFonts w:hint="eastAsia" w:ascii="仿宋_GB2312" w:hAnsi="宋体" w:eastAsia="仿宋_GB2312"/>
          <w:sz w:val="32"/>
          <w:szCs w:val="32"/>
        </w:rPr>
        <w:t>机关单位党组织建设开展的各个项目的顺利进行。党建工作确定项目、上报请示后，财政局及时进行审批，并第一时间落实资金拨付，保证项目顺利开展</w:t>
      </w:r>
      <w:r>
        <w:rPr>
          <w:rFonts w:ascii="仿宋_GB2312" w:hAnsi="宋体" w:eastAsia="仿宋_GB2312"/>
          <w:sz w:val="32"/>
          <w:szCs w:val="32"/>
        </w:rPr>
        <w:t>;</w:t>
      </w:r>
      <w:r>
        <w:rPr>
          <w:rFonts w:hint="eastAsia" w:ascii="仿宋_GB2312" w:hAnsi="宋体" w:eastAsia="仿宋_GB2312"/>
          <w:sz w:val="32"/>
          <w:szCs w:val="32"/>
        </w:rPr>
        <w:t>党建工作经费按照上级相关部门要求进行，项目决策正确、项目管理合理、项目完成符合要求、项目的完成效果良好。项目按规范化建设标准及时解决机关党委党建的问题，确保为民服务各项工作正常开展，党员满意度大幅提高。县直工委充分利用有限的资金，科学组织，严格控制标准。注重维护和完善使用功能，对资金使用严格财经纪律，专款专用确保资金使用效率。项目各项经费支出通过相关报账手续后，由财务科进行资金拨付。项目实际支出与项目计划投入资金的用途相符。资金的</w:t>
      </w:r>
      <w:r>
        <w:rPr>
          <w:rFonts w:hint="eastAsia" w:ascii="仿宋_GB2312" w:hAnsi="宋体" w:eastAsia="仿宋_GB2312"/>
          <w:sz w:val="32"/>
          <w:szCs w:val="32"/>
          <w:lang w:eastAsia="zh-CN"/>
        </w:rPr>
        <w:t>拨</w:t>
      </w:r>
      <w:bookmarkStart w:id="0" w:name="_GoBack"/>
      <w:bookmarkEnd w:id="0"/>
      <w:r>
        <w:rPr>
          <w:rFonts w:hint="eastAsia" w:ascii="仿宋_GB2312" w:hAnsi="宋体" w:eastAsia="仿宋_GB2312"/>
          <w:sz w:val="32"/>
          <w:szCs w:val="32"/>
        </w:rPr>
        <w:t>付有完整的审批程序和手续，符合项目预算批复或合同规定的用途，不存在超标列支相关费用。</w:t>
      </w:r>
    </w:p>
    <w:p>
      <w:pPr>
        <w:snapToGrid w:val="0"/>
        <w:spacing w:line="580" w:lineRule="exact"/>
        <w:ind w:firstLine="640" w:firstLineChars="200"/>
        <w:rPr>
          <w:rFonts w:ascii="黑体" w:hAnsi="宋体" w:eastAsia="黑体"/>
          <w:sz w:val="32"/>
          <w:szCs w:val="32"/>
        </w:rPr>
      </w:pPr>
      <w:r>
        <w:rPr>
          <w:rFonts w:hint="eastAsia" w:ascii="黑体" w:hAnsi="宋体" w:eastAsia="黑体"/>
          <w:sz w:val="32"/>
          <w:szCs w:val="32"/>
        </w:rPr>
        <w:t>二、绩效目标实现情况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党建工作经费旨在保障基层党组织正常开展党建活动，打牢基层党建工作基础，切实增强基层党组织的战斗力、凝聚力和创造力，建设学习型、服务型、创新型基层党组织。在数量目标、质量目标、时效目标，成本目标、社会效益目标、服务对象满意度目标等各类绩效目标指导下，</w:t>
      </w:r>
      <w:r>
        <w:rPr>
          <w:rFonts w:ascii="仿宋_GB2312" w:hAnsi="宋体" w:eastAsia="仿宋_GB2312"/>
          <w:sz w:val="32"/>
          <w:szCs w:val="32"/>
        </w:rPr>
        <w:t>2021</w:t>
      </w:r>
      <w:r>
        <w:rPr>
          <w:rFonts w:hint="eastAsia" w:ascii="仿宋_GB2312" w:hAnsi="宋体" w:eastAsia="仿宋_GB2312"/>
          <w:sz w:val="32"/>
          <w:szCs w:val="32"/>
        </w:rPr>
        <w:t>年度党建工作经费在开展教育培训党员、入党积极分子、发展对象和党务工作者、购买党员教育资料等活动均已按时保质保量完成。</w:t>
      </w:r>
    </w:p>
    <w:p>
      <w:pPr>
        <w:numPr>
          <w:ilvl w:val="0"/>
          <w:numId w:val="1"/>
        </w:numPr>
        <w:snapToGrid w:val="0"/>
        <w:spacing w:line="580" w:lineRule="exact"/>
        <w:rPr>
          <w:rFonts w:ascii="黑体" w:hAnsi="宋体" w:eastAsia="黑体"/>
          <w:sz w:val="32"/>
          <w:szCs w:val="32"/>
        </w:rPr>
      </w:pPr>
      <w:r>
        <w:rPr>
          <w:rFonts w:hint="eastAsia" w:ascii="黑体" w:hAnsi="宋体" w:eastAsia="黑体"/>
          <w:sz w:val="32"/>
          <w:szCs w:val="32"/>
        </w:rPr>
        <w:t>绩效目标设定质量情况</w:t>
      </w:r>
    </w:p>
    <w:p>
      <w:pPr>
        <w:snapToGrid w:val="0"/>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数量指标、质量指标、时效指标、成本指标、社会效益指标、服务对象满意度指标设定合理有效。在管理指标指导下，管理活动更加公平、透明，组织目标更加明确，促使党建工作经费在树立党员良好形象，充分发挥党员先锋模范作用，推进基层党组织党风廉政建设，丰富党员政治生活，提高党组织服务质量等方面发挥良好作用。</w:t>
      </w:r>
    </w:p>
    <w:p>
      <w:pPr>
        <w:snapToGrid w:val="0"/>
        <w:spacing w:line="580" w:lineRule="exact"/>
        <w:ind w:firstLine="640" w:firstLineChars="200"/>
        <w:rPr>
          <w:rFonts w:ascii="黑体" w:hAnsi="宋体" w:eastAsia="黑体"/>
          <w:sz w:val="32"/>
          <w:szCs w:val="32"/>
        </w:rPr>
      </w:pPr>
      <w:r>
        <w:rPr>
          <w:rFonts w:hint="eastAsia" w:ascii="黑体" w:hAnsi="宋体" w:eastAsia="黑体"/>
          <w:sz w:val="32"/>
          <w:szCs w:val="32"/>
        </w:rPr>
        <w:t>四、整改措施及结果应用</w:t>
      </w:r>
    </w:p>
    <w:p>
      <w:pPr>
        <w:ind w:firstLine="640" w:firstLineChars="200"/>
        <w:rPr>
          <w:rFonts w:ascii="仿宋_GB2312" w:hAnsi="宋体" w:eastAsia="仿宋_GB2312"/>
          <w:sz w:val="32"/>
          <w:szCs w:val="32"/>
        </w:rPr>
      </w:pPr>
      <w:r>
        <w:rPr>
          <w:rFonts w:hint="eastAsia" w:ascii="仿宋_GB2312" w:hAnsi="宋体" w:eastAsia="仿宋_GB2312"/>
          <w:sz w:val="32"/>
          <w:szCs w:val="32"/>
        </w:rPr>
        <w:t>开展此项工作以来，县直工委在工作中不断探索，不断总纺工作经验，严格按照工作要求拨付党建专工作经费并全程督促指导机关开展各项党建工作。但在工作过程中仍存在一些问题</w:t>
      </w:r>
      <w:r>
        <w:rPr>
          <w:rFonts w:ascii="仿宋_GB2312" w:hAnsi="宋体" w:eastAsia="仿宋_GB2312"/>
          <w:sz w:val="32"/>
          <w:szCs w:val="32"/>
        </w:rPr>
        <w:t>:</w:t>
      </w:r>
      <w:r>
        <w:rPr>
          <w:rFonts w:hint="eastAsia" w:ascii="仿宋_GB2312" w:hAnsi="宋体" w:eastAsia="仿宋_GB2312"/>
          <w:sz w:val="32"/>
          <w:szCs w:val="32"/>
        </w:rPr>
        <w:t>一是部分已开展项目的台账资料还来整理。竣工验收资料未完善</w:t>
      </w:r>
      <w:r>
        <w:rPr>
          <w:rFonts w:ascii="仿宋_GB2312" w:hAnsi="宋体" w:eastAsia="仿宋_GB2312"/>
          <w:sz w:val="32"/>
          <w:szCs w:val="32"/>
        </w:rPr>
        <w:t>:</w:t>
      </w:r>
      <w:r>
        <w:rPr>
          <w:rFonts w:hint="eastAsia" w:ascii="仿宋_GB2312" w:hAnsi="宋体" w:eastAsia="仿宋_GB2312"/>
          <w:sz w:val="32"/>
          <w:szCs w:val="32"/>
        </w:rPr>
        <w:t>二是部分项目资金使用情况公示不及时</w:t>
      </w:r>
      <w:r>
        <w:rPr>
          <w:rFonts w:ascii="仿宋_GB2312" w:hAnsi="宋体" w:eastAsia="仿宋_GB2312"/>
          <w:sz w:val="32"/>
          <w:szCs w:val="32"/>
        </w:rPr>
        <w:t>;</w:t>
      </w:r>
      <w:r>
        <w:rPr>
          <w:rFonts w:hint="eastAsia" w:ascii="仿宋_GB2312" w:hAnsi="宋体" w:eastAsia="仿宋_GB2312"/>
          <w:sz w:val="32"/>
          <w:szCs w:val="32"/>
        </w:rPr>
        <w:t>三是开展项目较少，党建专项工作经费使用率不太高，导致资金闲置时间较长，大多数堆积到下半年开展。下一步县直工委将积极督促创定合适项目。严格执行党建工作经费使用范围和管理审批，做好项目的制定、审批、实施等把关工作，使各社区党建专项工作经营能更好的服务于党员群众和社区居民。</w:t>
      </w:r>
    </w:p>
    <w:p>
      <w:pPr>
        <w:ind w:firstLine="640" w:firstLineChars="200"/>
        <w:rPr>
          <w:rFonts w:ascii="仿宋_GB2312" w:hAnsi="宋体" w:eastAsia="仿宋_GB2312"/>
          <w:sz w:val="32"/>
          <w:szCs w:val="32"/>
        </w:rPr>
      </w:pPr>
    </w:p>
    <w:p>
      <w:pPr>
        <w:ind w:firstLine="3840" w:firstLineChars="1200"/>
        <w:rPr>
          <w:rFonts w:ascii="仿宋_GB2312" w:hAnsi="宋体" w:eastAsia="仿宋_GB2312"/>
          <w:sz w:val="32"/>
          <w:szCs w:val="32"/>
        </w:rPr>
      </w:pPr>
      <w:r>
        <w:rPr>
          <w:rFonts w:hint="eastAsia" w:ascii="仿宋_GB2312" w:hAnsi="宋体" w:eastAsia="仿宋_GB2312"/>
          <w:sz w:val="32"/>
          <w:szCs w:val="32"/>
        </w:rPr>
        <w:t>中共涞水县委县直机关工作委员会</w:t>
      </w:r>
    </w:p>
    <w:p>
      <w:pPr>
        <w:ind w:firstLine="4800" w:firstLineChars="1500"/>
        <w:rPr>
          <w:rFonts w:ascii="仿宋_GB2312" w:hAnsi="宋体" w:eastAsia="仿宋_GB2312"/>
          <w:sz w:val="32"/>
          <w:szCs w:val="32"/>
        </w:rPr>
      </w:pPr>
      <w:r>
        <w:rPr>
          <w:rFonts w:ascii="仿宋_GB2312" w:hAnsi="宋体" w:eastAsia="仿宋_GB2312"/>
          <w:sz w:val="32"/>
          <w:szCs w:val="32"/>
        </w:rPr>
        <w:t>2022</w:t>
      </w:r>
      <w:r>
        <w:rPr>
          <w:rFonts w:hint="eastAsia" w:ascii="仿宋_GB2312" w:hAnsi="宋体" w:eastAsia="仿宋_GB2312"/>
          <w:sz w:val="32"/>
          <w:szCs w:val="32"/>
        </w:rPr>
        <w:t>年</w:t>
      </w:r>
      <w:r>
        <w:rPr>
          <w:rFonts w:ascii="仿宋_GB2312" w:hAnsi="宋体" w:eastAsia="仿宋_GB2312"/>
          <w:sz w:val="32"/>
          <w:szCs w:val="32"/>
        </w:rPr>
        <w:t>5</w:t>
      </w:r>
      <w:r>
        <w:rPr>
          <w:rFonts w:hint="eastAsia" w:ascii="仿宋_GB2312" w:hAnsi="宋体" w:eastAsia="仿宋_GB2312"/>
          <w:sz w:val="32"/>
          <w:szCs w:val="32"/>
        </w:rPr>
        <w:t>月</w:t>
      </w:r>
      <w:r>
        <w:rPr>
          <w:rFonts w:ascii="仿宋_GB2312" w:hAnsi="宋体" w:eastAsia="仿宋_GB2312"/>
          <w:sz w:val="32"/>
          <w:szCs w:val="32"/>
        </w:rPr>
        <w:t>5</w:t>
      </w:r>
      <w:r>
        <w:rPr>
          <w:rFonts w:hint="eastAsia" w:ascii="仿宋_GB2312" w:hAnsi="宋体" w:eastAsia="仿宋_GB2312"/>
          <w:sz w:val="32"/>
          <w:szCs w:val="32"/>
        </w:rPr>
        <w:t>日</w:t>
      </w:r>
    </w:p>
    <w:sectPr>
      <w:pgSz w:w="11906" w:h="16838"/>
      <w:pgMar w:top="2041" w:right="130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方正小标宋简体"/>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550E99"/>
    <w:multiLevelType w:val="multilevel"/>
    <w:tmpl w:val="0A550E99"/>
    <w:lvl w:ilvl="0" w:tentative="0">
      <w:start w:val="3"/>
      <w:numFmt w:val="japaneseCounting"/>
      <w:lvlText w:val="%1、"/>
      <w:lvlJc w:val="left"/>
      <w:pPr>
        <w:tabs>
          <w:tab w:val="left" w:pos="1360"/>
        </w:tabs>
        <w:ind w:left="1360" w:hanging="720"/>
      </w:pPr>
      <w:rPr>
        <w:rFonts w:hint="default" w:cs="Times New Roman"/>
      </w:rPr>
    </w:lvl>
    <w:lvl w:ilvl="1" w:tentative="0">
      <w:start w:val="1"/>
      <w:numFmt w:val="lowerLetter"/>
      <w:lvlText w:val="%2)"/>
      <w:lvlJc w:val="left"/>
      <w:pPr>
        <w:tabs>
          <w:tab w:val="left" w:pos="1480"/>
        </w:tabs>
        <w:ind w:left="1480" w:hanging="420"/>
      </w:pPr>
      <w:rPr>
        <w:rFonts w:cs="Times New Roman"/>
      </w:rPr>
    </w:lvl>
    <w:lvl w:ilvl="2" w:tentative="0">
      <w:start w:val="1"/>
      <w:numFmt w:val="lowerRoman"/>
      <w:lvlText w:val="%3."/>
      <w:lvlJc w:val="right"/>
      <w:pPr>
        <w:tabs>
          <w:tab w:val="left" w:pos="1900"/>
        </w:tabs>
        <w:ind w:left="1900" w:hanging="420"/>
      </w:pPr>
      <w:rPr>
        <w:rFonts w:cs="Times New Roman"/>
      </w:rPr>
    </w:lvl>
    <w:lvl w:ilvl="3" w:tentative="0">
      <w:start w:val="1"/>
      <w:numFmt w:val="decimal"/>
      <w:lvlText w:val="%4."/>
      <w:lvlJc w:val="left"/>
      <w:pPr>
        <w:tabs>
          <w:tab w:val="left" w:pos="2320"/>
        </w:tabs>
        <w:ind w:left="2320" w:hanging="420"/>
      </w:pPr>
      <w:rPr>
        <w:rFonts w:cs="Times New Roman"/>
      </w:rPr>
    </w:lvl>
    <w:lvl w:ilvl="4" w:tentative="0">
      <w:start w:val="1"/>
      <w:numFmt w:val="lowerLetter"/>
      <w:lvlText w:val="%5)"/>
      <w:lvlJc w:val="left"/>
      <w:pPr>
        <w:tabs>
          <w:tab w:val="left" w:pos="2740"/>
        </w:tabs>
        <w:ind w:left="2740" w:hanging="420"/>
      </w:pPr>
      <w:rPr>
        <w:rFonts w:cs="Times New Roman"/>
      </w:rPr>
    </w:lvl>
    <w:lvl w:ilvl="5" w:tentative="0">
      <w:start w:val="1"/>
      <w:numFmt w:val="lowerRoman"/>
      <w:lvlText w:val="%6."/>
      <w:lvlJc w:val="right"/>
      <w:pPr>
        <w:tabs>
          <w:tab w:val="left" w:pos="3160"/>
        </w:tabs>
        <w:ind w:left="3160" w:hanging="420"/>
      </w:pPr>
      <w:rPr>
        <w:rFonts w:cs="Times New Roman"/>
      </w:rPr>
    </w:lvl>
    <w:lvl w:ilvl="6" w:tentative="0">
      <w:start w:val="1"/>
      <w:numFmt w:val="decimal"/>
      <w:lvlText w:val="%7."/>
      <w:lvlJc w:val="left"/>
      <w:pPr>
        <w:tabs>
          <w:tab w:val="left" w:pos="3580"/>
        </w:tabs>
        <w:ind w:left="3580" w:hanging="420"/>
      </w:pPr>
      <w:rPr>
        <w:rFonts w:cs="Times New Roman"/>
      </w:rPr>
    </w:lvl>
    <w:lvl w:ilvl="7" w:tentative="0">
      <w:start w:val="1"/>
      <w:numFmt w:val="lowerLetter"/>
      <w:lvlText w:val="%8)"/>
      <w:lvlJc w:val="left"/>
      <w:pPr>
        <w:tabs>
          <w:tab w:val="left" w:pos="4000"/>
        </w:tabs>
        <w:ind w:left="4000" w:hanging="420"/>
      </w:pPr>
      <w:rPr>
        <w:rFonts w:cs="Times New Roman"/>
      </w:rPr>
    </w:lvl>
    <w:lvl w:ilvl="8" w:tentative="0">
      <w:start w:val="1"/>
      <w:numFmt w:val="lowerRoman"/>
      <w:lvlText w:val="%9."/>
      <w:lvlJc w:val="right"/>
      <w:pPr>
        <w:tabs>
          <w:tab w:val="left" w:pos="4420"/>
        </w:tabs>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3NzU0NDM5MWFkMmY4ZmZmZjJjODBjMzI2N2ZmYWUifQ=="/>
  </w:docVars>
  <w:rsids>
    <w:rsidRoot w:val="00EF16A3"/>
    <w:rsid w:val="00136062"/>
    <w:rsid w:val="001627CF"/>
    <w:rsid w:val="00176210"/>
    <w:rsid w:val="001D2D4C"/>
    <w:rsid w:val="0021195E"/>
    <w:rsid w:val="00364309"/>
    <w:rsid w:val="00383AC5"/>
    <w:rsid w:val="003B412A"/>
    <w:rsid w:val="00432709"/>
    <w:rsid w:val="004663F8"/>
    <w:rsid w:val="00470537"/>
    <w:rsid w:val="004859E6"/>
    <w:rsid w:val="00491FCD"/>
    <w:rsid w:val="004D3D6E"/>
    <w:rsid w:val="004E6C05"/>
    <w:rsid w:val="004F6F9F"/>
    <w:rsid w:val="00546BCB"/>
    <w:rsid w:val="005C236C"/>
    <w:rsid w:val="005E6EC9"/>
    <w:rsid w:val="00665896"/>
    <w:rsid w:val="0071336C"/>
    <w:rsid w:val="0071475B"/>
    <w:rsid w:val="00793214"/>
    <w:rsid w:val="007C3226"/>
    <w:rsid w:val="007D43DA"/>
    <w:rsid w:val="007E50DB"/>
    <w:rsid w:val="007E661D"/>
    <w:rsid w:val="007F5EE6"/>
    <w:rsid w:val="0081530B"/>
    <w:rsid w:val="008C1CD3"/>
    <w:rsid w:val="008C31C3"/>
    <w:rsid w:val="008E0E58"/>
    <w:rsid w:val="00941865"/>
    <w:rsid w:val="00986803"/>
    <w:rsid w:val="0099577A"/>
    <w:rsid w:val="009F1522"/>
    <w:rsid w:val="00A06D88"/>
    <w:rsid w:val="00AB70A8"/>
    <w:rsid w:val="00AD47C9"/>
    <w:rsid w:val="00AF5C06"/>
    <w:rsid w:val="00B42F70"/>
    <w:rsid w:val="00B8177D"/>
    <w:rsid w:val="00B86365"/>
    <w:rsid w:val="00BE032C"/>
    <w:rsid w:val="00C242EC"/>
    <w:rsid w:val="00CE156F"/>
    <w:rsid w:val="00DD4A14"/>
    <w:rsid w:val="00DE50A2"/>
    <w:rsid w:val="00DF6FF4"/>
    <w:rsid w:val="00E17D5D"/>
    <w:rsid w:val="00E61BFC"/>
    <w:rsid w:val="00E841B7"/>
    <w:rsid w:val="00ED5E84"/>
    <w:rsid w:val="00EF16A3"/>
    <w:rsid w:val="00F57E52"/>
    <w:rsid w:val="082500FC"/>
    <w:rsid w:val="0E9F5B65"/>
    <w:rsid w:val="127203E1"/>
    <w:rsid w:val="132C233E"/>
    <w:rsid w:val="1EBA1146"/>
    <w:rsid w:val="20E00C5D"/>
    <w:rsid w:val="221768AF"/>
    <w:rsid w:val="27602AA7"/>
    <w:rsid w:val="2DC728EC"/>
    <w:rsid w:val="35074B88"/>
    <w:rsid w:val="3DF617CA"/>
    <w:rsid w:val="46592B15"/>
    <w:rsid w:val="48A37F64"/>
    <w:rsid w:val="51CB0999"/>
    <w:rsid w:val="56205F83"/>
    <w:rsid w:val="739163BF"/>
    <w:rsid w:val="7BEB1AB4"/>
    <w:rsid w:val="7E260B81"/>
    <w:rsid w:val="7EF447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autoRedefine/>
    <w:qFormat/>
    <w:uiPriority w:val="99"/>
    <w:pPr>
      <w:tabs>
        <w:tab w:val="center" w:pos="4153"/>
        <w:tab w:val="right" w:pos="8306"/>
      </w:tabs>
      <w:snapToGrid w:val="0"/>
      <w:jc w:val="left"/>
    </w:pPr>
    <w:rPr>
      <w:sz w:val="18"/>
      <w:szCs w:val="18"/>
    </w:rPr>
  </w:style>
  <w:style w:type="paragraph" w:styleId="3">
    <w:name w:val="header"/>
    <w:basedOn w:val="1"/>
    <w:link w:val="7"/>
    <w:autoRedefine/>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autoRedefine/>
    <w:qFormat/>
    <w:locked/>
    <w:uiPriority w:val="99"/>
    <w:rPr>
      <w:rFonts w:cs="Times New Roman"/>
      <w:sz w:val="18"/>
      <w:szCs w:val="18"/>
    </w:rPr>
  </w:style>
  <w:style w:type="character" w:customStyle="1" w:styleId="7">
    <w:name w:val="Header Char"/>
    <w:basedOn w:val="5"/>
    <w:link w:val="3"/>
    <w:autoRedefine/>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Lenovo</Company>
  <Pages>3</Pages>
  <Words>163</Words>
  <Characters>933</Characters>
  <Lines>0</Lines>
  <Paragraphs>0</Paragraphs>
  <TotalTime>36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2019-11-14T00:58:00Z</dcterms:created>
  <dc:creator>user</dc:creator>
  <cp:lastModifiedBy>八爪小鱼</cp:lastModifiedBy>
  <cp:lastPrinted>2019-12-10T10:08:00Z</cp:lastPrinted>
  <dcterms:modified xsi:type="dcterms:W3CDTF">2024-01-29T03:46:26Z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F0B60D8342E34DACB4DA6C7754FA4C01</vt:lpwstr>
  </property>
</Properties>
</file>