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涞水县城区社区管理办公室单位</w:t>
      </w:r>
      <w:r>
        <w:rPr>
          <w:rFonts w:hint="eastAsia" w:ascii="黑体" w:hAnsi="黑体" w:eastAsia="黑体" w:cs="黑体"/>
          <w:b/>
          <w:color w:val="000000"/>
          <w:sz w:val="30"/>
        </w:rPr>
        <w:t>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涞水县城区社区管理办公室</w:t>
      </w:r>
      <w:r>
        <w:rPr>
          <w:rFonts w:hint="eastAsia"/>
        </w:rPr>
        <w:t>（本级）收支预算</w:t>
      </w:r>
      <w:r>
        <w:tab/>
      </w:r>
      <w:r>
        <w:rPr>
          <w:rFonts w:hint="eastAsia"/>
          <w:lang w:eastAsia="zh-CN"/>
        </w:rPr>
        <w:t>2</w:t>
      </w:r>
      <w:r>
        <w:rPr>
          <w:rFonts w:hint="eastAsia"/>
          <w:lang w:eastAsia="zh-CN"/>
        </w:rPr>
        <w:fldChar w:fldCharType="end"/>
      </w:r>
    </w:p>
    <w:p>
      <w:pPr>
        <w:pStyle w:val="5"/>
        <w:tabs>
          <w:tab w:val="right" w:leader="dot" w:pos="14562"/>
        </w:tabs>
      </w:pPr>
      <w:r>
        <w:fldChar w:fldCharType="begin"/>
      </w:r>
      <w:r>
        <w:instrText xml:space="preserve"> HYPERLINK \l "_Toc_4_4_0000000020" </w:instrText>
      </w:r>
      <w:r>
        <w:fldChar w:fldCharType="separate"/>
      </w:r>
      <w:r>
        <w:rPr>
          <w:rFonts w:hint="eastAsia"/>
          <w:lang w:eastAsia="zh-CN"/>
        </w:rPr>
        <w:fldChar w:fldCharType="end"/>
      </w:r>
    </w:p>
    <w:p>
      <w:pPr>
        <w:sectPr>
          <w:footerReference r:id="rId4" w:type="default"/>
          <w:headerReference r:id="rId3" w:type="even"/>
          <w:footerReference r:id="rId5"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outlineLvl w:val="0"/>
        <w:rPr>
          <w:lang w:eastAsia="zh-CN"/>
        </w:rPr>
        <w:sectPr>
          <w:footerReference r:id="rId6" w:type="default"/>
          <w:footerReference r:id="rId7" w:type="even"/>
          <w:type w:val="continuous"/>
          <w:pgSz w:w="16840" w:h="11900" w:orient="landscape"/>
          <w:pgMar w:top="1361" w:right="1020" w:bottom="1134" w:left="1020" w:header="720" w:footer="720" w:gutter="0"/>
          <w:cols w:space="720" w:num="1"/>
        </w:sectPr>
      </w:pPr>
    </w:p>
    <w:p>
      <w:pP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rPr>
          <w:rFonts w:ascii="方正小标宋_GBK" w:hAnsi="方正小标宋_GBK" w:cs="方正小标宋_GBK" w:eastAsiaTheme="minorEastAsia"/>
          <w:color w:val="000000"/>
          <w:sz w:val="44"/>
          <w:lang w:eastAsia="zh-CN"/>
        </w:rPr>
      </w:pPr>
    </w:p>
    <w:p>
      <w:pPr>
        <w:numPr>
          <w:ilvl w:val="0"/>
          <w:numId w:val="1"/>
        </w:numPr>
        <w:jc w:val="center"/>
        <w:outlineLvl w:val="3"/>
        <w:rPr>
          <w:rFonts w:hint="eastAsia"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eastAsia="zh-CN"/>
        </w:rPr>
        <w:t>涞水县城区社区管理办公室</w:t>
      </w:r>
      <w:r>
        <w:rPr>
          <w:rFonts w:hint="eastAsia" w:ascii="方正小标宋_GBK" w:hAnsi="方正小标宋_GBK" w:eastAsia="方正小标宋_GBK" w:cs="方正小标宋_GBK"/>
          <w:color w:val="000000"/>
          <w:sz w:val="44"/>
        </w:rPr>
        <w:t>（本级）收支预算</w:t>
      </w:r>
      <w:bookmarkEnd w:id="0"/>
    </w:p>
    <w:p>
      <w:pPr>
        <w:jc w:val="both"/>
        <w:outlineLvl w:val="3"/>
      </w:pPr>
    </w:p>
    <w:p>
      <w:pPr>
        <w:spacing w:line="500" w:lineRule="exact"/>
        <w:ind w:firstLine="560"/>
      </w:pPr>
      <w:r>
        <w:rPr>
          <w:rFonts w:hint="eastAsia" w:eastAsia="方正仿宋_GBK"/>
          <w:color w:val="000000"/>
          <w:sz w:val="28"/>
          <w:lang w:val="uk-UA"/>
        </w:rPr>
        <w:t>按照《</w:t>
      </w:r>
      <w:bookmarkStart w:id="8" w:name="_GoBack"/>
      <w:bookmarkEnd w:id="8"/>
      <w:r>
        <w:rPr>
          <w:rFonts w:hint="eastAsia" w:eastAsia="方正仿宋_GBK"/>
          <w:color w:val="000000"/>
          <w:sz w:val="28"/>
          <w:lang w:val="uk-UA" w:eastAsia="zh-CN"/>
        </w:rPr>
        <w:t>中华人民共和国预算法</w:t>
      </w:r>
      <w:r>
        <w:rPr>
          <w:rFonts w:hint="eastAsia" w:eastAsia="方正仿宋_GBK"/>
          <w:color w:val="000000"/>
          <w:sz w:val="28"/>
          <w:lang w:val="uk-UA"/>
        </w:rPr>
        <w:t>》、《地方预决算公开操作规程》和《关于进一步推进预算公开工作的实施意见》规定，现将</w:t>
      </w:r>
      <w:r>
        <w:rPr>
          <w:rFonts w:hint="eastAsia" w:eastAsia="方正仿宋_GBK"/>
          <w:color w:val="000000"/>
          <w:sz w:val="28"/>
          <w:lang w:eastAsia="zh-CN"/>
        </w:rPr>
        <w:t>涞水县城区社区管理办公室</w:t>
      </w:r>
      <w:r>
        <w:rPr>
          <w:rFonts w:hint="eastAsia" w:eastAsia="方正仿宋_GBK"/>
          <w:color w:val="000000"/>
          <w:sz w:val="28"/>
          <w:lang w:val="uk-UA"/>
        </w:rPr>
        <w:t>（本级）</w:t>
      </w: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lang w:val="uk-UA"/>
        </w:rPr>
        <w:t>年单位预算公开如下：</w:t>
      </w:r>
    </w:p>
    <w:p>
      <w:pPr>
        <w:spacing w:before="10" w:after="10"/>
        <w:ind w:firstLine="640"/>
        <w:outlineLvl w:val="5"/>
      </w:pPr>
      <w:r>
        <w:rPr>
          <w:rFonts w:hint="eastAsia" w:ascii="黑体" w:hAnsi="黑体" w:eastAsia="黑体" w:cs="黑体"/>
          <w:color w:val="000000"/>
          <w:sz w:val="32"/>
          <w:lang w:val="uk-UA"/>
        </w:rPr>
        <w:t>一、单位职责及机构设置情况</w:t>
      </w:r>
    </w:p>
    <w:p>
      <w:pPr>
        <w:shd w:val="clear" w:color="auto" w:fill="FFFFFF"/>
        <w:spacing w:line="560" w:lineRule="atLeast"/>
        <w:ind w:firstLine="675" w:firstLineChars="210"/>
        <w:rPr>
          <w:rFonts w:ascii="方正楷体_GBK" w:hAnsi="方正楷体_GBK" w:eastAsia="方正楷体_GBK" w:cs="方正楷体_GBK"/>
          <w:b/>
          <w:color w:val="000000"/>
          <w:sz w:val="32"/>
          <w:lang w:eastAsia="zh-CN"/>
        </w:rPr>
      </w:pPr>
      <w:r>
        <w:rPr>
          <w:rFonts w:hint="eastAsia" w:ascii="方正楷体_GBK" w:hAnsi="方正楷体_GBK" w:eastAsia="方正楷体_GBK" w:cs="方正楷体_GBK"/>
          <w:b/>
          <w:color w:val="000000"/>
          <w:sz w:val="32"/>
          <w:lang w:val="uk-UA"/>
        </w:rPr>
        <w:t>单位职责：</w:t>
      </w:r>
    </w:p>
    <w:p>
      <w:pPr>
        <w:shd w:val="clear" w:color="auto" w:fill="FFFFFF"/>
        <w:spacing w:line="560" w:lineRule="atLeast"/>
        <w:ind w:firstLine="588" w:firstLineChars="210"/>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lang w:val="uk-UA"/>
        </w:rPr>
        <w:t>实施社区财政管理，促进社会经济发展。贯彻执行国家有关财政管理等方面的法律法规和规章；编制社区年度财政预算草案并组织执行，向人大报告财政决算，管理和监督各项财政收支；管理各类政策性补贴等资金，保障社区正常的人员经费和公用经费；做好综合改革和社会主义和谐社区建设相关工作；做好党委、政府及上级财政部门交办的其他事项。</w:t>
      </w:r>
    </w:p>
    <w:p>
      <w:pPr>
        <w:ind w:firstLine="640"/>
        <w:rPr>
          <w:rFonts w:ascii="方正楷体_GBK" w:hAnsi="方正楷体_GBK" w:eastAsia="方正楷体_GBK" w:cs="方正楷体_GBK"/>
          <w:b/>
          <w:color w:val="000000"/>
          <w:sz w:val="32"/>
        </w:rPr>
      </w:pPr>
    </w:p>
    <w:tbl>
      <w:tblPr>
        <w:tblStyle w:val="9"/>
        <w:tblW w:w="14025" w:type="dxa"/>
        <w:tblInd w:w="93" w:type="dxa"/>
        <w:tblLayout w:type="autofit"/>
        <w:tblCellMar>
          <w:top w:w="0" w:type="dxa"/>
          <w:left w:w="108" w:type="dxa"/>
          <w:bottom w:w="0" w:type="dxa"/>
          <w:right w:w="108" w:type="dxa"/>
        </w:tblCellMar>
      </w:tblPr>
      <w:tblGrid>
        <w:gridCol w:w="911"/>
        <w:gridCol w:w="4577"/>
        <w:gridCol w:w="1216"/>
        <w:gridCol w:w="4882"/>
        <w:gridCol w:w="2439"/>
      </w:tblGrid>
      <w:tr>
        <w:tblPrEx>
          <w:tblCellMar>
            <w:top w:w="0" w:type="dxa"/>
            <w:left w:w="108" w:type="dxa"/>
            <w:bottom w:w="0" w:type="dxa"/>
            <w:right w:w="108" w:type="dxa"/>
          </w:tblCellMar>
        </w:tblPrEx>
        <w:trPr>
          <w:trHeight w:val="525" w:hRule="atLeast"/>
        </w:trPr>
        <w:tc>
          <w:tcPr>
            <w:tcW w:w="14025" w:type="dxa"/>
            <w:gridSpan w:val="5"/>
            <w:tcBorders>
              <w:top w:val="nil"/>
              <w:left w:val="nil"/>
              <w:bottom w:val="nil"/>
              <w:right w:val="nil"/>
            </w:tcBorders>
            <w:shd w:val="clear" w:color="auto" w:fill="auto"/>
            <w:noWrap/>
            <w:vAlign w:val="center"/>
          </w:tcPr>
          <w:p>
            <w:pPr>
              <w:jc w:val="center"/>
              <w:textAlignment w:val="center"/>
              <w:rPr>
                <w:rFonts w:hint="eastAsia" w:ascii="宋体" w:hAnsi="宋体" w:cs="宋体"/>
                <w:color w:val="000000"/>
                <w:sz w:val="36"/>
                <w:szCs w:val="36"/>
                <w:lang w:eastAsia="zh-CN"/>
              </w:rPr>
            </w:pPr>
          </w:p>
          <w:p>
            <w:pPr>
              <w:jc w:val="center"/>
              <w:textAlignment w:val="center"/>
              <w:rPr>
                <w:rFonts w:hint="eastAsia" w:ascii="宋体" w:hAnsi="宋体" w:cs="宋体"/>
                <w:color w:val="000000"/>
                <w:sz w:val="36"/>
                <w:szCs w:val="36"/>
                <w:lang w:eastAsia="zh-CN"/>
              </w:rPr>
            </w:pPr>
          </w:p>
          <w:p>
            <w:pPr>
              <w:jc w:val="center"/>
              <w:textAlignment w:val="center"/>
              <w:rPr>
                <w:rFonts w:hint="eastAsia" w:ascii="宋体" w:hAnsi="宋体" w:cs="宋体"/>
                <w:color w:val="000000"/>
                <w:sz w:val="36"/>
                <w:szCs w:val="36"/>
                <w:lang w:eastAsia="zh-CN"/>
              </w:rPr>
            </w:pPr>
          </w:p>
          <w:p>
            <w:pPr>
              <w:jc w:val="center"/>
              <w:textAlignment w:val="center"/>
              <w:rPr>
                <w:rFonts w:hint="eastAsia" w:ascii="宋体" w:hAnsi="宋体" w:cs="宋体"/>
                <w:color w:val="000000"/>
                <w:sz w:val="36"/>
                <w:szCs w:val="36"/>
                <w:lang w:eastAsia="zh-CN"/>
              </w:rPr>
            </w:pPr>
          </w:p>
          <w:p>
            <w:pPr>
              <w:jc w:val="center"/>
              <w:textAlignment w:val="center"/>
              <w:rPr>
                <w:rFonts w:hint="eastAsia" w:ascii="宋体" w:hAnsi="宋体" w:cs="宋体"/>
                <w:color w:val="000000"/>
                <w:sz w:val="36"/>
                <w:szCs w:val="36"/>
                <w:lang w:eastAsia="zh-CN"/>
              </w:rPr>
            </w:pPr>
          </w:p>
          <w:p>
            <w:pPr>
              <w:jc w:val="center"/>
              <w:textAlignment w:val="center"/>
              <w:rPr>
                <w:rFonts w:hint="eastAsia" w:ascii="宋体" w:hAnsi="宋体" w:cs="宋体"/>
                <w:color w:val="000000"/>
                <w:sz w:val="36"/>
                <w:szCs w:val="36"/>
                <w:lang w:eastAsia="zh-CN"/>
              </w:rPr>
            </w:pPr>
          </w:p>
          <w:p>
            <w:pPr>
              <w:jc w:val="center"/>
              <w:textAlignment w:val="center"/>
              <w:rPr>
                <w:rFonts w:hint="eastAsia" w:ascii="宋体" w:hAnsi="宋体" w:cs="宋体"/>
                <w:color w:val="000000"/>
                <w:sz w:val="36"/>
                <w:szCs w:val="36"/>
                <w:lang w:eastAsia="zh-CN"/>
              </w:rPr>
            </w:pPr>
          </w:p>
          <w:p>
            <w:pPr>
              <w:jc w:val="center"/>
              <w:textAlignment w:val="center"/>
              <w:rPr>
                <w:rFonts w:ascii="宋体" w:hAnsi="宋体" w:cs="宋体"/>
                <w:color w:val="000000"/>
                <w:sz w:val="22"/>
                <w:szCs w:val="22"/>
              </w:rPr>
            </w:pPr>
            <w:r>
              <w:rPr>
                <w:rFonts w:hint="eastAsia" w:ascii="宋体" w:hAnsi="宋体" w:cs="宋体"/>
                <w:color w:val="000000"/>
                <w:sz w:val="36"/>
                <w:szCs w:val="36"/>
                <w:lang w:eastAsia="zh-CN"/>
              </w:rPr>
              <w:t>单位预算收支总表</w:t>
            </w:r>
          </w:p>
        </w:tc>
      </w:tr>
      <w:tr>
        <w:tblPrEx>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hint="default" w:ascii="宋体" w:hAnsi="宋体" w:cs="宋体"/>
                <w:color w:val="000000"/>
                <w:sz w:val="22"/>
                <w:szCs w:val="22"/>
                <w:lang w:val="en-US"/>
              </w:rPr>
            </w:pPr>
            <w:r>
              <w:rPr>
                <w:rFonts w:hint="eastAsia" w:ascii="宋体" w:hAnsi="宋体" w:cs="宋体"/>
                <w:color w:val="000000"/>
                <w:sz w:val="22"/>
                <w:szCs w:val="22"/>
                <w:lang w:eastAsia="zh-CN"/>
              </w:rPr>
              <w:t>预算年度：202</w:t>
            </w:r>
            <w:r>
              <w:rPr>
                <w:rFonts w:hint="eastAsia" w:ascii="宋体" w:hAnsi="宋体" w:cs="宋体"/>
                <w:color w:val="000000"/>
                <w:sz w:val="22"/>
                <w:szCs w:val="22"/>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收入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支出</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预算数</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val="en-US" w:eastAsia="zh-CN"/>
              </w:rPr>
              <w:t>696.53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eastAsia="宋体" w:cs="Calibri"/>
                <w:color w:val="000000"/>
                <w:sz w:val="22"/>
                <w:szCs w:val="22"/>
                <w:lang w:val="en-US" w:eastAsia="zh-CN"/>
              </w:rPr>
            </w:pPr>
            <w:r>
              <w:rPr>
                <w:rFonts w:hint="eastAsia" w:ascii="Calibri" w:hAnsi="Calibri" w:cs="Calibri"/>
                <w:color w:val="000000"/>
                <w:sz w:val="22"/>
                <w:szCs w:val="22"/>
                <w:lang w:val="en-US" w:eastAsia="zh-CN"/>
              </w:rPr>
              <w:t>135</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19.92</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eastAsia="宋体" w:cs="Calibri"/>
                <w:color w:val="000000"/>
                <w:sz w:val="22"/>
                <w:szCs w:val="22"/>
                <w:lang w:val="en-US" w:eastAsia="zh-CN"/>
              </w:rPr>
            </w:pPr>
            <w:r>
              <w:rPr>
                <w:rFonts w:hint="eastAsia" w:ascii="Calibri" w:hAnsi="Calibri" w:cs="Calibri"/>
                <w:color w:val="000000"/>
                <w:sz w:val="22"/>
                <w:szCs w:val="22"/>
                <w:lang w:val="en-US" w:eastAsia="zh-CN"/>
              </w:rPr>
              <w:t>9.73</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520.53</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11.35</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val="en-US" w:eastAsia="zh-CN"/>
              </w:rPr>
              <w:t>703.53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710.53</w:t>
            </w:r>
          </w:p>
        </w:tc>
      </w:tr>
      <w:tr>
        <w:tblPrEx>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710.53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710.53</w:t>
            </w:r>
          </w:p>
        </w:tc>
      </w:tr>
    </w:tbl>
    <w:p>
      <w:pPr>
        <w:jc w:val="center"/>
        <w:outlineLvl w:val="1"/>
        <w:rPr>
          <w:rFonts w:ascii="方正小标宋_GBK" w:hAnsi="方正小标宋_GBK" w:cs="方正小标宋_GBK" w:eastAsiaTheme="minorEastAsia"/>
          <w:color w:val="000000"/>
          <w:sz w:val="36"/>
          <w:lang w:eastAsia="zh-CN"/>
        </w:rPr>
      </w:pPr>
    </w:p>
    <w:tbl>
      <w:tblPr>
        <w:tblStyle w:val="9"/>
        <w:tblW w:w="14971" w:type="dxa"/>
        <w:tblInd w:w="93" w:type="dxa"/>
        <w:tblLayout w:type="autofit"/>
        <w:tblCellMar>
          <w:top w:w="0" w:type="dxa"/>
          <w:left w:w="108" w:type="dxa"/>
          <w:bottom w:w="0" w:type="dxa"/>
          <w:right w:w="108" w:type="dxa"/>
        </w:tblCellMar>
      </w:tblPr>
      <w:tblGrid>
        <w:gridCol w:w="660"/>
        <w:gridCol w:w="1536"/>
        <w:gridCol w:w="2705"/>
        <w:gridCol w:w="938"/>
        <w:gridCol w:w="1096"/>
        <w:gridCol w:w="915"/>
        <w:gridCol w:w="1065"/>
        <w:gridCol w:w="735"/>
        <w:gridCol w:w="660"/>
        <w:gridCol w:w="1095"/>
        <w:gridCol w:w="1465"/>
        <w:gridCol w:w="1005"/>
        <w:gridCol w:w="1096"/>
      </w:tblGrid>
      <w:tr>
        <w:tblPrEx>
          <w:tblCellMar>
            <w:top w:w="0" w:type="dxa"/>
            <w:left w:w="108" w:type="dxa"/>
            <w:bottom w:w="0" w:type="dxa"/>
            <w:right w:w="108" w:type="dxa"/>
          </w:tblCellMar>
        </w:tblPrEx>
        <w:trPr>
          <w:trHeight w:val="499" w:hRule="atLeast"/>
        </w:trPr>
        <w:tc>
          <w:tcPr>
            <w:tcW w:w="14971" w:type="dxa"/>
            <w:gridSpan w:val="13"/>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36"/>
                <w:szCs w:val="36"/>
                <w:lang w:eastAsia="zh-CN"/>
              </w:rPr>
              <w:t>单位预算收入总表</w:t>
            </w:r>
          </w:p>
        </w:tc>
      </w:tr>
      <w:tr>
        <w:tblPrEx>
          <w:tblCellMar>
            <w:top w:w="0" w:type="dxa"/>
            <w:left w:w="108" w:type="dxa"/>
            <w:bottom w:w="0" w:type="dxa"/>
            <w:right w:w="108" w:type="dxa"/>
          </w:tblCellMar>
        </w:tblPrEx>
        <w:trPr>
          <w:trHeight w:val="499"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预算单位编码及名称：[899]涞水县城区社区管理办公室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hint="default" w:ascii="宋体" w:hAnsi="宋体" w:cs="宋体"/>
                <w:color w:val="000000"/>
                <w:sz w:val="22"/>
                <w:szCs w:val="22"/>
                <w:lang w:val="en-US"/>
              </w:rPr>
            </w:pPr>
            <w:r>
              <w:rPr>
                <w:rFonts w:hint="eastAsia" w:ascii="宋体" w:hAnsi="宋体" w:cs="宋体"/>
                <w:color w:val="000000"/>
                <w:sz w:val="22"/>
                <w:szCs w:val="22"/>
                <w:lang w:eastAsia="zh-CN"/>
              </w:rPr>
              <w:t>预算年度：202</w:t>
            </w:r>
            <w:r>
              <w:rPr>
                <w:rFonts w:hint="eastAsia" w:ascii="宋体" w:hAnsi="宋体" w:cs="宋体"/>
                <w:color w:val="000000"/>
                <w:sz w:val="22"/>
                <w:szCs w:val="22"/>
                <w:lang w:val="en-US" w:eastAsia="zh-CN"/>
              </w:rPr>
              <w:t>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功能分类科目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本年收入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上年结转</w:t>
            </w:r>
          </w:p>
        </w:tc>
      </w:tr>
      <w:tr>
        <w:tblPrEx>
          <w:tblCellMar>
            <w:top w:w="0" w:type="dxa"/>
            <w:left w:w="108" w:type="dxa"/>
            <w:bottom w:w="0" w:type="dxa"/>
            <w:right w:w="108" w:type="dxa"/>
          </w:tblCellMar>
        </w:tblPrEx>
        <w:trPr>
          <w:trHeight w:val="6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小计</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财政拨款收入</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财政专户收入</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事业收入</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经营收入</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上级补助收入</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附属单位上缴收入</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其他收入</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12</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lang w:eastAsia="zh-CN"/>
              </w:rPr>
            </w:pPr>
            <w:r>
              <w:rPr>
                <w:rFonts w:hint="eastAsia" w:ascii="Calibri" w:hAnsi="Calibri" w:eastAsia="宋体" w:cs="Calibri"/>
                <w:color w:val="000000"/>
                <w:sz w:val="22"/>
                <w:szCs w:val="22"/>
                <w:lang w:eastAsia="zh-CN"/>
              </w:rPr>
              <w:t>710.53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lang w:eastAsia="zh-CN"/>
              </w:rPr>
            </w:pPr>
            <w:r>
              <w:rPr>
                <w:rFonts w:hint="eastAsia" w:ascii="Calibri" w:hAnsi="Calibri" w:eastAsia="宋体" w:cs="Calibri"/>
                <w:color w:val="000000"/>
                <w:sz w:val="22"/>
                <w:szCs w:val="22"/>
                <w:lang w:eastAsia="zh-CN"/>
              </w:rPr>
              <w:t>703.53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lang w:eastAsia="zh-CN"/>
              </w:rPr>
            </w:pPr>
            <w:r>
              <w:rPr>
                <w:rFonts w:hint="eastAsia" w:ascii="Calibri" w:hAnsi="Calibri" w:eastAsia="宋体" w:cs="Calibri"/>
                <w:color w:val="000000"/>
                <w:sz w:val="22"/>
                <w:szCs w:val="22"/>
                <w:lang w:eastAsia="zh-CN"/>
              </w:rPr>
              <w:t>703.53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ind w:right="220"/>
              <w:jc w:val="center"/>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Calibri" w:hAnsi="Calibri" w:cs="Calibri"/>
                <w:color w:val="000000"/>
                <w:sz w:val="22"/>
                <w:szCs w:val="22"/>
                <w:lang w:val="en-US"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Calibri" w:hAnsi="Calibri" w:cs="Calibri"/>
                <w:color w:val="000000"/>
                <w:sz w:val="22"/>
                <w:szCs w:val="22"/>
                <w:lang w:val="en-US"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val="en-US"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val="en-US"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val="en-US"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2080505</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val="en-US"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val="en-US"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val="en-US"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2101101</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21201</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城乡社区管理事务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2120101</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ordWrap w:val="0"/>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385.53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385.53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385.53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2120102</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13</w:t>
            </w:r>
            <w:r>
              <w:rPr>
                <w:rFonts w:hint="eastAsia" w:ascii="Calibri" w:hAnsi="Calibri" w:cs="Calibri"/>
                <w:color w:val="000000"/>
                <w:sz w:val="22"/>
                <w:szCs w:val="22"/>
                <w:lang w:eastAsia="zh-CN"/>
              </w:rPr>
              <w:t>5</w:t>
            </w:r>
            <w:r>
              <w:rPr>
                <w:rFonts w:ascii="Calibri" w:hAnsi="Calibri" w:cs="Calibri"/>
                <w:color w:val="000000"/>
                <w:sz w:val="22"/>
                <w:szCs w:val="22"/>
                <w:lang w:eastAsia="zh-CN"/>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13</w:t>
            </w:r>
            <w:r>
              <w:rPr>
                <w:rFonts w:hint="eastAsia" w:ascii="Calibri" w:hAnsi="Calibri" w:cs="Calibri"/>
                <w:color w:val="000000"/>
                <w:sz w:val="22"/>
                <w:szCs w:val="22"/>
                <w:lang w:eastAsia="zh-CN"/>
              </w:rPr>
              <w:t>5</w:t>
            </w:r>
            <w:r>
              <w:rPr>
                <w:rFonts w:ascii="Calibri" w:hAnsi="Calibri" w:cs="Calibri"/>
                <w:color w:val="000000"/>
                <w:sz w:val="22"/>
                <w:szCs w:val="22"/>
                <w:lang w:eastAsia="zh-CN"/>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r>
              <w:rPr>
                <w:rFonts w:hint="eastAsia" w:ascii="Calibri" w:hAnsi="Calibri"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r>
              <w:rPr>
                <w:rFonts w:hint="eastAsia" w:ascii="Calibri" w:hAnsi="Calibri"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r>
              <w:rPr>
                <w:rFonts w:hint="eastAsia" w:ascii="Calibri" w:hAnsi="Calibri"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2210201</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r>
              <w:rPr>
                <w:rFonts w:hint="eastAsia" w:ascii="Calibri" w:hAnsi="Calibri"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r>
              <w:rPr>
                <w:rFonts w:hint="eastAsia" w:ascii="Calibri" w:hAnsi="Calibri"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22301</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解决历史遗留问题及改革成本支出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2230105</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国有企业退休人员社会化管理补助支出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tbl>
      <w:tblPr>
        <w:tblStyle w:val="9"/>
        <w:tblW w:w="14250" w:type="dxa"/>
        <w:tblInd w:w="93" w:type="dxa"/>
        <w:tblLayout w:type="autofit"/>
        <w:tblCellMar>
          <w:top w:w="0" w:type="dxa"/>
          <w:left w:w="108" w:type="dxa"/>
          <w:bottom w:w="0" w:type="dxa"/>
          <w:right w:w="108" w:type="dxa"/>
        </w:tblCellMar>
      </w:tblPr>
      <w:tblGrid>
        <w:gridCol w:w="2022"/>
        <w:gridCol w:w="1096"/>
        <w:gridCol w:w="3292"/>
        <w:gridCol w:w="1049"/>
        <w:gridCol w:w="900"/>
        <w:gridCol w:w="1079"/>
        <w:gridCol w:w="1093"/>
        <w:gridCol w:w="1785"/>
        <w:gridCol w:w="1934"/>
      </w:tblGrid>
      <w:tr>
        <w:tblPrEx>
          <w:tblCellMar>
            <w:top w:w="0" w:type="dxa"/>
            <w:left w:w="108" w:type="dxa"/>
            <w:bottom w:w="0" w:type="dxa"/>
            <w:right w:w="108" w:type="dxa"/>
          </w:tblCellMar>
        </w:tblPrEx>
        <w:trPr>
          <w:trHeight w:val="525" w:hRule="atLeast"/>
        </w:trPr>
        <w:tc>
          <w:tcPr>
            <w:tcW w:w="14250" w:type="dxa"/>
            <w:gridSpan w:val="9"/>
            <w:tcBorders>
              <w:top w:val="nil"/>
              <w:left w:val="nil"/>
              <w:bottom w:val="nil"/>
              <w:right w:val="nil"/>
            </w:tcBorders>
            <w:shd w:val="clear" w:color="auto" w:fill="auto"/>
            <w:vAlign w:val="center"/>
          </w:tcPr>
          <w:p>
            <w:pPr>
              <w:jc w:val="center"/>
              <w:textAlignment w:val="center"/>
              <w:rPr>
                <w:rFonts w:ascii="宋体" w:hAnsi="宋体" w:cs="宋体"/>
                <w:b/>
                <w:bCs/>
                <w:color w:val="000000"/>
              </w:rPr>
            </w:pPr>
            <w:r>
              <w:rPr>
                <w:rFonts w:hint="eastAsia" w:ascii="宋体" w:hAnsi="宋体" w:cs="宋体"/>
                <w:color w:val="000000"/>
                <w:sz w:val="36"/>
                <w:szCs w:val="36"/>
                <w:lang w:eastAsia="zh-CN"/>
              </w:rPr>
              <w:t>单位预算支出总表</w:t>
            </w:r>
          </w:p>
        </w:tc>
      </w:tr>
      <w:tr>
        <w:tblPrEx>
          <w:tblCellMar>
            <w:top w:w="0" w:type="dxa"/>
            <w:left w:w="108" w:type="dxa"/>
            <w:bottom w:w="0" w:type="dxa"/>
            <w:right w:w="108" w:type="dxa"/>
          </w:tblCellMar>
        </w:tblPrEx>
        <w:trPr>
          <w:trHeight w:val="660" w:hRule="atLeast"/>
        </w:trPr>
        <w:tc>
          <w:tcPr>
            <w:tcW w:w="3118" w:type="dxa"/>
            <w:gridSpan w:val="2"/>
            <w:tcBorders>
              <w:top w:val="nil"/>
              <w:left w:val="nil"/>
              <w:bottom w:val="nil"/>
              <w:right w:val="nil"/>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预算单位编码及名称：[899]涞水县城区社区管理办公室</w:t>
            </w:r>
          </w:p>
        </w:tc>
        <w:tc>
          <w:tcPr>
            <w:tcW w:w="3292" w:type="dxa"/>
            <w:tcBorders>
              <w:top w:val="nil"/>
              <w:left w:val="nil"/>
              <w:bottom w:val="nil"/>
              <w:right w:val="nil"/>
            </w:tcBorders>
            <w:shd w:val="clear" w:color="auto" w:fill="auto"/>
            <w:vAlign w:val="center"/>
          </w:tcPr>
          <w:p>
            <w:pP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pPr>
              <w:jc w:val="right"/>
              <w:textAlignment w:val="center"/>
              <w:rPr>
                <w:rFonts w:hint="default" w:ascii="宋体" w:hAnsi="宋体" w:cs="宋体"/>
                <w:color w:val="000000"/>
                <w:sz w:val="22"/>
                <w:szCs w:val="22"/>
                <w:lang w:val="en-US"/>
              </w:rPr>
            </w:pPr>
            <w:r>
              <w:rPr>
                <w:rFonts w:hint="eastAsia" w:ascii="宋体" w:hAnsi="宋体" w:cs="宋体"/>
                <w:color w:val="000000"/>
                <w:sz w:val="22"/>
                <w:szCs w:val="22"/>
                <w:lang w:eastAsia="zh-CN"/>
              </w:rPr>
              <w:t>预算年度：202</w:t>
            </w:r>
            <w:r>
              <w:rPr>
                <w:rFonts w:hint="eastAsia" w:ascii="宋体" w:hAnsi="宋体" w:cs="宋体"/>
                <w:color w:val="000000"/>
                <w:sz w:val="22"/>
                <w:szCs w:val="22"/>
                <w:lang w:val="en-US" w:eastAsia="zh-CN"/>
              </w:rPr>
              <w:t>4</w:t>
            </w:r>
          </w:p>
        </w:tc>
        <w:tc>
          <w:tcPr>
            <w:tcW w:w="0" w:type="auto"/>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540" w:hRule="atLeast"/>
        </w:trPr>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支出功能分类科目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本年支出合计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基本支出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项目支出</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经营支出</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上缴上级支出</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对附属单位补助支出</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8</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329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710.53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561.53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宋体" w:hAnsi="宋体" w:eastAsia="宋体" w:cs="宋体"/>
                <w:color w:val="000000"/>
                <w:sz w:val="22"/>
                <w:szCs w:val="22"/>
                <w:lang w:eastAsia="zh-CN"/>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w:t>
            </w:r>
          </w:p>
        </w:tc>
        <w:tc>
          <w:tcPr>
            <w:tcW w:w="329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ind w:right="220"/>
              <w:jc w:val="center"/>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w:t>
            </w:r>
          </w:p>
        </w:tc>
        <w:tc>
          <w:tcPr>
            <w:tcW w:w="329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2080505</w:t>
            </w:r>
          </w:p>
        </w:tc>
        <w:tc>
          <w:tcPr>
            <w:tcW w:w="329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w:t>
            </w:r>
          </w:p>
        </w:tc>
        <w:tc>
          <w:tcPr>
            <w:tcW w:w="329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w:t>
            </w:r>
          </w:p>
        </w:tc>
        <w:tc>
          <w:tcPr>
            <w:tcW w:w="329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2101101</w:t>
            </w:r>
          </w:p>
        </w:tc>
        <w:tc>
          <w:tcPr>
            <w:tcW w:w="329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w:t>
            </w:r>
          </w:p>
        </w:tc>
        <w:tc>
          <w:tcPr>
            <w:tcW w:w="329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21201</w:t>
            </w:r>
          </w:p>
        </w:tc>
        <w:tc>
          <w:tcPr>
            <w:tcW w:w="329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城乡社区管理事务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2120101</w:t>
            </w:r>
          </w:p>
        </w:tc>
        <w:tc>
          <w:tcPr>
            <w:tcW w:w="329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ordWrap w:val="0"/>
              <w:jc w:val="center"/>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2120102</w:t>
            </w:r>
          </w:p>
        </w:tc>
        <w:tc>
          <w:tcPr>
            <w:tcW w:w="329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135.00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r>
              <w:rPr>
                <w:rFonts w:hint="eastAsia" w:ascii="Calibri" w:hAnsi="Calibri" w:cs="Calibri"/>
                <w:color w:val="000000"/>
                <w:sz w:val="22"/>
                <w:szCs w:val="22"/>
                <w:lang w:eastAsia="zh-CN"/>
              </w:rPr>
              <w:t>5</w:t>
            </w:r>
            <w:r>
              <w:rPr>
                <w:rFonts w:ascii="Calibri" w:hAnsi="Calibri" w:cs="Calibri"/>
                <w:color w:val="000000"/>
                <w:sz w:val="22"/>
                <w:szCs w:val="22"/>
                <w:lang w:eastAsia="zh-CN"/>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r>
              <w:rPr>
                <w:rFonts w:hint="eastAsia" w:ascii="Calibri" w:hAnsi="Calibri"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w:t>
            </w:r>
          </w:p>
        </w:tc>
        <w:tc>
          <w:tcPr>
            <w:tcW w:w="329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hint="default" w:ascii="Calibri" w:hAnsi="Calibri" w:eastAsia="宋体" w:cs="Calibri"/>
                <w:color w:val="000000"/>
                <w:sz w:val="22"/>
                <w:szCs w:val="22"/>
                <w:lang w:val="en-US" w:eastAsia="zh-CN"/>
              </w:rPr>
            </w:pPr>
            <w:r>
              <w:rPr>
                <w:rFonts w:hint="eastAsia" w:ascii="Calibri" w:hAnsi="Calibri" w:cs="Calibri"/>
                <w:color w:val="000000"/>
                <w:sz w:val="22"/>
                <w:szCs w:val="22"/>
                <w:lang w:val="en-US"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r>
              <w:rPr>
                <w:rFonts w:hint="eastAsia" w:ascii="Calibri" w:hAnsi="Calibri"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w:t>
            </w:r>
          </w:p>
        </w:tc>
        <w:tc>
          <w:tcPr>
            <w:tcW w:w="329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r>
              <w:rPr>
                <w:rFonts w:hint="eastAsia" w:ascii="Calibri" w:hAnsi="Calibri"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2210201</w:t>
            </w:r>
          </w:p>
        </w:tc>
        <w:tc>
          <w:tcPr>
            <w:tcW w:w="329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r>
              <w:rPr>
                <w:rFonts w:hint="eastAsia" w:ascii="Calibri" w:hAnsi="Calibri"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w:t>
            </w:r>
          </w:p>
        </w:tc>
        <w:tc>
          <w:tcPr>
            <w:tcW w:w="329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r>
              <w:rPr>
                <w:rFonts w:hint="eastAsia" w:ascii="Calibri" w:hAnsi="Calibri"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22301</w:t>
            </w:r>
          </w:p>
        </w:tc>
        <w:tc>
          <w:tcPr>
            <w:tcW w:w="329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解决历史遗留问题及改革成本支出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hint="eastAsia" w:ascii="Calibri" w:hAnsi="Calibri" w:cs="Calibri"/>
                <w:color w:val="000000"/>
                <w:sz w:val="22"/>
                <w:szCs w:val="22"/>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2230105</w:t>
            </w:r>
          </w:p>
        </w:tc>
        <w:tc>
          <w:tcPr>
            <w:tcW w:w="329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国有企业退休人员社会化管理补助支出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bl>
    <w:p>
      <w:pPr>
        <w:jc w:val="center"/>
        <w:outlineLvl w:val="1"/>
        <w:rPr>
          <w:rFonts w:ascii="方正小标宋_GBK" w:hAnsi="方正小标宋_GBK" w:eastAsia="方正小标宋_GBK" w:cs="方正小标宋_GBK"/>
          <w:color w:val="000000"/>
          <w:sz w:val="36"/>
        </w:rPr>
      </w:pPr>
    </w:p>
    <w:tbl>
      <w:tblPr>
        <w:tblStyle w:val="9"/>
        <w:tblW w:w="13170" w:type="dxa"/>
        <w:tblInd w:w="93" w:type="dxa"/>
        <w:tblLayout w:type="autofit"/>
        <w:tblCellMar>
          <w:top w:w="0" w:type="dxa"/>
          <w:left w:w="108" w:type="dxa"/>
          <w:bottom w:w="0" w:type="dxa"/>
          <w:right w:w="108" w:type="dxa"/>
        </w:tblCellMar>
      </w:tblPr>
      <w:tblGrid>
        <w:gridCol w:w="656"/>
        <w:gridCol w:w="2856"/>
        <w:gridCol w:w="830"/>
        <w:gridCol w:w="1947"/>
        <w:gridCol w:w="830"/>
        <w:gridCol w:w="1731"/>
        <w:gridCol w:w="1950"/>
        <w:gridCol w:w="2370"/>
      </w:tblGrid>
      <w:tr>
        <w:tblPrEx>
          <w:tblCellMar>
            <w:top w:w="0" w:type="dxa"/>
            <w:left w:w="108" w:type="dxa"/>
            <w:bottom w:w="0" w:type="dxa"/>
            <w:right w:w="108" w:type="dxa"/>
          </w:tblCellMar>
        </w:tblPrEx>
        <w:trPr>
          <w:trHeight w:val="645" w:hRule="atLeast"/>
        </w:trPr>
        <w:tc>
          <w:tcPr>
            <w:tcW w:w="13170" w:type="dxa"/>
            <w:gridSpan w:val="8"/>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36"/>
                <w:szCs w:val="36"/>
                <w:lang w:eastAsia="zh-CN"/>
              </w:rPr>
              <w:t>单位预算财政拨款收支总表</w:t>
            </w:r>
          </w:p>
        </w:tc>
      </w:tr>
      <w:tr>
        <w:tblPrEx>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hint="default" w:ascii="宋体" w:hAnsi="宋体" w:cs="宋体"/>
                <w:color w:val="000000"/>
                <w:sz w:val="22"/>
                <w:szCs w:val="22"/>
                <w:lang w:val="en-US"/>
              </w:rPr>
            </w:pPr>
            <w:r>
              <w:rPr>
                <w:rFonts w:hint="eastAsia" w:ascii="宋体" w:hAnsi="宋体" w:cs="宋体"/>
                <w:color w:val="000000"/>
                <w:sz w:val="22"/>
                <w:szCs w:val="22"/>
                <w:lang w:eastAsia="zh-CN"/>
              </w:rPr>
              <w:t>预算年度：202</w:t>
            </w:r>
            <w:r>
              <w:rPr>
                <w:rFonts w:hint="eastAsia" w:ascii="宋体" w:hAnsi="宋体" w:cs="宋体"/>
                <w:color w:val="000000"/>
                <w:sz w:val="22"/>
                <w:szCs w:val="22"/>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收入</w:t>
            </w:r>
          </w:p>
        </w:tc>
        <w:tc>
          <w:tcPr>
            <w:tcW w:w="94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支出</w:t>
            </w:r>
          </w:p>
        </w:tc>
      </w:tr>
      <w:tr>
        <w:tblPrEx>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金额</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一般公共预算财政拨款</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政府性基金预算财政拨款</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184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696.53</w:t>
            </w: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184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二、政府性基金预算拨款</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184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eastAsia="宋体" w:cs="Calibri"/>
                <w:color w:val="000000"/>
                <w:sz w:val="22"/>
                <w:szCs w:val="22"/>
                <w:lang w:val="en-US" w:eastAsia="zh-CN"/>
              </w:rPr>
            </w:pPr>
            <w:r>
              <w:rPr>
                <w:rFonts w:hint="eastAsia" w:ascii="Calibri" w:hAnsi="Calibri" w:cs="Calibri"/>
                <w:color w:val="000000"/>
                <w:sz w:val="22"/>
                <w:szCs w:val="22"/>
                <w:lang w:val="en-US"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11.37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11.37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703.53</w:t>
            </w: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703.53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696.53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7</w:t>
            </w: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7</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710.53</w:t>
            </w: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710.53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696.53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val="en-US" w:eastAsia="zh-CN"/>
              </w:rPr>
              <w:t>14</w:t>
            </w:r>
            <w:r>
              <w:rPr>
                <w:rFonts w:ascii="Calibri" w:hAnsi="Calibri" w:cs="Calibri"/>
                <w:color w:val="000000"/>
                <w:sz w:val="22"/>
                <w:szCs w:val="22"/>
                <w:lang w:eastAsia="zh-CN"/>
              </w:rPr>
              <w:t>.00</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sectPr>
          <w:footerReference r:id="rId8" w:type="default"/>
          <w:footerReference r:id="rId9" w:type="even"/>
          <w:type w:val="continuous"/>
          <w:pgSz w:w="16840" w:h="11900" w:orient="landscape"/>
          <w:pgMar w:top="1361" w:right="1020" w:bottom="1134" w:left="1020" w:header="720" w:footer="720" w:gutter="0"/>
          <w:cols w:space="720" w:num="1"/>
        </w:sectPr>
      </w:pPr>
    </w:p>
    <w:tbl>
      <w:tblPr>
        <w:tblStyle w:val="9"/>
        <w:tblW w:w="13941" w:type="dxa"/>
        <w:tblInd w:w="93" w:type="dxa"/>
        <w:tblLayout w:type="autofit"/>
        <w:tblCellMar>
          <w:top w:w="0" w:type="dxa"/>
          <w:left w:w="108" w:type="dxa"/>
          <w:bottom w:w="0" w:type="dxa"/>
          <w:right w:w="108" w:type="dxa"/>
        </w:tblCellMar>
      </w:tblPr>
      <w:tblGrid>
        <w:gridCol w:w="764"/>
        <w:gridCol w:w="1276"/>
        <w:gridCol w:w="4605"/>
        <w:gridCol w:w="966"/>
        <w:gridCol w:w="966"/>
        <w:gridCol w:w="1276"/>
        <w:gridCol w:w="2044"/>
        <w:gridCol w:w="2044"/>
      </w:tblGrid>
      <w:tr>
        <w:tblPrEx>
          <w:tblCellMar>
            <w:top w:w="0" w:type="dxa"/>
            <w:left w:w="108" w:type="dxa"/>
            <w:bottom w:w="0" w:type="dxa"/>
            <w:right w:w="108" w:type="dxa"/>
          </w:tblCellMar>
        </w:tblPrEx>
        <w:trPr>
          <w:trHeight w:val="1022" w:hRule="atLeast"/>
        </w:trPr>
        <w:tc>
          <w:tcPr>
            <w:tcW w:w="13941" w:type="dxa"/>
            <w:gridSpan w:val="8"/>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bookmarkStart w:id="1" w:name="_Toc_2_2_0000000005"/>
          </w:p>
          <w:p>
            <w:pPr>
              <w:jc w:val="center"/>
              <w:textAlignment w:val="center"/>
              <w:rPr>
                <w:rFonts w:ascii="宋体" w:hAnsi="宋体" w:cs="宋体"/>
                <w:color w:val="000000"/>
                <w:sz w:val="22"/>
                <w:szCs w:val="22"/>
              </w:rPr>
            </w:pPr>
            <w:r>
              <w:rPr>
                <w:rFonts w:hint="eastAsia" w:ascii="宋体" w:hAnsi="宋体" w:cs="宋体"/>
                <w:color w:val="000000"/>
                <w:sz w:val="36"/>
                <w:szCs w:val="36"/>
                <w:lang w:eastAsia="zh-CN"/>
              </w:rPr>
              <w:t>单位预算一般公共预算财政拨款支出表</w:t>
            </w:r>
          </w:p>
          <w:p>
            <w:pPr>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hint="default" w:ascii="宋体" w:hAnsi="宋体" w:cs="宋体"/>
                <w:color w:val="000000"/>
                <w:sz w:val="22"/>
                <w:szCs w:val="22"/>
                <w:lang w:val="en-US"/>
              </w:rPr>
            </w:pPr>
            <w:r>
              <w:rPr>
                <w:rFonts w:hint="eastAsia" w:ascii="宋体" w:hAnsi="宋体" w:cs="宋体"/>
                <w:color w:val="000000"/>
                <w:sz w:val="22"/>
                <w:szCs w:val="22"/>
                <w:lang w:eastAsia="zh-CN"/>
              </w:rPr>
              <w:t>预算年度：202</w:t>
            </w:r>
            <w:r>
              <w:rPr>
                <w:rFonts w:hint="eastAsia" w:ascii="宋体" w:hAnsi="宋体" w:cs="宋体"/>
                <w:color w:val="000000"/>
                <w:sz w:val="22"/>
                <w:szCs w:val="22"/>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5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5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696.53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561.53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187.37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374.16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eastAsia="宋体" w:cs="Calibri"/>
                <w:color w:val="000000"/>
                <w:sz w:val="22"/>
                <w:szCs w:val="22"/>
                <w:lang w:eastAsia="zh-CN"/>
              </w:rPr>
              <w:t>1</w:t>
            </w:r>
            <w:r>
              <w:rPr>
                <w:rFonts w:hint="eastAsia" w:ascii="Calibri" w:hAnsi="Calibri" w:eastAsia="宋体" w:cs="Calibri"/>
                <w:color w:val="000000"/>
                <w:sz w:val="22"/>
                <w:szCs w:val="22"/>
                <w:lang w:eastAsia="zh-CN"/>
              </w:rPr>
              <w:t>49</w:t>
            </w:r>
            <w:r>
              <w:rPr>
                <w:rFonts w:ascii="Calibri" w:hAnsi="Calibri" w:eastAsia="宋体" w:cs="Calibri"/>
                <w:color w:val="000000"/>
                <w:sz w:val="22"/>
                <w:szCs w:val="22"/>
                <w:lang w:eastAsia="zh-CN"/>
              </w:rPr>
              <w:t>.00</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w:t>
            </w:r>
            <w:r>
              <w:rPr>
                <w:rFonts w:ascii="Calibri" w:hAnsi="Calibri" w:cs="Calibri"/>
                <w:color w:val="000000"/>
                <w:sz w:val="22"/>
                <w:szCs w:val="22"/>
                <w:lang w:eastAsia="zh-CN"/>
              </w:rPr>
              <w:t>00</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解决历史遗留问题及改革成本支出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w:t>
            </w:r>
            <w:r>
              <w:rPr>
                <w:rFonts w:ascii="Calibri" w:hAnsi="Calibri" w:cs="Calibri"/>
                <w:color w:val="000000"/>
                <w:sz w:val="22"/>
                <w:szCs w:val="22"/>
                <w:lang w:eastAsia="zh-CN"/>
              </w:rPr>
              <w:t>.00</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2230105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国有企业退休人员社会化管理补助支出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w:t>
            </w:r>
            <w:r>
              <w:rPr>
                <w:rFonts w:ascii="Calibri" w:hAnsi="Calibri" w:cs="Calibri"/>
                <w:color w:val="000000"/>
                <w:sz w:val="22"/>
                <w:szCs w:val="22"/>
                <w:lang w:eastAsia="zh-CN"/>
              </w:rPr>
              <w:t>.00</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696.53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lang w:eastAsia="zh-CN"/>
              </w:rPr>
            </w:pPr>
            <w:r>
              <w:rPr>
                <w:rFonts w:hint="eastAsia" w:ascii="Calibri" w:hAnsi="Calibri" w:eastAsia="宋体" w:cs="Calibri"/>
                <w:color w:val="000000"/>
                <w:sz w:val="22"/>
                <w:szCs w:val="22"/>
                <w:lang w:eastAsia="zh-CN"/>
              </w:rPr>
              <w:t>187.37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lang w:eastAsia="zh-CN"/>
              </w:rPr>
            </w:pPr>
            <w:r>
              <w:rPr>
                <w:rFonts w:hint="eastAsia" w:ascii="Calibri" w:hAnsi="Calibri" w:eastAsia="宋体" w:cs="Calibri"/>
                <w:color w:val="000000"/>
                <w:sz w:val="22"/>
                <w:szCs w:val="22"/>
                <w:lang w:eastAsia="zh-CN"/>
              </w:rPr>
              <w:t>374.16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13</w:t>
            </w:r>
            <w:r>
              <w:rPr>
                <w:rFonts w:hint="eastAsia" w:ascii="Calibri" w:hAnsi="Calibri" w:cs="Calibri"/>
                <w:color w:val="000000"/>
                <w:sz w:val="22"/>
                <w:szCs w:val="22"/>
                <w:lang w:eastAsia="zh-CN"/>
              </w:rPr>
              <w:t>5</w:t>
            </w:r>
            <w:r>
              <w:rPr>
                <w:rFonts w:ascii="Calibri" w:hAnsi="Calibri" w:cs="Calibri"/>
                <w:color w:val="000000"/>
                <w:sz w:val="22"/>
                <w:szCs w:val="22"/>
                <w:lang w:eastAsia="zh-CN"/>
              </w:rPr>
              <w:t>.00</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城乡社区管理事务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696.53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lang w:eastAsia="zh-CN"/>
              </w:rPr>
            </w:pPr>
            <w:r>
              <w:rPr>
                <w:rFonts w:hint="eastAsia" w:ascii="Calibri" w:hAnsi="Calibri" w:eastAsia="宋体" w:cs="Calibri"/>
                <w:color w:val="000000"/>
                <w:sz w:val="22"/>
                <w:szCs w:val="22"/>
                <w:lang w:eastAsia="zh-CN"/>
              </w:rPr>
              <w:t>187.37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lang w:eastAsia="zh-CN"/>
              </w:rPr>
            </w:pPr>
            <w:r>
              <w:rPr>
                <w:rFonts w:hint="eastAsia" w:ascii="Calibri" w:hAnsi="Calibri" w:eastAsia="宋体" w:cs="Calibri"/>
                <w:color w:val="000000"/>
                <w:sz w:val="22"/>
                <w:szCs w:val="22"/>
                <w:lang w:eastAsia="zh-CN"/>
              </w:rPr>
              <w:t>374.16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13</w:t>
            </w:r>
            <w:r>
              <w:rPr>
                <w:rFonts w:hint="eastAsia" w:ascii="Calibri" w:hAnsi="Calibri" w:cs="Calibri"/>
                <w:color w:val="000000"/>
                <w:sz w:val="22"/>
                <w:szCs w:val="22"/>
                <w:lang w:eastAsia="zh-CN"/>
              </w:rPr>
              <w:t>5</w:t>
            </w:r>
            <w:r>
              <w:rPr>
                <w:rFonts w:ascii="Calibri" w:hAnsi="Calibri" w:cs="Calibri"/>
                <w:color w:val="000000"/>
                <w:sz w:val="22"/>
                <w:szCs w:val="22"/>
                <w:lang w:eastAsia="zh-CN"/>
              </w:rPr>
              <w:t>.00</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696.53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lang w:eastAsia="zh-CN"/>
              </w:rPr>
            </w:pPr>
            <w:r>
              <w:rPr>
                <w:rFonts w:hint="eastAsia" w:ascii="Calibri" w:hAnsi="Calibri" w:eastAsia="宋体" w:cs="Calibri"/>
                <w:color w:val="000000"/>
                <w:sz w:val="22"/>
                <w:szCs w:val="22"/>
                <w:lang w:eastAsia="zh-CN"/>
              </w:rPr>
              <w:t>187.37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lang w:eastAsia="zh-CN"/>
              </w:rPr>
            </w:pPr>
            <w:r>
              <w:rPr>
                <w:rFonts w:hint="eastAsia" w:ascii="Calibri" w:hAnsi="Calibri" w:eastAsia="宋体" w:cs="Calibri"/>
                <w:color w:val="000000"/>
                <w:sz w:val="22"/>
                <w:szCs w:val="22"/>
                <w:lang w:eastAsia="zh-CN"/>
              </w:rPr>
              <w:t>374.16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13</w:t>
            </w:r>
            <w:r>
              <w:rPr>
                <w:rFonts w:hint="eastAsia" w:ascii="Calibri" w:hAnsi="Calibri" w:cs="Calibri"/>
                <w:color w:val="000000"/>
                <w:sz w:val="22"/>
                <w:szCs w:val="22"/>
                <w:lang w:eastAsia="zh-CN"/>
              </w:rPr>
              <w:t>5</w:t>
            </w:r>
            <w:r>
              <w:rPr>
                <w:rFonts w:ascii="Calibri" w:hAnsi="Calibri" w:cs="Calibri"/>
                <w:color w:val="000000"/>
                <w:sz w:val="22"/>
                <w:szCs w:val="22"/>
                <w:lang w:eastAsia="zh-CN"/>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13</w:t>
            </w:r>
            <w:r>
              <w:rPr>
                <w:rFonts w:hint="eastAsia" w:ascii="Calibri" w:hAnsi="Calibri" w:cs="Calibri"/>
                <w:color w:val="000000"/>
                <w:sz w:val="22"/>
                <w:szCs w:val="22"/>
                <w:lang w:eastAsia="zh-CN"/>
              </w:rPr>
              <w:t>5</w:t>
            </w:r>
            <w:r>
              <w:rPr>
                <w:rFonts w:ascii="Calibri" w:hAnsi="Calibri" w:cs="Calibri"/>
                <w:color w:val="000000"/>
                <w:sz w:val="22"/>
                <w:szCs w:val="22"/>
                <w:lang w:eastAsia="zh-CN"/>
              </w:rPr>
              <w:t>.00</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11.37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val="en-US" w:eastAsia="zh-CN"/>
              </w:rPr>
              <w:t>11.37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val="en-US" w:eastAsia="zh-CN"/>
              </w:rPr>
              <w:t>11.37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val="en-US" w:eastAsia="zh-CN"/>
              </w:rPr>
              <w:t>11.37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val="en-US" w:eastAsia="zh-CN"/>
              </w:rPr>
              <w:t>11.37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val="en-US" w:eastAsia="zh-CN"/>
              </w:rPr>
              <w:t>11.37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val="en-US" w:eastAsia="zh-CN"/>
              </w:rPr>
              <w:t>11.37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val="en-US" w:eastAsia="zh-CN"/>
              </w:rPr>
              <w:t>11.37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val="en-US" w:eastAsia="zh-CN"/>
              </w:rPr>
              <w:t>11.37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rPr>
      </w:pPr>
      <w:r>
        <w:rPr>
          <w:rFonts w:hint="eastAsia" w:ascii="宋体" w:hAnsi="宋体" w:cs="宋体"/>
          <w:color w:val="000000"/>
          <w:sz w:val="36"/>
          <w:szCs w:val="36"/>
          <w:lang w:eastAsia="zh-CN"/>
        </w:rPr>
        <w:t>单位</w:t>
      </w:r>
      <w:r>
        <w:rPr>
          <w:rFonts w:hint="eastAsia" w:ascii="宋体" w:hAnsi="宋体" w:cs="宋体"/>
          <w:color w:val="000000"/>
          <w:sz w:val="32"/>
          <w:szCs w:val="32"/>
          <w:lang w:eastAsia="zh-CN"/>
        </w:rPr>
        <w:t>预算一般公共预算财政拨款基本支出表</w:t>
      </w:r>
    </w:p>
    <w:bookmarkEnd w:id="1"/>
    <w:tbl>
      <w:tblPr>
        <w:tblStyle w:val="9"/>
        <w:tblW w:w="14180" w:type="dxa"/>
        <w:tblInd w:w="93" w:type="dxa"/>
        <w:tblLayout w:type="autofit"/>
        <w:tblCellMar>
          <w:top w:w="0" w:type="dxa"/>
          <w:left w:w="108" w:type="dxa"/>
          <w:bottom w:w="0" w:type="dxa"/>
          <w:right w:w="108" w:type="dxa"/>
        </w:tblCellMar>
      </w:tblPr>
      <w:tblGrid>
        <w:gridCol w:w="991"/>
        <w:gridCol w:w="1655"/>
        <w:gridCol w:w="4977"/>
        <w:gridCol w:w="1253"/>
        <w:gridCol w:w="2652"/>
        <w:gridCol w:w="2652"/>
      </w:tblGrid>
      <w:tr>
        <w:tblPrEx>
          <w:tblCellMar>
            <w:top w:w="0" w:type="dxa"/>
            <w:left w:w="108" w:type="dxa"/>
            <w:bottom w:w="0" w:type="dxa"/>
            <w:right w:w="108" w:type="dxa"/>
          </w:tblCellMar>
        </w:tblPrEx>
        <w:trPr>
          <w:trHeight w:val="502" w:hRule="atLeast"/>
        </w:trPr>
        <w:tc>
          <w:tcPr>
            <w:tcW w:w="14180" w:type="dxa"/>
            <w:gridSpan w:val="6"/>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bookmarkStart w:id="2" w:name="_Toc_2_2_0000000006"/>
          </w:p>
        </w:tc>
      </w:tr>
      <w:tr>
        <w:tblPrEx>
          <w:tblCellMar>
            <w:top w:w="0" w:type="dxa"/>
            <w:left w:w="108" w:type="dxa"/>
            <w:bottom w:w="0" w:type="dxa"/>
            <w:right w:w="108" w:type="dxa"/>
          </w:tblCellMar>
        </w:tblPrEx>
        <w:trPr>
          <w:trHeight w:val="51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hint="default" w:ascii="宋体" w:hAnsi="宋体" w:cs="宋体"/>
                <w:color w:val="000000"/>
                <w:sz w:val="22"/>
                <w:szCs w:val="22"/>
                <w:lang w:val="en-US"/>
              </w:rPr>
            </w:pPr>
            <w:r>
              <w:rPr>
                <w:rFonts w:hint="eastAsia" w:ascii="宋体" w:hAnsi="宋体" w:cs="宋体"/>
                <w:color w:val="000000"/>
                <w:sz w:val="22"/>
                <w:szCs w:val="22"/>
                <w:lang w:eastAsia="zh-CN"/>
              </w:rPr>
              <w:t>预算年度：202</w:t>
            </w:r>
            <w:r>
              <w:rPr>
                <w:rFonts w:hint="eastAsia" w:ascii="宋体" w:hAnsi="宋体" w:cs="宋体"/>
                <w:color w:val="000000"/>
                <w:sz w:val="22"/>
                <w:szCs w:val="22"/>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5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支出部门经济分类科目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5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公用经费</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561.53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187.37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374.16</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lang w:eastAsia="zh-CN"/>
              </w:rPr>
            </w:pPr>
            <w:r>
              <w:rPr>
                <w:rFonts w:hint="eastAsia" w:ascii="Calibri" w:hAnsi="Calibri" w:eastAsia="宋体" w:cs="Calibri"/>
                <w:color w:val="000000"/>
                <w:sz w:val="22"/>
                <w:szCs w:val="22"/>
                <w:lang w:eastAsia="zh-CN"/>
              </w:rPr>
              <w:t>186.64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lang w:eastAsia="zh-CN"/>
              </w:rPr>
            </w:pPr>
            <w:r>
              <w:rPr>
                <w:rFonts w:hint="eastAsia" w:ascii="Calibri" w:hAnsi="Calibri" w:eastAsia="宋体" w:cs="Calibri"/>
                <w:color w:val="000000"/>
                <w:sz w:val="22"/>
                <w:szCs w:val="22"/>
                <w:lang w:eastAsia="zh-CN"/>
              </w:rPr>
              <w:t>186.64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77.76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77.76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城镇职工基本医疗保险缴费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7.41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7.41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3011</w:t>
            </w:r>
            <w:r>
              <w:rPr>
                <w:rFonts w:hint="eastAsia" w:ascii="Calibri" w:hAnsi="Calibri"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hint="eastAsia" w:ascii="Calibri" w:hAnsi="Calibri" w:cs="Calibri"/>
                <w:color w:val="000000"/>
                <w:sz w:val="22"/>
                <w:szCs w:val="22"/>
                <w:lang w:eastAsia="zh-CN"/>
              </w:rPr>
              <w:t>公务员</w:t>
            </w:r>
            <w:r>
              <w:rPr>
                <w:rFonts w:ascii="Calibri" w:hAnsi="Calibri" w:cs="Calibri"/>
                <w:color w:val="000000"/>
                <w:sz w:val="22"/>
                <w:szCs w:val="22"/>
                <w:lang w:eastAsia="zh-CN"/>
              </w:rPr>
              <w:t>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lang w:eastAsia="zh-CN"/>
              </w:rPr>
            </w:pPr>
            <w:r>
              <w:rPr>
                <w:rFonts w:hint="eastAsia" w:ascii="Calibri" w:hAnsi="Calibri" w:eastAsia="宋体" w:cs="Calibri"/>
                <w:color w:val="000000"/>
                <w:sz w:val="22"/>
                <w:szCs w:val="22"/>
                <w:lang w:eastAsia="zh-CN"/>
              </w:rPr>
              <w:t>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lang w:eastAsia="zh-CN"/>
              </w:rPr>
            </w:pPr>
            <w:r>
              <w:rPr>
                <w:rFonts w:hint="eastAsia" w:ascii="Calibri" w:hAnsi="Calibri" w:eastAsia="宋体" w:cs="Calibri"/>
                <w:color w:val="000000"/>
                <w:sz w:val="22"/>
                <w:szCs w:val="22"/>
                <w:lang w:eastAsia="zh-CN"/>
              </w:rPr>
              <w:t>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30399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rPr>
              <w:t>其他对个人和家庭的补助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374.16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374.16</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3.74</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0.36</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取暖费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16.42</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1.70</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劳务费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337.36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337.36</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eastAsia="宋体" w:cs="Calibri"/>
                <w:color w:val="000000"/>
                <w:sz w:val="22"/>
                <w:szCs w:val="22"/>
                <w:lang w:eastAsia="zh-CN"/>
              </w:rPr>
              <w:t>1.54</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2.40</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10.32</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0.32</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bl>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52"/>
          <w:szCs w:val="40"/>
        </w:rPr>
      </w:pPr>
      <w:r>
        <w:rPr>
          <w:rFonts w:hint="eastAsia" w:ascii="宋体" w:hAnsi="宋体" w:cs="宋体"/>
          <w:color w:val="000000"/>
          <w:sz w:val="36"/>
          <w:szCs w:val="36"/>
          <w:lang w:eastAsia="zh-CN"/>
        </w:rPr>
        <w:t>单位预算政府基金预算财政拨款支出表</w:t>
      </w:r>
    </w:p>
    <w:p>
      <w:pPr>
        <w:jc w:val="center"/>
        <w:outlineLvl w:val="1"/>
        <w:rPr>
          <w:rFonts w:ascii="方正小标宋_GBK" w:hAnsi="方正小标宋_GBK" w:eastAsia="方正小标宋_GBK" w:cs="方正小标宋_GBK"/>
          <w:color w:val="000000"/>
          <w:sz w:val="36"/>
        </w:rPr>
      </w:pPr>
    </w:p>
    <w:tbl>
      <w:tblPr>
        <w:tblStyle w:val="9"/>
        <w:tblW w:w="13998" w:type="dxa"/>
        <w:tblInd w:w="93" w:type="dxa"/>
        <w:tblLayout w:type="autofit"/>
        <w:tblCellMar>
          <w:top w:w="0" w:type="dxa"/>
          <w:left w:w="108" w:type="dxa"/>
          <w:bottom w:w="0" w:type="dxa"/>
          <w:right w:w="108" w:type="dxa"/>
        </w:tblCellMar>
      </w:tblPr>
      <w:tblGrid>
        <w:gridCol w:w="1612"/>
        <w:gridCol w:w="2692"/>
        <w:gridCol w:w="2692"/>
        <w:gridCol w:w="1612"/>
        <w:gridCol w:w="2695"/>
        <w:gridCol w:w="2695"/>
      </w:tblGrid>
      <w:tr>
        <w:tblPrEx>
          <w:tblCellMar>
            <w:top w:w="0" w:type="dxa"/>
            <w:left w:w="108" w:type="dxa"/>
            <w:bottom w:w="0" w:type="dxa"/>
            <w:right w:w="108" w:type="dxa"/>
          </w:tblCellMar>
        </w:tblPrEx>
        <w:trPr>
          <w:trHeight w:val="499"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预算单位编码及名称：[899]涞水县城区社区管理办公室</w:t>
            </w: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预算年度：2023</w:t>
            </w: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49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26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基本支出</w:t>
            </w:r>
          </w:p>
        </w:tc>
        <w:tc>
          <w:tcPr>
            <w:tcW w:w="26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4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bl>
    <w:p>
      <w:pPr>
        <w:outlineLvl w:val="1"/>
        <w:rPr>
          <w:rFonts w:ascii="宋体" w:hAnsi="宋体" w:cs="宋体"/>
          <w:color w:val="000000"/>
          <w:sz w:val="28"/>
          <w:szCs w:val="28"/>
          <w:lang w:eastAsia="zh-CN"/>
        </w:rPr>
      </w:pPr>
      <w:r>
        <w:rPr>
          <w:rFonts w:hint="eastAsia" w:ascii="宋体" w:hAnsi="宋体" w:cs="宋体"/>
          <w:color w:val="000000"/>
          <w:sz w:val="28"/>
          <w:szCs w:val="28"/>
          <w:lang w:eastAsia="zh-CN"/>
        </w:rPr>
        <w:t>注：本部</w:t>
      </w:r>
      <w:r>
        <w:rPr>
          <w:rFonts w:hint="eastAsia" w:ascii="宋体" w:hAnsi="宋体" w:cs="宋体"/>
          <w:color w:val="000000"/>
          <w:sz w:val="28"/>
          <w:szCs w:val="28"/>
          <w:lang w:val="en-US" w:eastAsia="zh-CN"/>
        </w:rPr>
        <w:t>门无政</w:t>
      </w:r>
      <w:r>
        <w:rPr>
          <w:rFonts w:hint="eastAsia" w:ascii="宋体" w:hAnsi="宋体" w:cs="宋体"/>
          <w:color w:val="000000"/>
          <w:sz w:val="28"/>
          <w:szCs w:val="28"/>
          <w:lang w:eastAsia="zh-CN"/>
        </w:rPr>
        <w:t>府基金预算财政拨款预算，空表列示。</w:t>
      </w:r>
    </w:p>
    <w:p>
      <w:pPr>
        <w:outlineLvl w:val="1"/>
        <w:rPr>
          <w:rFonts w:ascii="宋体" w:hAnsi="宋体" w:cs="宋体"/>
          <w:color w:val="000000"/>
          <w:sz w:val="22"/>
          <w:szCs w:val="22"/>
          <w:lang w:eastAsia="zh-CN"/>
        </w:rPr>
      </w:pPr>
    </w:p>
    <w:p>
      <w:pPr>
        <w:jc w:val="center"/>
        <w:outlineLvl w:val="1"/>
        <w:rPr>
          <w:rFonts w:hint="eastAsia" w:ascii="宋体" w:hAnsi="宋体" w:cs="宋体"/>
          <w:color w:val="000000"/>
          <w:sz w:val="36"/>
          <w:szCs w:val="36"/>
          <w:lang w:eastAsia="zh-CN"/>
        </w:rPr>
      </w:pPr>
    </w:p>
    <w:p>
      <w:pPr>
        <w:jc w:val="center"/>
        <w:outlineLvl w:val="1"/>
        <w:rPr>
          <w:rFonts w:ascii="宋体" w:hAnsi="宋体" w:cs="宋体"/>
          <w:color w:val="000000"/>
          <w:sz w:val="40"/>
          <w:szCs w:val="40"/>
          <w:lang w:eastAsia="zh-CN"/>
        </w:rPr>
      </w:pPr>
      <w:r>
        <w:rPr>
          <w:rFonts w:hint="eastAsia" w:ascii="宋体" w:hAnsi="宋体" w:cs="宋体"/>
          <w:color w:val="000000"/>
          <w:sz w:val="36"/>
          <w:szCs w:val="36"/>
          <w:lang w:eastAsia="zh-CN"/>
        </w:rPr>
        <w:t>单位</w:t>
      </w:r>
      <w:r>
        <w:rPr>
          <w:rFonts w:hint="eastAsia" w:ascii="宋体" w:hAnsi="宋体" w:cs="宋体"/>
          <w:color w:val="000000"/>
          <w:sz w:val="40"/>
          <w:szCs w:val="40"/>
          <w:lang w:eastAsia="zh-CN"/>
        </w:rPr>
        <w:t>预算国有资本经营预算财政拨款支出表</w:t>
      </w:r>
    </w:p>
    <w:p>
      <w:pPr>
        <w:jc w:val="both"/>
        <w:outlineLvl w:val="1"/>
        <w:rPr>
          <w:rFonts w:ascii="宋体" w:hAnsi="宋体" w:cs="宋体"/>
          <w:color w:val="000000"/>
          <w:sz w:val="36"/>
          <w:szCs w:val="36"/>
          <w:lang w:eastAsia="zh-CN"/>
        </w:rPr>
      </w:pPr>
    </w:p>
    <w:bookmarkEnd w:id="2"/>
    <w:tbl>
      <w:tblPr>
        <w:tblStyle w:val="9"/>
        <w:tblW w:w="13719" w:type="dxa"/>
        <w:tblInd w:w="93" w:type="dxa"/>
        <w:tblLayout w:type="autofit"/>
        <w:tblCellMar>
          <w:top w:w="0" w:type="dxa"/>
          <w:left w:w="108" w:type="dxa"/>
          <w:bottom w:w="0" w:type="dxa"/>
          <w:right w:w="108" w:type="dxa"/>
        </w:tblCellMar>
      </w:tblPr>
      <w:tblGrid>
        <w:gridCol w:w="911"/>
        <w:gridCol w:w="1522"/>
        <w:gridCol w:w="5495"/>
        <w:gridCol w:w="911"/>
        <w:gridCol w:w="2440"/>
        <w:gridCol w:w="2440"/>
      </w:tblGrid>
      <w:tr>
        <w:tblPrEx>
          <w:tblCellMar>
            <w:top w:w="0" w:type="dxa"/>
            <w:left w:w="108" w:type="dxa"/>
            <w:bottom w:w="0" w:type="dxa"/>
            <w:right w:w="108" w:type="dxa"/>
          </w:tblCellMar>
        </w:tblPrEx>
        <w:trPr>
          <w:trHeight w:val="523"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52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5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5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r>
      <w:tr>
        <w:tblPrEx>
          <w:tblCellMar>
            <w:top w:w="0" w:type="dxa"/>
            <w:left w:w="108" w:type="dxa"/>
            <w:bottom w:w="0" w:type="dxa"/>
            <w:right w:w="108" w:type="dxa"/>
          </w:tblCellMar>
        </w:tblPrEx>
        <w:trPr>
          <w:trHeight w:val="5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r>
      <w:tr>
        <w:tblPrEx>
          <w:tblCellMar>
            <w:top w:w="0" w:type="dxa"/>
            <w:left w:w="108" w:type="dxa"/>
            <w:bottom w:w="0" w:type="dxa"/>
            <w:right w:w="108" w:type="dxa"/>
          </w:tblCellMar>
        </w:tblPrEx>
        <w:trPr>
          <w:trHeight w:val="5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解决历史遗留问题及改革成本支出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r>
      <w:tr>
        <w:tblPrEx>
          <w:tblCellMar>
            <w:top w:w="0" w:type="dxa"/>
            <w:left w:w="108" w:type="dxa"/>
            <w:bottom w:w="0" w:type="dxa"/>
            <w:right w:w="108" w:type="dxa"/>
          </w:tblCellMar>
        </w:tblPrEx>
        <w:trPr>
          <w:trHeight w:val="5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2230105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国有企业退休人员社会化管理补助支出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宋体" w:hAnsi="宋体" w:cs="宋体"/>
          <w:color w:val="000000"/>
          <w:sz w:val="22"/>
          <w:szCs w:val="22"/>
          <w:lang w:eastAsia="zh-CN"/>
        </w:rPr>
      </w:pPr>
    </w:p>
    <w:p>
      <w:pPr>
        <w:jc w:val="center"/>
        <w:outlineLvl w:val="1"/>
        <w:rPr>
          <w:rFonts w:ascii="宋体" w:hAnsi="宋体" w:cs="宋体"/>
          <w:color w:val="000000"/>
          <w:sz w:val="28"/>
          <w:szCs w:val="28"/>
          <w:lang w:eastAsia="zh-CN"/>
        </w:rPr>
      </w:pPr>
    </w:p>
    <w:p>
      <w:pPr>
        <w:jc w:val="center"/>
        <w:outlineLvl w:val="1"/>
        <w:rPr>
          <w:rFonts w:ascii="宋体" w:hAnsi="宋体" w:cs="宋体"/>
          <w:color w:val="000000"/>
          <w:sz w:val="28"/>
          <w:szCs w:val="28"/>
          <w:lang w:eastAsia="zh-CN"/>
        </w:rPr>
      </w:pPr>
    </w:p>
    <w:p>
      <w:pPr>
        <w:jc w:val="center"/>
        <w:outlineLvl w:val="1"/>
        <w:rPr>
          <w:rFonts w:ascii="宋体" w:hAnsi="宋体" w:cs="宋体"/>
          <w:color w:val="000000"/>
          <w:sz w:val="28"/>
          <w:szCs w:val="28"/>
          <w:lang w:eastAsia="zh-CN"/>
        </w:rPr>
      </w:pPr>
    </w:p>
    <w:p>
      <w:pPr>
        <w:jc w:val="center"/>
        <w:outlineLvl w:val="1"/>
        <w:rPr>
          <w:rFonts w:ascii="宋体" w:hAnsi="宋体" w:cs="宋体"/>
          <w:color w:val="000000"/>
          <w:sz w:val="28"/>
          <w:szCs w:val="28"/>
          <w:lang w:eastAsia="zh-CN"/>
        </w:rPr>
      </w:pPr>
    </w:p>
    <w:p>
      <w:pPr>
        <w:jc w:val="center"/>
        <w:outlineLvl w:val="1"/>
        <w:rPr>
          <w:rFonts w:ascii="宋体" w:hAnsi="宋体" w:cs="宋体"/>
          <w:color w:val="000000"/>
          <w:sz w:val="28"/>
          <w:szCs w:val="28"/>
          <w:lang w:eastAsia="zh-CN"/>
        </w:rPr>
      </w:pPr>
    </w:p>
    <w:p>
      <w:pPr>
        <w:jc w:val="center"/>
        <w:outlineLvl w:val="1"/>
        <w:rPr>
          <w:rFonts w:ascii="宋体" w:hAnsi="宋体" w:cs="宋体"/>
          <w:color w:val="000000"/>
          <w:sz w:val="28"/>
          <w:szCs w:val="28"/>
          <w:lang w:eastAsia="zh-CN"/>
        </w:rPr>
      </w:pPr>
    </w:p>
    <w:p>
      <w:pPr>
        <w:jc w:val="center"/>
        <w:outlineLvl w:val="1"/>
        <w:rPr>
          <w:rFonts w:ascii="宋体" w:hAnsi="宋体" w:cs="宋体"/>
          <w:color w:val="000000"/>
          <w:sz w:val="28"/>
          <w:szCs w:val="28"/>
          <w:lang w:eastAsia="zh-CN"/>
        </w:rPr>
      </w:pPr>
    </w:p>
    <w:p>
      <w:pPr>
        <w:jc w:val="center"/>
        <w:outlineLvl w:val="1"/>
        <w:rPr>
          <w:rFonts w:ascii="宋体" w:hAnsi="宋体" w:cs="宋体"/>
          <w:color w:val="000000"/>
          <w:sz w:val="28"/>
          <w:szCs w:val="28"/>
          <w:lang w:eastAsia="zh-CN"/>
        </w:rPr>
      </w:pPr>
    </w:p>
    <w:p>
      <w:pPr>
        <w:jc w:val="center"/>
        <w:outlineLvl w:val="1"/>
        <w:rPr>
          <w:rFonts w:ascii="宋体" w:hAnsi="宋体" w:cs="宋体"/>
          <w:color w:val="000000"/>
          <w:sz w:val="32"/>
          <w:szCs w:val="32"/>
          <w:lang w:eastAsia="zh-CN"/>
        </w:rPr>
      </w:pPr>
      <w:r>
        <w:rPr>
          <w:rFonts w:hint="eastAsia" w:ascii="宋体" w:hAnsi="宋体" w:cs="宋体"/>
          <w:color w:val="000000"/>
          <w:sz w:val="36"/>
          <w:szCs w:val="36"/>
          <w:lang w:eastAsia="zh-CN"/>
        </w:rPr>
        <w:t>单位</w:t>
      </w:r>
      <w:r>
        <w:rPr>
          <w:rFonts w:hint="eastAsia" w:ascii="宋体" w:hAnsi="宋体" w:cs="宋体"/>
          <w:color w:val="000000"/>
          <w:sz w:val="40"/>
          <w:szCs w:val="40"/>
          <w:lang w:eastAsia="zh-CN"/>
        </w:rPr>
        <w:t>预算财政拨款“三公”经费支出表</w:t>
      </w:r>
    </w:p>
    <w:p>
      <w:pPr>
        <w:jc w:val="center"/>
        <w:outlineLvl w:val="1"/>
        <w:rPr>
          <w:rFonts w:ascii="宋体" w:hAnsi="宋体" w:cs="宋体"/>
          <w:color w:val="000000"/>
          <w:sz w:val="22"/>
          <w:szCs w:val="22"/>
          <w:lang w:eastAsia="zh-CN"/>
        </w:rPr>
      </w:pPr>
    </w:p>
    <w:tbl>
      <w:tblPr>
        <w:tblStyle w:val="9"/>
        <w:tblW w:w="14040" w:type="dxa"/>
        <w:tblInd w:w="93" w:type="dxa"/>
        <w:tblLayout w:type="autofit"/>
        <w:tblCellMar>
          <w:top w:w="0" w:type="dxa"/>
          <w:left w:w="108" w:type="dxa"/>
          <w:bottom w:w="0" w:type="dxa"/>
          <w:right w:w="108" w:type="dxa"/>
        </w:tblCellMar>
      </w:tblPr>
      <w:tblGrid>
        <w:gridCol w:w="1105"/>
        <w:gridCol w:w="1105"/>
        <w:gridCol w:w="1105"/>
        <w:gridCol w:w="4069"/>
        <w:gridCol w:w="2893"/>
        <w:gridCol w:w="3763"/>
      </w:tblGrid>
      <w:tr>
        <w:tblPrEx>
          <w:tblCellMar>
            <w:top w:w="0" w:type="dxa"/>
            <w:left w:w="108" w:type="dxa"/>
            <w:bottom w:w="0" w:type="dxa"/>
            <w:right w:w="108" w:type="dxa"/>
          </w:tblCellMar>
        </w:tblPrEx>
        <w:trPr>
          <w:trHeight w:val="499"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宋体" w:hAnsi="宋体" w:cs="宋体"/>
                <w:color w:val="000000"/>
                <w:sz w:val="22"/>
                <w:szCs w:val="22"/>
                <w:lang w:val="en-US"/>
              </w:rPr>
            </w:pPr>
            <w:r>
              <w:rPr>
                <w:rFonts w:hint="eastAsia" w:ascii="宋体" w:hAnsi="宋体" w:cs="宋体"/>
                <w:color w:val="000000"/>
                <w:sz w:val="22"/>
                <w:szCs w:val="22"/>
                <w:lang w:eastAsia="zh-CN"/>
              </w:rPr>
              <w:t>预算年度：202</w:t>
            </w:r>
            <w:r>
              <w:rPr>
                <w:rFonts w:hint="eastAsia" w:ascii="宋体" w:hAnsi="宋体" w:cs="宋体"/>
                <w:color w:val="000000"/>
                <w:sz w:val="22"/>
                <w:szCs w:val="22"/>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49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资金性质</w:t>
            </w:r>
          </w:p>
        </w:tc>
      </w:tr>
      <w:tr>
        <w:tblPrEx>
          <w:tblCellMar>
            <w:top w:w="0" w:type="dxa"/>
            <w:left w:w="108" w:type="dxa"/>
            <w:bottom w:w="0" w:type="dxa"/>
            <w:right w:w="108" w:type="dxa"/>
          </w:tblCellMar>
        </w:tblPrEx>
        <w:trPr>
          <w:trHeight w:val="4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政府性基金财政拨款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bl>
    <w:p>
      <w:pPr>
        <w:outlineLvl w:val="1"/>
        <w:rPr>
          <w:rFonts w:ascii="宋体" w:hAnsi="宋体" w:cs="宋体"/>
          <w:color w:val="000000"/>
          <w:sz w:val="28"/>
          <w:szCs w:val="28"/>
          <w:lang w:eastAsia="zh-CN"/>
        </w:rPr>
      </w:pPr>
      <w:r>
        <w:rPr>
          <w:rFonts w:hint="eastAsia" w:ascii="宋体" w:hAnsi="宋体" w:cs="宋体"/>
          <w:color w:val="000000"/>
          <w:sz w:val="28"/>
          <w:szCs w:val="28"/>
          <w:lang w:eastAsia="zh-CN"/>
        </w:rPr>
        <w:t>注:无财政拨款“三公”经费支出表预算，空表列示。</w:t>
      </w:r>
    </w:p>
    <w:p>
      <w:pPr>
        <w:pStyle w:val="24"/>
        <w:rPr>
          <w:lang w:eastAsia="zh-CN"/>
        </w:rPr>
      </w:pPr>
    </w:p>
    <w:p>
      <w:pPr>
        <w:pStyle w:val="24"/>
        <w:rPr>
          <w:lang w:eastAsia="zh-CN"/>
        </w:rPr>
      </w:pPr>
    </w:p>
    <w:p>
      <w:pPr>
        <w:pStyle w:val="24"/>
      </w:pPr>
    </w:p>
    <w:p>
      <w:pPr>
        <w:ind w:firstLine="640"/>
      </w:pPr>
      <w:r>
        <w:rPr>
          <w:rFonts w:hint="eastAsia" w:ascii="方正楷体_GBK" w:hAnsi="方正楷体_GBK" w:eastAsia="方正楷体_GBK" w:cs="方正楷体_GBK"/>
          <w:b/>
          <w:color w:val="000000"/>
          <w:sz w:val="32"/>
          <w:lang w:val="uk-UA"/>
        </w:rPr>
        <w:t>机构设置：</w:t>
      </w:r>
    </w:p>
    <w:p>
      <w:pPr>
        <w:jc w:val="center"/>
      </w:pPr>
      <w:r>
        <w:rPr>
          <w:rFonts w:hint="eastAsia" w:ascii="方正小标宋_GBK" w:hAnsi="方正小标宋_GBK" w:eastAsia="方正小标宋_GBK" w:cs="方正小标宋_GBK"/>
          <w:color w:val="000000"/>
          <w:sz w:val="32"/>
          <w:lang w:val="uk-UA"/>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tcBorders>
              <w:top w:val="single" w:color="000000" w:sz="6" w:space="0"/>
              <w:left w:val="single" w:color="000000" w:sz="6" w:space="0"/>
              <w:bottom w:val="single" w:color="000000" w:sz="6" w:space="0"/>
              <w:right w:val="single" w:color="000000" w:sz="6" w:space="0"/>
            </w:tcBorders>
            <w:vAlign w:val="center"/>
          </w:tcPr>
          <w:p>
            <w:pPr>
              <w:pStyle w:val="17"/>
              <w:rPr>
                <w:kern w:val="2"/>
              </w:rPr>
            </w:pPr>
            <w:r>
              <w:rPr>
                <w:rFonts w:hint="eastAsia"/>
                <w:kern w:val="2"/>
                <w:lang w:val="uk-UA"/>
              </w:rPr>
              <w:t>单位名称</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7"/>
              <w:rPr>
                <w:kern w:val="2"/>
              </w:rPr>
            </w:pPr>
            <w:r>
              <w:rPr>
                <w:rFonts w:hint="eastAsia"/>
                <w:kern w:val="2"/>
                <w:lang w:val="uk-UA"/>
              </w:rPr>
              <w:t>单位性质</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7"/>
              <w:rPr>
                <w:kern w:val="2"/>
              </w:rPr>
            </w:pPr>
            <w:r>
              <w:rPr>
                <w:rFonts w:hint="eastAsia"/>
                <w:kern w:val="2"/>
                <w:lang w:val="uk-UA"/>
              </w:rPr>
              <w:t>单位规格</w:t>
            </w:r>
          </w:p>
        </w:tc>
        <w:tc>
          <w:tcPr>
            <w:tcW w:w="3827" w:type="dxa"/>
            <w:tcBorders>
              <w:top w:val="single" w:color="000000" w:sz="6" w:space="0"/>
              <w:left w:val="single" w:color="000000" w:sz="6" w:space="0"/>
              <w:bottom w:val="single" w:color="000000" w:sz="6" w:space="0"/>
              <w:right w:val="single" w:color="000000" w:sz="6" w:space="0"/>
            </w:tcBorders>
            <w:vAlign w:val="center"/>
          </w:tcPr>
          <w:p>
            <w:pPr>
              <w:pStyle w:val="17"/>
              <w:rPr>
                <w:kern w:val="2"/>
              </w:rPr>
            </w:pPr>
            <w:r>
              <w:rPr>
                <w:rFonts w:hint="eastAsia"/>
                <w:kern w:val="2"/>
                <w:lang w:val="uk-U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tcBorders>
              <w:top w:val="single" w:color="000000" w:sz="6" w:space="0"/>
              <w:left w:val="single" w:color="000000" w:sz="6" w:space="0"/>
              <w:bottom w:val="single" w:color="000000" w:sz="6" w:space="0"/>
              <w:right w:val="single" w:color="000000" w:sz="6" w:space="0"/>
            </w:tcBorders>
            <w:vAlign w:val="center"/>
          </w:tcPr>
          <w:p>
            <w:pPr>
              <w:pStyle w:val="19"/>
              <w:rPr>
                <w:kern w:val="2"/>
              </w:rPr>
            </w:pPr>
            <w:r>
              <w:rPr>
                <w:rFonts w:hint="eastAsia"/>
                <w:kern w:val="2"/>
                <w:lang w:eastAsia="zh-CN"/>
              </w:rPr>
              <w:t>涞水县城区社区管理办公室</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20"/>
              <w:rPr>
                <w:kern w:val="2"/>
              </w:rPr>
            </w:pPr>
            <w:r>
              <w:rPr>
                <w:rFonts w:hint="eastAsia"/>
                <w:kern w:val="2"/>
                <w:lang w:val="uk-UA"/>
              </w:rPr>
              <w:t>行政</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0"/>
              <w:rPr>
                <w:kern w:val="2"/>
              </w:rPr>
            </w:pPr>
            <w:r>
              <w:rPr>
                <w:rFonts w:hint="eastAsia"/>
                <w:kern w:val="2"/>
                <w:lang w:val="uk-UA"/>
              </w:rPr>
              <w:t>正科级</w:t>
            </w:r>
          </w:p>
        </w:tc>
        <w:tc>
          <w:tcPr>
            <w:tcW w:w="3827" w:type="dxa"/>
            <w:tcBorders>
              <w:top w:val="single" w:color="000000" w:sz="6" w:space="0"/>
              <w:left w:val="single" w:color="000000" w:sz="6" w:space="0"/>
              <w:bottom w:val="single" w:color="000000" w:sz="6" w:space="0"/>
              <w:right w:val="single" w:color="000000" w:sz="6" w:space="0"/>
            </w:tcBorders>
            <w:vAlign w:val="center"/>
          </w:tcPr>
          <w:p>
            <w:pPr>
              <w:pStyle w:val="20"/>
              <w:rPr>
                <w:kern w:val="2"/>
              </w:rPr>
            </w:pPr>
            <w:r>
              <w:rPr>
                <w:rFonts w:hint="eastAsia"/>
                <w:kern w:val="2"/>
                <w:lang w:val="uk-UA"/>
              </w:rPr>
              <w:t>财政拨款</w:t>
            </w:r>
          </w:p>
        </w:tc>
      </w:tr>
    </w:tbl>
    <w:p>
      <w:pPr>
        <w:spacing w:before="10" w:after="10"/>
        <w:ind w:firstLine="640"/>
        <w:outlineLvl w:val="5"/>
      </w:pPr>
      <w:r>
        <w:rPr>
          <w:rFonts w:hint="eastAsia" w:ascii="黑体" w:hAnsi="黑体" w:eastAsia="黑体" w:cs="黑体"/>
          <w:color w:val="000000"/>
          <w:sz w:val="32"/>
          <w:lang w:val="uk-UA"/>
        </w:rPr>
        <w:t>二、单位预算安排的总体情况</w:t>
      </w:r>
    </w:p>
    <w:p>
      <w:pPr>
        <w:spacing w:line="500" w:lineRule="exact"/>
        <w:ind w:firstLine="560"/>
      </w:pPr>
      <w:r>
        <w:rPr>
          <w:rFonts w:hint="eastAsia" w:eastAsia="方正仿宋_GBK"/>
          <w:color w:val="000000"/>
          <w:sz w:val="28"/>
          <w:lang w:val="uk-UA"/>
        </w:rPr>
        <w:t>按照预算管理有关规定，目前我省单位预算的编制实行综合预算管理，即全部收入和支出都反映在预算中。</w:t>
      </w:r>
    </w:p>
    <w:p>
      <w:pPr>
        <w:pStyle w:val="33"/>
      </w:pPr>
    </w:p>
    <w:p>
      <w:pPr>
        <w:spacing w:before="10" w:after="10"/>
        <w:ind w:firstLine="640"/>
        <w:outlineLvl w:val="5"/>
      </w:pPr>
      <w:r>
        <w:rPr>
          <w:rFonts w:hint="eastAsia" w:ascii="黑体" w:hAnsi="黑体" w:eastAsia="黑体" w:cs="黑体"/>
          <w:color w:val="000000"/>
          <w:sz w:val="32"/>
          <w:lang w:val="uk-UA"/>
        </w:rPr>
        <w:t>三、机关运行经费安排情况</w:t>
      </w:r>
    </w:p>
    <w:p>
      <w:pPr>
        <w:spacing w:line="500" w:lineRule="exact"/>
        <w:ind w:firstLine="560"/>
        <w:rPr>
          <w:rFonts w:eastAsia="方正仿宋_GBK"/>
          <w:color w:val="000000"/>
          <w:sz w:val="28"/>
        </w:rPr>
      </w:pP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lang w:val="uk-UA"/>
        </w:rPr>
        <w:t>年</w:t>
      </w:r>
      <w:r>
        <w:rPr>
          <w:rFonts w:hint="eastAsia" w:eastAsia="方正仿宋_GBK"/>
          <w:color w:val="000000"/>
          <w:sz w:val="28"/>
          <w:lang w:eastAsia="zh-CN"/>
        </w:rPr>
        <w:t>涞水县城区社区管理办公室</w:t>
      </w:r>
      <w:r>
        <w:rPr>
          <w:rFonts w:hint="eastAsia" w:eastAsia="方正仿宋_GBK"/>
          <w:color w:val="000000"/>
          <w:sz w:val="28"/>
          <w:lang w:val="uk-UA"/>
        </w:rPr>
        <w:t>部门预算安排机关运行经费支出</w:t>
      </w:r>
      <w:r>
        <w:rPr>
          <w:rFonts w:hint="eastAsia" w:eastAsia="方正仿宋_GBK"/>
          <w:color w:val="000000"/>
          <w:sz w:val="28"/>
          <w:lang w:val="en-US" w:eastAsia="zh-CN"/>
        </w:rPr>
        <w:t>374.16</w:t>
      </w:r>
      <w:r>
        <w:rPr>
          <w:rFonts w:hint="eastAsia" w:eastAsia="方正仿宋_GBK"/>
          <w:color w:val="000000"/>
          <w:sz w:val="28"/>
          <w:lang w:val="uk-UA"/>
        </w:rPr>
        <w:t>万元，其中包括办公费</w:t>
      </w:r>
      <w:r>
        <w:rPr>
          <w:rFonts w:hint="eastAsia" w:eastAsia="方正仿宋_GBK"/>
          <w:color w:val="000000"/>
          <w:sz w:val="28"/>
          <w:lang w:eastAsia="zh-CN"/>
        </w:rPr>
        <w:t>3.74</w:t>
      </w:r>
      <w:r>
        <w:rPr>
          <w:rFonts w:hint="eastAsia" w:eastAsia="方正仿宋_GBK"/>
          <w:color w:val="000000"/>
          <w:sz w:val="28"/>
          <w:lang w:val="uk-UA"/>
        </w:rPr>
        <w:t>万元、邮电费</w:t>
      </w:r>
      <w:r>
        <w:rPr>
          <w:rFonts w:eastAsia="方正仿宋_GBK"/>
          <w:color w:val="000000"/>
          <w:sz w:val="28"/>
          <w:lang w:eastAsia="zh-CN"/>
        </w:rPr>
        <w:t>0.36</w:t>
      </w:r>
      <w:r>
        <w:rPr>
          <w:rFonts w:hint="eastAsia" w:eastAsia="方正仿宋_GBK"/>
          <w:color w:val="000000"/>
          <w:sz w:val="28"/>
          <w:lang w:val="uk-UA"/>
        </w:rPr>
        <w:t>万元、</w:t>
      </w:r>
      <w:r>
        <w:rPr>
          <w:rFonts w:hint="eastAsia" w:eastAsia="方正仿宋_GBK"/>
          <w:color w:val="000000"/>
          <w:sz w:val="28"/>
          <w:lang w:eastAsia="zh-CN"/>
        </w:rPr>
        <w:t>取暖费</w:t>
      </w:r>
      <w:r>
        <w:rPr>
          <w:rFonts w:eastAsia="方正仿宋_GBK"/>
          <w:color w:val="000000"/>
          <w:sz w:val="28"/>
          <w:lang w:eastAsia="zh-CN"/>
        </w:rPr>
        <w:t>16.42</w:t>
      </w:r>
      <w:r>
        <w:rPr>
          <w:rFonts w:hint="eastAsia" w:eastAsia="方正仿宋_GBK"/>
          <w:color w:val="000000"/>
          <w:sz w:val="28"/>
          <w:lang w:eastAsia="zh-CN"/>
        </w:rPr>
        <w:t>万元、差旅费</w:t>
      </w:r>
      <w:r>
        <w:rPr>
          <w:rFonts w:eastAsia="方正仿宋_GBK"/>
          <w:color w:val="000000"/>
          <w:sz w:val="28"/>
          <w:lang w:eastAsia="zh-CN"/>
        </w:rPr>
        <w:t>1.</w:t>
      </w:r>
      <w:r>
        <w:rPr>
          <w:rFonts w:hint="eastAsia" w:eastAsia="方正仿宋_GBK"/>
          <w:color w:val="000000"/>
          <w:sz w:val="28"/>
          <w:lang w:eastAsia="zh-CN"/>
        </w:rPr>
        <w:t>7万元、劳务费</w:t>
      </w:r>
      <w:r>
        <w:rPr>
          <w:rFonts w:hint="eastAsia" w:eastAsia="方正仿宋_GBK"/>
          <w:color w:val="000000"/>
          <w:sz w:val="28"/>
          <w:lang w:val="en-US" w:eastAsia="zh-CN"/>
        </w:rPr>
        <w:t>337.36</w:t>
      </w:r>
      <w:r>
        <w:rPr>
          <w:rFonts w:hint="eastAsia" w:eastAsia="方正仿宋_GBK"/>
          <w:color w:val="000000"/>
          <w:sz w:val="28"/>
          <w:lang w:eastAsia="zh-CN"/>
        </w:rPr>
        <w:t>万元、</w:t>
      </w:r>
      <w:r>
        <w:rPr>
          <w:rFonts w:hint="eastAsia" w:eastAsia="方正仿宋_GBK"/>
          <w:color w:val="000000"/>
          <w:sz w:val="28"/>
          <w:lang w:val="uk-UA"/>
        </w:rPr>
        <w:t>公务交通补贴</w:t>
      </w:r>
      <w:r>
        <w:rPr>
          <w:rFonts w:hint="eastAsia" w:eastAsia="方正仿宋_GBK"/>
          <w:color w:val="000000"/>
          <w:sz w:val="28"/>
          <w:lang w:eastAsia="zh-CN"/>
        </w:rPr>
        <w:t>10.32</w:t>
      </w:r>
      <w:r>
        <w:rPr>
          <w:rFonts w:hint="eastAsia" w:eastAsia="方正仿宋_GBK"/>
          <w:color w:val="000000"/>
          <w:sz w:val="28"/>
          <w:lang w:val="uk-UA"/>
        </w:rPr>
        <w:t>万元、工会经费</w:t>
      </w:r>
      <w:r>
        <w:rPr>
          <w:rFonts w:eastAsia="方正仿宋_GBK"/>
          <w:color w:val="000000"/>
          <w:sz w:val="28"/>
          <w:lang w:val="uk-UA" w:eastAsia="zh-CN"/>
        </w:rPr>
        <w:t>1.</w:t>
      </w:r>
      <w:r>
        <w:rPr>
          <w:rFonts w:hint="eastAsia" w:eastAsia="方正仿宋_GBK"/>
          <w:color w:val="000000"/>
          <w:sz w:val="28"/>
          <w:lang w:val="uk-UA" w:eastAsia="zh-CN"/>
        </w:rPr>
        <w:t>5</w:t>
      </w:r>
      <w:r>
        <w:rPr>
          <w:rFonts w:hint="eastAsia" w:eastAsia="方正仿宋_GBK"/>
          <w:color w:val="000000"/>
          <w:sz w:val="28"/>
          <w:lang w:val="en-US" w:eastAsia="zh-CN"/>
        </w:rPr>
        <w:t>4</w:t>
      </w:r>
      <w:r>
        <w:rPr>
          <w:rFonts w:hint="eastAsia" w:eastAsia="方正仿宋_GBK"/>
          <w:color w:val="000000"/>
          <w:sz w:val="28"/>
          <w:lang w:val="uk-UA"/>
        </w:rPr>
        <w:t>万元、职工福利费</w:t>
      </w:r>
      <w:r>
        <w:rPr>
          <w:rFonts w:hint="eastAsia" w:eastAsia="方正仿宋_GBK"/>
          <w:color w:val="000000"/>
          <w:sz w:val="28"/>
          <w:lang w:eastAsia="zh-CN"/>
        </w:rPr>
        <w:t>2.40</w:t>
      </w:r>
      <w:r>
        <w:rPr>
          <w:rFonts w:hint="eastAsia" w:eastAsia="方正仿宋_GBK"/>
          <w:color w:val="000000"/>
          <w:sz w:val="28"/>
          <w:lang w:val="uk-UA"/>
        </w:rPr>
        <w:t>万元</w:t>
      </w:r>
      <w:r>
        <w:rPr>
          <w:rFonts w:hint="eastAsia" w:eastAsia="方正仿宋_GBK"/>
          <w:color w:val="000000"/>
          <w:sz w:val="28"/>
          <w:lang w:val="uk-UA" w:eastAsia="zh-CN"/>
        </w:rPr>
        <w:t>、</w:t>
      </w:r>
      <w:r>
        <w:rPr>
          <w:rFonts w:hint="eastAsia" w:eastAsia="方正仿宋_GBK"/>
          <w:color w:val="000000"/>
          <w:sz w:val="28"/>
          <w:lang w:val="uk-UA"/>
        </w:rPr>
        <w:t>离退休人员公用经费</w:t>
      </w:r>
      <w:r>
        <w:rPr>
          <w:rFonts w:hint="eastAsia" w:eastAsia="方正仿宋_GBK"/>
          <w:color w:val="000000"/>
          <w:sz w:val="28"/>
          <w:lang w:val="uk-UA" w:eastAsia="zh-CN"/>
        </w:rPr>
        <w:t>0.3</w:t>
      </w:r>
      <w:r>
        <w:rPr>
          <w:rFonts w:hint="eastAsia" w:eastAsia="方正仿宋_GBK"/>
          <w:color w:val="000000"/>
          <w:sz w:val="28"/>
          <w:lang w:val="en-US" w:eastAsia="zh-CN"/>
        </w:rPr>
        <w:t>2</w:t>
      </w:r>
      <w:r>
        <w:rPr>
          <w:rFonts w:hint="eastAsia" w:eastAsia="方正仿宋_GBK"/>
          <w:color w:val="000000"/>
          <w:sz w:val="28"/>
          <w:lang w:val="uk-UA" w:eastAsia="zh-CN"/>
        </w:rPr>
        <w:t>万元</w:t>
      </w:r>
      <w:r>
        <w:rPr>
          <w:rFonts w:hint="eastAsia" w:eastAsia="方正仿宋_GBK"/>
          <w:color w:val="000000"/>
          <w:sz w:val="28"/>
          <w:lang w:val="uk-UA"/>
        </w:rPr>
        <w:t>。</w:t>
      </w:r>
    </w:p>
    <w:p>
      <w:pPr>
        <w:pStyle w:val="38"/>
        <w:ind w:left="420" w:firstLine="0" w:firstLineChars="0"/>
        <w:rPr>
          <w:rFonts w:ascii="宋体" w:hAnsi="宋体" w:cs="宋体"/>
          <w:color w:val="000000"/>
          <w:sz w:val="32"/>
          <w:szCs w:val="32"/>
        </w:rPr>
      </w:pPr>
    </w:p>
    <w:p>
      <w:pPr>
        <w:ind w:firstLine="480" w:firstLineChars="150"/>
        <w:rPr>
          <w:rFonts w:ascii="宋体" w:hAnsi="宋体"/>
          <w:b/>
          <w:bCs/>
          <w:sz w:val="28"/>
          <w:szCs w:val="28"/>
        </w:rPr>
      </w:pPr>
      <w:r>
        <w:rPr>
          <w:rFonts w:hint="eastAsia" w:ascii="黑体" w:hAnsi="黑体" w:eastAsia="黑体" w:cs="黑体"/>
          <w:color w:val="000000"/>
          <w:sz w:val="32"/>
          <w:lang w:val="uk-UA"/>
        </w:rPr>
        <w:t>四</w:t>
      </w:r>
      <w:r>
        <w:rPr>
          <w:rFonts w:hint="eastAsia" w:ascii="宋体" w:hAnsi="宋体"/>
          <w:b/>
          <w:bCs/>
          <w:sz w:val="28"/>
          <w:szCs w:val="28"/>
          <w:lang w:eastAsia="zh-CN"/>
        </w:rPr>
        <w:t>、</w:t>
      </w:r>
      <w:r>
        <w:rPr>
          <w:rFonts w:hint="eastAsia" w:ascii="宋体" w:hAnsi="宋体"/>
          <w:b/>
          <w:bCs/>
          <w:sz w:val="28"/>
          <w:szCs w:val="28"/>
        </w:rPr>
        <w:t>财政拨款“三公”经费预算情况</w:t>
      </w:r>
    </w:p>
    <w:p>
      <w:pPr>
        <w:ind w:firstLine="560"/>
        <w:rPr>
          <w:rFonts w:ascii="宋体" w:hAnsi="宋体" w:cs="宋体"/>
          <w:color w:val="000000"/>
          <w:sz w:val="28"/>
          <w:szCs w:val="28"/>
        </w:rPr>
      </w:pPr>
      <w:r>
        <w:rPr>
          <w:rFonts w:hint="eastAsia" w:ascii="宋体" w:hAnsi="宋体" w:cs="宋体"/>
          <w:sz w:val="28"/>
          <w:szCs w:val="28"/>
        </w:rPr>
        <w:t>我单位公车改革</w:t>
      </w:r>
      <w:r>
        <w:rPr>
          <w:rFonts w:ascii="宋体" w:hAnsi="宋体" w:cs="宋体"/>
          <w:sz w:val="28"/>
          <w:szCs w:val="28"/>
        </w:rPr>
        <w:t>,</w:t>
      </w:r>
      <w:r>
        <w:rPr>
          <w:rFonts w:hint="eastAsia" w:ascii="宋体" w:hAnsi="宋体" w:cs="宋体"/>
          <w:sz w:val="28"/>
          <w:szCs w:val="28"/>
        </w:rPr>
        <w:t>公车被取消</w:t>
      </w:r>
      <w:r>
        <w:rPr>
          <w:rFonts w:ascii="宋体" w:hAnsi="宋体" w:cs="宋体"/>
          <w:sz w:val="28"/>
          <w:szCs w:val="28"/>
        </w:rPr>
        <w:t>.</w:t>
      </w:r>
      <w:r>
        <w:rPr>
          <w:rFonts w:hint="eastAsia" w:ascii="宋体" w:hAnsi="宋体" w:cs="宋体"/>
          <w:sz w:val="28"/>
          <w:szCs w:val="28"/>
        </w:rPr>
        <w:t>因此公务用车运行维护费没有。我单位202</w:t>
      </w:r>
      <w:r>
        <w:rPr>
          <w:rFonts w:hint="eastAsia" w:ascii="宋体" w:hAnsi="宋体" w:cs="宋体"/>
          <w:sz w:val="28"/>
          <w:szCs w:val="28"/>
          <w:lang w:val="en-US" w:eastAsia="zh-CN"/>
        </w:rPr>
        <w:t>4</w:t>
      </w:r>
      <w:r>
        <w:rPr>
          <w:rFonts w:hint="eastAsia" w:ascii="宋体" w:hAnsi="宋体" w:cs="宋体"/>
          <w:sz w:val="28"/>
          <w:szCs w:val="28"/>
        </w:rPr>
        <w:t>年计划对公务接待的次数和人数进行缩减，严格控制公务接待的规模，深入贯彻落实《党政机关厉行节约反对浪费条例》，因此在</w:t>
      </w:r>
      <w:r>
        <w:rPr>
          <w:rFonts w:hint="eastAsia" w:ascii="宋体" w:hAnsi="宋体" w:cs="宋体"/>
          <w:color w:val="000000"/>
          <w:sz w:val="28"/>
          <w:szCs w:val="28"/>
        </w:rPr>
        <w:t>202</w:t>
      </w:r>
      <w:r>
        <w:rPr>
          <w:rFonts w:hint="eastAsia" w:ascii="宋体" w:hAnsi="宋体" w:cs="宋体"/>
          <w:color w:val="000000"/>
          <w:sz w:val="28"/>
          <w:szCs w:val="28"/>
          <w:lang w:val="en-US" w:eastAsia="zh-CN"/>
        </w:rPr>
        <w:t>4</w:t>
      </w:r>
      <w:r>
        <w:rPr>
          <w:rFonts w:hint="eastAsia" w:ascii="宋体" w:hAnsi="宋体" w:cs="宋体"/>
          <w:color w:val="000000"/>
          <w:sz w:val="28"/>
          <w:szCs w:val="28"/>
        </w:rPr>
        <w:t>年没有没有做出预算。</w:t>
      </w:r>
    </w:p>
    <w:p>
      <w:pPr>
        <w:spacing w:line="560" w:lineRule="exact"/>
        <w:ind w:firstLine="281" w:firstLineChars="100"/>
        <w:outlineLvl w:val="0"/>
        <w:rPr>
          <w:rFonts w:asciiTheme="minorEastAsia" w:hAnsiTheme="minorEastAsia" w:eastAsiaTheme="minorEastAsia"/>
          <w:b/>
          <w:sz w:val="28"/>
          <w:szCs w:val="28"/>
        </w:rPr>
      </w:pPr>
    </w:p>
    <w:tbl>
      <w:tblPr>
        <w:tblStyle w:val="9"/>
        <w:tblpPr w:leftFromText="180" w:rightFromText="180" w:vertAnchor="text" w:horzAnchor="page" w:tblpX="1396" w:tblpY="560"/>
        <w:tblOverlap w:val="never"/>
        <w:tblW w:w="13760" w:type="dxa"/>
        <w:tblInd w:w="0" w:type="dxa"/>
        <w:tblLayout w:type="fixed"/>
        <w:tblCellMar>
          <w:top w:w="0" w:type="dxa"/>
          <w:left w:w="108" w:type="dxa"/>
          <w:bottom w:w="0" w:type="dxa"/>
          <w:right w:w="108" w:type="dxa"/>
        </w:tblCellMar>
      </w:tblPr>
      <w:tblGrid>
        <w:gridCol w:w="2982"/>
        <w:gridCol w:w="2397"/>
        <w:gridCol w:w="2397"/>
        <w:gridCol w:w="1643"/>
        <w:gridCol w:w="4341"/>
      </w:tblGrid>
      <w:tr>
        <w:tblPrEx>
          <w:tblCellMar>
            <w:top w:w="0" w:type="dxa"/>
            <w:left w:w="108" w:type="dxa"/>
            <w:bottom w:w="0" w:type="dxa"/>
            <w:right w:w="108" w:type="dxa"/>
          </w:tblCellMar>
        </w:tblPrEx>
        <w:trPr>
          <w:trHeight w:val="540" w:hRule="atLeast"/>
        </w:trPr>
        <w:tc>
          <w:tcPr>
            <w:tcW w:w="13760" w:type="dxa"/>
            <w:gridSpan w:val="5"/>
            <w:tcBorders>
              <w:top w:val="nil"/>
              <w:left w:val="nil"/>
              <w:bottom w:val="nil"/>
              <w:right w:val="nil"/>
            </w:tcBorders>
            <w:vAlign w:val="center"/>
          </w:tcPr>
          <w:p>
            <w:pPr>
              <w:spacing w:line="520" w:lineRule="exact"/>
              <w:ind w:firstLine="1600" w:firstLineChars="500"/>
              <w:jc w:val="center"/>
              <w:rPr>
                <w:rFonts w:ascii="黑体" w:hAnsi="黑体" w:eastAsia="黑体"/>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323" w:hRule="atLeast"/>
        </w:trPr>
        <w:tc>
          <w:tcPr>
            <w:tcW w:w="2982" w:type="dxa"/>
            <w:tcBorders>
              <w:top w:val="nil"/>
              <w:left w:val="nil"/>
              <w:bottom w:val="nil"/>
              <w:right w:val="nil"/>
            </w:tcBorders>
            <w:vAlign w:val="center"/>
          </w:tcPr>
          <w:p>
            <w:pPr>
              <w:rPr>
                <w:rFonts w:ascii="宋体" w:hAnsi="宋体" w:cs="宋体"/>
              </w:rPr>
            </w:pPr>
          </w:p>
        </w:tc>
        <w:tc>
          <w:tcPr>
            <w:tcW w:w="2397" w:type="dxa"/>
            <w:tcBorders>
              <w:top w:val="nil"/>
              <w:left w:val="nil"/>
              <w:bottom w:val="nil"/>
              <w:right w:val="nil"/>
            </w:tcBorders>
            <w:vAlign w:val="center"/>
          </w:tcPr>
          <w:p>
            <w:pPr>
              <w:rPr>
                <w:rFonts w:ascii="宋体" w:hAnsi="宋体" w:cs="宋体"/>
              </w:rPr>
            </w:pPr>
          </w:p>
        </w:tc>
        <w:tc>
          <w:tcPr>
            <w:tcW w:w="2397" w:type="dxa"/>
            <w:tcBorders>
              <w:top w:val="nil"/>
              <w:left w:val="nil"/>
              <w:bottom w:val="nil"/>
              <w:right w:val="nil"/>
            </w:tcBorders>
            <w:vAlign w:val="center"/>
          </w:tcPr>
          <w:p>
            <w:pPr>
              <w:rPr>
                <w:rFonts w:ascii="宋体" w:hAnsi="宋体" w:cs="宋体"/>
              </w:rPr>
            </w:pPr>
          </w:p>
        </w:tc>
        <w:tc>
          <w:tcPr>
            <w:tcW w:w="1643" w:type="dxa"/>
            <w:tcBorders>
              <w:top w:val="nil"/>
              <w:left w:val="nil"/>
              <w:bottom w:val="nil"/>
              <w:right w:val="nil"/>
            </w:tcBorders>
            <w:vAlign w:val="center"/>
          </w:tcPr>
          <w:p>
            <w:pPr>
              <w:rPr>
                <w:rFonts w:ascii="宋体" w:hAnsi="宋体" w:cs="宋体"/>
              </w:rPr>
            </w:pPr>
          </w:p>
        </w:tc>
        <w:tc>
          <w:tcPr>
            <w:tcW w:w="4341" w:type="dxa"/>
            <w:tcBorders>
              <w:top w:val="nil"/>
              <w:left w:val="nil"/>
              <w:bottom w:val="nil"/>
              <w:right w:val="nil"/>
            </w:tcBorders>
            <w:vAlign w:val="center"/>
          </w:tcPr>
          <w:p>
            <w:pPr>
              <w:jc w:val="right"/>
              <w:rPr>
                <w:rFonts w:ascii="宋体" w:hAnsi="宋体" w:cs="宋体"/>
              </w:rPr>
            </w:pPr>
            <w:r>
              <w:rPr>
                <w:rFonts w:hint="eastAsia" w:ascii="宋体" w:hAnsi="宋体" w:cs="宋体"/>
              </w:rPr>
              <w:t>单位：万元</w:t>
            </w:r>
          </w:p>
        </w:tc>
      </w:tr>
      <w:tr>
        <w:tblPrEx>
          <w:tblCellMar>
            <w:top w:w="0" w:type="dxa"/>
            <w:left w:w="108" w:type="dxa"/>
            <w:bottom w:w="0" w:type="dxa"/>
            <w:right w:w="108" w:type="dxa"/>
          </w:tblCellMar>
        </w:tblPrEx>
        <w:trPr>
          <w:trHeight w:val="333" w:hRule="atLeast"/>
        </w:trPr>
        <w:tc>
          <w:tcPr>
            <w:tcW w:w="2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项目名称</w:t>
            </w:r>
          </w:p>
        </w:tc>
        <w:tc>
          <w:tcPr>
            <w:tcW w:w="239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w:t>
            </w:r>
            <w:r>
              <w:rPr>
                <w:rFonts w:hint="eastAsia" w:ascii="仿宋_GB2312" w:hAnsi="宋体" w:eastAsia="仿宋_GB2312" w:cs="宋体"/>
                <w:lang w:eastAsia="zh-CN"/>
              </w:rPr>
              <w:t>2</w:t>
            </w:r>
            <w:r>
              <w:rPr>
                <w:rFonts w:hint="eastAsia" w:ascii="仿宋_GB2312" w:hAnsi="宋体" w:eastAsia="仿宋_GB2312" w:cs="宋体"/>
              </w:rPr>
              <w:t>年度预算</w:t>
            </w:r>
          </w:p>
        </w:tc>
        <w:tc>
          <w:tcPr>
            <w:tcW w:w="239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2023年度预算</w:t>
            </w:r>
          </w:p>
        </w:tc>
        <w:tc>
          <w:tcPr>
            <w:tcW w:w="164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增减金额</w:t>
            </w:r>
          </w:p>
        </w:tc>
        <w:tc>
          <w:tcPr>
            <w:tcW w:w="434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变化原因</w:t>
            </w:r>
          </w:p>
        </w:tc>
      </w:tr>
      <w:tr>
        <w:tblPrEx>
          <w:tblCellMar>
            <w:top w:w="0" w:type="dxa"/>
            <w:left w:w="108" w:type="dxa"/>
            <w:bottom w:w="0" w:type="dxa"/>
            <w:right w:w="108" w:type="dxa"/>
          </w:tblCellMar>
        </w:tblPrEx>
        <w:trPr>
          <w:trHeight w:val="333"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因公出国经费</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64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34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333"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公务用车购置经费</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64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34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602"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公务用车维护经费</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64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34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公务用车改革后公车取消</w:t>
            </w:r>
          </w:p>
        </w:tc>
      </w:tr>
      <w:tr>
        <w:tblPrEx>
          <w:tblCellMar>
            <w:top w:w="0" w:type="dxa"/>
            <w:left w:w="108" w:type="dxa"/>
            <w:bottom w:w="0" w:type="dxa"/>
            <w:right w:w="108" w:type="dxa"/>
          </w:tblCellMar>
        </w:tblPrEx>
        <w:trPr>
          <w:trHeight w:val="898"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公务接待费支出</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64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34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厉行节约，杜绝浪费</w:t>
            </w:r>
          </w:p>
        </w:tc>
      </w:tr>
      <w:tr>
        <w:tblPrEx>
          <w:tblCellMar>
            <w:top w:w="0" w:type="dxa"/>
            <w:left w:w="108" w:type="dxa"/>
            <w:bottom w:w="0" w:type="dxa"/>
            <w:right w:w="108" w:type="dxa"/>
          </w:tblCellMar>
        </w:tblPrEx>
        <w:trPr>
          <w:trHeight w:val="2285"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合计</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64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34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2023年，我单位针对三公经费支出制定了严格的管理制度，认真执行</w:t>
            </w:r>
            <w:r>
              <w:rPr>
                <w:rFonts w:hint="eastAsia" w:ascii="仿宋_GB2312" w:hAnsi="宋体" w:eastAsia="仿宋_GB2312" w:cs="宋体"/>
                <w:lang w:eastAsia="zh-CN"/>
              </w:rPr>
              <w:t>中央八项规定</w:t>
            </w:r>
            <w:r>
              <w:rPr>
                <w:rFonts w:hint="eastAsia" w:ascii="仿宋_GB2312" w:hAnsi="宋体" w:eastAsia="仿宋_GB2312" w:cs="宋体"/>
              </w:rPr>
              <w:t>，厉行节约，杜绝浪费。从总量来讲，三公经费与2021年相比无增减变化。</w:t>
            </w:r>
          </w:p>
        </w:tc>
      </w:tr>
    </w:tbl>
    <w:p>
      <w:pPr>
        <w:spacing w:line="560" w:lineRule="exact"/>
        <w:ind w:firstLine="281" w:firstLineChars="100"/>
        <w:outlineLvl w:val="0"/>
        <w:rPr>
          <w:rFonts w:asciiTheme="minorEastAsia" w:hAnsiTheme="minorEastAsia" w:eastAsiaTheme="minorEastAsia"/>
          <w:b/>
          <w:sz w:val="28"/>
          <w:szCs w:val="28"/>
        </w:rPr>
      </w:pPr>
      <w:r>
        <w:rPr>
          <w:rFonts w:hint="eastAsia" w:asciiTheme="minorEastAsia" w:hAnsiTheme="minorEastAsia" w:eastAsiaTheme="minorEastAsia"/>
          <w:b/>
          <w:sz w:val="28"/>
          <w:szCs w:val="28"/>
        </w:rPr>
        <w:t>五、绩效预算信息情况</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第一部分 部门整体绩效目标</w:t>
      </w:r>
    </w:p>
    <w:p>
      <w:pPr>
        <w:ind w:firstLine="560" w:firstLineChars="200"/>
        <w:outlineLvl w:val="1"/>
        <w:rPr>
          <w:rFonts w:hAnsi="宋体"/>
          <w:sz w:val="28"/>
        </w:rPr>
      </w:pPr>
      <w:r>
        <w:rPr>
          <w:rFonts w:hint="eastAsia" w:ascii="方正黑体_GBK" w:eastAsia="方正黑体_GBK"/>
          <w:sz w:val="28"/>
        </w:rPr>
        <w:t>一、总体绩效目标</w:t>
      </w:r>
      <w:r>
        <w:rPr>
          <w:rFonts w:ascii="方正黑体_GBK" w:eastAsia="方正黑体_GBK"/>
          <w:sz w:val="28"/>
        </w:rPr>
        <w:fldChar w:fldCharType="begin"/>
      </w:r>
      <w:r>
        <w:rPr>
          <w:rFonts w:hint="eastAsia" w:ascii="方正黑体_GBK" w:eastAsia="方正黑体_GBK"/>
          <w:sz w:val="28"/>
        </w:rPr>
        <w:instrText xml:space="preserve">TC </w:instrText>
      </w:r>
      <w:bookmarkStart w:id="3" w:name="_Toc30003466"/>
      <w:r>
        <w:rPr>
          <w:rFonts w:hint="eastAsia" w:ascii="方正黑体_GBK" w:eastAsia="方正黑体_GBK"/>
          <w:sz w:val="28"/>
        </w:rPr>
        <w:instrText xml:space="preserve">总体绩效目标</w:instrText>
      </w:r>
      <w:bookmarkEnd w:id="3"/>
      <w:r>
        <w:rPr>
          <w:rFonts w:hint="eastAsia" w:ascii="方正黑体_GBK" w:eastAsia="方正黑体_GBK"/>
          <w:sz w:val="28"/>
        </w:rPr>
        <w:instrText xml:space="preserve"> \f A \l 1</w:instrText>
      </w:r>
      <w:r>
        <w:rPr>
          <w:rFonts w:ascii="方正黑体_GBK" w:eastAsia="方正黑体_GBK"/>
          <w:sz w:val="28"/>
        </w:rPr>
        <w:fldChar w:fldCharType="end"/>
      </w:r>
    </w:p>
    <w:p>
      <w:pPr>
        <w:spacing w:line="500" w:lineRule="exact"/>
        <w:ind w:firstLine="700" w:firstLineChars="250"/>
        <w:rPr>
          <w:rFonts w:eastAsia="方正仿宋_GBK"/>
          <w:sz w:val="28"/>
        </w:rPr>
      </w:pPr>
      <w:r>
        <w:rPr>
          <w:rFonts w:eastAsia="方正仿宋_GBK"/>
          <w:sz w:val="28"/>
        </w:rPr>
        <w:t>以党的十九大</w:t>
      </w:r>
      <w:r>
        <w:rPr>
          <w:rFonts w:hint="eastAsia" w:eastAsia="方正仿宋_GBK"/>
          <w:sz w:val="28"/>
          <w:lang w:eastAsia="zh-CN"/>
        </w:rPr>
        <w:t>精神</w:t>
      </w:r>
      <w:r>
        <w:rPr>
          <w:rFonts w:eastAsia="方正仿宋_GBK"/>
          <w:sz w:val="28"/>
        </w:rPr>
        <w:t>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before="10" w:after="10"/>
        <w:ind w:firstLine="560"/>
        <w:outlineLvl w:val="1"/>
      </w:pPr>
      <w:bookmarkStart w:id="4" w:name="_Toc_2_2_0000000002"/>
      <w:r>
        <w:rPr>
          <w:rFonts w:ascii="方正黑体_GBK" w:hAnsi="方正黑体_GBK" w:eastAsia="方正黑体_GBK" w:cs="方正黑体_GBK"/>
          <w:color w:val="000000"/>
          <w:sz w:val="28"/>
        </w:rPr>
        <w:t>二、分项绩效目标</w:t>
      </w:r>
      <w:bookmarkEnd w:id="4"/>
    </w:p>
    <w:p>
      <w:pPr>
        <w:pStyle w:val="29"/>
      </w:pPr>
      <w:r>
        <w:t>（一）党的基层组织建设</w:t>
      </w:r>
    </w:p>
    <w:p>
      <w:pPr>
        <w:pStyle w:val="29"/>
      </w:pPr>
      <w:r>
        <w:t>绩效目标：党的基层组织建设、党的纪律检查工作；机关日常党务、政务协调管理；人大、群团、武装等相关工作。</w:t>
      </w:r>
    </w:p>
    <w:p>
      <w:pPr>
        <w:pStyle w:val="29"/>
      </w:pPr>
      <w:r>
        <w:t>绩效指标：落实村级补助专项资金，确保农村党的基层组织正常运转。</w:t>
      </w:r>
    </w:p>
    <w:p>
      <w:pPr>
        <w:pStyle w:val="29"/>
      </w:pPr>
      <w:r>
        <w:t>（二）食品安全工作</w:t>
      </w:r>
    </w:p>
    <w:p>
      <w:pPr>
        <w:pStyle w:val="29"/>
      </w:pPr>
      <w:r>
        <w:t>绩效目标：落实食品生产经营者主体责任，严格监管食品生产经营活动，严厉惩处涉及食品安全的违法犯罪行为。</w:t>
      </w:r>
    </w:p>
    <w:p>
      <w:pPr>
        <w:pStyle w:val="29"/>
      </w:pPr>
      <w:r>
        <w:t>绩效指标：组织宣传活动次数不少于5次，抽查对象的数量占全部对象的比率大于等于85%，通过对食品安全的监管，确保本地区食品安全，接受食品安全监管的人群对食品安全监管工作的满意程度大于等于85%。</w:t>
      </w:r>
    </w:p>
    <w:p>
      <w:pPr>
        <w:pStyle w:val="29"/>
      </w:pPr>
      <w:r>
        <w:t>（三）社区文化建设</w:t>
      </w:r>
    </w:p>
    <w:p>
      <w:pPr>
        <w:pStyle w:val="29"/>
      </w:pPr>
      <w:r>
        <w:t>绩效目标：坚持先进文化前进方向，全面广泛地开展群众文化活动，繁荣农民群众精神文化生活，规范管理文化活动专项资金确保专款专用，最大限度发挥和提高资金的使用效益。</w:t>
      </w:r>
    </w:p>
    <w:p>
      <w:pPr>
        <w:pStyle w:val="29"/>
      </w:pPr>
      <w:r>
        <w:t>绩效指标：各类公共文化服务活动组织开展的数量不少于10次，文化设施达标率大于等于85%，收藏及保管物品完好率大于等于85%，通过支持重点宣传文化项目建设，带动全县宣传文化事业发展，群众对当年农村文化活动开展整体满意度大于等于85%。</w:t>
      </w:r>
    </w:p>
    <w:p>
      <w:pPr>
        <w:pStyle w:val="29"/>
      </w:pPr>
      <w:r>
        <w:t>（四）社区纪律检查</w:t>
      </w:r>
    </w:p>
    <w:p>
      <w:pPr>
        <w:pStyle w:val="29"/>
      </w:pPr>
      <w:r>
        <w:t>绩效目标：认真落实纪检部门各项任务，加强监督检查，促进党风廉政建设。</w:t>
      </w:r>
    </w:p>
    <w:p>
      <w:pPr>
        <w:pStyle w:val="29"/>
      </w:pPr>
      <w:r>
        <w:t>绩效指标：组织召开监督检查会议的次数不少于5次，办结案件数量占立案案件总数的比率大于85% ，问题整改率大于等于85%，通过实施纪检监督政策促进社会稳定水平逐步提高，群众对当年纪检监督工作的整体满意度大于85%。</w:t>
      </w:r>
    </w:p>
    <w:p>
      <w:pPr>
        <w:pStyle w:val="29"/>
      </w:pPr>
      <w:r>
        <w:t>（五）综合治理及信访稳定</w:t>
      </w:r>
    </w:p>
    <w:p>
      <w:pPr>
        <w:pStyle w:val="29"/>
      </w:pPr>
      <w:r>
        <w:t>绩效目标：加强综合治理，妥善处理突发性、群体性事件，调节和处理好各种利益矛盾和纠纷；落实各项管理措施，维护农村社会稳定；负责本社区的普法宣传教育及法律服务；负责信访稳定工作。</w:t>
      </w:r>
    </w:p>
    <w:p>
      <w:pPr>
        <w:pStyle w:val="29"/>
      </w:pPr>
      <w:r>
        <w:t>绩效指标：重点人员稳控率大于等于85%，重大安保任务完成率大于等于85%，退役安置满意度大于等于85% ，通过维稳工作开展，促进社会稳定水平逐步提高，群众满意度大于85%。</w:t>
      </w:r>
    </w:p>
    <w:p>
      <w:pPr>
        <w:pStyle w:val="29"/>
      </w:pPr>
      <w:r>
        <w:t>（六）财政所工作</w:t>
      </w:r>
    </w:p>
    <w:p>
      <w:pPr>
        <w:pStyle w:val="29"/>
      </w:pPr>
      <w:r>
        <w:t>绩效目标：配合社区完成各项上级财政拨款，落实到位，保障惠民政策落实到位，做好财政国库支付电子化工作。 </w:t>
      </w:r>
    </w:p>
    <w:p>
      <w:pPr>
        <w:pStyle w:val="29"/>
      </w:pPr>
      <w:r>
        <w:t>绩效指标：项目资金有效使用率大于等于85% ，财政所工作开展完成率大于85%，通过开展乡镇财政工作促进乡镇经济逐步提高，接受财政所服务的人群对财政所提供服务的满意程度大于等于85% 。</w:t>
      </w:r>
    </w:p>
    <w:p>
      <w:pPr>
        <w:pStyle w:val="29"/>
      </w:pPr>
      <w:r>
        <w:t>（七）团委工作</w:t>
      </w:r>
    </w:p>
    <w:p>
      <w:pPr>
        <w:pStyle w:val="29"/>
      </w:pPr>
      <w:r>
        <w:t>绩效目标：科学地继承和发扬共青团的优良传统，创新团的工作，找准新时代的中心定位，把各项改革措施不折不扣落实到位。      </w:t>
      </w:r>
    </w:p>
    <w:p>
      <w:pPr>
        <w:pStyle w:val="29"/>
      </w:pPr>
      <w:r>
        <w:t>绩效指标：在新闻媒体开办宣传专栏的数量不少于5个，制作宣传品的数量不少于2000份，参与决策咨询活动次数不少于5 次，在本地区产生的重要影响，得到广大受众的充分认可，群众对团委工作的整体满意度大于等于85%。  </w:t>
      </w:r>
    </w:p>
    <w:p>
      <w:pPr>
        <w:pStyle w:val="29"/>
      </w:pPr>
      <w:r>
        <w:t>（八）人大主席团活动</w:t>
      </w:r>
    </w:p>
    <w:p>
      <w:pPr>
        <w:pStyle w:val="29"/>
      </w:pPr>
      <w:r>
        <w:t>绩效目标：为了更好落实中央2015（18）号文件精神和省委市委落实中央18号文件的意见，切实加强基层人大建设，保障乡人大主席团的正常运转。</w:t>
      </w:r>
    </w:p>
    <w:p>
      <w:pPr>
        <w:pStyle w:val="29"/>
        <w:rPr>
          <w:lang w:eastAsia="zh-CN"/>
        </w:rPr>
      </w:pPr>
      <w:r>
        <w:t>绩效指标：工作经费使用率大于等于85%，工作经费拨付率大于等于85%，参与决策咨询活动次数不少于5次，在本地区产生的重要影响，得到广大受众的充分认可，群众对当年人大主席团工作的整体满意度大于等于85%。</w:t>
      </w:r>
    </w:p>
    <w:p>
      <w:pPr>
        <w:spacing w:before="10" w:after="10"/>
        <w:ind w:firstLine="560"/>
        <w:outlineLvl w:val="1"/>
      </w:pPr>
      <w:bookmarkStart w:id="5" w:name="_Toc_2_2_0000000003"/>
      <w:r>
        <w:rPr>
          <w:rFonts w:ascii="方正黑体_GBK" w:hAnsi="方正黑体_GBK" w:eastAsia="方正黑体_GBK" w:cs="方正黑体_GBK"/>
          <w:color w:val="000000"/>
          <w:sz w:val="28"/>
        </w:rPr>
        <w:t>三、工作保障措施</w:t>
      </w:r>
      <w:bookmarkEnd w:id="5"/>
    </w:p>
    <w:p>
      <w:pPr>
        <w:spacing w:line="500" w:lineRule="exact"/>
        <w:ind w:firstLine="560" w:firstLineChars="200"/>
        <w:rPr>
          <w:rFonts w:eastAsia="方正仿宋_GBK"/>
          <w:sz w:val="28"/>
        </w:rPr>
      </w:pPr>
      <w:r>
        <w:rPr>
          <w:rFonts w:eastAsia="方正仿宋_GBK"/>
          <w:sz w:val="28"/>
        </w:rPr>
        <w:t>（一）完善制度建设。制定完善本社区预算绩效管理制度、资金管理办法、工作保障制度等，为本乡镇全年预算绩效目标的实现奠定制度基础。</w:t>
      </w:r>
    </w:p>
    <w:p>
      <w:pPr>
        <w:spacing w:line="500" w:lineRule="exact"/>
        <w:ind w:firstLine="560" w:firstLineChars="200"/>
        <w:rPr>
          <w:rFonts w:eastAsia="方正仿宋_GBK"/>
          <w:sz w:val="28"/>
        </w:rPr>
      </w:pPr>
      <w:r>
        <w:rPr>
          <w:rFonts w:eastAsia="方正仿宋_GBK"/>
          <w:sz w:val="28"/>
        </w:rPr>
        <w:t>（二）加强支出管理。通过优化支出结构、编细编实预算、加快履行政府采购手续、尽快启动项目、及时支付资金、6月底前细化代编预算、按规定及时下达资金等多种措施，确保支出进度达标。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560" w:firstLineChars="200"/>
        <w:rPr>
          <w:rFonts w:eastAsia="方正仿宋_GBK"/>
          <w:sz w:val="28"/>
        </w:rPr>
      </w:pPr>
      <w:r>
        <w:rPr>
          <w:rFonts w:eastAsia="方正仿宋_GBK"/>
          <w:sz w:val="28"/>
        </w:rPr>
        <w:t>（三）加强绩效运行监控。按要求开展绩效运行监控，发现问题及时采取措施，确保绩效目标如期保质实现。</w:t>
      </w:r>
    </w:p>
    <w:p>
      <w:pPr>
        <w:spacing w:line="500" w:lineRule="exact"/>
        <w:ind w:firstLine="560" w:firstLineChars="200"/>
        <w:rPr>
          <w:rFonts w:eastAsia="方正仿宋_GBK"/>
          <w:sz w:val="28"/>
        </w:rPr>
      </w:pPr>
      <w:r>
        <w:rPr>
          <w:rFonts w:eastAsia="方正仿宋_GBK"/>
          <w:sz w:val="28"/>
        </w:rPr>
        <w:t>（四）做好绩效自评。按要求开展上年度部门预算绩效自评和重点评价工作，对评价中发现的问题及时整改，调整优化支出结构，提高财政资金使用效益。</w:t>
      </w:r>
    </w:p>
    <w:p>
      <w:pPr>
        <w:spacing w:line="500" w:lineRule="exact"/>
        <w:ind w:firstLine="560" w:firstLineChars="200"/>
        <w:rPr>
          <w:rFonts w:eastAsia="方正仿宋_GBK"/>
          <w:sz w:val="28"/>
        </w:rPr>
      </w:pPr>
      <w:r>
        <w:rPr>
          <w:rFonts w:eastAsia="方正仿宋_GBK"/>
          <w:sz w:val="28"/>
        </w:rPr>
        <w:t>（五）规范财务资产管理。完善财务管理制度，严格审批程序，加强固定资产登记、使用和报废处置管理，做到支出合理，物尽其用。</w:t>
      </w:r>
    </w:p>
    <w:p>
      <w:pPr>
        <w:spacing w:line="500" w:lineRule="exact"/>
        <w:ind w:firstLine="560" w:firstLineChars="200"/>
        <w:rPr>
          <w:rFonts w:eastAsia="方正仿宋_GBK"/>
          <w:sz w:val="28"/>
        </w:rPr>
      </w:pPr>
      <w:r>
        <w:rPr>
          <w:rFonts w:eastAsia="方正仿宋_GBK"/>
          <w:sz w:val="28"/>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560" w:firstLineChars="200"/>
        <w:rPr>
          <w:rFonts w:eastAsia="方正仿宋_GBK"/>
          <w:sz w:val="28"/>
          <w:lang w:eastAsia="zh-CN"/>
        </w:rPr>
      </w:pPr>
    </w:p>
    <w:p>
      <w:pPr>
        <w:spacing w:line="500" w:lineRule="exact"/>
        <w:ind w:firstLine="560" w:firstLineChars="200"/>
        <w:rPr>
          <w:rFonts w:eastAsia="方正仿宋_GBK"/>
          <w:sz w:val="28"/>
          <w:lang w:eastAsia="zh-CN"/>
        </w:rPr>
      </w:pPr>
    </w:p>
    <w:p>
      <w:pPr>
        <w:spacing w:line="500" w:lineRule="exact"/>
        <w:ind w:firstLine="560" w:firstLineChars="200"/>
        <w:rPr>
          <w:rFonts w:eastAsia="方正仿宋_GBK"/>
          <w:sz w:val="28"/>
          <w:lang w:eastAsia="zh-CN"/>
        </w:rPr>
      </w:pPr>
    </w:p>
    <w:p>
      <w:pPr>
        <w:spacing w:line="500" w:lineRule="exact"/>
        <w:ind w:firstLine="560" w:firstLineChars="200"/>
        <w:rPr>
          <w:rFonts w:eastAsia="方正仿宋_GBK"/>
          <w:sz w:val="28"/>
          <w:lang w:eastAsia="zh-CN"/>
        </w:rPr>
      </w:pPr>
    </w:p>
    <w:p>
      <w:pPr>
        <w:spacing w:line="500" w:lineRule="exact"/>
        <w:ind w:firstLine="560" w:firstLineChars="200"/>
        <w:rPr>
          <w:rFonts w:eastAsia="方正仿宋_GBK"/>
          <w:sz w:val="28"/>
          <w:lang w:eastAsia="zh-CN"/>
        </w:rPr>
      </w:pPr>
    </w:p>
    <w:p>
      <w:pPr>
        <w:spacing w:line="500" w:lineRule="exact"/>
        <w:ind w:firstLine="560" w:firstLineChars="200"/>
        <w:rPr>
          <w:rFonts w:hint="eastAsia" w:eastAsia="方正仿宋_GBK"/>
          <w:sz w:val="28"/>
          <w:lang w:eastAsia="zh-CN"/>
        </w:rPr>
      </w:pPr>
    </w:p>
    <w:p>
      <w:pPr>
        <w:spacing w:line="500" w:lineRule="exact"/>
        <w:ind w:firstLine="560" w:firstLineChars="200"/>
        <w:rPr>
          <w:rFonts w:hint="eastAsia" w:eastAsia="方正仿宋_GBK"/>
          <w:sz w:val="28"/>
          <w:lang w:eastAsia="zh-CN"/>
        </w:rPr>
      </w:pPr>
    </w:p>
    <w:p>
      <w:pPr>
        <w:spacing w:line="500" w:lineRule="exact"/>
        <w:ind w:firstLine="560" w:firstLineChars="200"/>
        <w:rPr>
          <w:rFonts w:hint="eastAsia" w:eastAsia="方正仿宋_GBK"/>
          <w:sz w:val="28"/>
          <w:lang w:eastAsia="zh-CN"/>
        </w:rPr>
      </w:pPr>
    </w:p>
    <w:p>
      <w:pPr>
        <w:spacing w:line="500" w:lineRule="exact"/>
        <w:ind w:firstLine="560" w:firstLineChars="200"/>
        <w:rPr>
          <w:rFonts w:hint="eastAsia" w:eastAsia="方正仿宋_GBK"/>
          <w:sz w:val="28"/>
          <w:lang w:eastAsia="zh-CN"/>
        </w:rPr>
      </w:pPr>
    </w:p>
    <w:p>
      <w:pPr>
        <w:spacing w:line="500" w:lineRule="exact"/>
        <w:ind w:firstLine="560" w:firstLineChars="200"/>
        <w:rPr>
          <w:rFonts w:hint="eastAsia" w:eastAsia="方正仿宋_GBK"/>
          <w:sz w:val="28"/>
          <w:lang w:eastAsia="zh-CN"/>
        </w:rPr>
      </w:pPr>
    </w:p>
    <w:p>
      <w:pPr>
        <w:spacing w:line="500" w:lineRule="exact"/>
        <w:ind w:firstLine="560" w:firstLineChars="200"/>
        <w:rPr>
          <w:rFonts w:eastAsia="方正仿宋_GBK"/>
          <w:sz w:val="28"/>
          <w:lang w:eastAsia="zh-CN"/>
        </w:rPr>
      </w:pPr>
    </w:p>
    <w:p>
      <w:pPr>
        <w:pStyle w:val="30"/>
        <w:ind w:firstLine="562" w:firstLineChars="200"/>
        <w:rPr>
          <w:rFonts w:asciiTheme="majorEastAsia" w:hAnsiTheme="majorEastAsia" w:eastAsiaTheme="majorEastAsia"/>
          <w:b/>
          <w:lang w:eastAsia="zh-CN"/>
        </w:rPr>
      </w:pPr>
      <w:r>
        <w:rPr>
          <w:rFonts w:hint="eastAsia" w:asciiTheme="majorEastAsia" w:hAnsiTheme="majorEastAsia" w:eastAsiaTheme="majorEastAsia"/>
          <w:b/>
        </w:rPr>
        <w:t>第二部门</w:t>
      </w:r>
      <w:r>
        <w:rPr>
          <w:rFonts w:hint="eastAsia" w:asciiTheme="majorEastAsia" w:hAnsiTheme="majorEastAsia" w:eastAsiaTheme="majorEastAsia"/>
          <w:b/>
          <w:szCs w:val="28"/>
        </w:rPr>
        <w:t>预算项目</w:t>
      </w:r>
      <w:bookmarkStart w:id="6" w:name="_Toc_4_4_0000000004"/>
    </w:p>
    <w:p>
      <w:pPr>
        <w:ind w:firstLine="560"/>
        <w:outlineLvl w:val="3"/>
      </w:pPr>
      <w:r>
        <w:rPr>
          <w:rFonts w:ascii="方正仿宋_GBK" w:hAnsi="方正仿宋_GBK" w:eastAsia="方正仿宋_GBK" w:cs="方正仿宋_GBK"/>
          <w:color w:val="000000"/>
          <w:sz w:val="28"/>
        </w:rPr>
        <w:t>1.202</w:t>
      </w: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年国有企业退休人员社会化省级补助资金冀财资[202</w:t>
      </w: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15</w:t>
      </w:r>
      <w:r>
        <w:rPr>
          <w:rFonts w:ascii="方正仿宋_GBK" w:hAnsi="方正仿宋_GBK" w:eastAsia="方正仿宋_GBK" w:cs="方正仿宋_GBK"/>
          <w:color w:val="000000"/>
          <w:sz w:val="28"/>
        </w:rPr>
        <w:t>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899001涞水县城区社区管理办公室本级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13062323P00933510001A</w:t>
            </w:r>
          </w:p>
        </w:tc>
        <w:tc>
          <w:tcPr>
            <w:tcW w:w="1587" w:type="dxa"/>
            <w:vAlign w:val="center"/>
          </w:tcPr>
          <w:p>
            <w:pPr>
              <w:pStyle w:val="17"/>
            </w:pPr>
            <w:r>
              <w:t>项目名称</w:t>
            </w:r>
          </w:p>
        </w:tc>
        <w:tc>
          <w:tcPr>
            <w:tcW w:w="4422" w:type="dxa"/>
            <w:gridSpan w:val="3"/>
            <w:vAlign w:val="center"/>
          </w:tcPr>
          <w:p>
            <w:pPr>
              <w:pStyle w:val="19"/>
            </w:pPr>
            <w:r>
              <w:t>202</w:t>
            </w:r>
            <w:r>
              <w:rPr>
                <w:rFonts w:hint="eastAsia"/>
                <w:lang w:val="en-US" w:eastAsia="zh-CN"/>
              </w:rPr>
              <w:t>4</w:t>
            </w:r>
            <w:r>
              <w:t>年国有企业退休人员社会化省级补助资金冀财资[202</w:t>
            </w:r>
            <w:r>
              <w:rPr>
                <w:rFonts w:hint="eastAsia"/>
                <w:lang w:val="en-US" w:eastAsia="zh-CN"/>
              </w:rPr>
              <w:t>3</w:t>
            </w:r>
            <w:r>
              <w:t>]1</w:t>
            </w:r>
            <w:r>
              <w:rPr>
                <w:rFonts w:hint="eastAsia"/>
                <w:lang w:val="en-US" w:eastAsia="zh-CN"/>
              </w:rPr>
              <w:t>15</w:t>
            </w:r>
            <w: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202</w:t>
            </w:r>
            <w:r>
              <w:rPr>
                <w:rFonts w:hint="eastAsia"/>
                <w:lang w:val="en-US" w:eastAsia="zh-CN"/>
              </w:rPr>
              <w:t>4</w:t>
            </w:r>
            <w:r>
              <w:t>年国有企业退休人员社会化管理省级补助资金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1.加快退休社会化管理，提升退休人员生活保障</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退休人员人数</w:t>
            </w:r>
          </w:p>
        </w:tc>
        <w:tc>
          <w:tcPr>
            <w:tcW w:w="2891" w:type="dxa"/>
            <w:vAlign w:val="center"/>
          </w:tcPr>
          <w:p>
            <w:pPr>
              <w:pStyle w:val="19"/>
            </w:pPr>
            <w:r>
              <w:t>退休人员人数</w:t>
            </w:r>
          </w:p>
        </w:tc>
        <w:tc>
          <w:tcPr>
            <w:tcW w:w="1276" w:type="dxa"/>
            <w:vAlign w:val="center"/>
          </w:tcPr>
          <w:p>
            <w:pPr>
              <w:pStyle w:val="19"/>
            </w:pPr>
            <w:r>
              <w:t>≥20人</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资金到位率</w:t>
            </w:r>
          </w:p>
        </w:tc>
        <w:tc>
          <w:tcPr>
            <w:tcW w:w="1276" w:type="dxa"/>
            <w:vAlign w:val="center"/>
          </w:tcPr>
          <w:p>
            <w:pPr>
              <w:pStyle w:val="19"/>
            </w:pPr>
            <w:r>
              <w:t>≥100安序时进度拨付</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发放及时性</w:t>
            </w:r>
          </w:p>
        </w:tc>
        <w:tc>
          <w:tcPr>
            <w:tcW w:w="2891" w:type="dxa"/>
            <w:vAlign w:val="center"/>
          </w:tcPr>
          <w:p>
            <w:pPr>
              <w:pStyle w:val="19"/>
            </w:pPr>
            <w:r>
              <w:t>发放及时性</w:t>
            </w:r>
          </w:p>
        </w:tc>
        <w:tc>
          <w:tcPr>
            <w:tcW w:w="1276" w:type="dxa"/>
            <w:vAlign w:val="center"/>
          </w:tcPr>
          <w:p>
            <w:pPr>
              <w:pStyle w:val="19"/>
            </w:pPr>
            <w:r>
              <w:t>≥95</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补贴发放标准</w:t>
            </w:r>
          </w:p>
        </w:tc>
        <w:tc>
          <w:tcPr>
            <w:tcW w:w="2891" w:type="dxa"/>
            <w:vAlign w:val="center"/>
          </w:tcPr>
          <w:p>
            <w:pPr>
              <w:pStyle w:val="19"/>
            </w:pPr>
            <w:r>
              <w:t>补贴发放标准</w:t>
            </w:r>
          </w:p>
        </w:tc>
        <w:tc>
          <w:tcPr>
            <w:tcW w:w="1276" w:type="dxa"/>
            <w:vAlign w:val="center"/>
          </w:tcPr>
          <w:p>
            <w:pPr>
              <w:pStyle w:val="19"/>
            </w:pPr>
            <w:r>
              <w:t>≥1万元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提升退休人员生活保障</w:t>
            </w:r>
          </w:p>
        </w:tc>
        <w:tc>
          <w:tcPr>
            <w:tcW w:w="2891" w:type="dxa"/>
            <w:vAlign w:val="center"/>
          </w:tcPr>
          <w:p>
            <w:pPr>
              <w:pStyle w:val="19"/>
            </w:pPr>
            <w:r>
              <w:t>提升退休人员生活保障</w:t>
            </w:r>
          </w:p>
        </w:tc>
        <w:tc>
          <w:tcPr>
            <w:tcW w:w="1276" w:type="dxa"/>
            <w:vAlign w:val="center"/>
          </w:tcPr>
          <w:p>
            <w:pPr>
              <w:pStyle w:val="19"/>
            </w:pPr>
            <w:r>
              <w:t>≥95</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满意率</w:t>
            </w:r>
          </w:p>
        </w:tc>
        <w:tc>
          <w:tcPr>
            <w:tcW w:w="1276" w:type="dxa"/>
            <w:vAlign w:val="center"/>
          </w:tcPr>
          <w:p>
            <w:pPr>
              <w:pStyle w:val="19"/>
            </w:pPr>
            <w:r>
              <w:t>≥95</w:t>
            </w:r>
          </w:p>
        </w:tc>
        <w:tc>
          <w:tcPr>
            <w:tcW w:w="1843" w:type="dxa"/>
            <w:vAlign w:val="center"/>
          </w:tcPr>
          <w:p>
            <w:pPr>
              <w:pStyle w:val="19"/>
            </w:pPr>
            <w:r>
              <w:t>政府批示</w:t>
            </w:r>
          </w:p>
        </w:tc>
      </w:tr>
    </w:tbl>
    <w:p>
      <w:pPr>
        <w:sectPr>
          <w:footerReference r:id="rId10" w:type="default"/>
          <w:footerReference r:id="rId11" w:type="even"/>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pPr>
      <w:r>
        <w:rPr>
          <w:rFonts w:ascii="方正仿宋_GBK" w:hAnsi="方正仿宋_GBK" w:eastAsia="方正仿宋_GBK" w:cs="方正仿宋_GBK"/>
          <w:color w:val="000000"/>
          <w:sz w:val="28"/>
        </w:rPr>
        <w:t>2.202</w:t>
      </w: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年国有企业退休社会化中央财政补助资金冀财资【202</w:t>
      </w: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val="en-US" w:eastAsia="zh-CN"/>
        </w:rPr>
        <w:t>105</w:t>
      </w:r>
      <w:r>
        <w:rPr>
          <w:rFonts w:ascii="方正仿宋_GBK" w:hAnsi="方正仿宋_GBK" w:eastAsia="方正仿宋_GBK" w:cs="方正仿宋_GBK"/>
          <w:color w:val="000000"/>
          <w:sz w:val="28"/>
        </w:rPr>
        <w:t>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899001涞水县城区社区管理办公室本级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13062323P00933410001L</w:t>
            </w:r>
          </w:p>
        </w:tc>
        <w:tc>
          <w:tcPr>
            <w:tcW w:w="1587" w:type="dxa"/>
            <w:vAlign w:val="center"/>
          </w:tcPr>
          <w:p>
            <w:pPr>
              <w:pStyle w:val="17"/>
            </w:pPr>
            <w:r>
              <w:t>项目名称</w:t>
            </w:r>
          </w:p>
        </w:tc>
        <w:tc>
          <w:tcPr>
            <w:tcW w:w="4422" w:type="dxa"/>
            <w:gridSpan w:val="3"/>
            <w:vAlign w:val="center"/>
          </w:tcPr>
          <w:p>
            <w:pPr>
              <w:pStyle w:val="19"/>
            </w:pPr>
            <w:r>
              <w:t>202</w:t>
            </w:r>
            <w:r>
              <w:rPr>
                <w:rFonts w:hint="eastAsia"/>
                <w:lang w:val="en-US" w:eastAsia="zh-CN"/>
              </w:rPr>
              <w:t>4</w:t>
            </w:r>
            <w:r>
              <w:t>年国有企业退休社会化中央财政补助资金冀财资【202</w:t>
            </w:r>
            <w:r>
              <w:rPr>
                <w:rFonts w:hint="eastAsia"/>
                <w:lang w:val="en-US" w:eastAsia="zh-CN"/>
              </w:rPr>
              <w:t>3</w:t>
            </w:r>
            <w:r>
              <w:t>】</w:t>
            </w:r>
            <w:r>
              <w:rPr>
                <w:rFonts w:hint="eastAsia"/>
                <w:lang w:val="en-US" w:eastAsia="zh-CN"/>
              </w:rPr>
              <w:t>105</w:t>
            </w:r>
            <w: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6.00</w:t>
            </w:r>
          </w:p>
        </w:tc>
        <w:tc>
          <w:tcPr>
            <w:tcW w:w="1587" w:type="dxa"/>
            <w:vAlign w:val="center"/>
          </w:tcPr>
          <w:p>
            <w:pPr>
              <w:pStyle w:val="17"/>
            </w:pPr>
            <w:r>
              <w:t>其中：财政    资金</w:t>
            </w:r>
          </w:p>
        </w:tc>
        <w:tc>
          <w:tcPr>
            <w:tcW w:w="1304" w:type="dxa"/>
            <w:vAlign w:val="center"/>
          </w:tcPr>
          <w:p>
            <w:pPr>
              <w:pStyle w:val="19"/>
            </w:pPr>
            <w:r>
              <w:t>6.00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2023年国有企业退休社会化中央财政补助资金冀财资【2022】94号</w:t>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时效指标</w:t>
            </w:r>
          </w:p>
        </w:tc>
        <w:tc>
          <w:tcPr>
            <w:tcW w:w="1332" w:type="dxa"/>
            <w:vAlign w:val="center"/>
          </w:tcPr>
          <w:p>
            <w:pPr>
              <w:pStyle w:val="19"/>
            </w:pPr>
            <w:r>
              <w:t>退休人员人数</w:t>
            </w:r>
          </w:p>
        </w:tc>
        <w:tc>
          <w:tcPr>
            <w:tcW w:w="2891" w:type="dxa"/>
            <w:vAlign w:val="center"/>
          </w:tcPr>
          <w:p>
            <w:pPr>
              <w:pStyle w:val="19"/>
            </w:pPr>
            <w:r>
              <w:t>发放及时性</w:t>
            </w:r>
          </w:p>
        </w:tc>
        <w:tc>
          <w:tcPr>
            <w:tcW w:w="1276" w:type="dxa"/>
            <w:vAlign w:val="center"/>
          </w:tcPr>
          <w:p>
            <w:pPr>
              <w:pStyle w:val="19"/>
            </w:pPr>
            <w:r>
              <w:t>≥95</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补贴发放标准</w:t>
            </w:r>
          </w:p>
        </w:tc>
        <w:tc>
          <w:tcPr>
            <w:tcW w:w="2891" w:type="dxa"/>
            <w:vAlign w:val="center"/>
          </w:tcPr>
          <w:p>
            <w:pPr>
              <w:pStyle w:val="19"/>
            </w:pPr>
            <w:r>
              <w:t>补贴发放标准</w:t>
            </w:r>
          </w:p>
        </w:tc>
        <w:tc>
          <w:tcPr>
            <w:tcW w:w="1276" w:type="dxa"/>
            <w:vAlign w:val="center"/>
          </w:tcPr>
          <w:p>
            <w:pPr>
              <w:pStyle w:val="19"/>
            </w:pPr>
            <w:r>
              <w:t>≥95安序时进度拨付</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资金到位率</w:t>
            </w:r>
          </w:p>
        </w:tc>
        <w:tc>
          <w:tcPr>
            <w:tcW w:w="1276" w:type="dxa"/>
            <w:vAlign w:val="center"/>
          </w:tcPr>
          <w:p>
            <w:pPr>
              <w:pStyle w:val="19"/>
            </w:pPr>
            <w:r>
              <w:t>6万</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退休人员人数</w:t>
            </w:r>
          </w:p>
        </w:tc>
        <w:tc>
          <w:tcPr>
            <w:tcW w:w="2891" w:type="dxa"/>
            <w:vAlign w:val="center"/>
          </w:tcPr>
          <w:p>
            <w:pPr>
              <w:pStyle w:val="19"/>
            </w:pPr>
            <w:r>
              <w:t>退休人员人数</w:t>
            </w:r>
          </w:p>
        </w:tc>
        <w:tc>
          <w:tcPr>
            <w:tcW w:w="1276" w:type="dxa"/>
            <w:vAlign w:val="center"/>
          </w:tcPr>
          <w:p>
            <w:pPr>
              <w:pStyle w:val="19"/>
            </w:pPr>
            <w:r>
              <w:t>≥20人</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提升退休人员生活保障</w:t>
            </w:r>
          </w:p>
        </w:tc>
        <w:tc>
          <w:tcPr>
            <w:tcW w:w="2891" w:type="dxa"/>
            <w:vAlign w:val="center"/>
          </w:tcPr>
          <w:p>
            <w:pPr>
              <w:pStyle w:val="19"/>
            </w:pPr>
            <w:r>
              <w:t>提升退休人员生活保障</w:t>
            </w:r>
          </w:p>
        </w:tc>
        <w:tc>
          <w:tcPr>
            <w:tcW w:w="1276" w:type="dxa"/>
            <w:vAlign w:val="center"/>
          </w:tcPr>
          <w:p>
            <w:pPr>
              <w:pStyle w:val="19"/>
            </w:pPr>
            <w:r>
              <w:t>≥95</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满意率</w:t>
            </w:r>
          </w:p>
        </w:tc>
        <w:tc>
          <w:tcPr>
            <w:tcW w:w="1276" w:type="dxa"/>
            <w:vAlign w:val="center"/>
          </w:tcPr>
          <w:p>
            <w:pPr>
              <w:pStyle w:val="19"/>
            </w:pPr>
            <w:r>
              <w:t>≥95</w:t>
            </w:r>
          </w:p>
        </w:tc>
        <w:tc>
          <w:tcPr>
            <w:tcW w:w="1843" w:type="dxa"/>
            <w:vAlign w:val="center"/>
          </w:tcPr>
          <w:p>
            <w:pPr>
              <w:pStyle w:val="19"/>
            </w:pPr>
            <w:r>
              <w:t>政府批示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r>
        <w:rPr>
          <w:rFonts w:ascii="方正仿宋_GBK" w:hAnsi="方正仿宋_GBK" w:eastAsia="方正仿宋_GBK" w:cs="方正仿宋_GBK"/>
          <w:color w:val="000000"/>
          <w:sz w:val="28"/>
        </w:rPr>
        <w:t>3.财政事务经费绩效目标表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899001涞水县城区社区管理办公室本级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13062323P00794410002Q</w:t>
            </w:r>
          </w:p>
        </w:tc>
        <w:tc>
          <w:tcPr>
            <w:tcW w:w="1587" w:type="dxa"/>
            <w:vAlign w:val="center"/>
          </w:tcPr>
          <w:p>
            <w:pPr>
              <w:pStyle w:val="17"/>
            </w:pPr>
            <w:r>
              <w:t>项目名称</w:t>
            </w:r>
          </w:p>
        </w:tc>
        <w:tc>
          <w:tcPr>
            <w:tcW w:w="4422" w:type="dxa"/>
            <w:gridSpan w:val="3"/>
            <w:vAlign w:val="center"/>
          </w:tcPr>
          <w:p>
            <w:pPr>
              <w:pStyle w:val="19"/>
            </w:pPr>
            <w:r>
              <w:t>财政事务经费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社区建设各项工程及征地补偿、国库集中支付电子化、社区日常预算收支等财政业务工作。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r>
              <w:t>0.50</w:t>
            </w:r>
          </w:p>
        </w:tc>
        <w:tc>
          <w:tcPr>
            <w:tcW w:w="1304" w:type="dxa"/>
            <w:vAlign w:val="center"/>
          </w:tcPr>
          <w:p>
            <w:pPr>
              <w:pStyle w:val="20"/>
            </w:pPr>
            <w:r>
              <w:t>0.50</w:t>
            </w:r>
          </w:p>
        </w:tc>
        <w:tc>
          <w:tcPr>
            <w:tcW w:w="3118" w:type="dxa"/>
            <w:gridSpan w:val="2"/>
            <w:vAlign w:val="center"/>
          </w:tcPr>
          <w:p>
            <w:pPr>
              <w:pStyle w:val="2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1.建设各项工程及征地补偿、国库集中支付电子化、乡镇日常预算收支等财政业务工作。</w:t>
            </w:r>
          </w:p>
          <w:p>
            <w:pPr>
              <w:pStyle w:val="19"/>
            </w:pPr>
            <w:r>
              <w:t>2.社区日常预算收支等财政业务工作。</w:t>
            </w:r>
          </w:p>
          <w:p>
            <w:pPr>
              <w:pStyle w:val="19"/>
            </w:pPr>
            <w:r>
              <w:t>3.工作实的比率际开展占计划工作</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工作开展完成率</w:t>
            </w:r>
          </w:p>
        </w:tc>
        <w:tc>
          <w:tcPr>
            <w:tcW w:w="2891" w:type="dxa"/>
            <w:vAlign w:val="center"/>
          </w:tcPr>
          <w:p>
            <w:pPr>
              <w:pStyle w:val="19"/>
            </w:pPr>
            <w:r>
              <w:t>工作实际开展占计划工作的比率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资金有效使用率(%)</w:t>
            </w:r>
          </w:p>
        </w:tc>
        <w:tc>
          <w:tcPr>
            <w:tcW w:w="2891" w:type="dxa"/>
            <w:vAlign w:val="center"/>
          </w:tcPr>
          <w:p>
            <w:pPr>
              <w:pStyle w:val="19"/>
            </w:pPr>
            <w:r>
              <w:t>资金实际使用金额占拨付金额的比率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年度项目完成情况</w:t>
            </w:r>
          </w:p>
        </w:tc>
        <w:tc>
          <w:tcPr>
            <w:tcW w:w="2891" w:type="dxa"/>
            <w:vAlign w:val="center"/>
          </w:tcPr>
          <w:p>
            <w:pPr>
              <w:pStyle w:val="19"/>
            </w:pPr>
            <w:r>
              <w:t>年度项目按规定时间点完成</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经费控制数</w:t>
            </w:r>
          </w:p>
        </w:tc>
        <w:tc>
          <w:tcPr>
            <w:tcW w:w="2891" w:type="dxa"/>
            <w:vAlign w:val="center"/>
          </w:tcPr>
          <w:p>
            <w:pPr>
              <w:pStyle w:val="19"/>
            </w:pPr>
            <w:r>
              <w:t>经费控制数</w:t>
            </w:r>
          </w:p>
        </w:tc>
        <w:tc>
          <w:tcPr>
            <w:tcW w:w="1276" w:type="dxa"/>
            <w:vAlign w:val="center"/>
          </w:tcPr>
          <w:p>
            <w:pPr>
              <w:pStyle w:val="19"/>
            </w:pPr>
            <w:r>
              <w:t>≤11万元</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保障人员办公</w:t>
            </w:r>
          </w:p>
        </w:tc>
        <w:tc>
          <w:tcPr>
            <w:tcW w:w="2891" w:type="dxa"/>
            <w:vAlign w:val="center"/>
          </w:tcPr>
          <w:p>
            <w:pPr>
              <w:pStyle w:val="19"/>
            </w:pPr>
            <w:r>
              <w:t>能够保障人员日常工作效率。</w:t>
            </w:r>
          </w:p>
        </w:tc>
        <w:tc>
          <w:tcPr>
            <w:tcW w:w="1276" w:type="dxa"/>
            <w:vAlign w:val="center"/>
          </w:tcPr>
          <w:p>
            <w:pPr>
              <w:pStyle w:val="19"/>
            </w:pPr>
            <w:r>
              <w:t>≥90</w:t>
            </w:r>
          </w:p>
        </w:tc>
        <w:tc>
          <w:tcPr>
            <w:tcW w:w="1843" w:type="dxa"/>
            <w:vAlign w:val="center"/>
          </w:tcPr>
          <w:p>
            <w:pPr>
              <w:pStyle w:val="19"/>
            </w:pPr>
            <w:r>
              <w:t>领导批示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r>
        <w:rPr>
          <w:rFonts w:ascii="方正仿宋_GBK" w:hAnsi="方正仿宋_GBK" w:eastAsia="方正仿宋_GBK" w:cs="方正仿宋_GBK"/>
          <w:color w:val="000000"/>
          <w:sz w:val="28"/>
        </w:rPr>
        <w:t>4.党组织服务群众专项经费绩效目标表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899001涞水县城区社区管理办公室本级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13062323P00XRNN10002M</w:t>
            </w:r>
          </w:p>
        </w:tc>
        <w:tc>
          <w:tcPr>
            <w:tcW w:w="1587" w:type="dxa"/>
            <w:vAlign w:val="center"/>
          </w:tcPr>
          <w:p>
            <w:pPr>
              <w:pStyle w:val="17"/>
            </w:pPr>
            <w:r>
              <w:t>项目名称</w:t>
            </w:r>
          </w:p>
        </w:tc>
        <w:tc>
          <w:tcPr>
            <w:tcW w:w="4422" w:type="dxa"/>
            <w:gridSpan w:val="3"/>
            <w:vAlign w:val="center"/>
          </w:tcPr>
          <w:p>
            <w:pPr>
              <w:pStyle w:val="19"/>
            </w:pPr>
            <w:r>
              <w:t>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120.00</w:t>
            </w:r>
          </w:p>
        </w:tc>
        <w:tc>
          <w:tcPr>
            <w:tcW w:w="1587" w:type="dxa"/>
            <w:vAlign w:val="center"/>
          </w:tcPr>
          <w:p>
            <w:pPr>
              <w:pStyle w:val="17"/>
            </w:pPr>
            <w:r>
              <w:t>其中：财政    资金</w:t>
            </w:r>
          </w:p>
        </w:tc>
        <w:tc>
          <w:tcPr>
            <w:tcW w:w="1304" w:type="dxa"/>
            <w:vAlign w:val="center"/>
          </w:tcPr>
          <w:p>
            <w:pPr>
              <w:pStyle w:val="19"/>
            </w:pPr>
            <w:r>
              <w:t>120.00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加强社区日常经济活动场所建设，改善民生，助推经济发展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r>
              <w:t>60.00</w:t>
            </w:r>
          </w:p>
        </w:tc>
        <w:tc>
          <w:tcPr>
            <w:tcW w:w="1304" w:type="dxa"/>
            <w:vAlign w:val="center"/>
          </w:tcPr>
          <w:p>
            <w:pPr>
              <w:pStyle w:val="20"/>
            </w:pPr>
          </w:p>
        </w:tc>
        <w:tc>
          <w:tcPr>
            <w:tcW w:w="3118" w:type="dxa"/>
            <w:gridSpan w:val="2"/>
            <w:vAlign w:val="center"/>
          </w:tcPr>
          <w:p>
            <w:pPr>
              <w:pStyle w:val="20"/>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1.加强社区日常经济活动场所建设，改善民生，助推经济发展</w:t>
            </w:r>
          </w:p>
          <w:p>
            <w:pPr>
              <w:pStyle w:val="19"/>
            </w:pPr>
            <w:r>
              <w:t>2.服务基层社区群众</w:t>
            </w:r>
          </w:p>
          <w:p>
            <w:pPr>
              <w:pStyle w:val="19"/>
            </w:pPr>
            <w:r>
              <w:t>3.加强社区日常经济活动场所建设</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开展法制宣传次数</w:t>
            </w:r>
          </w:p>
        </w:tc>
        <w:tc>
          <w:tcPr>
            <w:tcW w:w="2891" w:type="dxa"/>
            <w:vAlign w:val="center"/>
          </w:tcPr>
          <w:p>
            <w:pPr>
              <w:pStyle w:val="19"/>
            </w:pPr>
            <w:r>
              <w:t>开展法制宣传次数</w:t>
            </w:r>
          </w:p>
        </w:tc>
        <w:tc>
          <w:tcPr>
            <w:tcW w:w="1276" w:type="dxa"/>
            <w:vAlign w:val="center"/>
          </w:tcPr>
          <w:p>
            <w:pPr>
              <w:pStyle w:val="19"/>
            </w:pPr>
            <w:r>
              <w:t>≤9次</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综合事务管理工作完成</w:t>
            </w:r>
          </w:p>
        </w:tc>
        <w:tc>
          <w:tcPr>
            <w:tcW w:w="2891" w:type="dxa"/>
            <w:vAlign w:val="center"/>
          </w:tcPr>
          <w:p>
            <w:pPr>
              <w:pStyle w:val="19"/>
            </w:pPr>
            <w:r>
              <w:t>综合事务管理工作完成率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完成及时率</w:t>
            </w:r>
          </w:p>
        </w:tc>
        <w:tc>
          <w:tcPr>
            <w:tcW w:w="2891" w:type="dxa"/>
            <w:vAlign w:val="center"/>
          </w:tcPr>
          <w:p>
            <w:pPr>
              <w:pStyle w:val="19"/>
            </w:pPr>
            <w:r>
              <w:t>完成及时率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按预算资金完成率</w:t>
            </w:r>
          </w:p>
        </w:tc>
        <w:tc>
          <w:tcPr>
            <w:tcW w:w="2891" w:type="dxa"/>
            <w:vAlign w:val="center"/>
          </w:tcPr>
          <w:p>
            <w:pPr>
              <w:pStyle w:val="19"/>
            </w:pPr>
            <w:r>
              <w:t>按预算资金完成率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保障能力提升情况</w:t>
            </w:r>
          </w:p>
        </w:tc>
        <w:tc>
          <w:tcPr>
            <w:tcW w:w="2891" w:type="dxa"/>
            <w:vAlign w:val="center"/>
          </w:tcPr>
          <w:p>
            <w:pPr>
              <w:pStyle w:val="19"/>
            </w:pPr>
            <w:r>
              <w:t>保障能力提升情况</w:t>
            </w:r>
          </w:p>
        </w:tc>
        <w:tc>
          <w:tcPr>
            <w:tcW w:w="1276" w:type="dxa"/>
            <w:vAlign w:val="center"/>
          </w:tcPr>
          <w:p>
            <w:pPr>
              <w:pStyle w:val="19"/>
            </w:pPr>
            <w:r>
              <w:t>≥90</w:t>
            </w:r>
          </w:p>
        </w:tc>
        <w:tc>
          <w:tcPr>
            <w:tcW w:w="1843" w:type="dxa"/>
            <w:vAlign w:val="center"/>
          </w:tcPr>
          <w:p>
            <w:pPr>
              <w:pStyle w:val="19"/>
            </w:pPr>
            <w:r>
              <w:t>领导批示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r>
        <w:rPr>
          <w:rFonts w:ascii="方正仿宋_GBK" w:hAnsi="方正仿宋_GBK" w:eastAsia="方正仿宋_GBK" w:cs="方正仿宋_GBK"/>
          <w:color w:val="000000"/>
          <w:sz w:val="28"/>
        </w:rPr>
        <w:t>5.法律顾问经费绩效目标表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899001涞水县城区社区管理办公室本级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13062323P007943100023</w:t>
            </w:r>
          </w:p>
        </w:tc>
        <w:tc>
          <w:tcPr>
            <w:tcW w:w="1587" w:type="dxa"/>
            <w:vAlign w:val="center"/>
          </w:tcPr>
          <w:p>
            <w:pPr>
              <w:pStyle w:val="17"/>
            </w:pPr>
            <w:r>
              <w:t>项目名称</w:t>
            </w:r>
          </w:p>
        </w:tc>
        <w:tc>
          <w:tcPr>
            <w:tcW w:w="4422" w:type="dxa"/>
            <w:gridSpan w:val="3"/>
            <w:vAlign w:val="center"/>
          </w:tcPr>
          <w:p>
            <w:pPr>
              <w:pStyle w:val="19"/>
            </w:pPr>
            <w:r>
              <w:t>法律顾问经费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资金用于旧城改造、矛盾纠纷调解、信访维稳等工作。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1.解决矛盾纠纷</w:t>
            </w:r>
          </w:p>
          <w:p>
            <w:pPr>
              <w:pStyle w:val="19"/>
            </w:pPr>
            <w:r>
              <w:t>2.为政府决策，提供法律保障</w:t>
            </w:r>
          </w:p>
          <w:p>
            <w:pPr>
              <w:pStyle w:val="19"/>
            </w:pPr>
            <w:r>
              <w:t>3.矛盾纠纷调解</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开展法制宣传次数</w:t>
            </w:r>
          </w:p>
        </w:tc>
        <w:tc>
          <w:tcPr>
            <w:tcW w:w="2891" w:type="dxa"/>
            <w:vAlign w:val="center"/>
          </w:tcPr>
          <w:p>
            <w:pPr>
              <w:pStyle w:val="19"/>
            </w:pPr>
            <w:r>
              <w:t>开展法制宣传次数</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综合事务管理工作完成率</w:t>
            </w:r>
          </w:p>
        </w:tc>
        <w:tc>
          <w:tcPr>
            <w:tcW w:w="2891" w:type="dxa"/>
            <w:vAlign w:val="center"/>
          </w:tcPr>
          <w:p>
            <w:pPr>
              <w:pStyle w:val="19"/>
            </w:pPr>
            <w:r>
              <w:t>综合事务管理工作完成率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完成及时率</w:t>
            </w:r>
          </w:p>
        </w:tc>
        <w:tc>
          <w:tcPr>
            <w:tcW w:w="2891" w:type="dxa"/>
            <w:vAlign w:val="center"/>
          </w:tcPr>
          <w:p>
            <w:pPr>
              <w:pStyle w:val="19"/>
            </w:pPr>
            <w:r>
              <w:t>完成及时率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按预算资金完成率</w:t>
            </w:r>
          </w:p>
        </w:tc>
        <w:tc>
          <w:tcPr>
            <w:tcW w:w="2891" w:type="dxa"/>
            <w:vAlign w:val="center"/>
          </w:tcPr>
          <w:p>
            <w:pPr>
              <w:pStyle w:val="19"/>
            </w:pPr>
            <w:r>
              <w:t>按预算资金完成率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保障能力提升情况</w:t>
            </w:r>
          </w:p>
        </w:tc>
        <w:tc>
          <w:tcPr>
            <w:tcW w:w="2891" w:type="dxa"/>
            <w:vAlign w:val="center"/>
          </w:tcPr>
          <w:p>
            <w:pPr>
              <w:pStyle w:val="19"/>
            </w:pPr>
            <w:r>
              <w:t>保障能力提升情况</w:t>
            </w:r>
          </w:p>
        </w:tc>
        <w:tc>
          <w:tcPr>
            <w:tcW w:w="1276" w:type="dxa"/>
            <w:vAlign w:val="center"/>
          </w:tcPr>
          <w:p>
            <w:pPr>
              <w:pStyle w:val="19"/>
            </w:pPr>
            <w:r>
              <w:t>≥90</w:t>
            </w:r>
          </w:p>
        </w:tc>
        <w:tc>
          <w:tcPr>
            <w:tcW w:w="1843" w:type="dxa"/>
            <w:vAlign w:val="center"/>
          </w:tcPr>
          <w:p>
            <w:pPr>
              <w:pStyle w:val="19"/>
            </w:pPr>
            <w:r>
              <w:t>领导批示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r>
        <w:rPr>
          <w:rFonts w:ascii="方正仿宋_GBK" w:hAnsi="方正仿宋_GBK" w:eastAsia="方正仿宋_GBK" w:cs="方正仿宋_GBK"/>
          <w:color w:val="000000"/>
          <w:sz w:val="28"/>
        </w:rPr>
        <w:t>6.人大主席团活动经费绩效目标表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899001涞水县城区社区管理办公室本级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13062323P00794110002P</w:t>
            </w:r>
          </w:p>
        </w:tc>
        <w:tc>
          <w:tcPr>
            <w:tcW w:w="1587" w:type="dxa"/>
            <w:vAlign w:val="center"/>
          </w:tcPr>
          <w:p>
            <w:pPr>
              <w:pStyle w:val="17"/>
            </w:pPr>
            <w:r>
              <w:t>项目名称</w:t>
            </w:r>
          </w:p>
        </w:tc>
        <w:tc>
          <w:tcPr>
            <w:tcW w:w="4422" w:type="dxa"/>
            <w:gridSpan w:val="3"/>
            <w:vAlign w:val="center"/>
          </w:tcPr>
          <w:p>
            <w:pPr>
              <w:pStyle w:val="19"/>
            </w:pPr>
            <w:r>
              <w:t>人大主席团活动经费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w:t>
            </w:r>
          </w:p>
        </w:tc>
        <w:tc>
          <w:tcPr>
            <w:tcW w:w="1587" w:type="dxa"/>
            <w:vAlign w:val="center"/>
          </w:tcPr>
          <w:p>
            <w:pPr>
              <w:pStyle w:val="17"/>
            </w:pPr>
            <w:r>
              <w:t>其中：财政    资金</w:t>
            </w:r>
          </w:p>
        </w:tc>
        <w:tc>
          <w:tcPr>
            <w:tcW w:w="1304" w:type="dxa"/>
            <w:vAlign w:val="center"/>
          </w:tcPr>
          <w:p>
            <w:pPr>
              <w:pStyle w:val="19"/>
            </w:pPr>
            <w:r>
              <w:t>2.00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规范人大代表工作经费的管理和使用，切实保障乡人大主席团的正常运转和保障代表执行职务的需要，保证代表工作经费专款专用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r>
              <w:t>1.00</w:t>
            </w:r>
          </w:p>
        </w:tc>
        <w:tc>
          <w:tcPr>
            <w:tcW w:w="1304" w:type="dxa"/>
            <w:vAlign w:val="center"/>
          </w:tcPr>
          <w:p>
            <w:pPr>
              <w:pStyle w:val="20"/>
            </w:pP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1.为了更好落实中央2015（18）号文件精神和省委市委落实中央18号文件的意见，切实加强基层人大建设，保障乡人大主席团的正常运转。</w:t>
            </w:r>
          </w:p>
          <w:p>
            <w:pPr>
              <w:pStyle w:val="19"/>
            </w:pPr>
            <w:r>
              <w:t>2.切实保障乡人大主席团的正常运转和保障代表执行职务的需要</w:t>
            </w:r>
          </w:p>
          <w:p>
            <w:pPr>
              <w:pStyle w:val="19"/>
            </w:pPr>
            <w:r>
              <w:t>3.保证代表工作经费专款专用</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人大主席团活动开展情况</w:t>
            </w:r>
          </w:p>
        </w:tc>
        <w:tc>
          <w:tcPr>
            <w:tcW w:w="2891" w:type="dxa"/>
            <w:vAlign w:val="center"/>
          </w:tcPr>
          <w:p>
            <w:pPr>
              <w:pStyle w:val="19"/>
            </w:pPr>
            <w:r>
              <w:t>已开展活动占应开展活动的比率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人大主席团活动开展情况</w:t>
            </w:r>
          </w:p>
        </w:tc>
        <w:tc>
          <w:tcPr>
            <w:tcW w:w="2891" w:type="dxa"/>
            <w:vAlign w:val="center"/>
          </w:tcPr>
          <w:p>
            <w:pPr>
              <w:pStyle w:val="19"/>
            </w:pPr>
            <w:r>
              <w:t>效果良好的活动占已开展活动的比率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年度项目完成情况</w:t>
            </w:r>
          </w:p>
        </w:tc>
        <w:tc>
          <w:tcPr>
            <w:tcW w:w="2891" w:type="dxa"/>
            <w:vAlign w:val="center"/>
          </w:tcPr>
          <w:p>
            <w:pPr>
              <w:pStyle w:val="19"/>
            </w:pPr>
            <w:r>
              <w:t>年度项目按规定时间点完成</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经费控制数</w:t>
            </w:r>
          </w:p>
        </w:tc>
        <w:tc>
          <w:tcPr>
            <w:tcW w:w="2891" w:type="dxa"/>
            <w:vAlign w:val="center"/>
          </w:tcPr>
          <w:p>
            <w:pPr>
              <w:pStyle w:val="19"/>
            </w:pPr>
            <w:r>
              <w:t>经费控制数</w:t>
            </w:r>
          </w:p>
        </w:tc>
        <w:tc>
          <w:tcPr>
            <w:tcW w:w="1276" w:type="dxa"/>
            <w:vAlign w:val="center"/>
          </w:tcPr>
          <w:p>
            <w:pPr>
              <w:pStyle w:val="19"/>
            </w:pPr>
            <w:r>
              <w:t>≤2万元</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参与政府决策活动次数比率</w:t>
            </w:r>
          </w:p>
        </w:tc>
        <w:tc>
          <w:tcPr>
            <w:tcW w:w="2891" w:type="dxa"/>
            <w:vAlign w:val="center"/>
          </w:tcPr>
          <w:p>
            <w:pPr>
              <w:pStyle w:val="19"/>
            </w:pPr>
            <w:r>
              <w:t>参与决策咨询活动次数比率</w:t>
            </w:r>
          </w:p>
        </w:tc>
        <w:tc>
          <w:tcPr>
            <w:tcW w:w="1276" w:type="dxa"/>
            <w:vAlign w:val="center"/>
          </w:tcPr>
          <w:p>
            <w:pPr>
              <w:pStyle w:val="19"/>
            </w:pPr>
            <w:r>
              <w:t>≥90</w:t>
            </w:r>
          </w:p>
        </w:tc>
        <w:tc>
          <w:tcPr>
            <w:tcW w:w="1843" w:type="dxa"/>
            <w:vAlign w:val="center"/>
          </w:tcPr>
          <w:p>
            <w:pPr>
              <w:pStyle w:val="19"/>
            </w:pPr>
            <w:r>
              <w:t>领导批示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r>
        <w:rPr>
          <w:rFonts w:ascii="方正仿宋_GBK" w:hAnsi="方正仿宋_GBK" w:eastAsia="方正仿宋_GBK" w:cs="方正仿宋_GBK"/>
          <w:color w:val="000000"/>
          <w:sz w:val="28"/>
        </w:rPr>
        <w:t>7.社区办办公用房租赁费绩效目标表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899001涞水县城区社区管理办公室本级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13062323P00793910002X</w:t>
            </w:r>
          </w:p>
        </w:tc>
        <w:tc>
          <w:tcPr>
            <w:tcW w:w="1587" w:type="dxa"/>
            <w:vAlign w:val="center"/>
          </w:tcPr>
          <w:p>
            <w:pPr>
              <w:pStyle w:val="17"/>
            </w:pPr>
            <w:r>
              <w:t>项目名称</w:t>
            </w:r>
          </w:p>
        </w:tc>
        <w:tc>
          <w:tcPr>
            <w:tcW w:w="4422" w:type="dxa"/>
            <w:gridSpan w:val="3"/>
            <w:vAlign w:val="center"/>
          </w:tcPr>
          <w:p>
            <w:pPr>
              <w:pStyle w:val="19"/>
            </w:pPr>
            <w:r>
              <w:t>社区办办公用房租赁费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9.00</w:t>
            </w:r>
          </w:p>
        </w:tc>
        <w:tc>
          <w:tcPr>
            <w:tcW w:w="1587" w:type="dxa"/>
            <w:vAlign w:val="center"/>
          </w:tcPr>
          <w:p>
            <w:pPr>
              <w:pStyle w:val="17"/>
            </w:pPr>
            <w:r>
              <w:t>其中：财政    资金</w:t>
            </w:r>
          </w:p>
        </w:tc>
        <w:tc>
          <w:tcPr>
            <w:tcW w:w="1304" w:type="dxa"/>
            <w:vAlign w:val="center"/>
          </w:tcPr>
          <w:p>
            <w:pPr>
              <w:pStyle w:val="19"/>
            </w:pPr>
            <w:r>
              <w:t>9.00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用于租用必要的办公用房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1.提高公共服务水平</w:t>
            </w:r>
          </w:p>
          <w:p>
            <w:pPr>
              <w:pStyle w:val="19"/>
            </w:pPr>
            <w:r>
              <w:t>2.改善环境工作</w:t>
            </w:r>
          </w:p>
          <w:p>
            <w:pPr>
              <w:pStyle w:val="19"/>
            </w:pPr>
            <w:r>
              <w:t>3.提高公共服务水平</w:t>
            </w:r>
          </w:p>
          <w:p>
            <w:pPr>
              <w:pStyle w:val="19"/>
            </w:pPr>
            <w:r>
              <w:t>4.改善环境工作</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工作开展情况</w:t>
            </w:r>
          </w:p>
        </w:tc>
        <w:tc>
          <w:tcPr>
            <w:tcW w:w="2891" w:type="dxa"/>
            <w:vAlign w:val="center"/>
          </w:tcPr>
          <w:p>
            <w:pPr>
              <w:pStyle w:val="19"/>
            </w:pPr>
            <w:r>
              <w:t>工作实际开展占计划工作的比率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综合事务管理工作完成率</w:t>
            </w:r>
          </w:p>
        </w:tc>
        <w:tc>
          <w:tcPr>
            <w:tcW w:w="2891" w:type="dxa"/>
            <w:vAlign w:val="center"/>
          </w:tcPr>
          <w:p>
            <w:pPr>
              <w:pStyle w:val="19"/>
            </w:pPr>
            <w:r>
              <w:t>综合事务管理工作完成率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完成及时率</w:t>
            </w:r>
          </w:p>
        </w:tc>
        <w:tc>
          <w:tcPr>
            <w:tcW w:w="2891" w:type="dxa"/>
            <w:vAlign w:val="center"/>
          </w:tcPr>
          <w:p>
            <w:pPr>
              <w:pStyle w:val="19"/>
            </w:pPr>
            <w:r>
              <w:t>完成及时率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按预算资金完成率</w:t>
            </w:r>
          </w:p>
        </w:tc>
        <w:tc>
          <w:tcPr>
            <w:tcW w:w="2891" w:type="dxa"/>
            <w:vAlign w:val="center"/>
          </w:tcPr>
          <w:p>
            <w:pPr>
              <w:pStyle w:val="19"/>
            </w:pPr>
            <w:r>
              <w:t>按预算资金完成率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保障能力提升情况</w:t>
            </w:r>
          </w:p>
        </w:tc>
        <w:tc>
          <w:tcPr>
            <w:tcW w:w="2891" w:type="dxa"/>
            <w:vAlign w:val="center"/>
          </w:tcPr>
          <w:p>
            <w:pPr>
              <w:pStyle w:val="19"/>
            </w:pPr>
            <w:r>
              <w:t>保障能力提升情况</w:t>
            </w:r>
          </w:p>
        </w:tc>
        <w:tc>
          <w:tcPr>
            <w:tcW w:w="1276" w:type="dxa"/>
            <w:vAlign w:val="center"/>
          </w:tcPr>
          <w:p>
            <w:pPr>
              <w:pStyle w:val="19"/>
            </w:pPr>
            <w:r>
              <w:t>≥90</w:t>
            </w:r>
          </w:p>
        </w:tc>
        <w:tc>
          <w:tcPr>
            <w:tcW w:w="1843" w:type="dxa"/>
            <w:vAlign w:val="center"/>
          </w:tcPr>
          <w:p>
            <w:pPr>
              <w:pStyle w:val="19"/>
            </w:pPr>
            <w:r>
              <w:t>领导批示</w:t>
            </w:r>
          </w:p>
        </w:tc>
      </w:tr>
    </w:tbl>
    <w:p>
      <w:pPr>
        <w:rPr>
          <w:lang w:eastAsia="zh-CN"/>
        </w:rPr>
        <w:sectPr>
          <w:pgSz w:w="16840" w:h="11900" w:orient="landscape"/>
          <w:pgMar w:top="1304" w:right="1984" w:bottom="1304" w:left="1134" w:header="720" w:footer="720" w:gutter="0"/>
          <w:cols w:space="720" w:num="1"/>
        </w:sectPr>
      </w:pPr>
    </w:p>
    <w:p>
      <w:pPr>
        <w:jc w:val="center"/>
      </w:pPr>
    </w:p>
    <w:p>
      <w:pPr>
        <w:ind w:firstLine="2240" w:firstLineChars="800"/>
        <w:outlineLvl w:val="3"/>
      </w:pPr>
      <w:r>
        <w:rPr>
          <w:rFonts w:ascii="方正仿宋_GBK" w:hAnsi="方正仿宋_GBK" w:eastAsia="方正仿宋_GBK" w:cs="方正仿宋_GBK"/>
          <w:color w:val="000000"/>
          <w:sz w:val="28"/>
        </w:rPr>
        <w:t>8.团委经费绩效目标表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899001涞水县城区社区管理办公室本级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13062323P007940100022</w:t>
            </w:r>
          </w:p>
        </w:tc>
        <w:tc>
          <w:tcPr>
            <w:tcW w:w="1587" w:type="dxa"/>
            <w:vAlign w:val="center"/>
          </w:tcPr>
          <w:p>
            <w:pPr>
              <w:pStyle w:val="17"/>
            </w:pPr>
            <w:r>
              <w:t>项目名称</w:t>
            </w:r>
          </w:p>
        </w:tc>
        <w:tc>
          <w:tcPr>
            <w:tcW w:w="4422" w:type="dxa"/>
            <w:gridSpan w:val="3"/>
            <w:vAlign w:val="center"/>
          </w:tcPr>
          <w:p>
            <w:pPr>
              <w:pStyle w:val="19"/>
            </w:pPr>
            <w: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w:t>
            </w:r>
          </w:p>
        </w:tc>
        <w:tc>
          <w:tcPr>
            <w:tcW w:w="1587" w:type="dxa"/>
            <w:vAlign w:val="center"/>
          </w:tcPr>
          <w:p>
            <w:pPr>
              <w:pStyle w:val="17"/>
            </w:pPr>
            <w:r>
              <w:t>其中：财政    资金</w:t>
            </w:r>
          </w:p>
        </w:tc>
        <w:tc>
          <w:tcPr>
            <w:tcW w:w="1304" w:type="dxa"/>
            <w:vAlign w:val="center"/>
          </w:tcPr>
          <w:p>
            <w:pPr>
              <w:pStyle w:val="19"/>
            </w:pPr>
            <w:r>
              <w:t>2.00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推动促进青年创业就业、青年志愿者服务管理、青少年校外教育、青少年事务社工队伍建设、预防青少年违法犯罪、青少年生态环保、救助困难青少年群体、青少年云平台体系建设等项目。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r>
              <w:t>1.00</w:t>
            </w:r>
          </w:p>
        </w:tc>
        <w:tc>
          <w:tcPr>
            <w:tcW w:w="1304" w:type="dxa"/>
            <w:vAlign w:val="center"/>
          </w:tcPr>
          <w:p>
            <w:pPr>
              <w:pStyle w:val="20"/>
            </w:pP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1.科学地继承和发扬共青团的优良传统，创新团的工作，找准新时代的中心定位，把各项改革措施不折不扣落实到位。</w:t>
            </w:r>
          </w:p>
          <w:p>
            <w:pPr>
              <w:pStyle w:val="19"/>
            </w:pPr>
            <w:r>
              <w:t>2.救助困难青少年群体、青少年云平台体系建设等</w:t>
            </w:r>
          </w:p>
          <w:p>
            <w:pPr>
              <w:pStyle w:val="19"/>
            </w:pPr>
            <w:r>
              <w:t>3.促进青年创业就业、青年志愿者服务管理、青少年校外教育、青少年事务社工队伍建设、预防青少年违法犯罪</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开办宣传专栏数</w:t>
            </w:r>
          </w:p>
        </w:tc>
        <w:tc>
          <w:tcPr>
            <w:tcW w:w="2891" w:type="dxa"/>
            <w:vAlign w:val="center"/>
          </w:tcPr>
          <w:p>
            <w:pPr>
              <w:pStyle w:val="19"/>
            </w:pPr>
            <w:r>
              <w:t>在新闻媒体开办宣传专栏的数量</w:t>
            </w:r>
          </w:p>
        </w:tc>
        <w:tc>
          <w:tcPr>
            <w:tcW w:w="1276" w:type="dxa"/>
            <w:vAlign w:val="center"/>
          </w:tcPr>
          <w:p>
            <w:pPr>
              <w:pStyle w:val="19"/>
            </w:pPr>
            <w:r>
              <w:t>≥5个</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制作宣传品</w:t>
            </w:r>
          </w:p>
        </w:tc>
        <w:tc>
          <w:tcPr>
            <w:tcW w:w="2891" w:type="dxa"/>
            <w:vAlign w:val="center"/>
          </w:tcPr>
          <w:p>
            <w:pPr>
              <w:pStyle w:val="19"/>
            </w:pPr>
            <w:r>
              <w:t>制作宣传品的数量</w:t>
            </w:r>
          </w:p>
        </w:tc>
        <w:tc>
          <w:tcPr>
            <w:tcW w:w="1276" w:type="dxa"/>
            <w:vAlign w:val="center"/>
          </w:tcPr>
          <w:p>
            <w:pPr>
              <w:pStyle w:val="19"/>
            </w:pPr>
            <w:r>
              <w:t>≥1000份</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年度项目完成情况</w:t>
            </w:r>
          </w:p>
        </w:tc>
        <w:tc>
          <w:tcPr>
            <w:tcW w:w="2891" w:type="dxa"/>
            <w:vAlign w:val="center"/>
          </w:tcPr>
          <w:p>
            <w:pPr>
              <w:pStyle w:val="19"/>
            </w:pPr>
            <w:r>
              <w:t>年度项目按规定时间点完成</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经费控制数</w:t>
            </w:r>
          </w:p>
        </w:tc>
        <w:tc>
          <w:tcPr>
            <w:tcW w:w="2891" w:type="dxa"/>
            <w:vAlign w:val="center"/>
          </w:tcPr>
          <w:p>
            <w:pPr>
              <w:pStyle w:val="19"/>
            </w:pPr>
            <w:r>
              <w:t>经费控制数</w:t>
            </w:r>
          </w:p>
        </w:tc>
        <w:tc>
          <w:tcPr>
            <w:tcW w:w="1276" w:type="dxa"/>
            <w:vAlign w:val="center"/>
          </w:tcPr>
          <w:p>
            <w:pPr>
              <w:pStyle w:val="19"/>
            </w:pPr>
            <w:r>
              <w:t>≥2万元</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参与政府决策活动次数</w:t>
            </w:r>
          </w:p>
        </w:tc>
        <w:tc>
          <w:tcPr>
            <w:tcW w:w="2891" w:type="dxa"/>
            <w:vAlign w:val="center"/>
          </w:tcPr>
          <w:p>
            <w:pPr>
              <w:pStyle w:val="19"/>
            </w:pPr>
            <w:r>
              <w:t>参与决策咨询活动次数</w:t>
            </w:r>
          </w:p>
        </w:tc>
        <w:tc>
          <w:tcPr>
            <w:tcW w:w="1276" w:type="dxa"/>
            <w:vAlign w:val="center"/>
          </w:tcPr>
          <w:p>
            <w:pPr>
              <w:pStyle w:val="19"/>
            </w:pPr>
            <w:r>
              <w:t>≥5才</w:t>
            </w:r>
          </w:p>
        </w:tc>
        <w:tc>
          <w:tcPr>
            <w:tcW w:w="1843" w:type="dxa"/>
            <w:vAlign w:val="center"/>
          </w:tcPr>
          <w:p>
            <w:pPr>
              <w:pStyle w:val="19"/>
            </w:pPr>
            <w:r>
              <w:t>领导批示</w:t>
            </w:r>
          </w:p>
        </w:tc>
      </w:tr>
    </w:tbl>
    <w:p/>
    <w:bookmarkEnd w:id="6"/>
    <w:p/>
    <w:p>
      <w:pPr>
        <w:rPr>
          <w:rFonts w:ascii="宋体" w:hAnsi="宋体" w:cs="宋体"/>
          <w:b/>
          <w:bCs/>
          <w:color w:val="000000"/>
          <w:sz w:val="28"/>
          <w:szCs w:val="28"/>
          <w:lang w:eastAsia="zh-CN"/>
        </w:rPr>
      </w:pPr>
      <w:bookmarkStart w:id="7" w:name="_Toc536436180"/>
    </w:p>
    <w:p>
      <w:pPr>
        <w:rPr>
          <w:rFonts w:ascii="宋体" w:hAnsi="宋体" w:cs="宋体"/>
          <w:b/>
          <w:bCs/>
          <w:color w:val="000000"/>
          <w:sz w:val="28"/>
          <w:szCs w:val="28"/>
          <w:lang w:eastAsia="zh-CN"/>
        </w:rPr>
      </w:pPr>
    </w:p>
    <w:p>
      <w:pPr>
        <w:rPr>
          <w:rFonts w:ascii="宋体" w:hAnsi="宋体" w:cs="宋体"/>
          <w:b/>
          <w:bCs/>
          <w:color w:val="000000"/>
          <w:sz w:val="28"/>
          <w:szCs w:val="28"/>
        </w:rPr>
      </w:pPr>
      <w:r>
        <w:rPr>
          <w:rFonts w:hint="eastAsia" w:ascii="宋体" w:hAnsi="宋体" w:cs="宋体"/>
          <w:b/>
          <w:bCs/>
          <w:color w:val="000000"/>
          <w:sz w:val="28"/>
          <w:szCs w:val="28"/>
        </w:rPr>
        <w:t>六、政府采购预算情况</w:t>
      </w:r>
    </w:p>
    <w:p>
      <w:pPr>
        <w:ind w:firstLine="560" w:firstLineChars="200"/>
        <w:rPr>
          <w:rFonts w:ascii="宋体" w:hAnsi="宋体" w:cs="宋体"/>
          <w:bCs/>
          <w:color w:val="000000"/>
          <w:sz w:val="28"/>
          <w:szCs w:val="28"/>
        </w:rPr>
      </w:pPr>
      <w:r>
        <w:rPr>
          <w:rFonts w:hint="eastAsia" w:ascii="宋体" w:hAnsi="宋体" w:cs="宋体"/>
          <w:bCs/>
          <w:color w:val="000000"/>
          <w:sz w:val="28"/>
          <w:szCs w:val="28"/>
        </w:rPr>
        <w:t>本年度部门预算没有安排政府采购项目</w:t>
      </w:r>
      <w:bookmarkEnd w:id="7"/>
      <w:r>
        <w:rPr>
          <w:rFonts w:hint="eastAsia" w:ascii="宋体" w:hAnsi="宋体" w:cs="宋体"/>
          <w:bCs/>
          <w:color w:val="000000"/>
          <w:sz w:val="28"/>
          <w:szCs w:val="28"/>
        </w:rPr>
        <w:t>.</w:t>
      </w:r>
    </w:p>
    <w:p>
      <w:pPr>
        <w:rPr>
          <w:rFonts w:ascii="宋体" w:hAnsi="宋体" w:cs="宋体"/>
          <w:bCs/>
          <w:color w:val="000000"/>
          <w:sz w:val="28"/>
          <w:szCs w:val="28"/>
        </w:rPr>
      </w:pPr>
      <w:r>
        <w:rPr>
          <w:rFonts w:hint="eastAsia" w:ascii="宋体" w:hAnsi="宋体" w:cs="宋体"/>
          <w:b/>
          <w:bCs/>
          <w:color w:val="000000"/>
          <w:sz w:val="28"/>
          <w:szCs w:val="28"/>
        </w:rPr>
        <w:t>七、国有资产信息情况</w:t>
      </w:r>
    </w:p>
    <w:p>
      <w:pPr>
        <w:ind w:firstLine="560" w:firstLineChars="200"/>
        <w:rPr>
          <w:rFonts w:ascii="宋体" w:hAnsi="宋体" w:cs="仿宋"/>
          <w:color w:val="000000"/>
          <w:sz w:val="28"/>
          <w:szCs w:val="28"/>
        </w:rPr>
      </w:pPr>
      <w:r>
        <w:rPr>
          <w:rFonts w:hint="eastAsia" w:ascii="宋体" w:hAnsi="宋体"/>
          <w:sz w:val="28"/>
          <w:szCs w:val="28"/>
        </w:rPr>
        <w:t>涞水县城区社区管理办公室202</w:t>
      </w:r>
      <w:r>
        <w:rPr>
          <w:rFonts w:hint="eastAsia" w:ascii="宋体" w:hAnsi="宋体"/>
          <w:sz w:val="28"/>
          <w:szCs w:val="28"/>
          <w:lang w:val="en-US" w:eastAsia="zh-CN"/>
        </w:rPr>
        <w:t>3</w:t>
      </w:r>
      <w:r>
        <w:rPr>
          <w:rFonts w:hint="eastAsia" w:ascii="宋体" w:hAnsi="宋体"/>
          <w:sz w:val="28"/>
          <w:szCs w:val="28"/>
        </w:rPr>
        <w:t>年末固定资产总金额21</w:t>
      </w:r>
      <w:r>
        <w:rPr>
          <w:rFonts w:hint="eastAsia" w:ascii="宋体" w:hAnsi="宋体"/>
          <w:sz w:val="28"/>
          <w:szCs w:val="28"/>
          <w:lang w:eastAsia="zh-CN"/>
        </w:rPr>
        <w:t>4.</w:t>
      </w:r>
      <w:r>
        <w:rPr>
          <w:rFonts w:hint="eastAsia" w:ascii="宋体" w:hAnsi="宋体"/>
          <w:sz w:val="28"/>
          <w:szCs w:val="28"/>
        </w:rPr>
        <w:t>.</w:t>
      </w:r>
      <w:r>
        <w:rPr>
          <w:rFonts w:hint="eastAsia" w:ascii="宋体" w:hAnsi="宋体"/>
          <w:sz w:val="28"/>
          <w:szCs w:val="28"/>
          <w:lang w:eastAsia="zh-CN"/>
        </w:rPr>
        <w:t>80</w:t>
      </w:r>
      <w:r>
        <w:rPr>
          <w:rFonts w:hint="eastAsia" w:ascii="宋体" w:hAnsi="宋体"/>
          <w:sz w:val="28"/>
          <w:szCs w:val="28"/>
        </w:rPr>
        <w:t xml:space="preserve">万元（详见下表）。 </w:t>
      </w:r>
      <w:r>
        <w:rPr>
          <w:rFonts w:hint="eastAsia" w:ascii="宋体" w:hAnsi="宋体" w:cs="仿宋"/>
          <w:color w:val="000000"/>
          <w:sz w:val="28"/>
          <w:szCs w:val="28"/>
        </w:rPr>
        <w:t>我部门办公用房为租赁房，无公务用车，其他固定资产价值总额</w:t>
      </w:r>
      <w:r>
        <w:rPr>
          <w:rFonts w:hint="eastAsia" w:ascii="宋体" w:hAnsi="宋体"/>
          <w:sz w:val="28"/>
          <w:szCs w:val="28"/>
        </w:rPr>
        <w:t>21</w:t>
      </w:r>
      <w:r>
        <w:rPr>
          <w:rFonts w:hint="eastAsia" w:ascii="宋体" w:hAnsi="宋体"/>
          <w:sz w:val="28"/>
          <w:szCs w:val="28"/>
          <w:lang w:eastAsia="zh-CN"/>
        </w:rPr>
        <w:t>4.80</w:t>
      </w:r>
      <w:r>
        <w:rPr>
          <w:rFonts w:hint="eastAsia" w:ascii="宋体" w:hAnsi="宋体" w:cs="仿宋"/>
          <w:color w:val="000000"/>
          <w:sz w:val="28"/>
          <w:szCs w:val="28"/>
        </w:rPr>
        <w:t>万元，（包括8个居委会办公设备、桌椅电器等）。</w:t>
      </w:r>
    </w:p>
    <w:p>
      <w:pPr>
        <w:spacing w:line="520" w:lineRule="exact"/>
        <w:ind w:firstLine="560" w:firstLineChars="200"/>
        <w:rPr>
          <w:rFonts w:ascii="宋体" w:hAnsi="宋体"/>
          <w:sz w:val="28"/>
          <w:szCs w:val="28"/>
        </w:rPr>
      </w:pPr>
    </w:p>
    <w:tbl>
      <w:tblPr>
        <w:tblStyle w:val="9"/>
        <w:tblW w:w="13280" w:type="dxa"/>
        <w:jc w:val="center"/>
        <w:tblLayout w:type="fixed"/>
        <w:tblCellMar>
          <w:top w:w="0" w:type="dxa"/>
          <w:left w:w="108" w:type="dxa"/>
          <w:bottom w:w="0" w:type="dxa"/>
          <w:right w:w="108" w:type="dxa"/>
        </w:tblCellMar>
      </w:tblPr>
      <w:tblGrid>
        <w:gridCol w:w="5748"/>
        <w:gridCol w:w="2399"/>
        <w:gridCol w:w="5133"/>
      </w:tblGrid>
      <w:tr>
        <w:tblPrEx>
          <w:tblCellMar>
            <w:top w:w="0" w:type="dxa"/>
            <w:left w:w="108" w:type="dxa"/>
            <w:bottom w:w="0" w:type="dxa"/>
            <w:right w:w="108" w:type="dxa"/>
          </w:tblCellMar>
        </w:tblPrEx>
        <w:trPr>
          <w:trHeight w:val="645" w:hRule="atLeast"/>
          <w:jc w:val="center"/>
        </w:trPr>
        <w:tc>
          <w:tcPr>
            <w:tcW w:w="13280" w:type="dxa"/>
            <w:gridSpan w:val="3"/>
            <w:tcBorders>
              <w:top w:val="nil"/>
              <w:left w:val="nil"/>
              <w:bottom w:val="nil"/>
              <w:right w:val="nil"/>
            </w:tcBorders>
            <w:shd w:val="clear" w:color="auto" w:fill="auto"/>
            <w:vAlign w:val="center"/>
          </w:tcPr>
          <w:p>
            <w:pPr>
              <w:jc w:val="center"/>
              <w:rPr>
                <w:rFonts w:ascii="宋体" w:hAnsi="宋体" w:cs="宋体"/>
                <w:color w:val="000000"/>
                <w:sz w:val="28"/>
                <w:szCs w:val="28"/>
              </w:rPr>
            </w:pPr>
            <w:r>
              <w:rPr>
                <w:rFonts w:hint="eastAsia" w:ascii="宋体" w:hAnsi="宋体"/>
                <w:sz w:val="28"/>
                <w:szCs w:val="28"/>
              </w:rPr>
              <w:t>涞水县城区社区管理办公室</w:t>
            </w:r>
          </w:p>
        </w:tc>
      </w:tr>
      <w:tr>
        <w:tblPrEx>
          <w:tblCellMar>
            <w:top w:w="0" w:type="dxa"/>
            <w:left w:w="108" w:type="dxa"/>
            <w:bottom w:w="0" w:type="dxa"/>
            <w:right w:w="108" w:type="dxa"/>
          </w:tblCellMar>
        </w:tblPrEx>
        <w:trPr>
          <w:trHeight w:val="444" w:hRule="atLeast"/>
          <w:jc w:val="center"/>
        </w:trPr>
        <w:tc>
          <w:tcPr>
            <w:tcW w:w="13280" w:type="dxa"/>
            <w:gridSpan w:val="3"/>
            <w:tcBorders>
              <w:top w:val="nil"/>
              <w:left w:val="nil"/>
              <w:bottom w:val="single" w:color="auto" w:sz="4" w:space="0"/>
              <w:right w:val="nil"/>
            </w:tcBorders>
            <w:shd w:val="clear" w:color="auto" w:fill="auto"/>
            <w:vAlign w:val="center"/>
          </w:tcPr>
          <w:p>
            <w:pPr>
              <w:jc w:val="center"/>
              <w:rPr>
                <w:rFonts w:ascii="宋体" w:hAnsi="宋体" w:cs="宋体"/>
                <w:color w:val="000000"/>
                <w:sz w:val="28"/>
                <w:szCs w:val="28"/>
              </w:rPr>
            </w:pPr>
            <w:r>
              <w:rPr>
                <w:rFonts w:hint="eastAsia" w:ascii="宋体" w:hAnsi="宋体" w:cs="宋体"/>
                <w:bCs/>
                <w:color w:val="000000"/>
                <w:sz w:val="28"/>
                <w:szCs w:val="28"/>
              </w:rPr>
              <w:t>截止时间：202</w:t>
            </w:r>
            <w:r>
              <w:rPr>
                <w:rFonts w:hint="eastAsia" w:ascii="宋体" w:hAnsi="宋体" w:cs="宋体"/>
                <w:bCs/>
                <w:color w:val="000000"/>
                <w:sz w:val="28"/>
                <w:szCs w:val="28"/>
                <w:lang w:val="en-US" w:eastAsia="zh-CN"/>
              </w:rPr>
              <w:t>3</w:t>
            </w:r>
            <w:r>
              <w:rPr>
                <w:rFonts w:hint="eastAsia" w:ascii="宋体" w:hAnsi="宋体" w:cs="宋体"/>
                <w:bCs/>
                <w:color w:val="000000"/>
                <w:sz w:val="28"/>
                <w:szCs w:val="28"/>
              </w:rPr>
              <w:t>年12月31日</w:t>
            </w:r>
          </w:p>
        </w:tc>
      </w:tr>
      <w:tr>
        <w:tblPrEx>
          <w:tblCellMar>
            <w:top w:w="0" w:type="dxa"/>
            <w:left w:w="108" w:type="dxa"/>
            <w:bottom w:w="0" w:type="dxa"/>
            <w:right w:w="108" w:type="dxa"/>
          </w:tblCellMar>
        </w:tblPrEx>
        <w:trPr>
          <w:trHeight w:val="726" w:hRule="atLeast"/>
          <w:jc w:val="center"/>
        </w:trPr>
        <w:tc>
          <w:tcPr>
            <w:tcW w:w="574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rPr>
            </w:pPr>
            <w:r>
              <w:rPr>
                <w:rFonts w:hint="eastAsia" w:ascii="宋体" w:hAnsi="宋体" w:cs="宋体"/>
                <w:b/>
                <w:bCs/>
                <w:color w:val="000000"/>
              </w:rPr>
              <w:t>项　　目</w:t>
            </w:r>
          </w:p>
        </w:tc>
        <w:tc>
          <w:tcPr>
            <w:tcW w:w="2399"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rPr>
            </w:pPr>
            <w:r>
              <w:rPr>
                <w:rFonts w:hint="eastAsia" w:ascii="宋体" w:hAnsi="宋体" w:cs="宋体"/>
                <w:b/>
                <w:bCs/>
                <w:color w:val="000000"/>
              </w:rPr>
              <w:t>数量</w:t>
            </w:r>
          </w:p>
        </w:tc>
        <w:tc>
          <w:tcPr>
            <w:tcW w:w="51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rPr>
            </w:pPr>
            <w:r>
              <w:rPr>
                <w:rFonts w:hint="eastAsia" w:ascii="宋体" w:hAnsi="宋体" w:cs="宋体"/>
                <w:b/>
                <w:bCs/>
                <w:color w:val="000000"/>
              </w:rPr>
              <w:t>价值（单位：万元）</w:t>
            </w:r>
          </w:p>
        </w:tc>
      </w:tr>
      <w:tr>
        <w:tblPrEx>
          <w:tblCellMar>
            <w:top w:w="0" w:type="dxa"/>
            <w:left w:w="108" w:type="dxa"/>
            <w:bottom w:w="0" w:type="dxa"/>
            <w:right w:w="108" w:type="dxa"/>
          </w:tblCellMar>
        </w:tblPrEx>
        <w:trPr>
          <w:trHeight w:val="482" w:hRule="atLeast"/>
          <w:jc w:val="center"/>
        </w:trPr>
        <w:tc>
          <w:tcPr>
            <w:tcW w:w="574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rPr>
            </w:pPr>
            <w:r>
              <w:rPr>
                <w:rFonts w:hint="eastAsia" w:ascii="宋体" w:hAnsi="宋体" w:cs="宋体"/>
                <w:b/>
                <w:bCs/>
                <w:color w:val="000000"/>
              </w:rPr>
              <w:t>固定资产总额</w:t>
            </w:r>
          </w:p>
        </w:tc>
        <w:tc>
          <w:tcPr>
            <w:tcW w:w="239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w:t>
            </w:r>
          </w:p>
        </w:tc>
        <w:tc>
          <w:tcPr>
            <w:tcW w:w="51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color w:val="000000"/>
                <w:lang w:eastAsia="zh-CN"/>
              </w:rPr>
            </w:pPr>
            <w:r>
              <w:rPr>
                <w:rFonts w:hint="eastAsia" w:ascii="宋体" w:hAnsi="宋体"/>
                <w:sz w:val="28"/>
                <w:szCs w:val="28"/>
              </w:rPr>
              <w:t>21</w:t>
            </w:r>
            <w:r>
              <w:rPr>
                <w:rFonts w:hint="eastAsia" w:ascii="宋体" w:hAnsi="宋体"/>
                <w:sz w:val="28"/>
                <w:szCs w:val="28"/>
                <w:lang w:eastAsia="zh-CN"/>
              </w:rPr>
              <w:t>4.80</w:t>
            </w:r>
          </w:p>
        </w:tc>
      </w:tr>
      <w:tr>
        <w:tblPrEx>
          <w:tblCellMar>
            <w:top w:w="0" w:type="dxa"/>
            <w:left w:w="108" w:type="dxa"/>
            <w:bottom w:w="0" w:type="dxa"/>
            <w:right w:w="108" w:type="dxa"/>
          </w:tblCellMar>
        </w:tblPrEx>
        <w:trPr>
          <w:trHeight w:val="471" w:hRule="atLeast"/>
          <w:jc w:val="center"/>
        </w:trPr>
        <w:tc>
          <w:tcPr>
            <w:tcW w:w="574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ascii="宋体" w:hAnsi="宋体" w:cs="宋体"/>
                <w:color w:val="000000"/>
              </w:rPr>
              <w:t xml:space="preserve">  1、房屋（平方米）</w:t>
            </w:r>
          </w:p>
        </w:tc>
        <w:tc>
          <w:tcPr>
            <w:tcW w:w="239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p>
        </w:tc>
        <w:tc>
          <w:tcPr>
            <w:tcW w:w="51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410" w:hRule="atLeast"/>
          <w:jc w:val="center"/>
        </w:trPr>
        <w:tc>
          <w:tcPr>
            <w:tcW w:w="574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ascii="宋体" w:hAnsi="宋体" w:cs="宋体"/>
                <w:color w:val="000000"/>
              </w:rPr>
              <w:t xml:space="preserve">   其中：办公用房（平方米）</w:t>
            </w:r>
          </w:p>
        </w:tc>
        <w:tc>
          <w:tcPr>
            <w:tcW w:w="239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rPr>
            </w:pPr>
          </w:p>
        </w:tc>
        <w:tc>
          <w:tcPr>
            <w:tcW w:w="513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482" w:hRule="atLeast"/>
          <w:jc w:val="center"/>
        </w:trPr>
        <w:tc>
          <w:tcPr>
            <w:tcW w:w="574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ascii="宋体" w:hAnsi="宋体" w:cs="宋体"/>
                <w:color w:val="000000"/>
              </w:rPr>
              <w:t xml:space="preserve">  2、车辆（台、辆）</w:t>
            </w:r>
          </w:p>
        </w:tc>
        <w:tc>
          <w:tcPr>
            <w:tcW w:w="239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p>
        </w:tc>
        <w:tc>
          <w:tcPr>
            <w:tcW w:w="51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593" w:hRule="atLeast"/>
          <w:jc w:val="center"/>
        </w:trPr>
        <w:tc>
          <w:tcPr>
            <w:tcW w:w="574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ascii="宋体" w:hAnsi="宋体" w:cs="宋体"/>
                <w:color w:val="000000"/>
              </w:rPr>
              <w:t xml:space="preserve">  3、单价在20万元以上的设备</w:t>
            </w:r>
          </w:p>
        </w:tc>
        <w:tc>
          <w:tcPr>
            <w:tcW w:w="239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w:t>
            </w:r>
          </w:p>
        </w:tc>
        <w:tc>
          <w:tcPr>
            <w:tcW w:w="51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无</w:t>
            </w:r>
          </w:p>
        </w:tc>
      </w:tr>
      <w:tr>
        <w:tblPrEx>
          <w:tblCellMar>
            <w:top w:w="0" w:type="dxa"/>
            <w:left w:w="108" w:type="dxa"/>
            <w:bottom w:w="0" w:type="dxa"/>
            <w:right w:w="108" w:type="dxa"/>
          </w:tblCellMar>
        </w:tblPrEx>
        <w:trPr>
          <w:trHeight w:val="432" w:hRule="atLeast"/>
          <w:jc w:val="center"/>
        </w:trPr>
        <w:tc>
          <w:tcPr>
            <w:tcW w:w="574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ascii="宋体" w:hAnsi="宋体" w:cs="宋体"/>
                <w:color w:val="000000"/>
              </w:rPr>
              <w:t xml:space="preserve">  4、其他固定资产</w:t>
            </w:r>
          </w:p>
        </w:tc>
        <w:tc>
          <w:tcPr>
            <w:tcW w:w="239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w:t>
            </w:r>
          </w:p>
        </w:tc>
        <w:tc>
          <w:tcPr>
            <w:tcW w:w="513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lang w:eastAsia="zh-CN"/>
              </w:rPr>
            </w:pPr>
            <w:r>
              <w:rPr>
                <w:rFonts w:hint="eastAsia" w:ascii="宋体" w:hAnsi="宋体"/>
                <w:sz w:val="28"/>
                <w:szCs w:val="28"/>
              </w:rPr>
              <w:t>21</w:t>
            </w:r>
            <w:r>
              <w:rPr>
                <w:rFonts w:hint="eastAsia" w:ascii="宋体" w:hAnsi="宋体"/>
                <w:sz w:val="28"/>
                <w:szCs w:val="28"/>
                <w:lang w:eastAsia="zh-CN"/>
              </w:rPr>
              <w:t>4.80</w:t>
            </w:r>
          </w:p>
        </w:tc>
      </w:tr>
    </w:tbl>
    <w:p>
      <w:pPr>
        <w:spacing w:line="440" w:lineRule="exact"/>
        <w:ind w:firstLine="551" w:firstLineChars="196"/>
        <w:rPr>
          <w:rFonts w:ascii="宋体" w:hAnsi="宋体" w:cs="仿宋_GB2312"/>
          <w:b/>
          <w:sz w:val="28"/>
          <w:szCs w:val="28"/>
        </w:rPr>
      </w:pPr>
      <w:r>
        <w:rPr>
          <w:rFonts w:hint="eastAsia" w:ascii="宋体" w:hAnsi="宋体" w:cs="仿宋_GB2312"/>
          <w:b/>
          <w:sz w:val="28"/>
          <w:szCs w:val="28"/>
        </w:rPr>
        <w:t>八、专业名词解释</w:t>
      </w:r>
    </w:p>
    <w:p>
      <w:pPr>
        <w:spacing w:line="440" w:lineRule="exact"/>
        <w:ind w:firstLine="551" w:firstLineChars="196"/>
        <w:rPr>
          <w:rFonts w:ascii="宋体" w:hAnsi="宋体"/>
          <w:sz w:val="28"/>
          <w:szCs w:val="28"/>
        </w:rPr>
      </w:pPr>
      <w:r>
        <w:rPr>
          <w:rFonts w:ascii="宋体" w:hAnsi="宋体"/>
          <w:b/>
          <w:bCs/>
          <w:sz w:val="28"/>
          <w:szCs w:val="28"/>
        </w:rPr>
        <w:t>1</w:t>
      </w:r>
      <w:r>
        <w:rPr>
          <w:rFonts w:hint="eastAsia" w:ascii="宋体" w:hAnsi="宋体"/>
          <w:b/>
          <w:bCs/>
          <w:sz w:val="28"/>
          <w:szCs w:val="28"/>
        </w:rPr>
        <w:t>、一般公共预算财政拨款收入：</w:t>
      </w:r>
      <w:r>
        <w:rPr>
          <w:rFonts w:hint="eastAsia" w:ascii="宋体" w:hAnsi="宋体"/>
          <w:sz w:val="28"/>
          <w:szCs w:val="28"/>
        </w:rPr>
        <w:t>县级财政当年拨付的资金。</w:t>
      </w:r>
    </w:p>
    <w:p>
      <w:pPr>
        <w:pStyle w:val="8"/>
        <w:spacing w:line="440" w:lineRule="exact"/>
        <w:ind w:firstLine="506" w:firstLineChars="180"/>
        <w:rPr>
          <w:rFonts w:cs="仿宋_GB2312"/>
          <w:sz w:val="28"/>
          <w:szCs w:val="28"/>
        </w:rPr>
      </w:pPr>
      <w:r>
        <w:rPr>
          <w:rStyle w:val="12"/>
          <w:rFonts w:cs="仿宋_GB2312"/>
          <w:sz w:val="28"/>
          <w:szCs w:val="28"/>
          <w:shd w:val="clear" w:color="auto" w:fill="FFFFFF"/>
        </w:rPr>
        <w:t>2</w:t>
      </w:r>
      <w:r>
        <w:rPr>
          <w:rStyle w:val="12"/>
          <w:rFonts w:hint="eastAsia" w:cs="仿宋_GB2312"/>
          <w:sz w:val="28"/>
          <w:szCs w:val="28"/>
          <w:shd w:val="clear" w:color="auto" w:fill="FFFFFF"/>
        </w:rPr>
        <w:t>、其他收入：</w:t>
      </w:r>
      <w:r>
        <w:rPr>
          <w:rFonts w:hint="eastAsia" w:cs="仿宋_GB2312"/>
          <w:sz w:val="28"/>
          <w:szCs w:val="28"/>
          <w:shd w:val="clear" w:color="auto" w:fill="FFFFFF"/>
        </w:rPr>
        <w:t>指除上述财政拨款收入以外的收入。主要是存款利息收入。</w:t>
      </w:r>
    </w:p>
    <w:p>
      <w:pPr>
        <w:pStyle w:val="8"/>
        <w:spacing w:line="440" w:lineRule="exact"/>
        <w:ind w:firstLine="506" w:firstLineChars="180"/>
        <w:rPr>
          <w:sz w:val="28"/>
          <w:szCs w:val="28"/>
        </w:rPr>
      </w:pPr>
      <w:r>
        <w:rPr>
          <w:rStyle w:val="12"/>
          <w:rFonts w:cs="仿宋_GB2312"/>
          <w:color w:val="000000"/>
          <w:sz w:val="28"/>
          <w:szCs w:val="28"/>
          <w:shd w:val="clear" w:color="auto" w:fill="FFFFFF"/>
        </w:rPr>
        <w:t>3</w:t>
      </w:r>
      <w:r>
        <w:rPr>
          <w:rFonts w:hint="eastAsia"/>
          <w:b/>
          <w:bCs/>
          <w:sz w:val="28"/>
          <w:szCs w:val="28"/>
        </w:rPr>
        <w:t>、基本支出：</w:t>
      </w:r>
      <w:r>
        <w:rPr>
          <w:rFonts w:hint="eastAsia"/>
          <w:sz w:val="28"/>
          <w:szCs w:val="28"/>
        </w:rPr>
        <w:t>指为保障机构正常运转、完成日常工作任务而发生的人员支出和公用支出。</w:t>
      </w:r>
    </w:p>
    <w:p>
      <w:pPr>
        <w:pStyle w:val="8"/>
        <w:spacing w:line="440" w:lineRule="exact"/>
        <w:rPr>
          <w:sz w:val="28"/>
          <w:szCs w:val="28"/>
        </w:rPr>
      </w:pPr>
      <w:r>
        <w:rPr>
          <w:b/>
          <w:bCs/>
          <w:sz w:val="28"/>
          <w:szCs w:val="28"/>
        </w:rPr>
        <w:t xml:space="preserve">    4</w:t>
      </w:r>
      <w:r>
        <w:rPr>
          <w:rFonts w:hint="eastAsia"/>
          <w:b/>
          <w:bCs/>
          <w:sz w:val="28"/>
          <w:szCs w:val="28"/>
        </w:rPr>
        <w:t>、项目支出</w:t>
      </w:r>
      <w:r>
        <w:rPr>
          <w:rFonts w:hint="eastAsia"/>
          <w:sz w:val="28"/>
          <w:szCs w:val="28"/>
        </w:rPr>
        <w:t>：指在基本支出之外为完成特定行政任务和事业发展目标所发生的支出。</w:t>
      </w:r>
    </w:p>
    <w:p>
      <w:pPr>
        <w:pStyle w:val="8"/>
        <w:spacing w:line="440" w:lineRule="exact"/>
        <w:ind w:firstLine="562" w:firstLineChars="200"/>
        <w:rPr>
          <w:sz w:val="28"/>
          <w:szCs w:val="28"/>
        </w:rPr>
      </w:pPr>
      <w:r>
        <w:rPr>
          <w:b/>
          <w:bCs/>
          <w:sz w:val="28"/>
          <w:szCs w:val="28"/>
        </w:rPr>
        <w:t>5</w:t>
      </w:r>
      <w:r>
        <w:rPr>
          <w:rFonts w:hint="eastAsia"/>
          <w:b/>
          <w:bCs/>
          <w:sz w:val="28"/>
          <w:szCs w:val="28"/>
        </w:rPr>
        <w:t>、“三公”经费：</w:t>
      </w:r>
      <w:r>
        <w:rPr>
          <w:rFonts w:hint="eastAsia"/>
          <w:sz w:val="28"/>
          <w:szCs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spacing w:line="440" w:lineRule="exact"/>
        <w:ind w:firstLine="562" w:firstLineChars="200"/>
        <w:rPr>
          <w:sz w:val="28"/>
          <w:szCs w:val="28"/>
        </w:rPr>
      </w:pPr>
      <w:r>
        <w:rPr>
          <w:b/>
          <w:bCs/>
          <w:sz w:val="28"/>
          <w:szCs w:val="28"/>
        </w:rPr>
        <w:t>6</w:t>
      </w:r>
      <w:r>
        <w:rPr>
          <w:rFonts w:hint="eastAsia"/>
          <w:b/>
          <w:bCs/>
          <w:sz w:val="28"/>
          <w:szCs w:val="28"/>
        </w:rPr>
        <w:t>、机关运行经费：</w:t>
      </w:r>
      <w:r>
        <w:rPr>
          <w:rFonts w:hint="eastAsia"/>
          <w:sz w:val="28"/>
          <w:szCs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8"/>
        <w:spacing w:line="440" w:lineRule="exact"/>
        <w:ind w:firstLine="560" w:firstLineChars="200"/>
        <w:rPr>
          <w:sz w:val="28"/>
          <w:szCs w:val="28"/>
        </w:rPr>
      </w:pPr>
      <w:r>
        <w:rPr>
          <w:rFonts w:hint="eastAsia" w:eastAsia="Times New Roman" w:cs="仿宋_GB2312"/>
          <w:b/>
          <w:sz w:val="28"/>
          <w:szCs w:val="28"/>
        </w:rPr>
        <w:t>九、其他需要说明的事项</w:t>
      </w:r>
    </w:p>
    <w:p>
      <w:pPr>
        <w:spacing w:line="500" w:lineRule="exact"/>
        <w:ind w:firstLine="560" w:firstLineChars="200"/>
        <w:outlineLvl w:val="0"/>
        <w:rPr>
          <w:rFonts w:ascii="宋体" w:hAnsi="宋体"/>
          <w:sz w:val="28"/>
          <w:szCs w:val="28"/>
        </w:rPr>
      </w:pPr>
      <w:r>
        <w:rPr>
          <w:rFonts w:hint="eastAsia" w:ascii="宋体" w:hAnsi="宋体"/>
          <w:sz w:val="28"/>
          <w:szCs w:val="28"/>
        </w:rPr>
        <w:t>我</w:t>
      </w:r>
      <w:r>
        <w:rPr>
          <w:rFonts w:hint="eastAsia" w:ascii="宋体" w:hAnsi="宋体"/>
          <w:sz w:val="28"/>
          <w:szCs w:val="28"/>
          <w:lang w:eastAsia="zh-CN"/>
        </w:rPr>
        <w:t>单</w:t>
      </w:r>
      <w:r>
        <w:rPr>
          <w:rFonts w:hint="eastAsia" w:ascii="宋体" w:hAnsi="宋体"/>
          <w:b w:val="0"/>
          <w:bCs w:val="0"/>
          <w:sz w:val="28"/>
          <w:szCs w:val="28"/>
          <w:lang w:eastAsia="zh-CN"/>
        </w:rPr>
        <w:t>位无</w:t>
      </w:r>
      <w:r>
        <w:rPr>
          <w:rFonts w:hint="eastAsia" w:eastAsia="Times New Roman" w:cs="仿宋_GB2312"/>
          <w:b w:val="0"/>
          <w:bCs w:val="0"/>
          <w:sz w:val="28"/>
          <w:szCs w:val="28"/>
        </w:rPr>
        <w:t>其他需要说明的事项</w:t>
      </w:r>
      <w:r>
        <w:rPr>
          <w:rFonts w:hint="eastAsia" w:ascii="宋体" w:hAnsi="宋体"/>
          <w:sz w:val="28"/>
          <w:szCs w:val="28"/>
        </w:rPr>
        <w:t>。</w:t>
      </w:r>
    </w:p>
    <w:p>
      <w:pPr>
        <w:spacing w:line="500" w:lineRule="exact"/>
        <w:ind w:firstLine="560" w:firstLineChars="200"/>
        <w:outlineLvl w:val="0"/>
        <w:rPr>
          <w:rFonts w:ascii="宋体" w:hAnsi="宋体"/>
          <w:sz w:val="28"/>
          <w:szCs w:val="28"/>
        </w:rPr>
      </w:pPr>
    </w:p>
    <w:p>
      <w:pPr>
        <w:spacing w:line="500" w:lineRule="exact"/>
        <w:ind w:firstLine="560" w:firstLineChars="200"/>
        <w:outlineLvl w:val="0"/>
        <w:rPr>
          <w:rFonts w:hint="eastAsia" w:ascii="宋体" w:hAnsi="宋体"/>
          <w:sz w:val="28"/>
          <w:szCs w:val="28"/>
          <w:lang w:eastAsia="zh-CN"/>
        </w:rPr>
      </w:pPr>
    </w:p>
    <w:sectPr>
      <w:headerReference r:id="rId12" w:type="default"/>
      <w:footerReference r:id="rId14" w:type="default"/>
      <w:headerReference r:id="rId13" w:type="even"/>
      <w:footerReference r:id="rId15" w:type="even"/>
      <w:pgSz w:w="16840" w:h="11900" w:orient="landscape"/>
      <w:pgMar w:top="1361" w:right="1021" w:bottom="1361" w:left="1021"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32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32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jc w:val="right"/>
                          </w:pPr>
                          <w:r>
                            <w:rPr>
                              <w:rStyle w:val="13"/>
                            </w:rPr>
                            <w:fldChar w:fldCharType="begin"/>
                          </w:r>
                          <w:r>
                            <w:rPr>
                              <w:rStyle w:val="13"/>
                            </w:rPr>
                            <w:instrText xml:space="preserve"> PAGE </w:instrText>
                          </w:r>
                          <w:r>
                            <w:rPr>
                              <w:rStyle w:val="13"/>
                            </w:rPr>
                            <w:fldChar w:fldCharType="separate"/>
                          </w:r>
                          <w:r>
                            <w:rPr>
                              <w:rStyle w:val="13"/>
                            </w:rPr>
                            <w:t>2</w:t>
                          </w:r>
                          <w:r>
                            <w:rPr>
                              <w:rStyle w:val="13"/>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3"/>
                      <w:jc w:val="right"/>
                    </w:pPr>
                    <w:r>
                      <w:rPr>
                        <w:rStyle w:val="13"/>
                      </w:rPr>
                      <w:fldChar w:fldCharType="begin"/>
                    </w:r>
                    <w:r>
                      <w:rPr>
                        <w:rStyle w:val="13"/>
                      </w:rPr>
                      <w:instrText xml:space="preserve"> PAGE </w:instrText>
                    </w:r>
                    <w:r>
                      <w:rPr>
                        <w:rStyle w:val="13"/>
                      </w:rPr>
                      <w:fldChar w:fldCharType="separate"/>
                    </w:r>
                    <w:r>
                      <w:rPr>
                        <w:rStyle w:val="13"/>
                      </w:rPr>
                      <w:t>2</w:t>
                    </w:r>
                    <w:r>
                      <w:rPr>
                        <w:rStyle w:val="13"/>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
                            <w:fldChar w:fldCharType="begin"/>
                          </w:r>
                          <w:r>
                            <w:instrText xml:space="preserve">PAGE "page number"</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jc w:val="right"/>
                          </w:pPr>
                          <w:r>
                            <w:fldChar w:fldCharType="begin"/>
                          </w:r>
                          <w:r>
                            <w:instrText xml:space="preserve">PAGE "page number"</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29</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eastAsia="zh-C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32</w:t>
                    </w:r>
                    <w:r>
                      <w:fldChar w:fldCharType="end"/>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right"/>
                          </w:pPr>
                          <w:r>
                            <w:rPr>
                              <w:rStyle w:val="13"/>
                            </w:rPr>
                            <w:fldChar w:fldCharType="begin"/>
                          </w:r>
                          <w:r>
                            <w:rPr>
                              <w:rStyle w:val="13"/>
                            </w:rPr>
                            <w:instrText xml:space="preserve"> PAGE </w:instrText>
                          </w:r>
                          <w:r>
                            <w:rPr>
                              <w:rStyle w:val="13"/>
                            </w:rPr>
                            <w:fldChar w:fldCharType="separate"/>
                          </w:r>
                          <w:r>
                            <w:rPr>
                              <w:rStyle w:val="13"/>
                            </w:rPr>
                            <w:t>33</w:t>
                          </w:r>
                          <w:r>
                            <w:rPr>
                              <w:rStyle w:val="13"/>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3"/>
                      <w:jc w:val="right"/>
                    </w:pPr>
                    <w:r>
                      <w:rPr>
                        <w:rStyle w:val="13"/>
                      </w:rPr>
                      <w:fldChar w:fldCharType="begin"/>
                    </w:r>
                    <w:r>
                      <w:rPr>
                        <w:rStyle w:val="13"/>
                      </w:rPr>
                      <w:instrText xml:space="preserve"> PAGE </w:instrText>
                    </w:r>
                    <w:r>
                      <w:rPr>
                        <w:rStyle w:val="13"/>
                      </w:rPr>
                      <w:fldChar w:fldCharType="separate"/>
                    </w:r>
                    <w:r>
                      <w:rPr>
                        <w:rStyle w:val="13"/>
                      </w:rPr>
                      <w:t>33</w:t>
                    </w:r>
                    <w:r>
                      <w:rPr>
                        <w:rStyle w:val="13"/>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21CC6"/>
    <w:multiLevelType w:val="singleLevel"/>
    <w:tmpl w:val="99F21CC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064159"/>
    <w:rsid w:val="00092A6D"/>
    <w:rsid w:val="000D6AB6"/>
    <w:rsid w:val="00102A43"/>
    <w:rsid w:val="00120163"/>
    <w:rsid w:val="00182D82"/>
    <w:rsid w:val="001B15F6"/>
    <w:rsid w:val="00201266"/>
    <w:rsid w:val="002247C2"/>
    <w:rsid w:val="002575B0"/>
    <w:rsid w:val="00367EC1"/>
    <w:rsid w:val="003732C8"/>
    <w:rsid w:val="004009D2"/>
    <w:rsid w:val="00557C8E"/>
    <w:rsid w:val="0056582C"/>
    <w:rsid w:val="005B2103"/>
    <w:rsid w:val="005C7741"/>
    <w:rsid w:val="006523FA"/>
    <w:rsid w:val="00664099"/>
    <w:rsid w:val="0068454C"/>
    <w:rsid w:val="006A425D"/>
    <w:rsid w:val="00706530"/>
    <w:rsid w:val="00714A9B"/>
    <w:rsid w:val="007304F6"/>
    <w:rsid w:val="00761E4C"/>
    <w:rsid w:val="00781D3A"/>
    <w:rsid w:val="00791CF2"/>
    <w:rsid w:val="007D7E92"/>
    <w:rsid w:val="008B67C3"/>
    <w:rsid w:val="008D0F2A"/>
    <w:rsid w:val="008F1C73"/>
    <w:rsid w:val="00976D38"/>
    <w:rsid w:val="0098765C"/>
    <w:rsid w:val="009B1383"/>
    <w:rsid w:val="009E628F"/>
    <w:rsid w:val="00AC1402"/>
    <w:rsid w:val="00AE13A9"/>
    <w:rsid w:val="00B10A12"/>
    <w:rsid w:val="00B52C69"/>
    <w:rsid w:val="00BA63A6"/>
    <w:rsid w:val="00BC0518"/>
    <w:rsid w:val="00BD1DD9"/>
    <w:rsid w:val="00C3340F"/>
    <w:rsid w:val="00C83D45"/>
    <w:rsid w:val="00CC5F86"/>
    <w:rsid w:val="00D172D0"/>
    <w:rsid w:val="00D75591"/>
    <w:rsid w:val="00DA3F97"/>
    <w:rsid w:val="00DE48F6"/>
    <w:rsid w:val="00E869FF"/>
    <w:rsid w:val="00E92AAD"/>
    <w:rsid w:val="00EC4DAA"/>
    <w:rsid w:val="00ED2E59"/>
    <w:rsid w:val="00F1646A"/>
    <w:rsid w:val="00F57FE8"/>
    <w:rsid w:val="00F70546"/>
    <w:rsid w:val="00F826E0"/>
    <w:rsid w:val="00F8344F"/>
    <w:rsid w:val="00FB7ED6"/>
    <w:rsid w:val="00FE2BC8"/>
    <w:rsid w:val="00FE46E7"/>
    <w:rsid w:val="02424983"/>
    <w:rsid w:val="052B4646"/>
    <w:rsid w:val="0837244D"/>
    <w:rsid w:val="09EB6A23"/>
    <w:rsid w:val="133A3981"/>
    <w:rsid w:val="14301957"/>
    <w:rsid w:val="158F5031"/>
    <w:rsid w:val="188C61BD"/>
    <w:rsid w:val="1D380ACE"/>
    <w:rsid w:val="1D6846C4"/>
    <w:rsid w:val="22090B6C"/>
    <w:rsid w:val="257C60C9"/>
    <w:rsid w:val="259A75DB"/>
    <w:rsid w:val="27777E9B"/>
    <w:rsid w:val="27CC6964"/>
    <w:rsid w:val="27FF0855"/>
    <w:rsid w:val="2B0B2850"/>
    <w:rsid w:val="2D204585"/>
    <w:rsid w:val="32C043F9"/>
    <w:rsid w:val="391B70EA"/>
    <w:rsid w:val="39D10908"/>
    <w:rsid w:val="3A4B0C5C"/>
    <w:rsid w:val="3B8F458E"/>
    <w:rsid w:val="3F033BBB"/>
    <w:rsid w:val="3F682507"/>
    <w:rsid w:val="48390A7E"/>
    <w:rsid w:val="4BBF555B"/>
    <w:rsid w:val="549551E1"/>
    <w:rsid w:val="562A7E7A"/>
    <w:rsid w:val="56C90FA4"/>
    <w:rsid w:val="592F2F03"/>
    <w:rsid w:val="5A645C36"/>
    <w:rsid w:val="60BD2324"/>
    <w:rsid w:val="64070B2B"/>
    <w:rsid w:val="690A2EE8"/>
    <w:rsid w:val="6BCD0233"/>
    <w:rsid w:val="74745854"/>
    <w:rsid w:val="775A6402"/>
    <w:rsid w:val="7C3B796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7"/>
    <w:autoRedefine/>
    <w:qFormat/>
    <w:uiPriority w:val="99"/>
    <w:pPr>
      <w:tabs>
        <w:tab w:val="center" w:pos="4153"/>
        <w:tab w:val="right" w:pos="8306"/>
      </w:tabs>
      <w:snapToGrid w:val="0"/>
    </w:pPr>
    <w:rPr>
      <w:sz w:val="18"/>
      <w:szCs w:val="18"/>
    </w:rPr>
  </w:style>
  <w:style w:type="paragraph" w:styleId="4">
    <w:name w:val="header"/>
    <w:basedOn w:val="1"/>
    <w:link w:val="36"/>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autoRedefine/>
    <w:qFormat/>
    <w:uiPriority w:val="99"/>
    <w:pPr>
      <w:ind w:left="240"/>
    </w:pPr>
  </w:style>
  <w:style w:type="paragraph" w:styleId="8">
    <w:name w:val="Normal (Web)"/>
    <w:basedOn w:val="1"/>
    <w:autoRedefine/>
    <w:qFormat/>
    <w:uiPriority w:val="99"/>
    <w:pPr>
      <w:spacing w:before="100" w:beforeAutospacing="1" w:after="100" w:afterAutospacing="1"/>
    </w:pPr>
    <w:rPr>
      <w:rFonts w:ascii="宋体" w:hAnsi="宋体" w:cs="宋体"/>
    </w:rPr>
  </w:style>
  <w:style w:type="table" w:styleId="10">
    <w:name w:val="Table Grid"/>
    <w:basedOn w:val="9"/>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autoRedefine/>
    <w:qFormat/>
    <w:locked/>
    <w:uiPriority w:val="0"/>
    <w:rPr>
      <w:b/>
    </w:rPr>
  </w:style>
  <w:style w:type="character" w:styleId="13">
    <w:name w:val="page number"/>
    <w:basedOn w:val="11"/>
    <w:autoRedefine/>
    <w:qFormat/>
    <w:uiPriority w:val="99"/>
    <w:rPr>
      <w:rFonts w:cs="Times New Roman"/>
    </w:rPr>
  </w:style>
  <w:style w:type="paragraph" w:customStyle="1" w:styleId="14">
    <w:name w:val="单元格样式22"/>
    <w:basedOn w:val="1"/>
    <w:qFormat/>
    <w:uiPriority w:val="99"/>
    <w:pPr>
      <w:jc w:val="right"/>
    </w:pPr>
    <w:rPr>
      <w:rFonts w:ascii="方正小标宋_GBK" w:hAnsi="方正小标宋_GBK" w:eastAsia="方正小标宋_GBK" w:cs="方正小标宋_GBK"/>
    </w:rPr>
  </w:style>
  <w:style w:type="paragraph" w:customStyle="1" w:styleId="15">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6">
    <w:name w:val="单元格样式20"/>
    <w:basedOn w:val="1"/>
    <w:autoRedefine/>
    <w:qFormat/>
    <w:uiPriority w:val="99"/>
    <w:rPr>
      <w:rFonts w:ascii="方正小标宋_GBK" w:hAnsi="方正小标宋_GBK" w:eastAsia="方正小标宋_GBK" w:cs="方正小标宋_GBK"/>
    </w:rPr>
  </w:style>
  <w:style w:type="paragraph" w:customStyle="1" w:styleId="17">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9">
    <w:name w:val="单元格样式2"/>
    <w:basedOn w:val="1"/>
    <w:autoRedefine/>
    <w:qFormat/>
    <w:uiPriority w:val="0"/>
    <w:rPr>
      <w:rFonts w:ascii="方正书宋_GBK" w:hAnsi="方正书宋_GBK" w:eastAsia="方正书宋_GBK" w:cs="方正书宋_GBK"/>
      <w:sz w:val="21"/>
    </w:rPr>
  </w:style>
  <w:style w:type="paragraph" w:customStyle="1" w:styleId="20">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1">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2">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3">
    <w:name w:val="单元格样式5"/>
    <w:basedOn w:val="1"/>
    <w:autoRedefine/>
    <w:qFormat/>
    <w:uiPriority w:val="0"/>
    <w:rPr>
      <w:rFonts w:ascii="方正书宋_GBK" w:hAnsi="方正书宋_GBK" w:eastAsia="方正书宋_GBK" w:cs="方正书宋_GBK"/>
      <w:b/>
      <w:sz w:val="21"/>
    </w:rPr>
  </w:style>
  <w:style w:type="paragraph" w:customStyle="1" w:styleId="24">
    <w:name w:val="插入文本样式-插入部门职责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6">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8">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9">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30">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31">
    <w:name w:val="单元格样式23"/>
    <w:basedOn w:val="1"/>
    <w:autoRedefine/>
    <w:qFormat/>
    <w:uiPriority w:val="99"/>
    <w:pPr>
      <w:jc w:val="right"/>
    </w:pPr>
    <w:rPr>
      <w:rFonts w:ascii="方正书宋_GBK" w:hAnsi="方正书宋_GBK" w:eastAsia="方正书宋_GBK" w:cs="方正书宋_GBK"/>
    </w:rPr>
  </w:style>
  <w:style w:type="paragraph" w:customStyle="1" w:styleId="32">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4">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6">
    <w:name w:val="页眉 Char"/>
    <w:basedOn w:val="11"/>
    <w:link w:val="4"/>
    <w:autoRedefine/>
    <w:qFormat/>
    <w:locked/>
    <w:uiPriority w:val="99"/>
    <w:rPr>
      <w:rFonts w:eastAsia="Times New Roman" w:cs="Times New Roman"/>
      <w:sz w:val="18"/>
      <w:szCs w:val="18"/>
      <w:lang w:eastAsia="uk-UA"/>
    </w:rPr>
  </w:style>
  <w:style w:type="character" w:customStyle="1" w:styleId="37">
    <w:name w:val="页脚 Char"/>
    <w:basedOn w:val="11"/>
    <w:link w:val="3"/>
    <w:autoRedefine/>
    <w:qFormat/>
    <w:locked/>
    <w:uiPriority w:val="99"/>
    <w:rPr>
      <w:rFonts w:eastAsia="Times New Roman" w:cs="Times New Roman"/>
      <w:sz w:val="18"/>
      <w:szCs w:val="18"/>
      <w:lang w:eastAsia="uk-UA"/>
    </w:rPr>
  </w:style>
  <w:style w:type="paragraph" w:styleId="3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header" Target="header3.xml"/><Relationship Id="rId12" Type="http://schemas.openxmlformats.org/officeDocument/2006/relationships/header" Target="header2.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2117</Words>
  <Characters>12068</Characters>
  <Lines>100</Lines>
  <Paragraphs>28</Paragraphs>
  <TotalTime>3</TotalTime>
  <ScaleCrop>false</ScaleCrop>
  <LinksUpToDate>false</LinksUpToDate>
  <CharactersWithSpaces>14157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dcterms:modified xsi:type="dcterms:W3CDTF">2024-03-12T06:36:51Z</dcterms:modified>
  <dc:title>定兴县财政局所属单位预算</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886DCB086D0B4E8284EA7E8946F942AE</vt:lpwstr>
  </property>
</Properties>
</file>