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val="en-US" w:eastAsia="zh-CN"/>
        </w:rPr>
        <w:t>4</w:t>
      </w:r>
      <w:r>
        <w:rPr>
          <w:rFonts w:ascii="黑体" w:hAnsi="黑体" w:eastAsia="黑体" w:cs="黑体"/>
          <w:b/>
          <w:color w:val="000000"/>
          <w:sz w:val="44"/>
        </w:rPr>
        <w:t>年</w:t>
      </w:r>
      <w:r>
        <w:rPr>
          <w:rFonts w:hint="eastAsia" w:ascii="黑体" w:hAnsi="黑体" w:eastAsia="黑体" w:cs="黑体"/>
          <w:b/>
          <w:color w:val="000000"/>
          <w:sz w:val="44"/>
          <w:lang w:eastAsia="zh-CN"/>
        </w:rPr>
        <w:t>涞水县市场监督管理局单位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rPr>
          <w:rFonts w:hint="eastAsia" w:eastAsiaTheme="minorEastAsia"/>
          <w:lang w:eastAsia="zh-CN"/>
        </w:rPr>
        <w:t>1</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rPr>
          <w:rFonts w:hint="eastAsia" w:eastAsiaTheme="minorEastAsia"/>
          <w:lang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rPr>
          <w:rFonts w:hint="eastAsia" w:eastAsiaTheme="minorEastAsia"/>
          <w:lang w:val="en-US" w:eastAsia="zh-CN"/>
        </w:rPr>
        <w:t>4</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rPr>
          <w:rFonts w:hint="eastAsia" w:eastAsiaTheme="minorEastAsia"/>
          <w:lang w:val="en-US"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rPr>
          <w:rFonts w:hint="eastAsia" w:eastAsiaTheme="minorEastAsia"/>
          <w:lang w:val="en-US" w:eastAsia="zh-CN"/>
        </w:rPr>
        <w:t>7</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rPr>
          <w:rFonts w:hint="eastAsia" w:eastAsiaTheme="minorEastAsia"/>
          <w:lang w:val="en-US" w:eastAsia="zh-CN"/>
        </w:rPr>
        <w:t>8</w:t>
      </w:r>
      <w:r>
        <w:rPr>
          <w:rFonts w:hint="eastAsia" w:eastAsiaTheme="minorEastAsia"/>
          <w:lang w:eastAsia="zh-CN"/>
        </w:rPr>
        <w:fldChar w:fldCharType="end"/>
      </w:r>
    </w:p>
    <w:p>
      <w:pPr>
        <w:pStyle w:val="5"/>
        <w:tabs>
          <w:tab w:val="right" w:leader="dot" w:pos="14562"/>
        </w:tabs>
        <w:rPr>
          <w:rFonts w:hint="default"/>
          <w:lang w:val="en-US"/>
        </w:rPr>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0</w:t>
      </w:r>
    </w:p>
    <w:p>
      <w:pPr>
        <w:pStyle w:val="5"/>
        <w:tabs>
          <w:tab w:val="right" w:leader="dot" w:pos="14562"/>
        </w:tabs>
        <w:rPr>
          <w:rFonts w:hint="default"/>
          <w:lang w:val="en-US"/>
        </w:rPr>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1</w:t>
      </w:r>
    </w:p>
    <w:p>
      <w:pPr>
        <w:pStyle w:val="5"/>
        <w:tabs>
          <w:tab w:val="right" w:leader="dot" w:pos="14562"/>
        </w:tabs>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rPr>
          <w:rFonts w:hint="eastAsia" w:eastAsiaTheme="minorEastAsia"/>
          <w:lang w:eastAsia="zh-CN"/>
        </w:rPr>
        <w:t>1</w:t>
      </w:r>
      <w:r>
        <w:rPr>
          <w:rFonts w:hint="eastAsia" w:eastAsiaTheme="minorEastAsia"/>
          <w:lang w:val="en-US" w:eastAsia="zh-CN"/>
        </w:rPr>
        <w:t>2</w:t>
      </w:r>
      <w:r>
        <w:rPr>
          <w:rFonts w:hint="eastAsia" w:eastAsiaTheme="minorEastAsia"/>
          <w:lang w:eastAsia="zh-CN"/>
        </w:rP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5"/>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val="en-US" w:eastAsia="zh-CN"/>
        </w:rPr>
        <w:t>1</w:t>
      </w:r>
      <w:r>
        <w:fldChar w:fldCharType="end"/>
      </w:r>
      <w:r>
        <w:rPr>
          <w:rFonts w:hint="eastAsia"/>
          <w:lang w:val="en-US" w:eastAsia="zh-CN"/>
        </w:rPr>
        <w:t>3</w:t>
      </w:r>
    </w:p>
    <w:p>
      <w:pPr>
        <w:pStyle w:val="5"/>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fldChar w:fldCharType="begin"/>
      </w:r>
      <w:r>
        <w:instrText xml:space="preserve">PAGEREF _Toc_3_3_0000000011 \h</w:instrText>
      </w:r>
      <w:r>
        <w:fldChar w:fldCharType="separate"/>
      </w:r>
      <w:r>
        <w:t>1</w:t>
      </w:r>
      <w:r>
        <w:rPr>
          <w:rFonts w:hint="eastAsia"/>
          <w:lang w:val="en-US" w:eastAsia="zh-CN"/>
        </w:rPr>
        <w:t>7</w:t>
      </w:r>
      <w:r>
        <w:fldChar w:fldCharType="end"/>
      </w:r>
      <w:r>
        <w:fldChar w:fldCharType="end"/>
      </w:r>
    </w:p>
    <w:p>
      <w:pPr>
        <w:pStyle w:val="5"/>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8</w:t>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18</w:t>
      </w:r>
      <w:r>
        <w:fldChar w:fldCharType="end"/>
      </w:r>
      <w:r>
        <w:fldChar w:fldCharType="end"/>
      </w:r>
    </w:p>
    <w:p>
      <w:pPr>
        <w:pStyle w:val="5"/>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fldChar w:fldCharType="end"/>
      </w:r>
      <w:r>
        <w:rPr>
          <w:rFonts w:hint="eastAsia"/>
          <w:lang w:val="en-US" w:eastAsia="zh-CN"/>
        </w:rPr>
        <w:t>9</w:t>
      </w:r>
    </w:p>
    <w:p>
      <w:pPr>
        <w:pStyle w:val="5"/>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5</w:t>
      </w:r>
      <w:r>
        <w:fldChar w:fldCharType="end"/>
      </w:r>
      <w:r>
        <w:rPr>
          <w:rFonts w:hint="eastAsia"/>
          <w:lang w:val="en-US" w:eastAsia="zh-CN"/>
        </w:rPr>
        <w:t>0</w:t>
      </w:r>
    </w:p>
    <w:p>
      <w:pPr>
        <w:pStyle w:val="5"/>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5</w:t>
      </w:r>
      <w:r>
        <w:fldChar w:fldCharType="end"/>
      </w:r>
      <w:r>
        <w:rPr>
          <w:rFonts w:hint="eastAsia"/>
          <w:lang w:val="en-US" w:eastAsia="zh-CN"/>
        </w:rPr>
        <w:t>1</w:t>
      </w:r>
    </w:p>
    <w:p>
      <w:pPr>
        <w:pStyle w:val="5"/>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5</w:t>
      </w:r>
      <w:r>
        <w:fldChar w:fldCharType="end"/>
      </w:r>
      <w:r>
        <w:rPr>
          <w:rFonts w:hint="eastAsia"/>
          <w:lang w:val="en-US" w:eastAsia="zh-CN"/>
        </w:rPr>
        <w:t>2</w:t>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5</w:t>
      </w:r>
      <w:r>
        <w:rPr>
          <w:rFonts w:hint="eastAsia"/>
          <w:lang w:val="en-US" w:eastAsia="zh-CN"/>
        </w:rPr>
        <w:t>2</w:t>
      </w:r>
      <w:r>
        <w:fldChar w:fldCharType="end"/>
      </w:r>
      <w:r>
        <w:fldChar w:fldCharType="end"/>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both"/>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sectPr>
          <w:footerReference r:id="rId3" w:type="default"/>
          <w:pgSz w:w="16840" w:h="11900" w:orient="landscape"/>
          <w:pgMar w:top="1361" w:right="1020" w:bottom="1134" w:left="1020" w:header="720" w:footer="720" w:gutter="0"/>
          <w:pgNumType w:fmt="decimal" w:start="1"/>
          <w:cols w:space="720" w:num="1"/>
        </w:sectPr>
      </w:pPr>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rPr>
                <w:rFonts w:hint="eastAsia"/>
                <w:lang w:val="en-US" w:eastAsia="zh-CN"/>
              </w:rPr>
              <w:t>416001涞水县市场监督管理局本级</w:t>
            </w:r>
          </w:p>
        </w:tc>
        <w:tc>
          <w:tcPr>
            <w:tcW w:w="2126"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4</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4" w:hRule="atLeast"/>
          <w:tblHeader/>
          <w:jc w:val="center"/>
        </w:trPr>
        <w:tc>
          <w:tcPr>
            <w:tcW w:w="850" w:type="dxa"/>
            <w:vMerge w:val="restart"/>
            <w:vAlign w:val="center"/>
          </w:tcPr>
          <w:p>
            <w:pPr>
              <w:pStyle w:val="15"/>
            </w:pPr>
            <w:r>
              <w:t>序号</w:t>
            </w:r>
          </w:p>
        </w:tc>
        <w:tc>
          <w:tcPr>
            <w:tcW w:w="6662"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tblHeader/>
          <w:jc w:val="center"/>
        </w:trPr>
        <w:tc>
          <w:tcPr>
            <w:tcW w:w="850" w:type="dxa"/>
            <w:vMerge w:val="continue"/>
          </w:tcPr>
          <w:p/>
        </w:tc>
        <w:tc>
          <w:tcPr>
            <w:tcW w:w="4536"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center"/>
          </w:tcPr>
          <w:p>
            <w:pPr>
              <w:pStyle w:val="18"/>
            </w:pPr>
            <w:r>
              <w:t>1</w:t>
            </w:r>
          </w:p>
        </w:tc>
        <w:tc>
          <w:tcPr>
            <w:tcW w:w="4536" w:type="dxa"/>
            <w:vAlign w:val="center"/>
          </w:tcPr>
          <w:p>
            <w:pPr>
              <w:pStyle w:val="17"/>
            </w:pPr>
            <w:r>
              <w:t>一、一般公共预算拨款收入</w:t>
            </w:r>
          </w:p>
        </w:tc>
        <w:tc>
          <w:tcPr>
            <w:tcW w:w="2126" w:type="dxa"/>
            <w:vAlign w:val="top"/>
          </w:tcPr>
          <w:p>
            <w:pPr>
              <w:keepNext w:val="0"/>
              <w:keepLines w:val="0"/>
              <w:widowControl/>
              <w:suppressLineNumbers w:val="0"/>
              <w:jc w:val="right"/>
              <w:textAlignment w:val="top"/>
            </w:pPr>
            <w:r>
              <w:rPr>
                <w:rFonts w:hint="eastAsia"/>
              </w:rPr>
              <w:t>2653.59</w:t>
            </w:r>
          </w:p>
        </w:tc>
        <w:tc>
          <w:tcPr>
            <w:tcW w:w="4535" w:type="dxa"/>
            <w:vAlign w:val="center"/>
          </w:tcPr>
          <w:p>
            <w:pPr>
              <w:pStyle w:val="17"/>
            </w:pPr>
            <w:r>
              <w:t>一、一般公共服务支出</w:t>
            </w:r>
          </w:p>
        </w:tc>
        <w:tc>
          <w:tcPr>
            <w:tcW w:w="2126"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2368.89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center"/>
          </w:tcPr>
          <w:p>
            <w:pPr>
              <w:pStyle w:val="18"/>
            </w:pPr>
            <w:r>
              <w:t>2</w:t>
            </w:r>
          </w:p>
        </w:tc>
        <w:tc>
          <w:tcPr>
            <w:tcW w:w="4536"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center"/>
          </w:tcPr>
          <w:p>
            <w:pPr>
              <w:pStyle w:val="18"/>
            </w:pPr>
            <w:r>
              <w:t>3</w:t>
            </w:r>
          </w:p>
        </w:tc>
        <w:tc>
          <w:tcPr>
            <w:tcW w:w="4536"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5" w:hRule="atLeast"/>
          <w:jc w:val="center"/>
        </w:trPr>
        <w:tc>
          <w:tcPr>
            <w:tcW w:w="850" w:type="dxa"/>
            <w:vAlign w:val="center"/>
          </w:tcPr>
          <w:p>
            <w:pPr>
              <w:pStyle w:val="18"/>
            </w:pPr>
            <w:r>
              <w:t>4</w:t>
            </w:r>
          </w:p>
        </w:tc>
        <w:tc>
          <w:tcPr>
            <w:tcW w:w="4536"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7" w:hRule="atLeast"/>
          <w:jc w:val="center"/>
        </w:trPr>
        <w:tc>
          <w:tcPr>
            <w:tcW w:w="850" w:type="dxa"/>
            <w:vAlign w:val="center"/>
          </w:tcPr>
          <w:p>
            <w:pPr>
              <w:pStyle w:val="18"/>
            </w:pPr>
            <w:r>
              <w:t>5</w:t>
            </w:r>
          </w:p>
        </w:tc>
        <w:tc>
          <w:tcPr>
            <w:tcW w:w="4536"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8" w:hRule="atLeast"/>
          <w:jc w:val="center"/>
        </w:trPr>
        <w:tc>
          <w:tcPr>
            <w:tcW w:w="850" w:type="dxa"/>
            <w:vAlign w:val="center"/>
          </w:tcPr>
          <w:p>
            <w:pPr>
              <w:pStyle w:val="18"/>
            </w:pPr>
            <w:r>
              <w:t>6</w:t>
            </w:r>
          </w:p>
        </w:tc>
        <w:tc>
          <w:tcPr>
            <w:tcW w:w="4536"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center"/>
          </w:tcPr>
          <w:p>
            <w:pPr>
              <w:pStyle w:val="18"/>
            </w:pPr>
            <w:r>
              <w:t>7</w:t>
            </w:r>
          </w:p>
        </w:tc>
        <w:tc>
          <w:tcPr>
            <w:tcW w:w="4536"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vAlign w:val="center"/>
          </w:tcPr>
          <w:p>
            <w:pPr>
              <w:pStyle w:val="18"/>
            </w:pPr>
            <w:r>
              <w:t>8</w:t>
            </w:r>
          </w:p>
        </w:tc>
        <w:tc>
          <w:tcPr>
            <w:tcW w:w="4536"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132.41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4" w:hRule="atLeast"/>
          <w:jc w:val="center"/>
        </w:trPr>
        <w:tc>
          <w:tcPr>
            <w:tcW w:w="850" w:type="dxa"/>
            <w:vAlign w:val="center"/>
          </w:tcPr>
          <w:p>
            <w:pPr>
              <w:pStyle w:val="18"/>
            </w:pPr>
            <w:r>
              <w:t>9</w:t>
            </w:r>
          </w:p>
        </w:tc>
        <w:tc>
          <w:tcPr>
            <w:tcW w:w="4536"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8" w:hRule="atLeast"/>
          <w:jc w:val="center"/>
        </w:trPr>
        <w:tc>
          <w:tcPr>
            <w:tcW w:w="850" w:type="dxa"/>
            <w:vAlign w:val="center"/>
          </w:tcPr>
          <w:p>
            <w:pPr>
              <w:pStyle w:val="18"/>
            </w:pPr>
            <w:r>
              <w:t>10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69.53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1" w:hRule="atLeast"/>
          <w:jc w:val="center"/>
        </w:trPr>
        <w:tc>
          <w:tcPr>
            <w:tcW w:w="850" w:type="dxa"/>
            <w:vAlign w:val="center"/>
          </w:tcPr>
          <w:p>
            <w:pPr>
              <w:pStyle w:val="18"/>
            </w:pPr>
            <w:r>
              <w:t>11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850" w:type="dxa"/>
            <w:vAlign w:val="center"/>
          </w:tcPr>
          <w:p>
            <w:pPr>
              <w:pStyle w:val="18"/>
            </w:pPr>
            <w:r>
              <w:t>12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1" w:hRule="atLeast"/>
          <w:jc w:val="center"/>
        </w:trPr>
        <w:tc>
          <w:tcPr>
            <w:tcW w:w="850" w:type="dxa"/>
            <w:vAlign w:val="center"/>
          </w:tcPr>
          <w:p>
            <w:pPr>
              <w:pStyle w:val="18"/>
            </w:pPr>
            <w:r>
              <w:t>13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7" w:hRule="atLeast"/>
          <w:jc w:val="center"/>
        </w:trPr>
        <w:tc>
          <w:tcPr>
            <w:tcW w:w="850" w:type="dxa"/>
            <w:vAlign w:val="center"/>
          </w:tcPr>
          <w:p>
            <w:pPr>
              <w:pStyle w:val="18"/>
            </w:pPr>
            <w:r>
              <w:t>14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7" w:hRule="atLeast"/>
          <w:jc w:val="center"/>
        </w:trPr>
        <w:tc>
          <w:tcPr>
            <w:tcW w:w="850" w:type="dxa"/>
            <w:vAlign w:val="center"/>
          </w:tcPr>
          <w:p>
            <w:pPr>
              <w:pStyle w:val="18"/>
            </w:pPr>
            <w:r>
              <w:t>15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1" w:hRule="atLeast"/>
          <w:jc w:val="center"/>
        </w:trPr>
        <w:tc>
          <w:tcPr>
            <w:tcW w:w="850" w:type="dxa"/>
            <w:vAlign w:val="center"/>
          </w:tcPr>
          <w:p>
            <w:pPr>
              <w:pStyle w:val="18"/>
            </w:pPr>
            <w:r>
              <w:t>16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center"/>
          </w:tcPr>
          <w:p>
            <w:pPr>
              <w:pStyle w:val="18"/>
            </w:pPr>
            <w:r>
              <w:t>17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7" w:hRule="atLeast"/>
          <w:jc w:val="center"/>
        </w:trPr>
        <w:tc>
          <w:tcPr>
            <w:tcW w:w="850" w:type="dxa"/>
            <w:vAlign w:val="center"/>
          </w:tcPr>
          <w:p>
            <w:pPr>
              <w:pStyle w:val="18"/>
            </w:pPr>
            <w:r>
              <w:t>18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9" w:hRule="atLeast"/>
          <w:jc w:val="center"/>
        </w:trPr>
        <w:tc>
          <w:tcPr>
            <w:tcW w:w="850" w:type="dxa"/>
            <w:vAlign w:val="center"/>
          </w:tcPr>
          <w:p>
            <w:pPr>
              <w:pStyle w:val="18"/>
            </w:pPr>
            <w:r>
              <w:t>19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bl>
    <w:p>
      <w:pPr>
        <w:rPr>
          <w:rFonts w:eastAsiaTheme="minorEastAsia"/>
          <w:lang w:eastAsia="zh-CN"/>
        </w:rPr>
        <w:sectPr>
          <w:footerReference r:id="rId4" w:type="default"/>
          <w:footerReference r:id="rId5" w:type="even"/>
          <w:pgSz w:w="16840" w:h="11900" w:orient="landscape"/>
          <w:pgMar w:top="1361" w:right="1020" w:bottom="1134" w:left="1020" w:header="720" w:footer="720" w:gutter="0"/>
          <w:pgNumType w:fmt="decimal" w:start="1"/>
          <w:cols w:space="720" w:num="1"/>
        </w:sectPr>
      </w:pP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top"/>
          </w:tcPr>
          <w:p>
            <w:pPr>
              <w:keepNext w:val="0"/>
              <w:keepLines w:val="0"/>
              <w:widowControl/>
              <w:suppressLineNumbers w:val="0"/>
              <w:jc w:val="right"/>
              <w:textAlignment w:val="top"/>
              <w:rPr>
                <w:rFonts w:hint="default" w:eastAsia="宋体"/>
                <w:lang w:val="en-US" w:eastAsia="zh-CN"/>
              </w:rPr>
            </w:pPr>
            <w:r>
              <w:rPr>
                <w:rFonts w:hint="eastAsia" w:eastAsia="宋体"/>
                <w:lang w:val="en-US" w:eastAsia="zh-CN"/>
              </w:rPr>
              <w:t>82.76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6" w:type="dxa"/>
            <w:vAlign w:val="center"/>
          </w:tcPr>
          <w:p>
            <w:pPr>
              <w:pStyle w:val="19"/>
            </w:pPr>
            <w:r>
              <w:t>本年收入合计</w:t>
            </w:r>
          </w:p>
        </w:tc>
        <w:tc>
          <w:tcPr>
            <w:tcW w:w="2126" w:type="dxa"/>
            <w:vAlign w:val="top"/>
          </w:tcPr>
          <w:p>
            <w:pPr>
              <w:keepNext w:val="0"/>
              <w:keepLines w:val="0"/>
              <w:widowControl/>
              <w:suppressLineNumbers w:val="0"/>
              <w:jc w:val="right"/>
              <w:textAlignment w:val="top"/>
            </w:pPr>
            <w:r>
              <w:rPr>
                <w:rFonts w:hint="eastAsia"/>
              </w:rPr>
              <w:t>2653.59</w:t>
            </w:r>
          </w:p>
        </w:tc>
        <w:tc>
          <w:tcPr>
            <w:tcW w:w="4535" w:type="dxa"/>
            <w:vAlign w:val="center"/>
          </w:tcPr>
          <w:p>
            <w:pPr>
              <w:pStyle w:val="19"/>
            </w:pPr>
            <w:r>
              <w:t>本年支出合计</w:t>
            </w:r>
          </w:p>
        </w:tc>
        <w:tc>
          <w:tcPr>
            <w:tcW w:w="2126" w:type="dxa"/>
            <w:vAlign w:val="top"/>
          </w:tcPr>
          <w:p>
            <w:pPr>
              <w:keepNext w:val="0"/>
              <w:keepLines w:val="0"/>
              <w:widowControl/>
              <w:suppressLineNumbers w:val="0"/>
              <w:jc w:val="right"/>
              <w:textAlignment w:val="top"/>
            </w:pPr>
            <w:r>
              <w:t>2653.59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6" w:type="dxa"/>
            <w:vAlign w:val="center"/>
          </w:tcPr>
          <w:p>
            <w:pPr>
              <w:pStyle w:val="17"/>
            </w:pPr>
            <w:r>
              <w:t>上年结转结余</w:t>
            </w:r>
          </w:p>
        </w:tc>
        <w:tc>
          <w:tcPr>
            <w:tcW w:w="2126" w:type="dxa"/>
            <w:vAlign w:val="top"/>
          </w:tcPr>
          <w:p>
            <w:pPr>
              <w:jc w:val="right"/>
            </w:pPr>
          </w:p>
        </w:tc>
        <w:tc>
          <w:tcPr>
            <w:tcW w:w="4535" w:type="dxa"/>
            <w:vAlign w:val="center"/>
          </w:tcPr>
          <w:p>
            <w:pPr>
              <w:pStyle w:val="17"/>
            </w:pPr>
            <w:r>
              <w:t>年终结转结余</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6" w:type="dxa"/>
            <w:vAlign w:val="center"/>
          </w:tcPr>
          <w:p>
            <w:pPr>
              <w:pStyle w:val="19"/>
            </w:pPr>
            <w:r>
              <w:t>收入总计</w:t>
            </w:r>
          </w:p>
        </w:tc>
        <w:tc>
          <w:tcPr>
            <w:tcW w:w="2126" w:type="dxa"/>
            <w:vAlign w:val="top"/>
          </w:tcPr>
          <w:p>
            <w:pPr>
              <w:keepNext w:val="0"/>
              <w:keepLines w:val="0"/>
              <w:widowControl/>
              <w:suppressLineNumbers w:val="0"/>
              <w:jc w:val="right"/>
              <w:textAlignment w:val="top"/>
            </w:pPr>
            <w:r>
              <w:t>2653.59</w:t>
            </w:r>
          </w:p>
        </w:tc>
        <w:tc>
          <w:tcPr>
            <w:tcW w:w="4535" w:type="dxa"/>
            <w:vAlign w:val="center"/>
          </w:tcPr>
          <w:p>
            <w:pPr>
              <w:pStyle w:val="19"/>
            </w:pPr>
            <w:r>
              <w:t>支出总计</w:t>
            </w:r>
          </w:p>
        </w:tc>
        <w:tc>
          <w:tcPr>
            <w:tcW w:w="2126" w:type="dxa"/>
            <w:vAlign w:val="top"/>
          </w:tcPr>
          <w:p>
            <w:pPr>
              <w:keepNext w:val="0"/>
              <w:keepLines w:val="0"/>
              <w:widowControl/>
              <w:suppressLineNumbers w:val="0"/>
              <w:jc w:val="right"/>
              <w:textAlignment w:val="top"/>
            </w:pPr>
            <w:r>
              <w:t>2653.59</w:t>
            </w:r>
          </w:p>
        </w:tc>
      </w:tr>
    </w:tbl>
    <w:p>
      <w:pPr>
        <w:sectPr>
          <w:pgSz w:w="16840" w:h="11900" w:orient="landscape"/>
          <w:pgMar w:top="1361" w:right="1020" w:bottom="1134" w:left="1020" w:header="720" w:footer="720" w:gutter="0"/>
          <w:pgNumType w:fmt="decimal"/>
          <w:cols w:space="720" w:num="1"/>
        </w:sectPr>
      </w:pPr>
    </w:p>
    <w:p>
      <w:pPr>
        <w:jc w:val="center"/>
        <w:outlineLvl w:val="1"/>
      </w:pPr>
      <w:bookmarkStart w:id="0" w:name="_Toc_2_2_0000000002"/>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预算收入总表</w:t>
      </w:r>
      <w:bookmarkEnd w:id="0"/>
    </w:p>
    <w:tbl>
      <w:tblPr>
        <w:tblStyle w:val="9"/>
        <w:tblW w:w="1493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1021"/>
        <w:gridCol w:w="3840"/>
        <w:gridCol w:w="1110"/>
        <w:gridCol w:w="1170"/>
        <w:gridCol w:w="1035"/>
        <w:gridCol w:w="825"/>
        <w:gridCol w:w="645"/>
        <w:gridCol w:w="765"/>
        <w:gridCol w:w="885"/>
        <w:gridCol w:w="1110"/>
        <w:gridCol w:w="945"/>
        <w:gridCol w:w="9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21" w:type="dxa"/>
            <w:gridSpan w:val="5"/>
            <w:tcBorders>
              <w:top w:val="single" w:color="FFFFFF" w:sz="6" w:space="0"/>
              <w:left w:val="single" w:color="FFFFFF" w:sz="6" w:space="0"/>
              <w:right w:val="single" w:color="FFFFFF" w:sz="6" w:space="0"/>
            </w:tcBorders>
            <w:vAlign w:val="center"/>
          </w:tcPr>
          <w:p>
            <w:pPr>
              <w:pStyle w:val="14"/>
            </w:pPr>
            <w:r>
              <w:rPr>
                <w:rFonts w:hint="eastAsia"/>
                <w:lang w:val="en-US" w:eastAsia="zh-CN"/>
              </w:rPr>
              <w:t>416001涞水县市场监督管理局本级</w:t>
            </w:r>
          </w:p>
        </w:tc>
        <w:tc>
          <w:tcPr>
            <w:tcW w:w="2505" w:type="dxa"/>
            <w:gridSpan w:val="3"/>
            <w:tcBorders>
              <w:top w:val="single" w:color="FFFFFF" w:sz="6" w:space="0"/>
              <w:left w:val="single" w:color="FFFFFF" w:sz="6" w:space="0"/>
              <w:right w:val="single" w:color="FFFFFF" w:sz="6" w:space="0"/>
            </w:tcBorders>
            <w:vAlign w:val="center"/>
          </w:tcPr>
          <w:p>
            <w:pPr>
              <w:pStyle w:val="13"/>
              <w:jc w:val="both"/>
              <w:rPr>
                <w:rFonts w:hint="eastAsia" w:eastAsia="方正小标宋_GBK"/>
                <w:lang w:eastAsia="zh-CN"/>
              </w:rPr>
            </w:pPr>
            <w:r>
              <w:t>预算年度：202</w:t>
            </w:r>
            <w:r>
              <w:rPr>
                <w:rFonts w:hint="eastAsia"/>
                <w:lang w:val="en-US" w:eastAsia="zh-CN"/>
              </w:rPr>
              <w:t>4</w:t>
            </w:r>
          </w:p>
        </w:tc>
        <w:tc>
          <w:tcPr>
            <w:tcW w:w="4610"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4861" w:type="dxa"/>
            <w:gridSpan w:val="2"/>
            <w:vAlign w:val="center"/>
          </w:tcPr>
          <w:p>
            <w:pPr>
              <w:pStyle w:val="15"/>
            </w:pPr>
            <w:r>
              <w:t>功能分类科目</w:t>
            </w:r>
          </w:p>
        </w:tc>
        <w:tc>
          <w:tcPr>
            <w:tcW w:w="1110" w:type="dxa"/>
            <w:vMerge w:val="restart"/>
            <w:vAlign w:val="center"/>
          </w:tcPr>
          <w:p>
            <w:pPr>
              <w:pStyle w:val="15"/>
            </w:pPr>
            <w:r>
              <w:t>合计</w:t>
            </w:r>
          </w:p>
        </w:tc>
        <w:tc>
          <w:tcPr>
            <w:tcW w:w="7380" w:type="dxa"/>
            <w:gridSpan w:val="8"/>
            <w:vAlign w:val="center"/>
          </w:tcPr>
          <w:p>
            <w:pPr>
              <w:pStyle w:val="15"/>
            </w:pPr>
            <w:r>
              <w:t>本年收入</w:t>
            </w:r>
          </w:p>
        </w:tc>
        <w:tc>
          <w:tcPr>
            <w:tcW w:w="905" w:type="dxa"/>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9" w:hRule="atLeast"/>
          <w:tblHeader/>
          <w:jc w:val="center"/>
        </w:trPr>
        <w:tc>
          <w:tcPr>
            <w:tcW w:w="680" w:type="dxa"/>
            <w:vMerge w:val="continue"/>
          </w:tcPr>
          <w:p/>
        </w:tc>
        <w:tc>
          <w:tcPr>
            <w:tcW w:w="1021" w:type="dxa"/>
            <w:vAlign w:val="center"/>
          </w:tcPr>
          <w:p>
            <w:pPr>
              <w:pStyle w:val="15"/>
            </w:pPr>
            <w:r>
              <w:t>科目编码</w:t>
            </w:r>
          </w:p>
        </w:tc>
        <w:tc>
          <w:tcPr>
            <w:tcW w:w="3840" w:type="dxa"/>
            <w:vAlign w:val="center"/>
          </w:tcPr>
          <w:p>
            <w:pPr>
              <w:pStyle w:val="15"/>
            </w:pPr>
            <w:r>
              <w:t>科目名称</w:t>
            </w:r>
          </w:p>
        </w:tc>
        <w:tc>
          <w:tcPr>
            <w:tcW w:w="1110" w:type="dxa"/>
            <w:vMerge w:val="continue"/>
          </w:tcPr>
          <w:p/>
        </w:tc>
        <w:tc>
          <w:tcPr>
            <w:tcW w:w="1170" w:type="dxa"/>
            <w:vAlign w:val="center"/>
          </w:tcPr>
          <w:p>
            <w:pPr>
              <w:pStyle w:val="15"/>
            </w:pPr>
            <w:r>
              <w:t>小计</w:t>
            </w:r>
          </w:p>
        </w:tc>
        <w:tc>
          <w:tcPr>
            <w:tcW w:w="1035" w:type="dxa"/>
            <w:vAlign w:val="center"/>
          </w:tcPr>
          <w:p>
            <w:pPr>
              <w:pStyle w:val="15"/>
            </w:pPr>
            <w:r>
              <w:t>财政拨款 收入</w:t>
            </w:r>
          </w:p>
        </w:tc>
        <w:tc>
          <w:tcPr>
            <w:tcW w:w="825" w:type="dxa"/>
            <w:vAlign w:val="center"/>
          </w:tcPr>
          <w:p>
            <w:pPr>
              <w:pStyle w:val="15"/>
            </w:pPr>
            <w:r>
              <w:t>财政专户 收入</w:t>
            </w:r>
          </w:p>
        </w:tc>
        <w:tc>
          <w:tcPr>
            <w:tcW w:w="645" w:type="dxa"/>
            <w:vAlign w:val="center"/>
          </w:tcPr>
          <w:p>
            <w:pPr>
              <w:pStyle w:val="15"/>
            </w:pPr>
            <w:r>
              <w:t>事业收入</w:t>
            </w:r>
          </w:p>
        </w:tc>
        <w:tc>
          <w:tcPr>
            <w:tcW w:w="765" w:type="dxa"/>
            <w:vAlign w:val="center"/>
          </w:tcPr>
          <w:p>
            <w:pPr>
              <w:pStyle w:val="15"/>
            </w:pPr>
            <w:r>
              <w:t>经营收入</w:t>
            </w:r>
          </w:p>
        </w:tc>
        <w:tc>
          <w:tcPr>
            <w:tcW w:w="885" w:type="dxa"/>
            <w:vAlign w:val="center"/>
          </w:tcPr>
          <w:p>
            <w:pPr>
              <w:pStyle w:val="15"/>
            </w:pPr>
            <w:r>
              <w:t>上级补助收入</w:t>
            </w:r>
          </w:p>
        </w:tc>
        <w:tc>
          <w:tcPr>
            <w:tcW w:w="1110" w:type="dxa"/>
            <w:vAlign w:val="center"/>
          </w:tcPr>
          <w:p>
            <w:pPr>
              <w:pStyle w:val="15"/>
            </w:pPr>
            <w:r>
              <w:t>附属单位上缴收入</w:t>
            </w:r>
          </w:p>
        </w:tc>
        <w:tc>
          <w:tcPr>
            <w:tcW w:w="945" w:type="dxa"/>
            <w:vAlign w:val="center"/>
          </w:tcPr>
          <w:p>
            <w:pPr>
              <w:pStyle w:val="15"/>
            </w:pPr>
            <w:r>
              <w:t>其他收入</w:t>
            </w:r>
          </w:p>
        </w:tc>
        <w:tc>
          <w:tcPr>
            <w:tcW w:w="905"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1021" w:type="dxa"/>
            <w:vAlign w:val="center"/>
          </w:tcPr>
          <w:p>
            <w:pPr>
              <w:pStyle w:val="15"/>
            </w:pPr>
            <w:r>
              <w:t>1</w:t>
            </w:r>
          </w:p>
        </w:tc>
        <w:tc>
          <w:tcPr>
            <w:tcW w:w="3840" w:type="dxa"/>
            <w:vAlign w:val="center"/>
          </w:tcPr>
          <w:p>
            <w:pPr>
              <w:pStyle w:val="15"/>
            </w:pPr>
            <w:r>
              <w:t>2</w:t>
            </w:r>
          </w:p>
        </w:tc>
        <w:tc>
          <w:tcPr>
            <w:tcW w:w="1110" w:type="dxa"/>
            <w:vAlign w:val="center"/>
          </w:tcPr>
          <w:p>
            <w:pPr>
              <w:pStyle w:val="15"/>
            </w:pPr>
            <w:r>
              <w:t>3</w:t>
            </w:r>
          </w:p>
        </w:tc>
        <w:tc>
          <w:tcPr>
            <w:tcW w:w="1170" w:type="dxa"/>
            <w:vAlign w:val="center"/>
          </w:tcPr>
          <w:p>
            <w:pPr>
              <w:pStyle w:val="15"/>
            </w:pPr>
            <w:r>
              <w:t>4</w:t>
            </w:r>
          </w:p>
        </w:tc>
        <w:tc>
          <w:tcPr>
            <w:tcW w:w="1035" w:type="dxa"/>
            <w:vAlign w:val="center"/>
          </w:tcPr>
          <w:p>
            <w:pPr>
              <w:pStyle w:val="15"/>
            </w:pPr>
            <w:r>
              <w:t>5</w:t>
            </w:r>
          </w:p>
        </w:tc>
        <w:tc>
          <w:tcPr>
            <w:tcW w:w="825" w:type="dxa"/>
            <w:vAlign w:val="center"/>
          </w:tcPr>
          <w:p>
            <w:pPr>
              <w:pStyle w:val="15"/>
            </w:pPr>
            <w:r>
              <w:t>6</w:t>
            </w:r>
          </w:p>
        </w:tc>
        <w:tc>
          <w:tcPr>
            <w:tcW w:w="645" w:type="dxa"/>
            <w:vAlign w:val="center"/>
          </w:tcPr>
          <w:p>
            <w:pPr>
              <w:pStyle w:val="15"/>
            </w:pPr>
            <w:r>
              <w:t>7</w:t>
            </w:r>
          </w:p>
        </w:tc>
        <w:tc>
          <w:tcPr>
            <w:tcW w:w="765" w:type="dxa"/>
            <w:vAlign w:val="center"/>
          </w:tcPr>
          <w:p>
            <w:pPr>
              <w:pStyle w:val="15"/>
            </w:pPr>
            <w:r>
              <w:t>8</w:t>
            </w:r>
          </w:p>
        </w:tc>
        <w:tc>
          <w:tcPr>
            <w:tcW w:w="885" w:type="dxa"/>
            <w:vAlign w:val="center"/>
          </w:tcPr>
          <w:p>
            <w:pPr>
              <w:pStyle w:val="15"/>
            </w:pPr>
            <w:r>
              <w:t>9</w:t>
            </w:r>
          </w:p>
        </w:tc>
        <w:tc>
          <w:tcPr>
            <w:tcW w:w="1110" w:type="dxa"/>
            <w:vAlign w:val="center"/>
          </w:tcPr>
          <w:p>
            <w:pPr>
              <w:pStyle w:val="15"/>
            </w:pPr>
            <w:r>
              <w:t>10</w:t>
            </w:r>
          </w:p>
        </w:tc>
        <w:tc>
          <w:tcPr>
            <w:tcW w:w="945" w:type="dxa"/>
            <w:vAlign w:val="center"/>
          </w:tcPr>
          <w:p>
            <w:pPr>
              <w:pStyle w:val="15"/>
            </w:pPr>
            <w:r>
              <w:t>11</w:t>
            </w:r>
          </w:p>
        </w:tc>
        <w:tc>
          <w:tcPr>
            <w:tcW w:w="905"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w:t>
            </w:r>
          </w:p>
        </w:tc>
        <w:tc>
          <w:tcPr>
            <w:tcW w:w="1021" w:type="dxa"/>
            <w:vAlign w:val="top"/>
          </w:tcPr>
          <w:p>
            <w:pPr>
              <w:jc w:val="left"/>
            </w:pPr>
          </w:p>
        </w:tc>
        <w:tc>
          <w:tcPr>
            <w:tcW w:w="3840"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合计</w:t>
            </w:r>
          </w:p>
        </w:tc>
        <w:tc>
          <w:tcPr>
            <w:tcW w:w="1110" w:type="dxa"/>
            <w:vAlign w:val="top"/>
          </w:tcPr>
          <w:p>
            <w:pPr>
              <w:keepNext w:val="0"/>
              <w:keepLines w:val="0"/>
              <w:widowControl/>
              <w:suppressLineNumbers w:val="0"/>
              <w:jc w:val="right"/>
              <w:textAlignment w:val="top"/>
              <w:rPr>
                <w:rFonts w:hint="default" w:eastAsia="宋体"/>
                <w:sz w:val="24"/>
                <w:szCs w:val="24"/>
                <w:lang w:val="en-US" w:eastAsia="zh-CN"/>
              </w:rPr>
            </w:pPr>
            <w:r>
              <w:rPr>
                <w:rFonts w:hint="eastAsia" w:eastAsia="宋体"/>
                <w:sz w:val="24"/>
                <w:szCs w:val="24"/>
                <w:lang w:val="en-US" w:eastAsia="zh-CN"/>
              </w:rPr>
              <w:t>2653.59</w:t>
            </w:r>
          </w:p>
        </w:tc>
        <w:tc>
          <w:tcPr>
            <w:tcW w:w="1170" w:type="dxa"/>
            <w:vAlign w:val="top"/>
          </w:tcPr>
          <w:p>
            <w:pPr>
              <w:keepNext w:val="0"/>
              <w:keepLines w:val="0"/>
              <w:widowControl/>
              <w:suppressLineNumbers w:val="0"/>
              <w:jc w:val="right"/>
              <w:textAlignment w:val="top"/>
              <w:rPr>
                <w:sz w:val="24"/>
                <w:szCs w:val="24"/>
              </w:rPr>
            </w:pPr>
            <w:r>
              <w:rPr>
                <w:rFonts w:hint="eastAsia" w:eastAsia="宋体"/>
                <w:sz w:val="24"/>
                <w:szCs w:val="24"/>
                <w:lang w:val="en-US" w:eastAsia="zh-CN"/>
              </w:rPr>
              <w:t>2653.59</w:t>
            </w:r>
          </w:p>
        </w:tc>
        <w:tc>
          <w:tcPr>
            <w:tcW w:w="1035" w:type="dxa"/>
            <w:vAlign w:val="top"/>
          </w:tcPr>
          <w:p>
            <w:pPr>
              <w:keepNext w:val="0"/>
              <w:keepLines w:val="0"/>
              <w:widowControl/>
              <w:suppressLineNumbers w:val="0"/>
              <w:jc w:val="right"/>
              <w:textAlignment w:val="top"/>
              <w:rPr>
                <w:sz w:val="24"/>
                <w:szCs w:val="24"/>
              </w:rPr>
            </w:pPr>
            <w:r>
              <w:rPr>
                <w:rFonts w:hint="eastAsia" w:eastAsia="宋体"/>
                <w:sz w:val="24"/>
                <w:szCs w:val="24"/>
                <w:lang w:val="en-US" w:eastAsia="zh-CN"/>
              </w:rPr>
              <w:t>2653.59</w:t>
            </w:r>
          </w:p>
        </w:tc>
        <w:tc>
          <w:tcPr>
            <w:tcW w:w="825" w:type="dxa"/>
            <w:vAlign w:val="center"/>
          </w:tcPr>
          <w:p>
            <w:pPr>
              <w:pStyle w:val="20"/>
            </w:pPr>
          </w:p>
        </w:tc>
        <w:tc>
          <w:tcPr>
            <w:tcW w:w="645" w:type="dxa"/>
            <w:vAlign w:val="center"/>
          </w:tcPr>
          <w:p>
            <w:pPr>
              <w:pStyle w:val="20"/>
            </w:pPr>
          </w:p>
        </w:tc>
        <w:tc>
          <w:tcPr>
            <w:tcW w:w="765" w:type="dxa"/>
            <w:vAlign w:val="center"/>
          </w:tcPr>
          <w:p>
            <w:pPr>
              <w:pStyle w:val="20"/>
            </w:pPr>
          </w:p>
        </w:tc>
        <w:tc>
          <w:tcPr>
            <w:tcW w:w="885" w:type="dxa"/>
            <w:vAlign w:val="center"/>
          </w:tcPr>
          <w:p>
            <w:pPr>
              <w:pStyle w:val="20"/>
            </w:pPr>
          </w:p>
        </w:tc>
        <w:tc>
          <w:tcPr>
            <w:tcW w:w="1110" w:type="dxa"/>
            <w:vAlign w:val="center"/>
          </w:tcPr>
          <w:p>
            <w:pPr>
              <w:pStyle w:val="20"/>
            </w:pPr>
          </w:p>
        </w:tc>
        <w:tc>
          <w:tcPr>
            <w:tcW w:w="945" w:type="dxa"/>
            <w:vAlign w:val="center"/>
          </w:tcPr>
          <w:p>
            <w:pPr>
              <w:pStyle w:val="20"/>
            </w:pPr>
          </w:p>
        </w:tc>
        <w:tc>
          <w:tcPr>
            <w:tcW w:w="905"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5"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w:t>
            </w:r>
          </w:p>
        </w:tc>
        <w:tc>
          <w:tcPr>
            <w:tcW w:w="102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w:t>
            </w:r>
          </w:p>
        </w:tc>
        <w:tc>
          <w:tcPr>
            <w:tcW w:w="3840"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一般公共服务支出</w:t>
            </w:r>
          </w:p>
        </w:tc>
        <w:tc>
          <w:tcPr>
            <w:tcW w:w="1110"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2368.89</w:t>
            </w:r>
          </w:p>
        </w:tc>
        <w:tc>
          <w:tcPr>
            <w:tcW w:w="1170"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2368.89</w:t>
            </w:r>
          </w:p>
        </w:tc>
        <w:tc>
          <w:tcPr>
            <w:tcW w:w="1035"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2368.89</w:t>
            </w:r>
          </w:p>
        </w:tc>
        <w:tc>
          <w:tcPr>
            <w:tcW w:w="825" w:type="dxa"/>
            <w:vAlign w:val="center"/>
          </w:tcPr>
          <w:p>
            <w:pPr>
              <w:pStyle w:val="16"/>
            </w:pPr>
          </w:p>
        </w:tc>
        <w:tc>
          <w:tcPr>
            <w:tcW w:w="645" w:type="dxa"/>
            <w:vAlign w:val="center"/>
          </w:tcPr>
          <w:p>
            <w:pPr>
              <w:pStyle w:val="16"/>
            </w:pPr>
          </w:p>
        </w:tc>
        <w:tc>
          <w:tcPr>
            <w:tcW w:w="765" w:type="dxa"/>
            <w:vAlign w:val="center"/>
          </w:tcPr>
          <w:p>
            <w:pPr>
              <w:pStyle w:val="16"/>
            </w:pPr>
          </w:p>
        </w:tc>
        <w:tc>
          <w:tcPr>
            <w:tcW w:w="885" w:type="dxa"/>
            <w:vAlign w:val="center"/>
          </w:tcPr>
          <w:p>
            <w:pPr>
              <w:pStyle w:val="16"/>
            </w:pPr>
          </w:p>
        </w:tc>
        <w:tc>
          <w:tcPr>
            <w:tcW w:w="1110" w:type="dxa"/>
            <w:vAlign w:val="center"/>
          </w:tcPr>
          <w:p>
            <w:pPr>
              <w:pStyle w:val="16"/>
            </w:pPr>
          </w:p>
        </w:tc>
        <w:tc>
          <w:tcPr>
            <w:tcW w:w="945" w:type="dxa"/>
            <w:vAlign w:val="center"/>
          </w:tcPr>
          <w:p>
            <w:pPr>
              <w:pStyle w:val="16"/>
            </w:pPr>
          </w:p>
        </w:tc>
        <w:tc>
          <w:tcPr>
            <w:tcW w:w="90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w:t>
            </w:r>
          </w:p>
        </w:tc>
        <w:tc>
          <w:tcPr>
            <w:tcW w:w="102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w:t>
            </w:r>
          </w:p>
        </w:tc>
        <w:tc>
          <w:tcPr>
            <w:tcW w:w="3840"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市场监督管理事务</w:t>
            </w:r>
          </w:p>
        </w:tc>
        <w:tc>
          <w:tcPr>
            <w:tcW w:w="1110" w:type="dxa"/>
            <w:vAlign w:val="top"/>
          </w:tcPr>
          <w:p>
            <w:pPr>
              <w:keepNext w:val="0"/>
              <w:keepLines w:val="0"/>
              <w:widowControl/>
              <w:suppressLineNumbers w:val="0"/>
              <w:jc w:val="right"/>
              <w:textAlignment w:val="top"/>
              <w:rPr>
                <w:rFonts w:hint="default"/>
                <w:sz w:val="24"/>
                <w:szCs w:val="24"/>
                <w:lang w:val="en-US"/>
              </w:rPr>
            </w:pPr>
            <w:r>
              <w:rPr>
                <w:rFonts w:hint="eastAsia" w:ascii="Calibri" w:hAnsi="Calibri" w:eastAsia="宋体" w:cs="Calibri"/>
                <w:i w:val="0"/>
                <w:color w:val="000000"/>
                <w:kern w:val="0"/>
                <w:sz w:val="24"/>
                <w:szCs w:val="24"/>
                <w:u w:val="none"/>
                <w:lang w:val="en-US" w:eastAsia="zh-CN" w:bidi="ar"/>
              </w:rPr>
              <w:t>2368.89</w:t>
            </w:r>
          </w:p>
        </w:tc>
        <w:tc>
          <w:tcPr>
            <w:tcW w:w="1170"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2368.89</w:t>
            </w:r>
          </w:p>
        </w:tc>
        <w:tc>
          <w:tcPr>
            <w:tcW w:w="1035"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2368.89</w:t>
            </w:r>
          </w:p>
        </w:tc>
        <w:tc>
          <w:tcPr>
            <w:tcW w:w="825" w:type="dxa"/>
            <w:vAlign w:val="center"/>
          </w:tcPr>
          <w:p>
            <w:pPr>
              <w:pStyle w:val="16"/>
            </w:pPr>
          </w:p>
        </w:tc>
        <w:tc>
          <w:tcPr>
            <w:tcW w:w="645" w:type="dxa"/>
            <w:vAlign w:val="center"/>
          </w:tcPr>
          <w:p>
            <w:pPr>
              <w:pStyle w:val="16"/>
            </w:pPr>
          </w:p>
        </w:tc>
        <w:tc>
          <w:tcPr>
            <w:tcW w:w="765" w:type="dxa"/>
            <w:vAlign w:val="center"/>
          </w:tcPr>
          <w:p>
            <w:pPr>
              <w:pStyle w:val="16"/>
            </w:pPr>
          </w:p>
        </w:tc>
        <w:tc>
          <w:tcPr>
            <w:tcW w:w="885" w:type="dxa"/>
            <w:vAlign w:val="center"/>
          </w:tcPr>
          <w:p>
            <w:pPr>
              <w:pStyle w:val="16"/>
            </w:pPr>
          </w:p>
        </w:tc>
        <w:tc>
          <w:tcPr>
            <w:tcW w:w="1110" w:type="dxa"/>
            <w:vAlign w:val="center"/>
          </w:tcPr>
          <w:p>
            <w:pPr>
              <w:pStyle w:val="16"/>
            </w:pPr>
          </w:p>
        </w:tc>
        <w:tc>
          <w:tcPr>
            <w:tcW w:w="945" w:type="dxa"/>
            <w:vAlign w:val="center"/>
          </w:tcPr>
          <w:p>
            <w:pPr>
              <w:pStyle w:val="16"/>
            </w:pPr>
          </w:p>
        </w:tc>
        <w:tc>
          <w:tcPr>
            <w:tcW w:w="90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8"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4</w:t>
            </w:r>
          </w:p>
        </w:tc>
        <w:tc>
          <w:tcPr>
            <w:tcW w:w="102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2013801</w:t>
            </w:r>
          </w:p>
        </w:tc>
        <w:tc>
          <w:tcPr>
            <w:tcW w:w="3840"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行政运行</w:t>
            </w:r>
          </w:p>
        </w:tc>
        <w:tc>
          <w:tcPr>
            <w:tcW w:w="1110" w:type="dxa"/>
            <w:vAlign w:val="top"/>
          </w:tcPr>
          <w:p>
            <w:pPr>
              <w:keepNext w:val="0"/>
              <w:keepLines w:val="0"/>
              <w:widowControl/>
              <w:suppressLineNumbers w:val="0"/>
              <w:jc w:val="right"/>
              <w:textAlignment w:val="top"/>
              <w:rPr>
                <w:rFonts w:hint="default"/>
                <w:sz w:val="24"/>
                <w:szCs w:val="24"/>
                <w:lang w:val="en-US"/>
              </w:rPr>
            </w:pPr>
            <w:r>
              <w:rPr>
                <w:rFonts w:hint="eastAsia" w:ascii="Calibri" w:hAnsi="Calibri" w:eastAsia="宋体" w:cs="Calibri"/>
                <w:i w:val="0"/>
                <w:color w:val="000000"/>
                <w:kern w:val="0"/>
                <w:sz w:val="24"/>
                <w:szCs w:val="24"/>
                <w:u w:val="none"/>
                <w:lang w:val="en-US" w:eastAsia="zh-CN" w:bidi="ar"/>
              </w:rPr>
              <w:t>1754.24</w:t>
            </w:r>
          </w:p>
        </w:tc>
        <w:tc>
          <w:tcPr>
            <w:tcW w:w="1170" w:type="dxa"/>
            <w:vAlign w:val="top"/>
          </w:tcPr>
          <w:p>
            <w:pPr>
              <w:keepNext w:val="0"/>
              <w:keepLines w:val="0"/>
              <w:widowControl/>
              <w:suppressLineNumbers w:val="0"/>
              <w:jc w:val="right"/>
              <w:textAlignment w:val="top"/>
              <w:rPr>
                <w:rFonts w:hint="default"/>
                <w:sz w:val="24"/>
                <w:szCs w:val="24"/>
                <w:lang w:val="en-US"/>
              </w:rPr>
            </w:pPr>
            <w:r>
              <w:rPr>
                <w:rFonts w:hint="eastAsia" w:ascii="Calibri" w:hAnsi="Calibri" w:eastAsia="宋体" w:cs="Calibri"/>
                <w:i w:val="0"/>
                <w:color w:val="000000"/>
                <w:kern w:val="0"/>
                <w:sz w:val="24"/>
                <w:szCs w:val="24"/>
                <w:u w:val="none"/>
                <w:lang w:val="en-US" w:eastAsia="zh-CN" w:bidi="ar"/>
              </w:rPr>
              <w:t>1754.24</w:t>
            </w:r>
          </w:p>
        </w:tc>
        <w:tc>
          <w:tcPr>
            <w:tcW w:w="1035" w:type="dxa"/>
            <w:vAlign w:val="top"/>
          </w:tcPr>
          <w:p>
            <w:pPr>
              <w:keepNext w:val="0"/>
              <w:keepLines w:val="0"/>
              <w:widowControl/>
              <w:suppressLineNumbers w:val="0"/>
              <w:jc w:val="right"/>
              <w:textAlignment w:val="top"/>
              <w:rPr>
                <w:rFonts w:hint="default"/>
                <w:sz w:val="24"/>
                <w:szCs w:val="24"/>
                <w:lang w:val="en-US"/>
              </w:rPr>
            </w:pPr>
            <w:r>
              <w:rPr>
                <w:rFonts w:hint="eastAsia" w:ascii="Calibri" w:hAnsi="Calibri" w:eastAsia="宋体" w:cs="Calibri"/>
                <w:i w:val="0"/>
                <w:color w:val="000000"/>
                <w:kern w:val="0"/>
                <w:sz w:val="24"/>
                <w:szCs w:val="24"/>
                <w:u w:val="none"/>
                <w:lang w:val="en-US" w:eastAsia="zh-CN" w:bidi="ar"/>
              </w:rPr>
              <w:t>1754.24</w:t>
            </w:r>
          </w:p>
        </w:tc>
        <w:tc>
          <w:tcPr>
            <w:tcW w:w="825" w:type="dxa"/>
            <w:vAlign w:val="center"/>
          </w:tcPr>
          <w:p>
            <w:pPr>
              <w:pStyle w:val="16"/>
              <w:rPr>
                <w:rFonts w:hint="default"/>
                <w:lang w:val="en-US"/>
              </w:rPr>
            </w:pPr>
          </w:p>
        </w:tc>
        <w:tc>
          <w:tcPr>
            <w:tcW w:w="645" w:type="dxa"/>
            <w:vAlign w:val="center"/>
          </w:tcPr>
          <w:p>
            <w:pPr>
              <w:pStyle w:val="16"/>
            </w:pPr>
          </w:p>
        </w:tc>
        <w:tc>
          <w:tcPr>
            <w:tcW w:w="765" w:type="dxa"/>
            <w:vAlign w:val="center"/>
          </w:tcPr>
          <w:p>
            <w:pPr>
              <w:pStyle w:val="16"/>
            </w:pPr>
          </w:p>
        </w:tc>
        <w:tc>
          <w:tcPr>
            <w:tcW w:w="885" w:type="dxa"/>
            <w:vAlign w:val="center"/>
          </w:tcPr>
          <w:p>
            <w:pPr>
              <w:pStyle w:val="16"/>
            </w:pPr>
          </w:p>
        </w:tc>
        <w:tc>
          <w:tcPr>
            <w:tcW w:w="1110" w:type="dxa"/>
            <w:vAlign w:val="center"/>
          </w:tcPr>
          <w:p>
            <w:pPr>
              <w:pStyle w:val="16"/>
            </w:pPr>
          </w:p>
        </w:tc>
        <w:tc>
          <w:tcPr>
            <w:tcW w:w="945" w:type="dxa"/>
            <w:vAlign w:val="center"/>
          </w:tcPr>
          <w:p>
            <w:pPr>
              <w:pStyle w:val="16"/>
            </w:pPr>
          </w:p>
        </w:tc>
        <w:tc>
          <w:tcPr>
            <w:tcW w:w="90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5</w:t>
            </w:r>
          </w:p>
        </w:tc>
        <w:tc>
          <w:tcPr>
            <w:tcW w:w="102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2013802</w:t>
            </w:r>
          </w:p>
        </w:tc>
        <w:tc>
          <w:tcPr>
            <w:tcW w:w="3840"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一般行政管理事务</w:t>
            </w:r>
          </w:p>
        </w:tc>
        <w:tc>
          <w:tcPr>
            <w:tcW w:w="1110" w:type="dxa"/>
            <w:vAlign w:val="top"/>
          </w:tcPr>
          <w:p>
            <w:pPr>
              <w:keepNext w:val="0"/>
              <w:keepLines w:val="0"/>
              <w:widowControl/>
              <w:suppressLineNumbers w:val="0"/>
              <w:jc w:val="right"/>
              <w:textAlignment w:val="top"/>
              <w:rPr>
                <w:rFonts w:hint="default"/>
                <w:sz w:val="24"/>
                <w:szCs w:val="24"/>
                <w:lang w:val="en-US"/>
              </w:rPr>
            </w:pPr>
            <w:r>
              <w:rPr>
                <w:rFonts w:hint="eastAsia" w:ascii="Calibri" w:hAnsi="Calibri" w:eastAsia="宋体" w:cs="Calibri"/>
                <w:i w:val="0"/>
                <w:color w:val="000000"/>
                <w:kern w:val="0"/>
                <w:sz w:val="24"/>
                <w:szCs w:val="24"/>
                <w:u w:val="none"/>
                <w:lang w:val="en-US" w:eastAsia="zh-CN" w:bidi="ar"/>
              </w:rPr>
              <w:t>122.</w:t>
            </w:r>
            <w:r>
              <w:rPr>
                <w:rFonts w:hint="default" w:ascii="Calibri" w:hAnsi="Calibri" w:eastAsia="宋体" w:cs="Calibri"/>
                <w:i w:val="0"/>
                <w:color w:val="000000"/>
                <w:kern w:val="0"/>
                <w:sz w:val="24"/>
                <w:szCs w:val="24"/>
                <w:u w:val="none"/>
                <w:lang w:val="en-US" w:eastAsia="zh-CN" w:bidi="ar"/>
              </w:rPr>
              <w:t>0</w:t>
            </w:r>
            <w:r>
              <w:rPr>
                <w:rFonts w:hint="eastAsia" w:ascii="Calibri" w:hAnsi="Calibri" w:eastAsia="宋体" w:cs="Calibri"/>
                <w:i w:val="0"/>
                <w:color w:val="000000"/>
                <w:kern w:val="0"/>
                <w:sz w:val="24"/>
                <w:szCs w:val="24"/>
                <w:u w:val="none"/>
                <w:lang w:val="en-US" w:eastAsia="zh-CN" w:bidi="ar"/>
              </w:rPr>
              <w:t>0</w:t>
            </w:r>
          </w:p>
        </w:tc>
        <w:tc>
          <w:tcPr>
            <w:tcW w:w="1170"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122.</w:t>
            </w:r>
            <w:r>
              <w:rPr>
                <w:rFonts w:hint="default" w:ascii="Calibri" w:hAnsi="Calibri" w:eastAsia="宋体" w:cs="Calibri"/>
                <w:i w:val="0"/>
                <w:color w:val="000000"/>
                <w:kern w:val="0"/>
                <w:sz w:val="24"/>
                <w:szCs w:val="24"/>
                <w:u w:val="none"/>
                <w:lang w:val="en-US" w:eastAsia="zh-CN" w:bidi="ar"/>
              </w:rPr>
              <w:t>0</w:t>
            </w:r>
            <w:r>
              <w:rPr>
                <w:rFonts w:hint="eastAsia" w:ascii="Calibri" w:hAnsi="Calibri" w:eastAsia="宋体" w:cs="Calibri"/>
                <w:i w:val="0"/>
                <w:color w:val="000000"/>
                <w:kern w:val="0"/>
                <w:sz w:val="24"/>
                <w:szCs w:val="24"/>
                <w:u w:val="none"/>
                <w:lang w:val="en-US" w:eastAsia="zh-CN" w:bidi="ar"/>
              </w:rPr>
              <w:t>0</w:t>
            </w:r>
          </w:p>
        </w:tc>
        <w:tc>
          <w:tcPr>
            <w:tcW w:w="1035"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122.</w:t>
            </w:r>
            <w:r>
              <w:rPr>
                <w:rFonts w:hint="default" w:ascii="Calibri" w:hAnsi="Calibri" w:eastAsia="宋体" w:cs="Calibri"/>
                <w:i w:val="0"/>
                <w:color w:val="000000"/>
                <w:kern w:val="0"/>
                <w:sz w:val="24"/>
                <w:szCs w:val="24"/>
                <w:u w:val="none"/>
                <w:lang w:val="en-US" w:eastAsia="zh-CN" w:bidi="ar"/>
              </w:rPr>
              <w:t>0</w:t>
            </w:r>
            <w:r>
              <w:rPr>
                <w:rFonts w:hint="eastAsia" w:ascii="Calibri" w:hAnsi="Calibri" w:eastAsia="宋体" w:cs="Calibri"/>
                <w:i w:val="0"/>
                <w:color w:val="000000"/>
                <w:kern w:val="0"/>
                <w:sz w:val="24"/>
                <w:szCs w:val="24"/>
                <w:u w:val="none"/>
                <w:lang w:val="en-US" w:eastAsia="zh-CN" w:bidi="ar"/>
              </w:rPr>
              <w:t>0</w:t>
            </w:r>
          </w:p>
        </w:tc>
        <w:tc>
          <w:tcPr>
            <w:tcW w:w="825" w:type="dxa"/>
            <w:vAlign w:val="center"/>
          </w:tcPr>
          <w:p>
            <w:pPr>
              <w:pStyle w:val="16"/>
            </w:pPr>
          </w:p>
        </w:tc>
        <w:tc>
          <w:tcPr>
            <w:tcW w:w="645" w:type="dxa"/>
            <w:vAlign w:val="center"/>
          </w:tcPr>
          <w:p>
            <w:pPr>
              <w:pStyle w:val="16"/>
            </w:pPr>
          </w:p>
        </w:tc>
        <w:tc>
          <w:tcPr>
            <w:tcW w:w="765" w:type="dxa"/>
            <w:vAlign w:val="center"/>
          </w:tcPr>
          <w:p>
            <w:pPr>
              <w:pStyle w:val="16"/>
            </w:pPr>
          </w:p>
        </w:tc>
        <w:tc>
          <w:tcPr>
            <w:tcW w:w="885" w:type="dxa"/>
            <w:vAlign w:val="center"/>
          </w:tcPr>
          <w:p>
            <w:pPr>
              <w:pStyle w:val="16"/>
            </w:pPr>
          </w:p>
        </w:tc>
        <w:tc>
          <w:tcPr>
            <w:tcW w:w="1110" w:type="dxa"/>
            <w:vAlign w:val="center"/>
          </w:tcPr>
          <w:p>
            <w:pPr>
              <w:pStyle w:val="16"/>
            </w:pPr>
          </w:p>
        </w:tc>
        <w:tc>
          <w:tcPr>
            <w:tcW w:w="945" w:type="dxa"/>
            <w:vAlign w:val="center"/>
          </w:tcPr>
          <w:p>
            <w:pPr>
              <w:pStyle w:val="16"/>
            </w:pPr>
          </w:p>
        </w:tc>
        <w:tc>
          <w:tcPr>
            <w:tcW w:w="90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6</w:t>
            </w:r>
          </w:p>
        </w:tc>
        <w:tc>
          <w:tcPr>
            <w:tcW w:w="102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2013804</w:t>
            </w:r>
          </w:p>
        </w:tc>
        <w:tc>
          <w:tcPr>
            <w:tcW w:w="3840"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市场主体管理</w:t>
            </w:r>
          </w:p>
        </w:tc>
        <w:tc>
          <w:tcPr>
            <w:tcW w:w="1110"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116.00</w:t>
            </w:r>
          </w:p>
        </w:tc>
        <w:tc>
          <w:tcPr>
            <w:tcW w:w="1170" w:type="dxa"/>
            <w:vAlign w:val="top"/>
          </w:tcPr>
          <w:p>
            <w:pPr>
              <w:keepNext w:val="0"/>
              <w:keepLines w:val="0"/>
              <w:widowControl/>
              <w:suppressLineNumbers w:val="0"/>
              <w:jc w:val="right"/>
              <w:textAlignment w:val="top"/>
              <w:rPr>
                <w:rFonts w:hint="default"/>
                <w:sz w:val="24"/>
                <w:szCs w:val="24"/>
                <w:lang w:val="en-US"/>
              </w:rPr>
            </w:pPr>
            <w:r>
              <w:rPr>
                <w:rFonts w:hint="eastAsia" w:ascii="Calibri" w:hAnsi="Calibri" w:eastAsia="宋体" w:cs="Calibri"/>
                <w:i w:val="0"/>
                <w:color w:val="000000"/>
                <w:kern w:val="0"/>
                <w:sz w:val="24"/>
                <w:szCs w:val="24"/>
                <w:u w:val="none"/>
                <w:lang w:val="en-US" w:eastAsia="zh-CN" w:bidi="ar"/>
              </w:rPr>
              <w:t>116.00</w:t>
            </w:r>
          </w:p>
        </w:tc>
        <w:tc>
          <w:tcPr>
            <w:tcW w:w="1035" w:type="dxa"/>
            <w:vAlign w:val="top"/>
          </w:tcPr>
          <w:p>
            <w:pPr>
              <w:keepNext w:val="0"/>
              <w:keepLines w:val="0"/>
              <w:widowControl/>
              <w:suppressLineNumbers w:val="0"/>
              <w:jc w:val="right"/>
              <w:textAlignment w:val="top"/>
              <w:rPr>
                <w:rFonts w:hint="default"/>
                <w:sz w:val="24"/>
                <w:szCs w:val="24"/>
                <w:lang w:val="en-US"/>
              </w:rPr>
            </w:pPr>
            <w:r>
              <w:rPr>
                <w:rFonts w:hint="eastAsia" w:ascii="Calibri" w:hAnsi="Calibri" w:eastAsia="宋体" w:cs="Calibri"/>
                <w:i w:val="0"/>
                <w:color w:val="000000"/>
                <w:kern w:val="0"/>
                <w:sz w:val="24"/>
                <w:szCs w:val="24"/>
                <w:u w:val="none"/>
                <w:lang w:val="en-US" w:eastAsia="zh-CN" w:bidi="ar"/>
              </w:rPr>
              <w:t>116.00</w:t>
            </w:r>
          </w:p>
        </w:tc>
        <w:tc>
          <w:tcPr>
            <w:tcW w:w="825" w:type="dxa"/>
            <w:vAlign w:val="center"/>
          </w:tcPr>
          <w:p>
            <w:pPr>
              <w:pStyle w:val="16"/>
            </w:pPr>
          </w:p>
        </w:tc>
        <w:tc>
          <w:tcPr>
            <w:tcW w:w="645" w:type="dxa"/>
            <w:vAlign w:val="center"/>
          </w:tcPr>
          <w:p>
            <w:pPr>
              <w:pStyle w:val="16"/>
            </w:pPr>
          </w:p>
        </w:tc>
        <w:tc>
          <w:tcPr>
            <w:tcW w:w="765" w:type="dxa"/>
            <w:vAlign w:val="center"/>
          </w:tcPr>
          <w:p>
            <w:pPr>
              <w:pStyle w:val="16"/>
            </w:pPr>
          </w:p>
        </w:tc>
        <w:tc>
          <w:tcPr>
            <w:tcW w:w="885" w:type="dxa"/>
            <w:vAlign w:val="center"/>
          </w:tcPr>
          <w:p>
            <w:pPr>
              <w:pStyle w:val="16"/>
            </w:pPr>
          </w:p>
        </w:tc>
        <w:tc>
          <w:tcPr>
            <w:tcW w:w="1110" w:type="dxa"/>
            <w:vAlign w:val="center"/>
          </w:tcPr>
          <w:p>
            <w:pPr>
              <w:pStyle w:val="16"/>
            </w:pPr>
          </w:p>
        </w:tc>
        <w:tc>
          <w:tcPr>
            <w:tcW w:w="945" w:type="dxa"/>
            <w:vAlign w:val="center"/>
          </w:tcPr>
          <w:p>
            <w:pPr>
              <w:pStyle w:val="16"/>
            </w:pPr>
          </w:p>
        </w:tc>
        <w:tc>
          <w:tcPr>
            <w:tcW w:w="90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7</w:t>
            </w:r>
          </w:p>
        </w:tc>
        <w:tc>
          <w:tcPr>
            <w:tcW w:w="102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2013805</w:t>
            </w:r>
          </w:p>
        </w:tc>
        <w:tc>
          <w:tcPr>
            <w:tcW w:w="3840"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市场秩序执法</w:t>
            </w:r>
          </w:p>
        </w:tc>
        <w:tc>
          <w:tcPr>
            <w:tcW w:w="1110" w:type="dxa"/>
            <w:vAlign w:val="top"/>
          </w:tcPr>
          <w:p>
            <w:pPr>
              <w:keepNext w:val="0"/>
              <w:keepLines w:val="0"/>
              <w:widowControl/>
              <w:suppressLineNumbers w:val="0"/>
              <w:jc w:val="right"/>
              <w:textAlignment w:val="top"/>
              <w:rPr>
                <w:rFonts w:hint="default"/>
                <w:sz w:val="24"/>
                <w:szCs w:val="24"/>
                <w:lang w:val="en-US"/>
              </w:rPr>
            </w:pPr>
            <w:r>
              <w:rPr>
                <w:rFonts w:hint="eastAsia" w:ascii="Calibri" w:hAnsi="Calibri" w:eastAsia="宋体" w:cs="Calibri"/>
                <w:i w:val="0"/>
                <w:color w:val="000000"/>
                <w:kern w:val="0"/>
                <w:sz w:val="24"/>
                <w:szCs w:val="24"/>
                <w:u w:val="none"/>
                <w:lang w:val="en-US" w:eastAsia="zh-CN" w:bidi="ar"/>
              </w:rPr>
              <w:t>55</w:t>
            </w:r>
            <w:r>
              <w:rPr>
                <w:rFonts w:hint="default" w:ascii="Calibri" w:hAnsi="Calibri" w:eastAsia="宋体" w:cs="Calibri"/>
                <w:i w:val="0"/>
                <w:color w:val="000000"/>
                <w:kern w:val="0"/>
                <w:sz w:val="24"/>
                <w:szCs w:val="24"/>
                <w:u w:val="none"/>
                <w:lang w:val="en-US" w:eastAsia="zh-CN" w:bidi="ar"/>
              </w:rPr>
              <w:t>.00</w:t>
            </w:r>
          </w:p>
        </w:tc>
        <w:tc>
          <w:tcPr>
            <w:tcW w:w="1170"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55</w:t>
            </w:r>
            <w:r>
              <w:rPr>
                <w:rFonts w:hint="default" w:ascii="Calibri" w:hAnsi="Calibri" w:eastAsia="宋体" w:cs="Calibri"/>
                <w:i w:val="0"/>
                <w:color w:val="000000"/>
                <w:kern w:val="0"/>
                <w:sz w:val="24"/>
                <w:szCs w:val="24"/>
                <w:u w:val="none"/>
                <w:lang w:val="en-US" w:eastAsia="zh-CN" w:bidi="ar"/>
              </w:rPr>
              <w:t>.00</w:t>
            </w:r>
          </w:p>
        </w:tc>
        <w:tc>
          <w:tcPr>
            <w:tcW w:w="1035"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55</w:t>
            </w:r>
            <w:r>
              <w:rPr>
                <w:rFonts w:hint="default" w:ascii="Calibri" w:hAnsi="Calibri" w:eastAsia="宋体" w:cs="Calibri"/>
                <w:i w:val="0"/>
                <w:color w:val="000000"/>
                <w:kern w:val="0"/>
                <w:sz w:val="24"/>
                <w:szCs w:val="24"/>
                <w:u w:val="none"/>
                <w:lang w:val="en-US" w:eastAsia="zh-CN" w:bidi="ar"/>
              </w:rPr>
              <w:t>.00</w:t>
            </w:r>
          </w:p>
        </w:tc>
        <w:tc>
          <w:tcPr>
            <w:tcW w:w="825" w:type="dxa"/>
            <w:vAlign w:val="center"/>
          </w:tcPr>
          <w:p>
            <w:pPr>
              <w:pStyle w:val="16"/>
            </w:pPr>
          </w:p>
        </w:tc>
        <w:tc>
          <w:tcPr>
            <w:tcW w:w="645" w:type="dxa"/>
            <w:vAlign w:val="center"/>
          </w:tcPr>
          <w:p>
            <w:pPr>
              <w:pStyle w:val="16"/>
            </w:pPr>
          </w:p>
        </w:tc>
        <w:tc>
          <w:tcPr>
            <w:tcW w:w="765" w:type="dxa"/>
            <w:vAlign w:val="center"/>
          </w:tcPr>
          <w:p>
            <w:pPr>
              <w:pStyle w:val="16"/>
            </w:pPr>
          </w:p>
        </w:tc>
        <w:tc>
          <w:tcPr>
            <w:tcW w:w="885" w:type="dxa"/>
            <w:vAlign w:val="center"/>
          </w:tcPr>
          <w:p>
            <w:pPr>
              <w:pStyle w:val="16"/>
            </w:pPr>
          </w:p>
        </w:tc>
        <w:tc>
          <w:tcPr>
            <w:tcW w:w="1110" w:type="dxa"/>
            <w:vAlign w:val="center"/>
          </w:tcPr>
          <w:p>
            <w:pPr>
              <w:pStyle w:val="16"/>
            </w:pPr>
          </w:p>
        </w:tc>
        <w:tc>
          <w:tcPr>
            <w:tcW w:w="945" w:type="dxa"/>
            <w:vAlign w:val="center"/>
          </w:tcPr>
          <w:p>
            <w:pPr>
              <w:pStyle w:val="16"/>
            </w:pPr>
          </w:p>
        </w:tc>
        <w:tc>
          <w:tcPr>
            <w:tcW w:w="90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4"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8</w:t>
            </w:r>
          </w:p>
        </w:tc>
        <w:tc>
          <w:tcPr>
            <w:tcW w:w="102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2013810</w:t>
            </w:r>
          </w:p>
        </w:tc>
        <w:tc>
          <w:tcPr>
            <w:tcW w:w="3840"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质量基础</w:t>
            </w:r>
          </w:p>
        </w:tc>
        <w:tc>
          <w:tcPr>
            <w:tcW w:w="1110"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168.95</w:t>
            </w:r>
          </w:p>
        </w:tc>
        <w:tc>
          <w:tcPr>
            <w:tcW w:w="1170"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168.95</w:t>
            </w:r>
          </w:p>
        </w:tc>
        <w:tc>
          <w:tcPr>
            <w:tcW w:w="1035" w:type="dxa"/>
            <w:vAlign w:val="top"/>
          </w:tcPr>
          <w:p>
            <w:pPr>
              <w:keepNext w:val="0"/>
              <w:keepLines w:val="0"/>
              <w:widowControl/>
              <w:suppressLineNumbers w:val="0"/>
              <w:jc w:val="right"/>
              <w:textAlignment w:val="top"/>
              <w:rPr>
                <w:rFonts w:hint="default"/>
                <w:sz w:val="24"/>
                <w:szCs w:val="24"/>
                <w:lang w:val="en-US"/>
              </w:rPr>
            </w:pPr>
            <w:r>
              <w:rPr>
                <w:rFonts w:hint="eastAsia" w:ascii="Calibri" w:hAnsi="Calibri" w:eastAsia="宋体" w:cs="Calibri"/>
                <w:i w:val="0"/>
                <w:color w:val="000000"/>
                <w:kern w:val="0"/>
                <w:sz w:val="24"/>
                <w:szCs w:val="24"/>
                <w:u w:val="none"/>
                <w:lang w:val="en-US" w:eastAsia="zh-CN" w:bidi="ar"/>
              </w:rPr>
              <w:t>168.95</w:t>
            </w:r>
          </w:p>
        </w:tc>
        <w:tc>
          <w:tcPr>
            <w:tcW w:w="825" w:type="dxa"/>
            <w:vAlign w:val="center"/>
          </w:tcPr>
          <w:p>
            <w:pPr>
              <w:pStyle w:val="16"/>
            </w:pPr>
          </w:p>
        </w:tc>
        <w:tc>
          <w:tcPr>
            <w:tcW w:w="645" w:type="dxa"/>
            <w:vAlign w:val="center"/>
          </w:tcPr>
          <w:p>
            <w:pPr>
              <w:pStyle w:val="16"/>
            </w:pPr>
          </w:p>
        </w:tc>
        <w:tc>
          <w:tcPr>
            <w:tcW w:w="765" w:type="dxa"/>
            <w:vAlign w:val="center"/>
          </w:tcPr>
          <w:p>
            <w:pPr>
              <w:pStyle w:val="16"/>
            </w:pPr>
          </w:p>
        </w:tc>
        <w:tc>
          <w:tcPr>
            <w:tcW w:w="885" w:type="dxa"/>
            <w:vAlign w:val="center"/>
          </w:tcPr>
          <w:p>
            <w:pPr>
              <w:pStyle w:val="16"/>
            </w:pPr>
          </w:p>
        </w:tc>
        <w:tc>
          <w:tcPr>
            <w:tcW w:w="1110" w:type="dxa"/>
            <w:vAlign w:val="center"/>
          </w:tcPr>
          <w:p>
            <w:pPr>
              <w:pStyle w:val="16"/>
            </w:pPr>
          </w:p>
        </w:tc>
        <w:tc>
          <w:tcPr>
            <w:tcW w:w="945" w:type="dxa"/>
            <w:vAlign w:val="center"/>
          </w:tcPr>
          <w:p>
            <w:pPr>
              <w:pStyle w:val="16"/>
            </w:pPr>
          </w:p>
        </w:tc>
        <w:tc>
          <w:tcPr>
            <w:tcW w:w="90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7"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9</w:t>
            </w:r>
          </w:p>
        </w:tc>
        <w:tc>
          <w:tcPr>
            <w:tcW w:w="102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2013812</w:t>
            </w:r>
          </w:p>
        </w:tc>
        <w:tc>
          <w:tcPr>
            <w:tcW w:w="3840"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药品事务</w:t>
            </w:r>
          </w:p>
        </w:tc>
        <w:tc>
          <w:tcPr>
            <w:tcW w:w="1110" w:type="dxa"/>
            <w:vAlign w:val="top"/>
          </w:tcPr>
          <w:p>
            <w:pPr>
              <w:keepNext w:val="0"/>
              <w:keepLines w:val="0"/>
              <w:widowControl/>
              <w:suppressLineNumbers w:val="0"/>
              <w:jc w:val="right"/>
              <w:textAlignment w:val="top"/>
              <w:rPr>
                <w:sz w:val="24"/>
                <w:szCs w:val="24"/>
              </w:rPr>
            </w:pPr>
            <w:r>
              <w:rPr>
                <w:rFonts w:hint="default" w:ascii="Calibri" w:hAnsi="Calibri" w:eastAsia="宋体" w:cs="Calibri"/>
                <w:i w:val="0"/>
                <w:color w:val="000000"/>
                <w:kern w:val="0"/>
                <w:sz w:val="24"/>
                <w:szCs w:val="24"/>
                <w:u w:val="none"/>
                <w:lang w:val="en-US" w:eastAsia="zh-CN" w:bidi="ar"/>
              </w:rPr>
              <w:t>5.00</w:t>
            </w:r>
          </w:p>
        </w:tc>
        <w:tc>
          <w:tcPr>
            <w:tcW w:w="1170" w:type="dxa"/>
            <w:vAlign w:val="top"/>
          </w:tcPr>
          <w:p>
            <w:pPr>
              <w:keepNext w:val="0"/>
              <w:keepLines w:val="0"/>
              <w:widowControl/>
              <w:suppressLineNumbers w:val="0"/>
              <w:jc w:val="right"/>
              <w:textAlignment w:val="top"/>
              <w:rPr>
                <w:sz w:val="24"/>
                <w:szCs w:val="24"/>
              </w:rPr>
            </w:pPr>
            <w:r>
              <w:rPr>
                <w:rFonts w:hint="default" w:ascii="Calibri" w:hAnsi="Calibri" w:eastAsia="宋体" w:cs="Calibri"/>
                <w:i w:val="0"/>
                <w:color w:val="000000"/>
                <w:kern w:val="0"/>
                <w:sz w:val="24"/>
                <w:szCs w:val="24"/>
                <w:u w:val="none"/>
                <w:lang w:val="en-US" w:eastAsia="zh-CN" w:bidi="ar"/>
              </w:rPr>
              <w:t>5.00</w:t>
            </w:r>
          </w:p>
        </w:tc>
        <w:tc>
          <w:tcPr>
            <w:tcW w:w="1035" w:type="dxa"/>
            <w:vAlign w:val="top"/>
          </w:tcPr>
          <w:p>
            <w:pPr>
              <w:keepNext w:val="0"/>
              <w:keepLines w:val="0"/>
              <w:widowControl/>
              <w:suppressLineNumbers w:val="0"/>
              <w:jc w:val="right"/>
              <w:textAlignment w:val="top"/>
              <w:rPr>
                <w:sz w:val="24"/>
                <w:szCs w:val="24"/>
              </w:rPr>
            </w:pPr>
            <w:r>
              <w:rPr>
                <w:rFonts w:hint="default" w:ascii="Calibri" w:hAnsi="Calibri" w:eastAsia="宋体" w:cs="Calibri"/>
                <w:i w:val="0"/>
                <w:color w:val="000000"/>
                <w:kern w:val="0"/>
                <w:sz w:val="24"/>
                <w:szCs w:val="24"/>
                <w:u w:val="none"/>
                <w:lang w:val="en-US" w:eastAsia="zh-CN" w:bidi="ar"/>
              </w:rPr>
              <w:t>5.00</w:t>
            </w:r>
          </w:p>
        </w:tc>
        <w:tc>
          <w:tcPr>
            <w:tcW w:w="825" w:type="dxa"/>
            <w:vAlign w:val="center"/>
          </w:tcPr>
          <w:p>
            <w:pPr>
              <w:pStyle w:val="16"/>
            </w:pPr>
          </w:p>
        </w:tc>
        <w:tc>
          <w:tcPr>
            <w:tcW w:w="645" w:type="dxa"/>
            <w:vAlign w:val="center"/>
          </w:tcPr>
          <w:p>
            <w:pPr>
              <w:pStyle w:val="16"/>
            </w:pPr>
          </w:p>
        </w:tc>
        <w:tc>
          <w:tcPr>
            <w:tcW w:w="765" w:type="dxa"/>
            <w:vAlign w:val="center"/>
          </w:tcPr>
          <w:p>
            <w:pPr>
              <w:pStyle w:val="16"/>
            </w:pPr>
          </w:p>
        </w:tc>
        <w:tc>
          <w:tcPr>
            <w:tcW w:w="885" w:type="dxa"/>
            <w:vAlign w:val="center"/>
          </w:tcPr>
          <w:p>
            <w:pPr>
              <w:pStyle w:val="16"/>
            </w:pPr>
          </w:p>
        </w:tc>
        <w:tc>
          <w:tcPr>
            <w:tcW w:w="1110" w:type="dxa"/>
            <w:vAlign w:val="center"/>
          </w:tcPr>
          <w:p>
            <w:pPr>
              <w:pStyle w:val="16"/>
            </w:pPr>
          </w:p>
        </w:tc>
        <w:tc>
          <w:tcPr>
            <w:tcW w:w="945" w:type="dxa"/>
            <w:vAlign w:val="center"/>
          </w:tcPr>
          <w:p>
            <w:pPr>
              <w:pStyle w:val="16"/>
            </w:pPr>
          </w:p>
        </w:tc>
        <w:tc>
          <w:tcPr>
            <w:tcW w:w="90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10</w:t>
            </w:r>
          </w:p>
        </w:tc>
        <w:tc>
          <w:tcPr>
            <w:tcW w:w="102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2013899</w:t>
            </w:r>
          </w:p>
        </w:tc>
        <w:tc>
          <w:tcPr>
            <w:tcW w:w="3840"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其他市场监督管理事务</w:t>
            </w:r>
          </w:p>
        </w:tc>
        <w:tc>
          <w:tcPr>
            <w:tcW w:w="1110"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147</w:t>
            </w:r>
            <w:r>
              <w:rPr>
                <w:rFonts w:hint="default" w:ascii="Calibri" w:hAnsi="Calibri" w:eastAsia="宋体" w:cs="Calibri"/>
                <w:i w:val="0"/>
                <w:color w:val="000000"/>
                <w:kern w:val="0"/>
                <w:sz w:val="24"/>
                <w:szCs w:val="24"/>
                <w:u w:val="none"/>
                <w:lang w:val="en-US" w:eastAsia="zh-CN" w:bidi="ar"/>
              </w:rPr>
              <w:t>.70</w:t>
            </w:r>
          </w:p>
        </w:tc>
        <w:tc>
          <w:tcPr>
            <w:tcW w:w="1170"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147</w:t>
            </w:r>
            <w:r>
              <w:rPr>
                <w:rFonts w:hint="default" w:ascii="Calibri" w:hAnsi="Calibri" w:eastAsia="宋体" w:cs="Calibri"/>
                <w:i w:val="0"/>
                <w:color w:val="000000"/>
                <w:kern w:val="0"/>
                <w:sz w:val="24"/>
                <w:szCs w:val="24"/>
                <w:u w:val="none"/>
                <w:lang w:val="en-US" w:eastAsia="zh-CN" w:bidi="ar"/>
              </w:rPr>
              <w:t>.70</w:t>
            </w:r>
          </w:p>
        </w:tc>
        <w:tc>
          <w:tcPr>
            <w:tcW w:w="1035"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147</w:t>
            </w:r>
            <w:r>
              <w:rPr>
                <w:rFonts w:hint="default" w:ascii="Calibri" w:hAnsi="Calibri" w:eastAsia="宋体" w:cs="Calibri"/>
                <w:i w:val="0"/>
                <w:color w:val="000000"/>
                <w:kern w:val="0"/>
                <w:sz w:val="24"/>
                <w:szCs w:val="24"/>
                <w:u w:val="none"/>
                <w:lang w:val="en-US" w:eastAsia="zh-CN" w:bidi="ar"/>
              </w:rPr>
              <w:t>.70</w:t>
            </w:r>
          </w:p>
        </w:tc>
        <w:tc>
          <w:tcPr>
            <w:tcW w:w="825" w:type="dxa"/>
            <w:vAlign w:val="center"/>
          </w:tcPr>
          <w:p>
            <w:pPr>
              <w:pStyle w:val="16"/>
            </w:pPr>
          </w:p>
        </w:tc>
        <w:tc>
          <w:tcPr>
            <w:tcW w:w="645" w:type="dxa"/>
            <w:vAlign w:val="center"/>
          </w:tcPr>
          <w:p>
            <w:pPr>
              <w:pStyle w:val="16"/>
            </w:pPr>
          </w:p>
        </w:tc>
        <w:tc>
          <w:tcPr>
            <w:tcW w:w="765" w:type="dxa"/>
            <w:vAlign w:val="center"/>
          </w:tcPr>
          <w:p>
            <w:pPr>
              <w:pStyle w:val="16"/>
            </w:pPr>
          </w:p>
        </w:tc>
        <w:tc>
          <w:tcPr>
            <w:tcW w:w="885" w:type="dxa"/>
            <w:vAlign w:val="center"/>
          </w:tcPr>
          <w:p>
            <w:pPr>
              <w:pStyle w:val="16"/>
            </w:pPr>
          </w:p>
        </w:tc>
        <w:tc>
          <w:tcPr>
            <w:tcW w:w="1110" w:type="dxa"/>
            <w:vAlign w:val="center"/>
          </w:tcPr>
          <w:p>
            <w:pPr>
              <w:pStyle w:val="16"/>
            </w:pPr>
          </w:p>
        </w:tc>
        <w:tc>
          <w:tcPr>
            <w:tcW w:w="945" w:type="dxa"/>
            <w:vAlign w:val="center"/>
          </w:tcPr>
          <w:p>
            <w:pPr>
              <w:pStyle w:val="16"/>
            </w:pPr>
          </w:p>
        </w:tc>
        <w:tc>
          <w:tcPr>
            <w:tcW w:w="90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11</w:t>
            </w:r>
          </w:p>
        </w:tc>
        <w:tc>
          <w:tcPr>
            <w:tcW w:w="102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w:t>
            </w:r>
          </w:p>
        </w:tc>
        <w:tc>
          <w:tcPr>
            <w:tcW w:w="3840"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社会保障和就业支出</w:t>
            </w:r>
          </w:p>
        </w:tc>
        <w:tc>
          <w:tcPr>
            <w:tcW w:w="1110" w:type="dxa"/>
            <w:vAlign w:val="top"/>
          </w:tcPr>
          <w:p>
            <w:pPr>
              <w:keepNext w:val="0"/>
              <w:keepLines w:val="0"/>
              <w:widowControl/>
              <w:suppressLineNumbers w:val="0"/>
              <w:jc w:val="right"/>
              <w:textAlignment w:val="top"/>
              <w:rPr>
                <w:sz w:val="24"/>
                <w:szCs w:val="24"/>
              </w:rPr>
            </w:pPr>
            <w:r>
              <w:rPr>
                <w:sz w:val="24"/>
                <w:szCs w:val="24"/>
              </w:rPr>
              <w:t>132.41</w:t>
            </w:r>
          </w:p>
        </w:tc>
        <w:tc>
          <w:tcPr>
            <w:tcW w:w="1170" w:type="dxa"/>
            <w:vAlign w:val="top"/>
          </w:tcPr>
          <w:p>
            <w:pPr>
              <w:keepNext w:val="0"/>
              <w:keepLines w:val="0"/>
              <w:widowControl/>
              <w:suppressLineNumbers w:val="0"/>
              <w:jc w:val="right"/>
              <w:textAlignment w:val="top"/>
              <w:rPr>
                <w:sz w:val="24"/>
                <w:szCs w:val="24"/>
              </w:rPr>
            </w:pPr>
            <w:r>
              <w:rPr>
                <w:sz w:val="24"/>
                <w:szCs w:val="24"/>
              </w:rPr>
              <w:t>132.41</w:t>
            </w:r>
          </w:p>
        </w:tc>
        <w:tc>
          <w:tcPr>
            <w:tcW w:w="1035" w:type="dxa"/>
            <w:vAlign w:val="top"/>
          </w:tcPr>
          <w:p>
            <w:pPr>
              <w:keepNext w:val="0"/>
              <w:keepLines w:val="0"/>
              <w:widowControl/>
              <w:suppressLineNumbers w:val="0"/>
              <w:jc w:val="right"/>
              <w:textAlignment w:val="top"/>
              <w:rPr>
                <w:sz w:val="24"/>
                <w:szCs w:val="24"/>
              </w:rPr>
            </w:pPr>
            <w:r>
              <w:rPr>
                <w:sz w:val="24"/>
                <w:szCs w:val="24"/>
              </w:rPr>
              <w:t>132.41</w:t>
            </w:r>
          </w:p>
        </w:tc>
        <w:tc>
          <w:tcPr>
            <w:tcW w:w="825" w:type="dxa"/>
            <w:vAlign w:val="center"/>
          </w:tcPr>
          <w:p>
            <w:pPr>
              <w:pStyle w:val="16"/>
            </w:pPr>
          </w:p>
        </w:tc>
        <w:tc>
          <w:tcPr>
            <w:tcW w:w="645" w:type="dxa"/>
            <w:vAlign w:val="center"/>
          </w:tcPr>
          <w:p>
            <w:pPr>
              <w:pStyle w:val="16"/>
            </w:pPr>
          </w:p>
        </w:tc>
        <w:tc>
          <w:tcPr>
            <w:tcW w:w="765" w:type="dxa"/>
            <w:vAlign w:val="center"/>
          </w:tcPr>
          <w:p>
            <w:pPr>
              <w:pStyle w:val="16"/>
            </w:pPr>
          </w:p>
        </w:tc>
        <w:tc>
          <w:tcPr>
            <w:tcW w:w="885" w:type="dxa"/>
            <w:vAlign w:val="center"/>
          </w:tcPr>
          <w:p>
            <w:pPr>
              <w:pStyle w:val="16"/>
            </w:pPr>
          </w:p>
        </w:tc>
        <w:tc>
          <w:tcPr>
            <w:tcW w:w="1110" w:type="dxa"/>
            <w:vAlign w:val="center"/>
          </w:tcPr>
          <w:p>
            <w:pPr>
              <w:pStyle w:val="16"/>
            </w:pPr>
          </w:p>
        </w:tc>
        <w:tc>
          <w:tcPr>
            <w:tcW w:w="945" w:type="dxa"/>
            <w:vAlign w:val="center"/>
          </w:tcPr>
          <w:p>
            <w:pPr>
              <w:pStyle w:val="16"/>
            </w:pPr>
          </w:p>
        </w:tc>
        <w:tc>
          <w:tcPr>
            <w:tcW w:w="90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12</w:t>
            </w:r>
          </w:p>
        </w:tc>
        <w:tc>
          <w:tcPr>
            <w:tcW w:w="102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w:t>
            </w:r>
          </w:p>
        </w:tc>
        <w:tc>
          <w:tcPr>
            <w:tcW w:w="3840"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行政事业单位养老支出</w:t>
            </w:r>
          </w:p>
        </w:tc>
        <w:tc>
          <w:tcPr>
            <w:tcW w:w="1110" w:type="dxa"/>
            <w:vAlign w:val="top"/>
          </w:tcPr>
          <w:p>
            <w:pPr>
              <w:keepNext w:val="0"/>
              <w:keepLines w:val="0"/>
              <w:widowControl/>
              <w:suppressLineNumbers w:val="0"/>
              <w:jc w:val="right"/>
              <w:textAlignment w:val="top"/>
              <w:rPr>
                <w:sz w:val="24"/>
                <w:szCs w:val="24"/>
              </w:rPr>
            </w:pPr>
            <w:r>
              <w:rPr>
                <w:sz w:val="24"/>
                <w:szCs w:val="24"/>
              </w:rPr>
              <w:t>132.41</w:t>
            </w:r>
          </w:p>
        </w:tc>
        <w:tc>
          <w:tcPr>
            <w:tcW w:w="1170" w:type="dxa"/>
            <w:vAlign w:val="top"/>
          </w:tcPr>
          <w:p>
            <w:pPr>
              <w:keepNext w:val="0"/>
              <w:keepLines w:val="0"/>
              <w:widowControl/>
              <w:suppressLineNumbers w:val="0"/>
              <w:jc w:val="right"/>
              <w:textAlignment w:val="top"/>
              <w:rPr>
                <w:sz w:val="24"/>
                <w:szCs w:val="24"/>
              </w:rPr>
            </w:pPr>
            <w:r>
              <w:rPr>
                <w:sz w:val="24"/>
                <w:szCs w:val="24"/>
              </w:rPr>
              <w:t>132.41</w:t>
            </w:r>
          </w:p>
        </w:tc>
        <w:tc>
          <w:tcPr>
            <w:tcW w:w="1035" w:type="dxa"/>
            <w:vAlign w:val="top"/>
          </w:tcPr>
          <w:p>
            <w:pPr>
              <w:keepNext w:val="0"/>
              <w:keepLines w:val="0"/>
              <w:widowControl/>
              <w:suppressLineNumbers w:val="0"/>
              <w:jc w:val="right"/>
              <w:textAlignment w:val="top"/>
              <w:rPr>
                <w:sz w:val="24"/>
                <w:szCs w:val="24"/>
              </w:rPr>
            </w:pPr>
            <w:r>
              <w:rPr>
                <w:sz w:val="24"/>
                <w:szCs w:val="24"/>
              </w:rPr>
              <w:t>132.41</w:t>
            </w:r>
          </w:p>
        </w:tc>
        <w:tc>
          <w:tcPr>
            <w:tcW w:w="825" w:type="dxa"/>
            <w:vAlign w:val="center"/>
          </w:tcPr>
          <w:p>
            <w:pPr>
              <w:pStyle w:val="16"/>
            </w:pPr>
          </w:p>
        </w:tc>
        <w:tc>
          <w:tcPr>
            <w:tcW w:w="645" w:type="dxa"/>
            <w:vAlign w:val="center"/>
          </w:tcPr>
          <w:p>
            <w:pPr>
              <w:pStyle w:val="16"/>
            </w:pPr>
          </w:p>
        </w:tc>
        <w:tc>
          <w:tcPr>
            <w:tcW w:w="765" w:type="dxa"/>
            <w:vAlign w:val="center"/>
          </w:tcPr>
          <w:p>
            <w:pPr>
              <w:pStyle w:val="16"/>
            </w:pPr>
          </w:p>
        </w:tc>
        <w:tc>
          <w:tcPr>
            <w:tcW w:w="885" w:type="dxa"/>
            <w:vAlign w:val="center"/>
          </w:tcPr>
          <w:p>
            <w:pPr>
              <w:pStyle w:val="16"/>
            </w:pPr>
          </w:p>
        </w:tc>
        <w:tc>
          <w:tcPr>
            <w:tcW w:w="1110" w:type="dxa"/>
            <w:vAlign w:val="center"/>
          </w:tcPr>
          <w:p>
            <w:pPr>
              <w:pStyle w:val="16"/>
            </w:pPr>
          </w:p>
        </w:tc>
        <w:tc>
          <w:tcPr>
            <w:tcW w:w="945" w:type="dxa"/>
            <w:vAlign w:val="center"/>
          </w:tcPr>
          <w:p>
            <w:pPr>
              <w:pStyle w:val="16"/>
            </w:pPr>
          </w:p>
        </w:tc>
        <w:tc>
          <w:tcPr>
            <w:tcW w:w="90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13</w:t>
            </w:r>
          </w:p>
        </w:tc>
        <w:tc>
          <w:tcPr>
            <w:tcW w:w="102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2080505</w:t>
            </w:r>
          </w:p>
        </w:tc>
        <w:tc>
          <w:tcPr>
            <w:tcW w:w="3840"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1110" w:type="dxa"/>
            <w:vAlign w:val="top"/>
          </w:tcPr>
          <w:p>
            <w:pPr>
              <w:keepNext w:val="0"/>
              <w:keepLines w:val="0"/>
              <w:widowControl/>
              <w:suppressLineNumbers w:val="0"/>
              <w:jc w:val="right"/>
              <w:textAlignment w:val="top"/>
              <w:rPr>
                <w:sz w:val="24"/>
                <w:szCs w:val="24"/>
              </w:rPr>
            </w:pPr>
            <w:r>
              <w:rPr>
                <w:sz w:val="24"/>
                <w:szCs w:val="24"/>
              </w:rPr>
              <w:t>132.41</w:t>
            </w:r>
          </w:p>
        </w:tc>
        <w:tc>
          <w:tcPr>
            <w:tcW w:w="1170" w:type="dxa"/>
            <w:vAlign w:val="top"/>
          </w:tcPr>
          <w:p>
            <w:pPr>
              <w:keepNext w:val="0"/>
              <w:keepLines w:val="0"/>
              <w:widowControl/>
              <w:suppressLineNumbers w:val="0"/>
              <w:jc w:val="right"/>
              <w:textAlignment w:val="top"/>
              <w:rPr>
                <w:sz w:val="24"/>
                <w:szCs w:val="24"/>
              </w:rPr>
            </w:pPr>
            <w:r>
              <w:rPr>
                <w:sz w:val="24"/>
                <w:szCs w:val="24"/>
              </w:rPr>
              <w:t>132.41</w:t>
            </w:r>
          </w:p>
        </w:tc>
        <w:tc>
          <w:tcPr>
            <w:tcW w:w="1035" w:type="dxa"/>
            <w:vAlign w:val="top"/>
          </w:tcPr>
          <w:p>
            <w:pPr>
              <w:keepNext w:val="0"/>
              <w:keepLines w:val="0"/>
              <w:widowControl/>
              <w:suppressLineNumbers w:val="0"/>
              <w:jc w:val="right"/>
              <w:textAlignment w:val="top"/>
              <w:rPr>
                <w:sz w:val="24"/>
                <w:szCs w:val="24"/>
              </w:rPr>
            </w:pPr>
            <w:r>
              <w:rPr>
                <w:sz w:val="24"/>
                <w:szCs w:val="24"/>
              </w:rPr>
              <w:t>132.41</w:t>
            </w:r>
          </w:p>
        </w:tc>
        <w:tc>
          <w:tcPr>
            <w:tcW w:w="825" w:type="dxa"/>
            <w:vAlign w:val="center"/>
          </w:tcPr>
          <w:p>
            <w:pPr>
              <w:pStyle w:val="16"/>
            </w:pPr>
          </w:p>
        </w:tc>
        <w:tc>
          <w:tcPr>
            <w:tcW w:w="645" w:type="dxa"/>
            <w:vAlign w:val="center"/>
          </w:tcPr>
          <w:p>
            <w:pPr>
              <w:pStyle w:val="16"/>
            </w:pPr>
          </w:p>
        </w:tc>
        <w:tc>
          <w:tcPr>
            <w:tcW w:w="765" w:type="dxa"/>
            <w:vAlign w:val="center"/>
          </w:tcPr>
          <w:p>
            <w:pPr>
              <w:pStyle w:val="16"/>
            </w:pPr>
          </w:p>
        </w:tc>
        <w:tc>
          <w:tcPr>
            <w:tcW w:w="885" w:type="dxa"/>
            <w:vAlign w:val="center"/>
          </w:tcPr>
          <w:p>
            <w:pPr>
              <w:pStyle w:val="16"/>
            </w:pPr>
          </w:p>
        </w:tc>
        <w:tc>
          <w:tcPr>
            <w:tcW w:w="1110" w:type="dxa"/>
            <w:vAlign w:val="center"/>
          </w:tcPr>
          <w:p>
            <w:pPr>
              <w:pStyle w:val="16"/>
            </w:pPr>
          </w:p>
        </w:tc>
        <w:tc>
          <w:tcPr>
            <w:tcW w:w="945" w:type="dxa"/>
            <w:vAlign w:val="center"/>
          </w:tcPr>
          <w:p>
            <w:pPr>
              <w:pStyle w:val="16"/>
            </w:pPr>
          </w:p>
        </w:tc>
        <w:tc>
          <w:tcPr>
            <w:tcW w:w="90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14</w:t>
            </w:r>
          </w:p>
        </w:tc>
        <w:tc>
          <w:tcPr>
            <w:tcW w:w="102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w:t>
            </w:r>
          </w:p>
        </w:tc>
        <w:tc>
          <w:tcPr>
            <w:tcW w:w="3840"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卫生健康支出</w:t>
            </w:r>
          </w:p>
        </w:tc>
        <w:tc>
          <w:tcPr>
            <w:tcW w:w="1110"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69.53</w:t>
            </w:r>
          </w:p>
        </w:tc>
        <w:tc>
          <w:tcPr>
            <w:tcW w:w="1170"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69.53</w:t>
            </w:r>
          </w:p>
        </w:tc>
        <w:tc>
          <w:tcPr>
            <w:tcW w:w="1035"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69.53</w:t>
            </w:r>
          </w:p>
        </w:tc>
        <w:tc>
          <w:tcPr>
            <w:tcW w:w="825" w:type="dxa"/>
            <w:vAlign w:val="center"/>
          </w:tcPr>
          <w:p>
            <w:pPr>
              <w:pStyle w:val="16"/>
            </w:pPr>
          </w:p>
        </w:tc>
        <w:tc>
          <w:tcPr>
            <w:tcW w:w="645" w:type="dxa"/>
            <w:vAlign w:val="center"/>
          </w:tcPr>
          <w:p>
            <w:pPr>
              <w:pStyle w:val="16"/>
            </w:pPr>
          </w:p>
        </w:tc>
        <w:tc>
          <w:tcPr>
            <w:tcW w:w="765" w:type="dxa"/>
            <w:vAlign w:val="center"/>
          </w:tcPr>
          <w:p>
            <w:pPr>
              <w:pStyle w:val="16"/>
            </w:pPr>
          </w:p>
        </w:tc>
        <w:tc>
          <w:tcPr>
            <w:tcW w:w="885" w:type="dxa"/>
            <w:vAlign w:val="center"/>
          </w:tcPr>
          <w:p>
            <w:pPr>
              <w:pStyle w:val="16"/>
            </w:pPr>
          </w:p>
        </w:tc>
        <w:tc>
          <w:tcPr>
            <w:tcW w:w="1110" w:type="dxa"/>
            <w:vAlign w:val="center"/>
          </w:tcPr>
          <w:p>
            <w:pPr>
              <w:pStyle w:val="16"/>
            </w:pPr>
          </w:p>
        </w:tc>
        <w:tc>
          <w:tcPr>
            <w:tcW w:w="945" w:type="dxa"/>
            <w:vAlign w:val="center"/>
          </w:tcPr>
          <w:p>
            <w:pPr>
              <w:pStyle w:val="16"/>
            </w:pPr>
          </w:p>
        </w:tc>
        <w:tc>
          <w:tcPr>
            <w:tcW w:w="90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15</w:t>
            </w:r>
          </w:p>
        </w:tc>
        <w:tc>
          <w:tcPr>
            <w:tcW w:w="102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w:t>
            </w:r>
          </w:p>
        </w:tc>
        <w:tc>
          <w:tcPr>
            <w:tcW w:w="3840"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行政事业单位医疗</w:t>
            </w:r>
          </w:p>
        </w:tc>
        <w:tc>
          <w:tcPr>
            <w:tcW w:w="1110" w:type="dxa"/>
            <w:vAlign w:val="top"/>
          </w:tcPr>
          <w:p>
            <w:pPr>
              <w:keepNext w:val="0"/>
              <w:keepLines w:val="0"/>
              <w:widowControl/>
              <w:suppressLineNumbers w:val="0"/>
              <w:jc w:val="right"/>
              <w:textAlignment w:val="top"/>
              <w:rPr>
                <w:rFonts w:hint="default"/>
                <w:sz w:val="24"/>
                <w:szCs w:val="24"/>
                <w:lang w:val="en-US"/>
              </w:rPr>
            </w:pPr>
            <w:r>
              <w:rPr>
                <w:rFonts w:hint="eastAsia" w:ascii="Calibri" w:hAnsi="Calibri" w:eastAsia="宋体" w:cs="Calibri"/>
                <w:i w:val="0"/>
                <w:color w:val="000000"/>
                <w:kern w:val="0"/>
                <w:sz w:val="24"/>
                <w:szCs w:val="24"/>
                <w:u w:val="none"/>
                <w:lang w:val="en-US" w:eastAsia="zh-CN" w:bidi="ar"/>
              </w:rPr>
              <w:t>69.53</w:t>
            </w:r>
          </w:p>
        </w:tc>
        <w:tc>
          <w:tcPr>
            <w:tcW w:w="1170"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69.53</w:t>
            </w:r>
          </w:p>
        </w:tc>
        <w:tc>
          <w:tcPr>
            <w:tcW w:w="1035"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69.53</w:t>
            </w:r>
          </w:p>
        </w:tc>
        <w:tc>
          <w:tcPr>
            <w:tcW w:w="825" w:type="dxa"/>
            <w:vAlign w:val="center"/>
          </w:tcPr>
          <w:p>
            <w:pPr>
              <w:pStyle w:val="16"/>
            </w:pPr>
          </w:p>
        </w:tc>
        <w:tc>
          <w:tcPr>
            <w:tcW w:w="645" w:type="dxa"/>
            <w:vAlign w:val="center"/>
          </w:tcPr>
          <w:p>
            <w:pPr>
              <w:pStyle w:val="16"/>
            </w:pPr>
          </w:p>
        </w:tc>
        <w:tc>
          <w:tcPr>
            <w:tcW w:w="765" w:type="dxa"/>
            <w:vAlign w:val="center"/>
          </w:tcPr>
          <w:p>
            <w:pPr>
              <w:pStyle w:val="16"/>
            </w:pPr>
          </w:p>
        </w:tc>
        <w:tc>
          <w:tcPr>
            <w:tcW w:w="885" w:type="dxa"/>
            <w:vAlign w:val="center"/>
          </w:tcPr>
          <w:p>
            <w:pPr>
              <w:pStyle w:val="16"/>
            </w:pPr>
          </w:p>
        </w:tc>
        <w:tc>
          <w:tcPr>
            <w:tcW w:w="1110" w:type="dxa"/>
            <w:vAlign w:val="center"/>
          </w:tcPr>
          <w:p>
            <w:pPr>
              <w:pStyle w:val="16"/>
            </w:pPr>
          </w:p>
        </w:tc>
        <w:tc>
          <w:tcPr>
            <w:tcW w:w="945" w:type="dxa"/>
            <w:vAlign w:val="center"/>
          </w:tcPr>
          <w:p>
            <w:pPr>
              <w:pStyle w:val="16"/>
            </w:pPr>
          </w:p>
        </w:tc>
        <w:tc>
          <w:tcPr>
            <w:tcW w:w="90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1"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16</w:t>
            </w:r>
          </w:p>
        </w:tc>
        <w:tc>
          <w:tcPr>
            <w:tcW w:w="102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2101101</w:t>
            </w:r>
          </w:p>
        </w:tc>
        <w:tc>
          <w:tcPr>
            <w:tcW w:w="3840"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行政单位医疗</w:t>
            </w:r>
          </w:p>
        </w:tc>
        <w:tc>
          <w:tcPr>
            <w:tcW w:w="1110" w:type="dxa"/>
            <w:vAlign w:val="center"/>
          </w:tcPr>
          <w:p>
            <w:pPr>
              <w:pStyle w:val="16"/>
              <w:rPr>
                <w:sz w:val="24"/>
                <w:szCs w:val="24"/>
              </w:rPr>
            </w:pPr>
            <w:r>
              <w:rPr>
                <w:sz w:val="24"/>
                <w:szCs w:val="24"/>
              </w:rPr>
              <w:t>52.97</w:t>
            </w:r>
          </w:p>
        </w:tc>
        <w:tc>
          <w:tcPr>
            <w:tcW w:w="1170" w:type="dxa"/>
            <w:vAlign w:val="center"/>
          </w:tcPr>
          <w:p>
            <w:pPr>
              <w:pStyle w:val="16"/>
              <w:rPr>
                <w:sz w:val="24"/>
                <w:szCs w:val="24"/>
              </w:rPr>
            </w:pPr>
            <w:r>
              <w:rPr>
                <w:sz w:val="24"/>
                <w:szCs w:val="24"/>
              </w:rPr>
              <w:t>52.97</w:t>
            </w:r>
          </w:p>
        </w:tc>
        <w:tc>
          <w:tcPr>
            <w:tcW w:w="1035" w:type="dxa"/>
            <w:vAlign w:val="center"/>
          </w:tcPr>
          <w:p>
            <w:pPr>
              <w:pStyle w:val="16"/>
              <w:rPr>
                <w:sz w:val="24"/>
                <w:szCs w:val="24"/>
              </w:rPr>
            </w:pPr>
            <w:r>
              <w:rPr>
                <w:sz w:val="24"/>
                <w:szCs w:val="24"/>
              </w:rPr>
              <w:t>52.97</w:t>
            </w:r>
          </w:p>
        </w:tc>
        <w:tc>
          <w:tcPr>
            <w:tcW w:w="825" w:type="dxa"/>
            <w:vAlign w:val="center"/>
          </w:tcPr>
          <w:p>
            <w:pPr>
              <w:pStyle w:val="16"/>
            </w:pPr>
          </w:p>
        </w:tc>
        <w:tc>
          <w:tcPr>
            <w:tcW w:w="645" w:type="dxa"/>
            <w:vAlign w:val="center"/>
          </w:tcPr>
          <w:p>
            <w:pPr>
              <w:pStyle w:val="16"/>
            </w:pPr>
          </w:p>
        </w:tc>
        <w:tc>
          <w:tcPr>
            <w:tcW w:w="765" w:type="dxa"/>
            <w:vAlign w:val="center"/>
          </w:tcPr>
          <w:p>
            <w:pPr>
              <w:pStyle w:val="16"/>
            </w:pPr>
          </w:p>
        </w:tc>
        <w:tc>
          <w:tcPr>
            <w:tcW w:w="885" w:type="dxa"/>
            <w:vAlign w:val="center"/>
          </w:tcPr>
          <w:p>
            <w:pPr>
              <w:pStyle w:val="16"/>
            </w:pPr>
          </w:p>
        </w:tc>
        <w:tc>
          <w:tcPr>
            <w:tcW w:w="1110" w:type="dxa"/>
            <w:vAlign w:val="center"/>
          </w:tcPr>
          <w:p>
            <w:pPr>
              <w:pStyle w:val="16"/>
            </w:pPr>
          </w:p>
        </w:tc>
        <w:tc>
          <w:tcPr>
            <w:tcW w:w="945" w:type="dxa"/>
            <w:vAlign w:val="center"/>
          </w:tcPr>
          <w:p>
            <w:pPr>
              <w:pStyle w:val="16"/>
            </w:pPr>
          </w:p>
        </w:tc>
        <w:tc>
          <w:tcPr>
            <w:tcW w:w="90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1"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17</w:t>
            </w:r>
          </w:p>
        </w:tc>
        <w:tc>
          <w:tcPr>
            <w:tcW w:w="1021"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2101103</w:t>
            </w:r>
          </w:p>
        </w:tc>
        <w:tc>
          <w:tcPr>
            <w:tcW w:w="3840"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公务员医疗补助</w:t>
            </w:r>
          </w:p>
        </w:tc>
        <w:tc>
          <w:tcPr>
            <w:tcW w:w="1110" w:type="dxa"/>
            <w:vAlign w:val="center"/>
          </w:tcPr>
          <w:p>
            <w:pPr>
              <w:pStyle w:val="16"/>
              <w:rPr>
                <w:rFonts w:hint="default" w:ascii="Calibri" w:hAnsi="Calibri" w:eastAsia="宋体" w:cs="Calibri"/>
                <w:i w:val="0"/>
                <w:color w:val="000000"/>
                <w:kern w:val="0"/>
                <w:sz w:val="24"/>
                <w:szCs w:val="24"/>
                <w:u w:val="none"/>
                <w:lang w:val="en-US" w:eastAsia="zh-CN" w:bidi="ar"/>
              </w:rPr>
            </w:pPr>
            <w:r>
              <w:rPr>
                <w:rFonts w:hint="eastAsia" w:eastAsia="宋体"/>
                <w:sz w:val="24"/>
                <w:szCs w:val="24"/>
                <w:lang w:val="en-US" w:eastAsia="zh-CN"/>
              </w:rPr>
              <w:t>16.56</w:t>
            </w:r>
          </w:p>
        </w:tc>
        <w:tc>
          <w:tcPr>
            <w:tcW w:w="1170" w:type="dxa"/>
            <w:vAlign w:val="center"/>
          </w:tcPr>
          <w:p>
            <w:pPr>
              <w:pStyle w:val="16"/>
              <w:rPr>
                <w:rFonts w:hint="default" w:ascii="Calibri" w:hAnsi="Calibri" w:eastAsia="宋体" w:cs="Calibri"/>
                <w:i w:val="0"/>
                <w:color w:val="000000"/>
                <w:kern w:val="0"/>
                <w:sz w:val="24"/>
                <w:szCs w:val="24"/>
                <w:u w:val="none"/>
                <w:lang w:val="en-US" w:eastAsia="zh-CN" w:bidi="ar"/>
              </w:rPr>
            </w:pPr>
            <w:r>
              <w:rPr>
                <w:rFonts w:hint="eastAsia" w:eastAsia="宋体"/>
                <w:sz w:val="24"/>
                <w:szCs w:val="24"/>
                <w:lang w:val="en-US" w:eastAsia="zh-CN"/>
              </w:rPr>
              <w:t>16.56</w:t>
            </w:r>
          </w:p>
        </w:tc>
        <w:tc>
          <w:tcPr>
            <w:tcW w:w="1035" w:type="dxa"/>
            <w:vAlign w:val="center"/>
          </w:tcPr>
          <w:p>
            <w:pPr>
              <w:pStyle w:val="16"/>
              <w:rPr>
                <w:rFonts w:hint="default" w:eastAsia="方正书宋_GBK"/>
                <w:sz w:val="24"/>
                <w:szCs w:val="24"/>
                <w:lang w:val="en-US" w:eastAsia="zh-CN"/>
              </w:rPr>
            </w:pPr>
            <w:r>
              <w:rPr>
                <w:rFonts w:hint="eastAsia"/>
                <w:sz w:val="24"/>
                <w:szCs w:val="24"/>
                <w:lang w:val="en-US" w:eastAsia="zh-CN"/>
              </w:rPr>
              <w:t>16.56</w:t>
            </w:r>
          </w:p>
        </w:tc>
        <w:tc>
          <w:tcPr>
            <w:tcW w:w="825" w:type="dxa"/>
            <w:vAlign w:val="center"/>
          </w:tcPr>
          <w:p>
            <w:pPr>
              <w:pStyle w:val="16"/>
            </w:pPr>
          </w:p>
        </w:tc>
        <w:tc>
          <w:tcPr>
            <w:tcW w:w="645" w:type="dxa"/>
            <w:vAlign w:val="center"/>
          </w:tcPr>
          <w:p>
            <w:pPr>
              <w:pStyle w:val="16"/>
            </w:pPr>
          </w:p>
        </w:tc>
        <w:tc>
          <w:tcPr>
            <w:tcW w:w="765" w:type="dxa"/>
            <w:vAlign w:val="center"/>
          </w:tcPr>
          <w:p>
            <w:pPr>
              <w:pStyle w:val="16"/>
            </w:pPr>
          </w:p>
        </w:tc>
        <w:tc>
          <w:tcPr>
            <w:tcW w:w="885" w:type="dxa"/>
            <w:vAlign w:val="center"/>
          </w:tcPr>
          <w:p>
            <w:pPr>
              <w:pStyle w:val="16"/>
            </w:pPr>
          </w:p>
        </w:tc>
        <w:tc>
          <w:tcPr>
            <w:tcW w:w="1110" w:type="dxa"/>
            <w:vAlign w:val="center"/>
          </w:tcPr>
          <w:p>
            <w:pPr>
              <w:pStyle w:val="16"/>
            </w:pPr>
          </w:p>
        </w:tc>
        <w:tc>
          <w:tcPr>
            <w:tcW w:w="945" w:type="dxa"/>
            <w:vAlign w:val="center"/>
          </w:tcPr>
          <w:p>
            <w:pPr>
              <w:pStyle w:val="16"/>
            </w:pPr>
          </w:p>
        </w:tc>
        <w:tc>
          <w:tcPr>
            <w:tcW w:w="90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1" w:hRule="atLeast"/>
          <w:jc w:val="center"/>
        </w:trPr>
        <w:tc>
          <w:tcPr>
            <w:tcW w:w="680" w:type="dxa"/>
            <w:vAlign w:val="top"/>
          </w:tcPr>
          <w:p>
            <w:pPr>
              <w:keepNext w:val="0"/>
              <w:keepLines w:val="0"/>
              <w:widowControl/>
              <w:suppressLineNumbers w:val="0"/>
              <w:jc w:val="center"/>
              <w:textAlignment w:val="top"/>
              <w:rPr>
                <w:rFonts w:hint="default"/>
                <w:lang w:val="en-US"/>
              </w:rPr>
            </w:pPr>
            <w:r>
              <w:rPr>
                <w:rFonts w:hint="default" w:ascii="Calibri" w:hAnsi="Calibri" w:eastAsia="宋体" w:cs="Calibri"/>
                <w:i w:val="0"/>
                <w:color w:val="000000"/>
                <w:kern w:val="0"/>
                <w:sz w:val="22"/>
                <w:szCs w:val="22"/>
                <w:u w:val="none"/>
                <w:lang w:val="en-US" w:eastAsia="zh-CN" w:bidi="ar"/>
              </w:rPr>
              <w:t>1</w:t>
            </w:r>
            <w:r>
              <w:rPr>
                <w:rFonts w:hint="eastAsia" w:ascii="Calibri" w:hAnsi="Calibri" w:eastAsia="宋体" w:cs="Calibri"/>
                <w:i w:val="0"/>
                <w:color w:val="000000"/>
                <w:kern w:val="0"/>
                <w:sz w:val="22"/>
                <w:szCs w:val="22"/>
                <w:u w:val="none"/>
                <w:lang w:val="en-US" w:eastAsia="zh-CN" w:bidi="ar"/>
              </w:rPr>
              <w:t>8</w:t>
            </w:r>
          </w:p>
        </w:tc>
        <w:tc>
          <w:tcPr>
            <w:tcW w:w="102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w:t>
            </w:r>
          </w:p>
        </w:tc>
        <w:tc>
          <w:tcPr>
            <w:tcW w:w="3840"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住房保障支出</w:t>
            </w:r>
          </w:p>
        </w:tc>
        <w:tc>
          <w:tcPr>
            <w:tcW w:w="1110" w:type="dxa"/>
            <w:vAlign w:val="top"/>
          </w:tcPr>
          <w:p>
            <w:pPr>
              <w:keepNext w:val="0"/>
              <w:keepLines w:val="0"/>
              <w:widowControl/>
              <w:suppressLineNumbers w:val="0"/>
              <w:jc w:val="right"/>
              <w:textAlignment w:val="top"/>
              <w:rPr>
                <w:sz w:val="24"/>
                <w:szCs w:val="24"/>
              </w:rPr>
            </w:pPr>
            <w:r>
              <w:rPr>
                <w:rFonts w:hint="eastAsia" w:eastAsia="宋体"/>
                <w:sz w:val="24"/>
                <w:szCs w:val="24"/>
                <w:lang w:val="en-US" w:eastAsia="zh-CN"/>
              </w:rPr>
              <w:t>82.76</w:t>
            </w:r>
          </w:p>
        </w:tc>
        <w:tc>
          <w:tcPr>
            <w:tcW w:w="1170" w:type="dxa"/>
            <w:vAlign w:val="top"/>
          </w:tcPr>
          <w:p>
            <w:pPr>
              <w:keepNext w:val="0"/>
              <w:keepLines w:val="0"/>
              <w:widowControl/>
              <w:suppressLineNumbers w:val="0"/>
              <w:jc w:val="right"/>
              <w:textAlignment w:val="top"/>
              <w:rPr>
                <w:sz w:val="24"/>
                <w:szCs w:val="24"/>
              </w:rPr>
            </w:pPr>
            <w:r>
              <w:rPr>
                <w:rFonts w:hint="eastAsia" w:eastAsia="宋体"/>
                <w:sz w:val="24"/>
                <w:szCs w:val="24"/>
                <w:lang w:val="en-US" w:eastAsia="zh-CN"/>
              </w:rPr>
              <w:t>82.76</w:t>
            </w:r>
          </w:p>
        </w:tc>
        <w:tc>
          <w:tcPr>
            <w:tcW w:w="1035" w:type="dxa"/>
            <w:vAlign w:val="top"/>
          </w:tcPr>
          <w:p>
            <w:pPr>
              <w:keepNext w:val="0"/>
              <w:keepLines w:val="0"/>
              <w:widowControl/>
              <w:suppressLineNumbers w:val="0"/>
              <w:jc w:val="right"/>
              <w:textAlignment w:val="top"/>
              <w:rPr>
                <w:sz w:val="24"/>
                <w:szCs w:val="24"/>
              </w:rPr>
            </w:pPr>
            <w:r>
              <w:rPr>
                <w:rFonts w:hint="eastAsia" w:eastAsia="宋体"/>
                <w:sz w:val="24"/>
                <w:szCs w:val="24"/>
                <w:lang w:val="en-US" w:eastAsia="zh-CN"/>
              </w:rPr>
              <w:t>82.76</w:t>
            </w:r>
          </w:p>
        </w:tc>
        <w:tc>
          <w:tcPr>
            <w:tcW w:w="825" w:type="dxa"/>
            <w:vAlign w:val="center"/>
          </w:tcPr>
          <w:p>
            <w:pPr>
              <w:pStyle w:val="16"/>
            </w:pPr>
          </w:p>
        </w:tc>
        <w:tc>
          <w:tcPr>
            <w:tcW w:w="645" w:type="dxa"/>
            <w:vAlign w:val="center"/>
          </w:tcPr>
          <w:p>
            <w:pPr>
              <w:pStyle w:val="16"/>
            </w:pPr>
          </w:p>
        </w:tc>
        <w:tc>
          <w:tcPr>
            <w:tcW w:w="765" w:type="dxa"/>
            <w:vAlign w:val="center"/>
          </w:tcPr>
          <w:p>
            <w:pPr>
              <w:pStyle w:val="16"/>
            </w:pPr>
          </w:p>
        </w:tc>
        <w:tc>
          <w:tcPr>
            <w:tcW w:w="885" w:type="dxa"/>
            <w:vAlign w:val="center"/>
          </w:tcPr>
          <w:p>
            <w:pPr>
              <w:pStyle w:val="16"/>
            </w:pPr>
          </w:p>
        </w:tc>
        <w:tc>
          <w:tcPr>
            <w:tcW w:w="1110" w:type="dxa"/>
            <w:vAlign w:val="center"/>
          </w:tcPr>
          <w:p>
            <w:pPr>
              <w:pStyle w:val="16"/>
            </w:pPr>
          </w:p>
        </w:tc>
        <w:tc>
          <w:tcPr>
            <w:tcW w:w="945" w:type="dxa"/>
            <w:vAlign w:val="center"/>
          </w:tcPr>
          <w:p>
            <w:pPr>
              <w:pStyle w:val="16"/>
            </w:pPr>
          </w:p>
        </w:tc>
        <w:tc>
          <w:tcPr>
            <w:tcW w:w="90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7" w:hRule="atLeast"/>
          <w:jc w:val="center"/>
        </w:trPr>
        <w:tc>
          <w:tcPr>
            <w:tcW w:w="680" w:type="dxa"/>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19</w:t>
            </w:r>
          </w:p>
        </w:tc>
        <w:tc>
          <w:tcPr>
            <w:tcW w:w="102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22102</w:t>
            </w:r>
          </w:p>
        </w:tc>
        <w:tc>
          <w:tcPr>
            <w:tcW w:w="3840"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住房改革支出</w:t>
            </w:r>
          </w:p>
        </w:tc>
        <w:tc>
          <w:tcPr>
            <w:tcW w:w="1110" w:type="dxa"/>
            <w:vAlign w:val="top"/>
          </w:tcPr>
          <w:p>
            <w:pPr>
              <w:keepNext w:val="0"/>
              <w:keepLines w:val="0"/>
              <w:widowControl/>
              <w:suppressLineNumbers w:val="0"/>
              <w:jc w:val="right"/>
              <w:textAlignment w:val="top"/>
              <w:rPr>
                <w:rFonts w:hint="default" w:eastAsia="宋体"/>
                <w:sz w:val="24"/>
                <w:szCs w:val="24"/>
                <w:lang w:val="en-US" w:eastAsia="zh-CN"/>
              </w:rPr>
            </w:pPr>
            <w:r>
              <w:rPr>
                <w:rFonts w:hint="eastAsia" w:eastAsia="宋体"/>
                <w:sz w:val="24"/>
                <w:szCs w:val="24"/>
                <w:lang w:val="en-US" w:eastAsia="zh-CN"/>
              </w:rPr>
              <w:t>82.76</w:t>
            </w:r>
          </w:p>
        </w:tc>
        <w:tc>
          <w:tcPr>
            <w:tcW w:w="1170" w:type="dxa"/>
            <w:vAlign w:val="top"/>
          </w:tcPr>
          <w:p>
            <w:pPr>
              <w:keepNext w:val="0"/>
              <w:keepLines w:val="0"/>
              <w:widowControl/>
              <w:suppressLineNumbers w:val="0"/>
              <w:jc w:val="right"/>
              <w:textAlignment w:val="top"/>
              <w:rPr>
                <w:rFonts w:hint="default" w:eastAsia="宋体"/>
                <w:sz w:val="24"/>
                <w:szCs w:val="24"/>
                <w:lang w:val="en-US" w:eastAsia="zh-CN"/>
              </w:rPr>
            </w:pPr>
            <w:r>
              <w:rPr>
                <w:rFonts w:hint="eastAsia" w:eastAsia="宋体"/>
                <w:sz w:val="24"/>
                <w:szCs w:val="24"/>
                <w:lang w:val="en-US" w:eastAsia="zh-CN"/>
              </w:rPr>
              <w:t>82.76</w:t>
            </w:r>
          </w:p>
        </w:tc>
        <w:tc>
          <w:tcPr>
            <w:tcW w:w="1035" w:type="dxa"/>
            <w:vAlign w:val="top"/>
          </w:tcPr>
          <w:p>
            <w:pPr>
              <w:keepNext w:val="0"/>
              <w:keepLines w:val="0"/>
              <w:widowControl/>
              <w:suppressLineNumbers w:val="0"/>
              <w:jc w:val="right"/>
              <w:textAlignment w:val="top"/>
              <w:rPr>
                <w:rFonts w:hint="default" w:eastAsia="宋体"/>
                <w:sz w:val="24"/>
                <w:szCs w:val="24"/>
                <w:lang w:val="en-US" w:eastAsia="zh-CN"/>
              </w:rPr>
            </w:pPr>
            <w:r>
              <w:rPr>
                <w:rFonts w:hint="eastAsia" w:eastAsia="宋体"/>
                <w:sz w:val="24"/>
                <w:szCs w:val="24"/>
                <w:lang w:val="en-US" w:eastAsia="zh-CN"/>
              </w:rPr>
              <w:t>82.76</w:t>
            </w:r>
          </w:p>
        </w:tc>
        <w:tc>
          <w:tcPr>
            <w:tcW w:w="825" w:type="dxa"/>
            <w:vAlign w:val="center"/>
          </w:tcPr>
          <w:p>
            <w:pPr>
              <w:pStyle w:val="16"/>
            </w:pPr>
          </w:p>
        </w:tc>
        <w:tc>
          <w:tcPr>
            <w:tcW w:w="645" w:type="dxa"/>
            <w:vAlign w:val="center"/>
          </w:tcPr>
          <w:p>
            <w:pPr>
              <w:pStyle w:val="16"/>
            </w:pPr>
          </w:p>
        </w:tc>
        <w:tc>
          <w:tcPr>
            <w:tcW w:w="765" w:type="dxa"/>
            <w:vAlign w:val="center"/>
          </w:tcPr>
          <w:p>
            <w:pPr>
              <w:pStyle w:val="16"/>
            </w:pPr>
          </w:p>
        </w:tc>
        <w:tc>
          <w:tcPr>
            <w:tcW w:w="885" w:type="dxa"/>
            <w:vAlign w:val="center"/>
          </w:tcPr>
          <w:p>
            <w:pPr>
              <w:pStyle w:val="16"/>
            </w:pPr>
          </w:p>
        </w:tc>
        <w:tc>
          <w:tcPr>
            <w:tcW w:w="1110" w:type="dxa"/>
            <w:vAlign w:val="center"/>
          </w:tcPr>
          <w:p>
            <w:pPr>
              <w:pStyle w:val="16"/>
            </w:pPr>
          </w:p>
        </w:tc>
        <w:tc>
          <w:tcPr>
            <w:tcW w:w="945" w:type="dxa"/>
            <w:vAlign w:val="center"/>
          </w:tcPr>
          <w:p>
            <w:pPr>
              <w:pStyle w:val="16"/>
            </w:pPr>
          </w:p>
        </w:tc>
        <w:tc>
          <w:tcPr>
            <w:tcW w:w="90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6" w:hRule="atLeast"/>
          <w:jc w:val="center"/>
        </w:trPr>
        <w:tc>
          <w:tcPr>
            <w:tcW w:w="680" w:type="dxa"/>
            <w:vAlign w:val="top"/>
          </w:tcPr>
          <w:p>
            <w:pPr>
              <w:keepNext w:val="0"/>
              <w:keepLines w:val="0"/>
              <w:widowControl/>
              <w:suppressLineNumbers w:val="0"/>
              <w:jc w:val="center"/>
              <w:textAlignment w:val="top"/>
              <w:rPr>
                <w:rFonts w:hint="default" w:eastAsia="宋体"/>
                <w:lang w:val="en-US" w:eastAsia="zh-CN"/>
              </w:rPr>
            </w:pPr>
            <w:r>
              <w:rPr>
                <w:rFonts w:hint="eastAsia" w:eastAsia="宋体"/>
                <w:lang w:val="en-US" w:eastAsia="zh-CN"/>
              </w:rPr>
              <w:t>20</w:t>
            </w:r>
          </w:p>
        </w:tc>
        <w:tc>
          <w:tcPr>
            <w:tcW w:w="102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2210201</w:t>
            </w:r>
          </w:p>
        </w:tc>
        <w:tc>
          <w:tcPr>
            <w:tcW w:w="3840"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住房公积金</w:t>
            </w:r>
          </w:p>
        </w:tc>
        <w:tc>
          <w:tcPr>
            <w:tcW w:w="1110" w:type="dxa"/>
            <w:vAlign w:val="top"/>
          </w:tcPr>
          <w:p>
            <w:pPr>
              <w:keepNext w:val="0"/>
              <w:keepLines w:val="0"/>
              <w:widowControl/>
              <w:suppressLineNumbers w:val="0"/>
              <w:jc w:val="right"/>
              <w:textAlignment w:val="top"/>
              <w:rPr>
                <w:rFonts w:hint="default" w:eastAsia="宋体"/>
                <w:sz w:val="24"/>
                <w:szCs w:val="24"/>
                <w:lang w:val="en-US" w:eastAsia="zh-CN"/>
              </w:rPr>
            </w:pPr>
            <w:r>
              <w:rPr>
                <w:rFonts w:hint="eastAsia" w:eastAsia="宋体"/>
                <w:sz w:val="24"/>
                <w:szCs w:val="24"/>
                <w:lang w:val="en-US" w:eastAsia="zh-CN"/>
              </w:rPr>
              <w:t>82.76</w:t>
            </w:r>
          </w:p>
        </w:tc>
        <w:tc>
          <w:tcPr>
            <w:tcW w:w="1170" w:type="dxa"/>
            <w:vAlign w:val="top"/>
          </w:tcPr>
          <w:p>
            <w:pPr>
              <w:keepNext w:val="0"/>
              <w:keepLines w:val="0"/>
              <w:widowControl/>
              <w:suppressLineNumbers w:val="0"/>
              <w:jc w:val="right"/>
              <w:textAlignment w:val="top"/>
              <w:rPr>
                <w:rFonts w:hint="default" w:eastAsia="宋体"/>
                <w:sz w:val="24"/>
                <w:szCs w:val="24"/>
                <w:lang w:val="en-US" w:eastAsia="zh-CN"/>
              </w:rPr>
            </w:pPr>
            <w:r>
              <w:rPr>
                <w:rFonts w:hint="eastAsia" w:eastAsia="宋体"/>
                <w:sz w:val="24"/>
                <w:szCs w:val="24"/>
                <w:lang w:val="en-US" w:eastAsia="zh-CN"/>
              </w:rPr>
              <w:t>82.76</w:t>
            </w:r>
          </w:p>
        </w:tc>
        <w:tc>
          <w:tcPr>
            <w:tcW w:w="1035" w:type="dxa"/>
            <w:vAlign w:val="top"/>
          </w:tcPr>
          <w:p>
            <w:pPr>
              <w:keepNext w:val="0"/>
              <w:keepLines w:val="0"/>
              <w:widowControl/>
              <w:suppressLineNumbers w:val="0"/>
              <w:jc w:val="right"/>
              <w:textAlignment w:val="top"/>
              <w:rPr>
                <w:rFonts w:hint="default" w:eastAsia="宋体"/>
                <w:sz w:val="24"/>
                <w:szCs w:val="24"/>
                <w:lang w:val="en-US" w:eastAsia="zh-CN"/>
              </w:rPr>
            </w:pPr>
            <w:r>
              <w:rPr>
                <w:rFonts w:hint="eastAsia" w:eastAsia="宋体"/>
                <w:sz w:val="24"/>
                <w:szCs w:val="24"/>
                <w:lang w:val="en-US" w:eastAsia="zh-CN"/>
              </w:rPr>
              <w:t>82.76</w:t>
            </w:r>
          </w:p>
        </w:tc>
        <w:tc>
          <w:tcPr>
            <w:tcW w:w="825" w:type="dxa"/>
            <w:vAlign w:val="center"/>
          </w:tcPr>
          <w:p>
            <w:pPr>
              <w:pStyle w:val="16"/>
            </w:pPr>
          </w:p>
        </w:tc>
        <w:tc>
          <w:tcPr>
            <w:tcW w:w="645" w:type="dxa"/>
            <w:vAlign w:val="center"/>
          </w:tcPr>
          <w:p>
            <w:pPr>
              <w:pStyle w:val="16"/>
            </w:pPr>
          </w:p>
        </w:tc>
        <w:tc>
          <w:tcPr>
            <w:tcW w:w="765" w:type="dxa"/>
            <w:vAlign w:val="center"/>
          </w:tcPr>
          <w:p>
            <w:pPr>
              <w:pStyle w:val="16"/>
            </w:pPr>
          </w:p>
        </w:tc>
        <w:tc>
          <w:tcPr>
            <w:tcW w:w="885" w:type="dxa"/>
            <w:vAlign w:val="center"/>
          </w:tcPr>
          <w:p>
            <w:pPr>
              <w:pStyle w:val="16"/>
            </w:pPr>
          </w:p>
        </w:tc>
        <w:tc>
          <w:tcPr>
            <w:tcW w:w="1110" w:type="dxa"/>
            <w:vAlign w:val="center"/>
          </w:tcPr>
          <w:p>
            <w:pPr>
              <w:pStyle w:val="16"/>
            </w:pPr>
          </w:p>
        </w:tc>
        <w:tc>
          <w:tcPr>
            <w:tcW w:w="945" w:type="dxa"/>
            <w:vAlign w:val="center"/>
          </w:tcPr>
          <w:p>
            <w:pPr>
              <w:pStyle w:val="16"/>
            </w:pPr>
          </w:p>
        </w:tc>
        <w:tc>
          <w:tcPr>
            <w:tcW w:w="905" w:type="dxa"/>
            <w:vAlign w:val="center"/>
          </w:tcPr>
          <w:p>
            <w:pPr>
              <w:pStyle w:val="16"/>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1" w:name="_Toc_2_2_0000000003"/>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预算支出总表</w:t>
      </w:r>
      <w:bookmarkEnd w:id="1"/>
    </w:p>
    <w:tbl>
      <w:tblPr>
        <w:tblStyle w:val="9"/>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389"/>
        <w:gridCol w:w="4139"/>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416001涞水县市场监督管理局本级</w:t>
            </w:r>
          </w:p>
        </w:tc>
        <w:tc>
          <w:tcPr>
            <w:tcW w:w="2722" w:type="dxa"/>
            <w:gridSpan w:val="2"/>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4</w:t>
            </w:r>
          </w:p>
        </w:tc>
        <w:tc>
          <w:tcPr>
            <w:tcW w:w="544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389" w:type="dxa"/>
            <w:vAlign w:val="center"/>
          </w:tcPr>
          <w:p>
            <w:pPr>
              <w:pStyle w:val="15"/>
            </w:pPr>
            <w:r>
              <w:t>科目   编码</w:t>
            </w:r>
          </w:p>
        </w:tc>
        <w:tc>
          <w:tcPr>
            <w:tcW w:w="4139"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tblHeader/>
          <w:jc w:val="center"/>
        </w:trPr>
        <w:tc>
          <w:tcPr>
            <w:tcW w:w="850" w:type="dxa"/>
            <w:vAlign w:val="center"/>
          </w:tcPr>
          <w:p>
            <w:pPr>
              <w:pStyle w:val="15"/>
            </w:pPr>
            <w:r>
              <w:t>栏次</w:t>
            </w:r>
          </w:p>
        </w:tc>
        <w:tc>
          <w:tcPr>
            <w:tcW w:w="1389" w:type="dxa"/>
            <w:vAlign w:val="center"/>
          </w:tcPr>
          <w:p>
            <w:pPr>
              <w:pStyle w:val="15"/>
            </w:pPr>
            <w:r>
              <w:t>1</w:t>
            </w:r>
          </w:p>
        </w:tc>
        <w:tc>
          <w:tcPr>
            <w:tcW w:w="4139"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top"/>
          </w:tcPr>
          <w:p>
            <w:pPr>
              <w:keepNext w:val="0"/>
              <w:keepLines w:val="0"/>
              <w:widowControl/>
              <w:suppressLineNumbers w:val="0"/>
              <w:jc w:val="center"/>
              <w:textAlignment w:val="top"/>
            </w:pPr>
            <w:bookmarkStart w:id="2" w:name="OLE_LINK1" w:colFirst="3" w:colLast="3"/>
            <w:r>
              <w:rPr>
                <w:rFonts w:hint="default" w:ascii="Calibri" w:hAnsi="Calibri" w:eastAsia="宋体" w:cs="Calibri"/>
                <w:i w:val="0"/>
                <w:color w:val="000000"/>
                <w:kern w:val="0"/>
                <w:sz w:val="22"/>
                <w:szCs w:val="22"/>
                <w:u w:val="none"/>
                <w:lang w:val="en-US" w:eastAsia="zh-CN" w:bidi="ar"/>
              </w:rPr>
              <w:t>1</w:t>
            </w:r>
          </w:p>
        </w:tc>
        <w:tc>
          <w:tcPr>
            <w:tcW w:w="1389" w:type="dxa"/>
            <w:vAlign w:val="top"/>
          </w:tcPr>
          <w:p>
            <w:pPr>
              <w:jc w:val="left"/>
            </w:pP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合计</w:t>
            </w:r>
          </w:p>
        </w:tc>
        <w:tc>
          <w:tcPr>
            <w:tcW w:w="1361" w:type="dxa"/>
            <w:vAlign w:val="top"/>
          </w:tcPr>
          <w:p>
            <w:pPr>
              <w:keepNext w:val="0"/>
              <w:keepLines w:val="0"/>
              <w:widowControl/>
              <w:suppressLineNumbers w:val="0"/>
              <w:jc w:val="right"/>
              <w:textAlignment w:val="top"/>
              <w:rPr>
                <w:rFonts w:hint="default"/>
                <w:sz w:val="24"/>
                <w:szCs w:val="24"/>
                <w:lang w:val="en-US"/>
              </w:rPr>
            </w:pPr>
            <w:r>
              <w:rPr>
                <w:rFonts w:hint="eastAsia" w:ascii="Calibri" w:hAnsi="Calibri" w:eastAsia="宋体" w:cs="Calibri"/>
                <w:i w:val="0"/>
                <w:color w:val="000000"/>
                <w:kern w:val="0"/>
                <w:sz w:val="24"/>
                <w:szCs w:val="24"/>
                <w:u w:val="none"/>
                <w:lang w:val="en-US" w:eastAsia="zh-CN" w:bidi="ar"/>
              </w:rPr>
              <w:t>2653.59</w:t>
            </w:r>
          </w:p>
        </w:tc>
        <w:tc>
          <w:tcPr>
            <w:tcW w:w="1361" w:type="dxa"/>
            <w:vAlign w:val="top"/>
          </w:tcPr>
          <w:p>
            <w:pPr>
              <w:keepNext w:val="0"/>
              <w:keepLines w:val="0"/>
              <w:widowControl/>
              <w:suppressLineNumbers w:val="0"/>
              <w:jc w:val="right"/>
              <w:textAlignment w:val="top"/>
              <w:rPr>
                <w:rFonts w:hint="default"/>
                <w:sz w:val="24"/>
                <w:szCs w:val="24"/>
                <w:lang w:val="en-US"/>
              </w:rPr>
            </w:pPr>
            <w:r>
              <w:rPr>
                <w:rFonts w:hint="eastAsia" w:ascii="Calibri" w:hAnsi="Calibri" w:eastAsia="宋体" w:cs="Calibri"/>
                <w:i w:val="0"/>
                <w:color w:val="000000"/>
                <w:kern w:val="0"/>
                <w:sz w:val="24"/>
                <w:szCs w:val="24"/>
                <w:u w:val="none"/>
                <w:lang w:val="en-US" w:eastAsia="zh-CN" w:bidi="ar"/>
              </w:rPr>
              <w:t>2038.94</w:t>
            </w:r>
          </w:p>
        </w:tc>
        <w:tc>
          <w:tcPr>
            <w:tcW w:w="1361"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614</w:t>
            </w:r>
            <w:r>
              <w:rPr>
                <w:rFonts w:hint="default" w:ascii="Calibri" w:hAnsi="Calibri" w:eastAsia="宋体" w:cs="Calibri"/>
                <w:i w:val="0"/>
                <w:color w:val="000000"/>
                <w:kern w:val="0"/>
                <w:sz w:val="24"/>
                <w:szCs w:val="24"/>
                <w:u w:val="none"/>
                <w:lang w:val="en-US" w:eastAsia="zh-CN" w:bidi="ar"/>
              </w:rPr>
              <w:t>.65</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8"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一般公共服务支出</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4"/>
                <w:szCs w:val="24"/>
                <w:u w:val="none"/>
                <w:lang w:val="en-US" w:eastAsia="zh-CN" w:bidi="ar"/>
              </w:rPr>
              <w:t>2368.89</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4"/>
                <w:szCs w:val="24"/>
                <w:u w:val="none"/>
                <w:lang w:val="en-US" w:eastAsia="zh-CN" w:bidi="ar"/>
              </w:rPr>
              <w:t>1754.24</w:t>
            </w:r>
          </w:p>
        </w:tc>
        <w:tc>
          <w:tcPr>
            <w:tcW w:w="1361"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614</w:t>
            </w:r>
            <w:r>
              <w:rPr>
                <w:rFonts w:hint="default" w:ascii="Calibri" w:hAnsi="Calibri" w:eastAsia="宋体" w:cs="Calibri"/>
                <w:i w:val="0"/>
                <w:color w:val="000000"/>
                <w:kern w:val="0"/>
                <w:sz w:val="24"/>
                <w:szCs w:val="24"/>
                <w:u w:val="none"/>
                <w:lang w:val="en-US" w:eastAsia="zh-CN" w:bidi="ar"/>
              </w:rPr>
              <w:t>.65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市场监督管理事务</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4"/>
                <w:szCs w:val="24"/>
                <w:u w:val="none"/>
                <w:lang w:val="en-US" w:eastAsia="zh-CN" w:bidi="ar"/>
              </w:rPr>
              <w:t>2368.89</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4"/>
                <w:szCs w:val="24"/>
                <w:u w:val="none"/>
                <w:lang w:val="en-US" w:eastAsia="zh-CN" w:bidi="ar"/>
              </w:rPr>
              <w:t>1754.24</w:t>
            </w:r>
          </w:p>
        </w:tc>
        <w:tc>
          <w:tcPr>
            <w:tcW w:w="1361"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614</w:t>
            </w:r>
            <w:r>
              <w:rPr>
                <w:rFonts w:hint="default" w:ascii="Calibri" w:hAnsi="Calibri" w:eastAsia="宋体" w:cs="Calibri"/>
                <w:i w:val="0"/>
                <w:color w:val="000000"/>
                <w:kern w:val="0"/>
                <w:sz w:val="24"/>
                <w:szCs w:val="24"/>
                <w:u w:val="none"/>
                <w:lang w:val="en-US" w:eastAsia="zh-CN" w:bidi="ar"/>
              </w:rPr>
              <w:t>.65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4</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2013801</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行政运行</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4"/>
                <w:szCs w:val="24"/>
                <w:u w:val="none"/>
                <w:lang w:val="en-US" w:eastAsia="zh-CN" w:bidi="ar"/>
              </w:rPr>
              <w:t>1754.24</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4"/>
                <w:szCs w:val="24"/>
                <w:u w:val="none"/>
                <w:lang w:val="en-US" w:eastAsia="zh-CN" w:bidi="ar"/>
              </w:rPr>
              <w:t>1754.24</w:t>
            </w:r>
          </w:p>
        </w:tc>
        <w:tc>
          <w:tcPr>
            <w:tcW w:w="1361" w:type="dxa"/>
            <w:vAlign w:val="top"/>
          </w:tcPr>
          <w:p>
            <w:pPr>
              <w:jc w:val="right"/>
              <w:rPr>
                <w:sz w:val="24"/>
                <w:szCs w:val="24"/>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5</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2013802</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一般行政管理事务</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4"/>
                <w:szCs w:val="24"/>
                <w:u w:val="none"/>
                <w:lang w:val="en-US" w:eastAsia="zh-CN" w:bidi="ar"/>
              </w:rPr>
              <w:t>122.</w:t>
            </w:r>
            <w:r>
              <w:rPr>
                <w:rFonts w:hint="default" w:ascii="Calibri" w:hAnsi="Calibri" w:eastAsia="宋体" w:cs="Calibri"/>
                <w:i w:val="0"/>
                <w:color w:val="000000"/>
                <w:kern w:val="0"/>
                <w:sz w:val="24"/>
                <w:szCs w:val="24"/>
                <w:u w:val="none"/>
                <w:lang w:val="en-US" w:eastAsia="zh-CN" w:bidi="ar"/>
              </w:rPr>
              <w:t>0</w:t>
            </w:r>
            <w:r>
              <w:rPr>
                <w:rFonts w:hint="eastAsia" w:ascii="Calibri" w:hAnsi="Calibri" w:eastAsia="宋体" w:cs="Calibri"/>
                <w:i w:val="0"/>
                <w:color w:val="000000"/>
                <w:kern w:val="0"/>
                <w:sz w:val="24"/>
                <w:szCs w:val="24"/>
                <w:u w:val="none"/>
                <w:lang w:val="en-US" w:eastAsia="zh-CN" w:bidi="ar"/>
              </w:rPr>
              <w:t>0</w:t>
            </w:r>
          </w:p>
        </w:tc>
        <w:tc>
          <w:tcPr>
            <w:tcW w:w="1361" w:type="dxa"/>
            <w:vAlign w:val="top"/>
          </w:tcPr>
          <w:p>
            <w:pPr>
              <w:jc w:val="right"/>
            </w:pPr>
          </w:p>
        </w:tc>
        <w:tc>
          <w:tcPr>
            <w:tcW w:w="1361"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122.</w:t>
            </w:r>
            <w:r>
              <w:rPr>
                <w:rFonts w:hint="default" w:ascii="Calibri" w:hAnsi="Calibri" w:eastAsia="宋体" w:cs="Calibri"/>
                <w:i w:val="0"/>
                <w:color w:val="000000"/>
                <w:kern w:val="0"/>
                <w:sz w:val="24"/>
                <w:szCs w:val="24"/>
                <w:u w:val="none"/>
                <w:lang w:val="en-US" w:eastAsia="zh-CN" w:bidi="ar"/>
              </w:rPr>
              <w:t>0</w:t>
            </w:r>
            <w:r>
              <w:rPr>
                <w:rFonts w:hint="eastAsia" w:ascii="Calibri" w:hAnsi="Calibri" w:eastAsia="宋体" w:cs="Calibri"/>
                <w:i w:val="0"/>
                <w:color w:val="000000"/>
                <w:kern w:val="0"/>
                <w:sz w:val="24"/>
                <w:szCs w:val="24"/>
                <w:u w:val="none"/>
                <w:lang w:val="en-US" w:eastAsia="zh-CN" w:bidi="ar"/>
              </w:rPr>
              <w:t>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8"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6</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2013804</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市场主体管理</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4"/>
                <w:szCs w:val="24"/>
                <w:u w:val="none"/>
                <w:lang w:val="en-US" w:eastAsia="zh-CN" w:bidi="ar"/>
              </w:rPr>
              <w:t>116.00</w:t>
            </w:r>
          </w:p>
        </w:tc>
        <w:tc>
          <w:tcPr>
            <w:tcW w:w="1361" w:type="dxa"/>
            <w:vAlign w:val="top"/>
          </w:tcPr>
          <w:p>
            <w:pPr>
              <w:jc w:val="right"/>
            </w:pPr>
          </w:p>
        </w:tc>
        <w:tc>
          <w:tcPr>
            <w:tcW w:w="1361"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116.00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7</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2013805</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市场秩序执法</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4"/>
                <w:szCs w:val="24"/>
                <w:u w:val="none"/>
                <w:lang w:val="en-US" w:eastAsia="zh-CN" w:bidi="ar"/>
              </w:rPr>
              <w:t>55</w:t>
            </w:r>
            <w:r>
              <w:rPr>
                <w:rFonts w:hint="default" w:ascii="Calibri" w:hAnsi="Calibri" w:eastAsia="宋体" w:cs="Calibri"/>
                <w:i w:val="0"/>
                <w:color w:val="000000"/>
                <w:kern w:val="0"/>
                <w:sz w:val="24"/>
                <w:szCs w:val="24"/>
                <w:u w:val="none"/>
                <w:lang w:val="en-US" w:eastAsia="zh-CN" w:bidi="ar"/>
              </w:rPr>
              <w:t>.00</w:t>
            </w:r>
          </w:p>
        </w:tc>
        <w:tc>
          <w:tcPr>
            <w:tcW w:w="1361" w:type="dxa"/>
            <w:vAlign w:val="top"/>
          </w:tcPr>
          <w:p>
            <w:pPr>
              <w:jc w:val="right"/>
            </w:pPr>
          </w:p>
        </w:tc>
        <w:tc>
          <w:tcPr>
            <w:tcW w:w="1361"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55</w:t>
            </w:r>
            <w:r>
              <w:rPr>
                <w:rFonts w:hint="default" w:ascii="Calibri" w:hAnsi="Calibri" w:eastAsia="宋体" w:cs="Calibri"/>
                <w:i w:val="0"/>
                <w:color w:val="000000"/>
                <w:kern w:val="0"/>
                <w:sz w:val="24"/>
                <w:szCs w:val="24"/>
                <w:u w:val="none"/>
                <w:lang w:val="en-US" w:eastAsia="zh-CN" w:bidi="ar"/>
              </w:rPr>
              <w:t>.00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8</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2013810</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质量基础</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4"/>
                <w:szCs w:val="24"/>
                <w:u w:val="none"/>
                <w:lang w:val="en-US" w:eastAsia="zh-CN" w:bidi="ar"/>
              </w:rPr>
              <w:t>168.95</w:t>
            </w:r>
          </w:p>
        </w:tc>
        <w:tc>
          <w:tcPr>
            <w:tcW w:w="1361" w:type="dxa"/>
            <w:vAlign w:val="top"/>
          </w:tcPr>
          <w:p>
            <w:pPr>
              <w:jc w:val="right"/>
            </w:pPr>
          </w:p>
        </w:tc>
        <w:tc>
          <w:tcPr>
            <w:tcW w:w="1361"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168.95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9</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2013812</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药品事务</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4"/>
                <w:szCs w:val="24"/>
                <w:u w:val="none"/>
                <w:lang w:val="en-US" w:eastAsia="zh-CN" w:bidi="ar"/>
              </w:rPr>
              <w:t>5.00</w:t>
            </w:r>
          </w:p>
        </w:tc>
        <w:tc>
          <w:tcPr>
            <w:tcW w:w="1361" w:type="dxa"/>
            <w:vAlign w:val="top"/>
          </w:tcPr>
          <w:p>
            <w:pPr>
              <w:jc w:val="right"/>
            </w:pPr>
          </w:p>
        </w:tc>
        <w:tc>
          <w:tcPr>
            <w:tcW w:w="1361" w:type="dxa"/>
            <w:vAlign w:val="top"/>
          </w:tcPr>
          <w:p>
            <w:pPr>
              <w:keepNext w:val="0"/>
              <w:keepLines w:val="0"/>
              <w:widowControl/>
              <w:suppressLineNumbers w:val="0"/>
              <w:jc w:val="right"/>
              <w:textAlignment w:val="top"/>
              <w:rPr>
                <w:sz w:val="24"/>
                <w:szCs w:val="24"/>
              </w:rPr>
            </w:pPr>
            <w:r>
              <w:rPr>
                <w:rFonts w:hint="default" w:ascii="Calibri" w:hAnsi="Calibri" w:eastAsia="宋体" w:cs="Calibri"/>
                <w:i w:val="0"/>
                <w:color w:val="000000"/>
                <w:kern w:val="0"/>
                <w:sz w:val="24"/>
                <w:szCs w:val="24"/>
                <w:u w:val="none"/>
                <w:lang w:val="en-US" w:eastAsia="zh-CN" w:bidi="ar"/>
              </w:rPr>
              <w:t>5.00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10</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2013899</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其他市场监督管理事务</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4"/>
                <w:szCs w:val="24"/>
                <w:u w:val="none"/>
                <w:lang w:val="en-US" w:eastAsia="zh-CN" w:bidi="ar"/>
              </w:rPr>
              <w:t>147</w:t>
            </w:r>
            <w:r>
              <w:rPr>
                <w:rFonts w:hint="default" w:ascii="Calibri" w:hAnsi="Calibri" w:eastAsia="宋体" w:cs="Calibri"/>
                <w:i w:val="0"/>
                <w:color w:val="000000"/>
                <w:kern w:val="0"/>
                <w:sz w:val="24"/>
                <w:szCs w:val="24"/>
                <w:u w:val="none"/>
                <w:lang w:val="en-US" w:eastAsia="zh-CN" w:bidi="ar"/>
              </w:rPr>
              <w:t>.70</w:t>
            </w:r>
          </w:p>
        </w:tc>
        <w:tc>
          <w:tcPr>
            <w:tcW w:w="1361" w:type="dxa"/>
            <w:vAlign w:val="top"/>
          </w:tcPr>
          <w:p>
            <w:pPr>
              <w:jc w:val="right"/>
            </w:pPr>
          </w:p>
        </w:tc>
        <w:tc>
          <w:tcPr>
            <w:tcW w:w="1361"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147</w:t>
            </w:r>
            <w:r>
              <w:rPr>
                <w:rFonts w:hint="default" w:ascii="Calibri" w:hAnsi="Calibri" w:eastAsia="宋体" w:cs="Calibri"/>
                <w:i w:val="0"/>
                <w:color w:val="000000"/>
                <w:kern w:val="0"/>
                <w:sz w:val="24"/>
                <w:szCs w:val="24"/>
                <w:u w:val="none"/>
                <w:lang w:val="en-US" w:eastAsia="zh-CN" w:bidi="ar"/>
              </w:rPr>
              <w:t>.70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11</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社会保障和就业支出</w:t>
            </w:r>
          </w:p>
        </w:tc>
        <w:tc>
          <w:tcPr>
            <w:tcW w:w="1361" w:type="dxa"/>
            <w:vAlign w:val="top"/>
          </w:tcPr>
          <w:p>
            <w:pPr>
              <w:keepNext w:val="0"/>
              <w:keepLines w:val="0"/>
              <w:widowControl/>
              <w:suppressLineNumbers w:val="0"/>
              <w:jc w:val="right"/>
              <w:textAlignment w:val="top"/>
            </w:pPr>
            <w:r>
              <w:rPr>
                <w:sz w:val="24"/>
                <w:szCs w:val="24"/>
              </w:rPr>
              <w:t>132.41</w:t>
            </w:r>
          </w:p>
        </w:tc>
        <w:tc>
          <w:tcPr>
            <w:tcW w:w="1361" w:type="dxa"/>
            <w:vAlign w:val="top"/>
          </w:tcPr>
          <w:p>
            <w:pPr>
              <w:keepNext w:val="0"/>
              <w:keepLines w:val="0"/>
              <w:widowControl/>
              <w:suppressLineNumbers w:val="0"/>
              <w:jc w:val="right"/>
              <w:textAlignment w:val="top"/>
            </w:pPr>
            <w:r>
              <w:rPr>
                <w:sz w:val="24"/>
                <w:szCs w:val="24"/>
              </w:rPr>
              <w:t>132.41</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12</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行政事业单位养老支出</w:t>
            </w:r>
          </w:p>
        </w:tc>
        <w:tc>
          <w:tcPr>
            <w:tcW w:w="1361" w:type="dxa"/>
            <w:vAlign w:val="top"/>
          </w:tcPr>
          <w:p>
            <w:pPr>
              <w:keepNext w:val="0"/>
              <w:keepLines w:val="0"/>
              <w:widowControl/>
              <w:suppressLineNumbers w:val="0"/>
              <w:jc w:val="right"/>
              <w:textAlignment w:val="top"/>
            </w:pPr>
            <w:r>
              <w:rPr>
                <w:sz w:val="24"/>
                <w:szCs w:val="24"/>
              </w:rPr>
              <w:t>132.41</w:t>
            </w:r>
          </w:p>
        </w:tc>
        <w:tc>
          <w:tcPr>
            <w:tcW w:w="1361" w:type="dxa"/>
            <w:vAlign w:val="top"/>
          </w:tcPr>
          <w:p>
            <w:pPr>
              <w:keepNext w:val="0"/>
              <w:keepLines w:val="0"/>
              <w:widowControl/>
              <w:suppressLineNumbers w:val="0"/>
              <w:jc w:val="right"/>
              <w:textAlignment w:val="top"/>
            </w:pPr>
            <w:r>
              <w:rPr>
                <w:sz w:val="24"/>
                <w:szCs w:val="24"/>
              </w:rPr>
              <w:t>132.41</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13</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2080505</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1361" w:type="dxa"/>
            <w:vAlign w:val="top"/>
          </w:tcPr>
          <w:p>
            <w:pPr>
              <w:keepNext w:val="0"/>
              <w:keepLines w:val="0"/>
              <w:widowControl/>
              <w:suppressLineNumbers w:val="0"/>
              <w:jc w:val="right"/>
              <w:textAlignment w:val="top"/>
            </w:pPr>
            <w:r>
              <w:rPr>
                <w:sz w:val="24"/>
                <w:szCs w:val="24"/>
              </w:rPr>
              <w:t>132.41</w:t>
            </w:r>
          </w:p>
        </w:tc>
        <w:tc>
          <w:tcPr>
            <w:tcW w:w="1361" w:type="dxa"/>
            <w:vAlign w:val="top"/>
          </w:tcPr>
          <w:p>
            <w:pPr>
              <w:keepNext w:val="0"/>
              <w:keepLines w:val="0"/>
              <w:widowControl/>
              <w:suppressLineNumbers w:val="0"/>
              <w:jc w:val="right"/>
              <w:textAlignment w:val="top"/>
            </w:pPr>
            <w:r>
              <w:rPr>
                <w:sz w:val="24"/>
                <w:szCs w:val="24"/>
              </w:rPr>
              <w:t>132.41</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14</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卫生健康支出</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4"/>
                <w:szCs w:val="24"/>
                <w:u w:val="none"/>
                <w:lang w:val="en-US" w:eastAsia="zh-CN" w:bidi="ar"/>
              </w:rPr>
              <w:t>69.53</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4"/>
                <w:szCs w:val="24"/>
                <w:u w:val="none"/>
                <w:lang w:val="en-US" w:eastAsia="zh-CN" w:bidi="ar"/>
              </w:rPr>
              <w:t>69.53</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8"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15</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行政事业单位医疗</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4"/>
                <w:szCs w:val="24"/>
                <w:u w:val="none"/>
                <w:lang w:val="en-US" w:eastAsia="zh-CN" w:bidi="ar"/>
              </w:rPr>
              <w:t>69.53</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4"/>
                <w:szCs w:val="24"/>
                <w:u w:val="none"/>
                <w:lang w:val="en-US" w:eastAsia="zh-CN" w:bidi="ar"/>
              </w:rPr>
              <w:t>69.53</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4"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16</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2101101</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行政单位医疗</w:t>
            </w:r>
          </w:p>
        </w:tc>
        <w:tc>
          <w:tcPr>
            <w:tcW w:w="1361" w:type="dxa"/>
            <w:vAlign w:val="center"/>
          </w:tcPr>
          <w:p>
            <w:pPr>
              <w:pStyle w:val="16"/>
            </w:pPr>
            <w:r>
              <w:rPr>
                <w:sz w:val="24"/>
                <w:szCs w:val="24"/>
              </w:rPr>
              <w:t>52.97</w:t>
            </w:r>
          </w:p>
        </w:tc>
        <w:tc>
          <w:tcPr>
            <w:tcW w:w="1361" w:type="dxa"/>
            <w:vAlign w:val="center"/>
          </w:tcPr>
          <w:p>
            <w:pPr>
              <w:pStyle w:val="16"/>
            </w:pPr>
            <w:r>
              <w:rPr>
                <w:sz w:val="24"/>
                <w:szCs w:val="24"/>
              </w:rPr>
              <w:t>52.97</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17</w:t>
            </w:r>
          </w:p>
        </w:tc>
        <w:tc>
          <w:tcPr>
            <w:tcW w:w="1389"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2101103</w:t>
            </w:r>
          </w:p>
        </w:tc>
        <w:tc>
          <w:tcPr>
            <w:tcW w:w="4139"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公务员医疗补助</w:t>
            </w:r>
          </w:p>
        </w:tc>
        <w:tc>
          <w:tcPr>
            <w:tcW w:w="1361" w:type="dxa"/>
            <w:vAlign w:val="center"/>
          </w:tcPr>
          <w:p>
            <w:pPr>
              <w:pStyle w:val="16"/>
              <w:rPr>
                <w:rFonts w:hint="default" w:ascii="Calibri" w:hAnsi="Calibri" w:eastAsia="宋体" w:cs="Calibri"/>
                <w:i w:val="0"/>
                <w:color w:val="000000"/>
                <w:kern w:val="0"/>
                <w:sz w:val="22"/>
                <w:szCs w:val="22"/>
                <w:u w:val="none"/>
                <w:lang w:val="en-US" w:eastAsia="zh-CN" w:bidi="ar"/>
              </w:rPr>
            </w:pPr>
            <w:r>
              <w:rPr>
                <w:rFonts w:hint="eastAsia" w:eastAsia="宋体"/>
                <w:sz w:val="24"/>
                <w:szCs w:val="24"/>
                <w:lang w:val="en-US" w:eastAsia="zh-CN"/>
              </w:rPr>
              <w:t>16.56</w:t>
            </w:r>
          </w:p>
        </w:tc>
        <w:tc>
          <w:tcPr>
            <w:tcW w:w="1361" w:type="dxa"/>
            <w:vAlign w:val="center"/>
          </w:tcPr>
          <w:p>
            <w:pPr>
              <w:pStyle w:val="16"/>
              <w:rPr>
                <w:rFonts w:hint="default" w:ascii="Calibri" w:hAnsi="Calibri" w:eastAsia="宋体" w:cs="Calibri"/>
                <w:i w:val="0"/>
                <w:color w:val="000000"/>
                <w:kern w:val="0"/>
                <w:sz w:val="22"/>
                <w:szCs w:val="22"/>
                <w:u w:val="none"/>
                <w:lang w:val="en-US" w:eastAsia="zh-CN" w:bidi="ar"/>
              </w:rPr>
            </w:pPr>
            <w:r>
              <w:rPr>
                <w:rFonts w:hint="eastAsia" w:eastAsia="宋体"/>
                <w:sz w:val="24"/>
                <w:szCs w:val="24"/>
                <w:lang w:val="en-US" w:eastAsia="zh-CN"/>
              </w:rPr>
              <w:t>16.56</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18</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住房保障支出</w:t>
            </w:r>
          </w:p>
        </w:tc>
        <w:tc>
          <w:tcPr>
            <w:tcW w:w="1361" w:type="dxa"/>
            <w:vAlign w:val="top"/>
          </w:tcPr>
          <w:p>
            <w:pPr>
              <w:keepNext w:val="0"/>
              <w:keepLines w:val="0"/>
              <w:widowControl/>
              <w:suppressLineNumbers w:val="0"/>
              <w:jc w:val="right"/>
              <w:textAlignment w:val="top"/>
            </w:pPr>
            <w:r>
              <w:rPr>
                <w:rFonts w:hint="eastAsia" w:eastAsia="宋体"/>
                <w:sz w:val="24"/>
                <w:szCs w:val="24"/>
                <w:lang w:val="en-US" w:eastAsia="zh-CN"/>
              </w:rPr>
              <w:t>82.76</w:t>
            </w:r>
          </w:p>
        </w:tc>
        <w:tc>
          <w:tcPr>
            <w:tcW w:w="1361" w:type="dxa"/>
            <w:vAlign w:val="top"/>
          </w:tcPr>
          <w:p>
            <w:pPr>
              <w:keepNext w:val="0"/>
              <w:keepLines w:val="0"/>
              <w:widowControl/>
              <w:suppressLineNumbers w:val="0"/>
              <w:jc w:val="right"/>
              <w:textAlignment w:val="top"/>
            </w:pPr>
            <w:r>
              <w:rPr>
                <w:rFonts w:hint="eastAsia" w:eastAsia="宋体"/>
                <w:sz w:val="24"/>
                <w:szCs w:val="24"/>
                <w:lang w:val="en-US" w:eastAsia="zh-CN"/>
              </w:rPr>
              <w:t>82.76</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4" w:hRule="atLeast"/>
          <w:jc w:val="center"/>
        </w:trPr>
        <w:tc>
          <w:tcPr>
            <w:tcW w:w="850" w:type="dxa"/>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19</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22102</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住房改革支出</w:t>
            </w:r>
          </w:p>
        </w:tc>
        <w:tc>
          <w:tcPr>
            <w:tcW w:w="1361" w:type="dxa"/>
            <w:vAlign w:val="top"/>
          </w:tcPr>
          <w:p>
            <w:pPr>
              <w:keepNext w:val="0"/>
              <w:keepLines w:val="0"/>
              <w:widowControl/>
              <w:suppressLineNumbers w:val="0"/>
              <w:jc w:val="right"/>
              <w:textAlignment w:val="top"/>
            </w:pPr>
            <w:r>
              <w:rPr>
                <w:rFonts w:hint="eastAsia" w:eastAsia="宋体"/>
                <w:sz w:val="24"/>
                <w:szCs w:val="24"/>
                <w:lang w:val="en-US" w:eastAsia="zh-CN"/>
              </w:rPr>
              <w:t>82.76</w:t>
            </w:r>
          </w:p>
        </w:tc>
        <w:tc>
          <w:tcPr>
            <w:tcW w:w="1361" w:type="dxa"/>
            <w:vAlign w:val="top"/>
          </w:tcPr>
          <w:p>
            <w:pPr>
              <w:keepNext w:val="0"/>
              <w:keepLines w:val="0"/>
              <w:widowControl/>
              <w:suppressLineNumbers w:val="0"/>
              <w:jc w:val="right"/>
              <w:textAlignment w:val="top"/>
            </w:pPr>
            <w:r>
              <w:rPr>
                <w:rFonts w:hint="eastAsia" w:eastAsia="宋体"/>
                <w:sz w:val="24"/>
                <w:szCs w:val="24"/>
                <w:lang w:val="en-US" w:eastAsia="zh-CN"/>
              </w:rPr>
              <w:t>82.76</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850" w:type="dxa"/>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20</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2210201</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住房公积金</w:t>
            </w:r>
          </w:p>
        </w:tc>
        <w:tc>
          <w:tcPr>
            <w:tcW w:w="1361" w:type="dxa"/>
            <w:vAlign w:val="top"/>
          </w:tcPr>
          <w:p>
            <w:pPr>
              <w:keepNext w:val="0"/>
              <w:keepLines w:val="0"/>
              <w:widowControl/>
              <w:suppressLineNumbers w:val="0"/>
              <w:jc w:val="right"/>
              <w:textAlignment w:val="top"/>
            </w:pPr>
            <w:r>
              <w:rPr>
                <w:rFonts w:hint="eastAsia" w:eastAsia="宋体"/>
                <w:sz w:val="24"/>
                <w:szCs w:val="24"/>
                <w:lang w:val="en-US" w:eastAsia="zh-CN"/>
              </w:rPr>
              <w:t>82.76</w:t>
            </w:r>
          </w:p>
        </w:tc>
        <w:tc>
          <w:tcPr>
            <w:tcW w:w="1361" w:type="dxa"/>
            <w:vAlign w:val="top"/>
          </w:tcPr>
          <w:p>
            <w:pPr>
              <w:keepNext w:val="0"/>
              <w:keepLines w:val="0"/>
              <w:widowControl/>
              <w:suppressLineNumbers w:val="0"/>
              <w:jc w:val="right"/>
              <w:textAlignment w:val="top"/>
            </w:pPr>
            <w:r>
              <w:rPr>
                <w:rFonts w:hint="eastAsia" w:eastAsia="宋体"/>
                <w:sz w:val="24"/>
                <w:szCs w:val="24"/>
                <w:lang w:val="en-US" w:eastAsia="zh-CN"/>
              </w:rPr>
              <w:t>82.76</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bookmarkEnd w:id="2"/>
    </w:tbl>
    <w:p>
      <w:pPr>
        <w:sectPr>
          <w:pgSz w:w="16840" w:h="11900" w:orient="landscape"/>
          <w:pgMar w:top="1361" w:right="1020" w:bottom="1134" w:left="1020" w:header="720" w:footer="720" w:gutter="0"/>
          <w:pgNumType w:fmt="decimal"/>
          <w:cols w:space="720" w:num="1"/>
        </w:sectPr>
      </w:pPr>
    </w:p>
    <w:p>
      <w:pPr>
        <w:jc w:val="center"/>
        <w:outlineLvl w:val="1"/>
      </w:pPr>
      <w:bookmarkStart w:id="3" w:name="_Toc_2_2_0000000004"/>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预算财政拨款收支总表</w:t>
      </w:r>
      <w:bookmarkEnd w:id="3"/>
    </w:p>
    <w:tbl>
      <w:tblPr>
        <w:tblStyle w:val="9"/>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803"/>
        <w:gridCol w:w="1073"/>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416001涞水县市场监督管理局本级</w:t>
            </w:r>
          </w:p>
        </w:tc>
        <w:tc>
          <w:tcPr>
            <w:tcW w:w="3803"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4</w:t>
            </w:r>
          </w:p>
        </w:tc>
        <w:tc>
          <w:tcPr>
            <w:tcW w:w="5495"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803" w:type="dxa"/>
            <w:vAlign w:val="center"/>
          </w:tcPr>
          <w:p>
            <w:pPr>
              <w:pStyle w:val="15"/>
            </w:pPr>
            <w:r>
              <w:t>项  目</w:t>
            </w:r>
          </w:p>
        </w:tc>
        <w:tc>
          <w:tcPr>
            <w:tcW w:w="1073"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803" w:type="dxa"/>
            <w:vAlign w:val="center"/>
          </w:tcPr>
          <w:p>
            <w:pPr>
              <w:pStyle w:val="15"/>
            </w:pPr>
            <w:r>
              <w:t>3</w:t>
            </w:r>
          </w:p>
        </w:tc>
        <w:tc>
          <w:tcPr>
            <w:tcW w:w="1073"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一、一般公共预算拨款</w:t>
            </w:r>
          </w:p>
        </w:tc>
        <w:tc>
          <w:tcPr>
            <w:tcW w:w="1474" w:type="dxa"/>
            <w:vAlign w:val="top"/>
          </w:tcPr>
          <w:p>
            <w:pPr>
              <w:keepNext w:val="0"/>
              <w:keepLines w:val="0"/>
              <w:widowControl/>
              <w:suppressLineNumbers w:val="0"/>
              <w:jc w:val="right"/>
              <w:textAlignment w:val="top"/>
            </w:pPr>
            <w:r>
              <w:rPr>
                <w:rFonts w:hint="eastAsia"/>
              </w:rPr>
              <w:t>2653.59</w:t>
            </w: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一、一般公共服务支出</w:t>
            </w:r>
          </w:p>
        </w:tc>
        <w:tc>
          <w:tcPr>
            <w:tcW w:w="1073"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2368.89</w:t>
            </w:r>
          </w:p>
        </w:tc>
        <w:tc>
          <w:tcPr>
            <w:tcW w:w="1474"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2368.89</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二、政府性基金预算拨款</w:t>
            </w: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二、外交支出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三、国有资本经营预算拨款</w:t>
            </w: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三、国防支出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4</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四、公共安全支出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5</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五、教育支出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6</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六、科学技术支出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7</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七、文化旅游体育与传媒支出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8</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八、社会保障和就业支出</w:t>
            </w:r>
          </w:p>
        </w:tc>
        <w:tc>
          <w:tcPr>
            <w:tcW w:w="1073"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132.41</w:t>
            </w:r>
          </w:p>
        </w:tc>
        <w:tc>
          <w:tcPr>
            <w:tcW w:w="1474"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132.41</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9</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九、社会保险基金支出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10</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十、卫生健康支出</w:t>
            </w:r>
          </w:p>
        </w:tc>
        <w:tc>
          <w:tcPr>
            <w:tcW w:w="1073"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69.53</w:t>
            </w:r>
          </w:p>
        </w:tc>
        <w:tc>
          <w:tcPr>
            <w:tcW w:w="1474"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69.53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11</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十一、节能环保支出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12</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十二、城乡社区支出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13</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十三、农林水支出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14</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十四、交通运输支出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15</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十五、资源勘探工业信息等支出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16</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十六、商业服务业等支出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17</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十七、金融支出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18</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十八、援助其他地区支出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19</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十九、自然资源海洋气象等支出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20</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二十、住房保障支出</w:t>
            </w:r>
          </w:p>
        </w:tc>
        <w:tc>
          <w:tcPr>
            <w:tcW w:w="1073" w:type="dxa"/>
            <w:vAlign w:val="top"/>
          </w:tcPr>
          <w:p>
            <w:pPr>
              <w:keepNext w:val="0"/>
              <w:keepLines w:val="0"/>
              <w:widowControl/>
              <w:suppressLineNumbers w:val="0"/>
              <w:jc w:val="right"/>
              <w:textAlignment w:val="top"/>
              <w:rPr>
                <w:rFonts w:hint="default" w:eastAsia="宋体"/>
                <w:lang w:val="en-US" w:eastAsia="zh-CN"/>
              </w:rPr>
            </w:pPr>
            <w:r>
              <w:rPr>
                <w:rFonts w:hint="eastAsia" w:eastAsia="宋体"/>
                <w:lang w:val="en-US" w:eastAsia="zh-CN"/>
              </w:rPr>
              <w:t>82.76</w:t>
            </w:r>
          </w:p>
        </w:tc>
        <w:tc>
          <w:tcPr>
            <w:tcW w:w="1474" w:type="dxa"/>
            <w:vAlign w:val="top"/>
          </w:tcPr>
          <w:p>
            <w:pPr>
              <w:keepNext w:val="0"/>
              <w:keepLines w:val="0"/>
              <w:widowControl/>
              <w:suppressLineNumbers w:val="0"/>
              <w:jc w:val="right"/>
              <w:textAlignment w:val="top"/>
              <w:rPr>
                <w:rFonts w:hint="default" w:eastAsia="宋体"/>
                <w:lang w:val="en-US" w:eastAsia="zh-CN"/>
              </w:rPr>
            </w:pPr>
            <w:r>
              <w:rPr>
                <w:rFonts w:hint="eastAsia" w:eastAsia="宋体"/>
                <w:lang w:val="en-US" w:eastAsia="zh-CN"/>
              </w:rPr>
              <w:t>82.76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21</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二十一、粮油物资储备支出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22</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二十二、国有资本经营预算支出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23</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二十三、灾害防治及应急管理支出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24</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二十四、预备费</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25</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二十五、其他支出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26</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二十六、转移性支出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27</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二十七、债务还本支出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28</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二十八、债务付息支出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29</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二十九、债务发行费用支出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30</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三十、抗疫特别国债安排的支出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31</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本年收入合计</w:t>
            </w:r>
          </w:p>
        </w:tc>
        <w:tc>
          <w:tcPr>
            <w:tcW w:w="1474" w:type="dxa"/>
            <w:vAlign w:val="top"/>
          </w:tcPr>
          <w:p>
            <w:pPr>
              <w:keepNext w:val="0"/>
              <w:keepLines w:val="0"/>
              <w:widowControl/>
              <w:suppressLineNumbers w:val="0"/>
              <w:jc w:val="right"/>
              <w:textAlignment w:val="top"/>
            </w:pPr>
            <w:r>
              <w:rPr>
                <w:rFonts w:hint="eastAsia"/>
              </w:rPr>
              <w:t>2653.59</w:t>
            </w: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本年支出合计</w:t>
            </w:r>
          </w:p>
        </w:tc>
        <w:tc>
          <w:tcPr>
            <w:tcW w:w="1073" w:type="dxa"/>
            <w:vAlign w:val="top"/>
          </w:tcPr>
          <w:p>
            <w:pPr>
              <w:keepNext w:val="0"/>
              <w:keepLines w:val="0"/>
              <w:widowControl/>
              <w:suppressLineNumbers w:val="0"/>
              <w:jc w:val="right"/>
              <w:textAlignment w:val="top"/>
            </w:pPr>
            <w:r>
              <w:rPr>
                <w:rFonts w:hint="eastAsia"/>
              </w:rPr>
              <w:t>2653.59</w:t>
            </w:r>
          </w:p>
        </w:tc>
        <w:tc>
          <w:tcPr>
            <w:tcW w:w="1474" w:type="dxa"/>
            <w:vAlign w:val="top"/>
          </w:tcPr>
          <w:p>
            <w:pPr>
              <w:keepNext w:val="0"/>
              <w:keepLines w:val="0"/>
              <w:widowControl/>
              <w:suppressLineNumbers w:val="0"/>
              <w:jc w:val="right"/>
              <w:textAlignment w:val="top"/>
            </w:pPr>
            <w:r>
              <w:rPr>
                <w:rFonts w:hint="eastAsia"/>
              </w:rPr>
              <w:t>2653.59</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32</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年初财政拨款结转和结余</w:t>
            </w: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年末财政拨款结转和结余</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33</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一、一般公共预算拨款</w:t>
            </w:r>
          </w:p>
        </w:tc>
        <w:tc>
          <w:tcPr>
            <w:tcW w:w="1474" w:type="dxa"/>
            <w:vAlign w:val="top"/>
          </w:tcPr>
          <w:p>
            <w:pPr>
              <w:jc w:val="right"/>
            </w:pPr>
          </w:p>
        </w:tc>
        <w:tc>
          <w:tcPr>
            <w:tcW w:w="3803" w:type="dxa"/>
            <w:vAlign w:val="top"/>
          </w:tcPr>
          <w:p>
            <w:pPr>
              <w:jc w:val="left"/>
            </w:pP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34</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二、政府性基金预算拨款</w:t>
            </w:r>
          </w:p>
        </w:tc>
        <w:tc>
          <w:tcPr>
            <w:tcW w:w="1474" w:type="dxa"/>
            <w:vAlign w:val="top"/>
          </w:tcPr>
          <w:p>
            <w:pPr>
              <w:jc w:val="right"/>
            </w:pPr>
          </w:p>
        </w:tc>
        <w:tc>
          <w:tcPr>
            <w:tcW w:w="3803" w:type="dxa"/>
            <w:vAlign w:val="top"/>
          </w:tcPr>
          <w:p>
            <w:pPr>
              <w:jc w:val="left"/>
            </w:pP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35</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三、国有资本经营预算拨款</w:t>
            </w:r>
          </w:p>
        </w:tc>
        <w:tc>
          <w:tcPr>
            <w:tcW w:w="1474" w:type="dxa"/>
            <w:vAlign w:val="top"/>
          </w:tcPr>
          <w:p>
            <w:pPr>
              <w:jc w:val="right"/>
            </w:pPr>
          </w:p>
        </w:tc>
        <w:tc>
          <w:tcPr>
            <w:tcW w:w="3803" w:type="dxa"/>
            <w:vAlign w:val="top"/>
          </w:tcPr>
          <w:p>
            <w:pPr>
              <w:jc w:val="left"/>
            </w:pP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36</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收入总计</w:t>
            </w:r>
          </w:p>
        </w:tc>
        <w:tc>
          <w:tcPr>
            <w:tcW w:w="1474" w:type="dxa"/>
            <w:vAlign w:val="top"/>
          </w:tcPr>
          <w:p>
            <w:pPr>
              <w:keepNext w:val="0"/>
              <w:keepLines w:val="0"/>
              <w:widowControl/>
              <w:suppressLineNumbers w:val="0"/>
              <w:jc w:val="right"/>
              <w:textAlignment w:val="top"/>
            </w:pPr>
            <w:r>
              <w:rPr>
                <w:rFonts w:hint="eastAsia"/>
              </w:rPr>
              <w:t>2653.59</w:t>
            </w: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支出总计</w:t>
            </w:r>
          </w:p>
        </w:tc>
        <w:tc>
          <w:tcPr>
            <w:tcW w:w="1073" w:type="dxa"/>
            <w:vAlign w:val="top"/>
          </w:tcPr>
          <w:p>
            <w:pPr>
              <w:keepNext w:val="0"/>
              <w:keepLines w:val="0"/>
              <w:widowControl/>
              <w:suppressLineNumbers w:val="0"/>
              <w:jc w:val="right"/>
              <w:textAlignment w:val="top"/>
            </w:pPr>
            <w:r>
              <w:rPr>
                <w:rFonts w:hint="eastAsia"/>
              </w:rPr>
              <w:t>2653.59</w:t>
            </w:r>
          </w:p>
        </w:tc>
        <w:tc>
          <w:tcPr>
            <w:tcW w:w="1474" w:type="dxa"/>
            <w:vAlign w:val="top"/>
          </w:tcPr>
          <w:p>
            <w:pPr>
              <w:keepNext w:val="0"/>
              <w:keepLines w:val="0"/>
              <w:widowControl/>
              <w:suppressLineNumbers w:val="0"/>
              <w:jc w:val="right"/>
              <w:textAlignment w:val="top"/>
            </w:pPr>
            <w:r>
              <w:rPr>
                <w:rFonts w:hint="eastAsia"/>
              </w:rPr>
              <w:t>2653.59</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4" w:name="_Toc_2_2_0000000005"/>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bookmarkEnd w:id="4"/>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416001涞水县市场监督管理局本级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0"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6"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w:t>
            </w:r>
          </w:p>
        </w:tc>
        <w:tc>
          <w:tcPr>
            <w:tcW w:w="1191" w:type="dxa"/>
            <w:vAlign w:val="top"/>
          </w:tcPr>
          <w:p>
            <w:pPr>
              <w:jc w:val="left"/>
            </w:pP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合计</w:t>
            </w:r>
          </w:p>
        </w:tc>
        <w:tc>
          <w:tcPr>
            <w:tcW w:w="2551" w:type="dxa"/>
            <w:vAlign w:val="top"/>
          </w:tcPr>
          <w:p>
            <w:pPr>
              <w:keepNext w:val="0"/>
              <w:keepLines w:val="0"/>
              <w:widowControl/>
              <w:suppressLineNumbers w:val="0"/>
              <w:jc w:val="right"/>
              <w:textAlignment w:val="top"/>
              <w:rPr>
                <w:rFonts w:hint="default" w:eastAsia="宋体"/>
                <w:lang w:val="en-US" w:eastAsia="zh-CN"/>
              </w:rPr>
            </w:pPr>
            <w:r>
              <w:rPr>
                <w:rFonts w:hint="eastAsia" w:eastAsia="宋体"/>
                <w:lang w:val="en-US" w:eastAsia="zh-CN"/>
              </w:rPr>
              <w:t>2653.59</w:t>
            </w:r>
          </w:p>
        </w:tc>
        <w:tc>
          <w:tcPr>
            <w:tcW w:w="2551" w:type="dxa"/>
            <w:vAlign w:val="top"/>
          </w:tcPr>
          <w:p>
            <w:pPr>
              <w:keepNext w:val="0"/>
              <w:keepLines w:val="0"/>
              <w:widowControl/>
              <w:suppressLineNumbers w:val="0"/>
              <w:jc w:val="right"/>
              <w:textAlignment w:val="top"/>
              <w:rPr>
                <w:rFonts w:hint="default"/>
                <w:sz w:val="24"/>
                <w:szCs w:val="24"/>
                <w:lang w:val="en-US"/>
              </w:rPr>
            </w:pPr>
            <w:r>
              <w:rPr>
                <w:rFonts w:hint="eastAsia" w:ascii="Calibri" w:hAnsi="Calibri" w:eastAsia="宋体" w:cs="Calibri"/>
                <w:i w:val="0"/>
                <w:color w:val="000000"/>
                <w:kern w:val="0"/>
                <w:sz w:val="24"/>
                <w:szCs w:val="24"/>
                <w:u w:val="none"/>
                <w:lang w:val="en-US" w:eastAsia="zh-CN" w:bidi="ar"/>
              </w:rPr>
              <w:t>2038.94</w:t>
            </w:r>
          </w:p>
        </w:tc>
        <w:tc>
          <w:tcPr>
            <w:tcW w:w="2551"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614.65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一般公共服务支出</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4"/>
                <w:szCs w:val="24"/>
                <w:u w:val="none"/>
                <w:lang w:val="en-US" w:eastAsia="zh-CN" w:bidi="ar"/>
              </w:rPr>
              <w:t>2368.89</w:t>
            </w:r>
          </w:p>
        </w:tc>
        <w:tc>
          <w:tcPr>
            <w:tcW w:w="2551"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1754.24</w:t>
            </w:r>
          </w:p>
        </w:tc>
        <w:tc>
          <w:tcPr>
            <w:tcW w:w="2551"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614</w:t>
            </w:r>
            <w:r>
              <w:rPr>
                <w:rFonts w:hint="default" w:ascii="Calibri" w:hAnsi="Calibri" w:eastAsia="宋体" w:cs="Calibri"/>
                <w:i w:val="0"/>
                <w:color w:val="000000"/>
                <w:kern w:val="0"/>
                <w:sz w:val="24"/>
                <w:szCs w:val="24"/>
                <w:u w:val="none"/>
                <w:lang w:val="en-US" w:eastAsia="zh-CN" w:bidi="ar"/>
              </w:rPr>
              <w: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市场监督管理事务</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4"/>
                <w:szCs w:val="24"/>
                <w:u w:val="none"/>
                <w:lang w:val="en-US" w:eastAsia="zh-CN" w:bidi="ar"/>
              </w:rPr>
              <w:t>2368.89</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4"/>
                <w:szCs w:val="24"/>
                <w:u w:val="none"/>
                <w:lang w:val="en-US" w:eastAsia="zh-CN" w:bidi="ar"/>
              </w:rPr>
              <w:t>1754.24</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4"/>
                <w:szCs w:val="24"/>
                <w:u w:val="none"/>
                <w:lang w:val="en-US" w:eastAsia="zh-CN" w:bidi="ar"/>
              </w:rPr>
              <w:t>614</w:t>
            </w:r>
            <w:r>
              <w:rPr>
                <w:rFonts w:hint="default" w:ascii="Calibri" w:hAnsi="Calibri" w:eastAsia="宋体" w:cs="Calibri"/>
                <w:i w:val="0"/>
                <w:color w:val="000000"/>
                <w:kern w:val="0"/>
                <w:sz w:val="24"/>
                <w:szCs w:val="24"/>
                <w:u w:val="none"/>
                <w:lang w:val="en-US" w:eastAsia="zh-CN" w:bidi="ar"/>
              </w:rPr>
              <w: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行政运行</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4"/>
                <w:szCs w:val="24"/>
                <w:u w:val="none"/>
                <w:lang w:val="en-US" w:eastAsia="zh-CN" w:bidi="ar"/>
              </w:rPr>
              <w:t>1754.24</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4"/>
                <w:szCs w:val="24"/>
                <w:u w:val="none"/>
                <w:lang w:val="en-US" w:eastAsia="zh-CN" w:bidi="ar"/>
              </w:rPr>
              <w:t>1754.24</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一般行政管理事务</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4"/>
                <w:szCs w:val="24"/>
                <w:u w:val="none"/>
                <w:lang w:val="en-US" w:eastAsia="zh-CN" w:bidi="ar"/>
              </w:rPr>
              <w:t>122.</w:t>
            </w:r>
            <w:r>
              <w:rPr>
                <w:rFonts w:hint="default" w:ascii="Calibri" w:hAnsi="Calibri" w:eastAsia="宋体" w:cs="Calibri"/>
                <w:i w:val="0"/>
                <w:color w:val="000000"/>
                <w:kern w:val="0"/>
                <w:sz w:val="24"/>
                <w:szCs w:val="24"/>
                <w:u w:val="none"/>
                <w:lang w:val="en-US" w:eastAsia="zh-CN" w:bidi="ar"/>
              </w:rPr>
              <w:t>0</w:t>
            </w:r>
            <w:r>
              <w:rPr>
                <w:rFonts w:hint="eastAsia" w:ascii="Calibri" w:hAnsi="Calibri" w:eastAsia="宋体" w:cs="Calibri"/>
                <w:i w:val="0"/>
                <w:color w:val="000000"/>
                <w:kern w:val="0"/>
                <w:sz w:val="24"/>
                <w:szCs w:val="24"/>
                <w:u w:val="none"/>
                <w:lang w:val="en-US" w:eastAsia="zh-CN" w:bidi="ar"/>
              </w:rPr>
              <w:t>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4"/>
                <w:szCs w:val="24"/>
                <w:u w:val="none"/>
                <w:lang w:val="en-US" w:eastAsia="zh-CN" w:bidi="ar"/>
              </w:rPr>
              <w:t>122.</w:t>
            </w:r>
            <w:r>
              <w:rPr>
                <w:rFonts w:hint="default" w:ascii="Calibri" w:hAnsi="Calibri" w:eastAsia="宋体" w:cs="Calibri"/>
                <w:i w:val="0"/>
                <w:color w:val="000000"/>
                <w:kern w:val="0"/>
                <w:sz w:val="24"/>
                <w:szCs w:val="24"/>
                <w:u w:val="none"/>
                <w:lang w:val="en-US" w:eastAsia="zh-CN" w:bidi="ar"/>
              </w:rPr>
              <w:t>0</w:t>
            </w:r>
            <w:r>
              <w:rPr>
                <w:rFonts w:hint="eastAsia" w:ascii="Calibri" w:hAnsi="Calibri" w:eastAsia="宋体" w:cs="Calibri"/>
                <w:i w:val="0"/>
                <w:color w:val="000000"/>
                <w:kern w:val="0"/>
                <w:sz w:val="24"/>
                <w:szCs w:val="24"/>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2013804</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市场主体管理</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4"/>
                <w:szCs w:val="24"/>
                <w:u w:val="none"/>
                <w:lang w:val="en-US" w:eastAsia="zh-CN" w:bidi="ar"/>
              </w:rPr>
              <w:t>116.00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4"/>
                <w:szCs w:val="24"/>
                <w:u w:val="none"/>
                <w:lang w:val="en-US" w:eastAsia="zh-CN" w:bidi="ar"/>
              </w:rPr>
              <w:t>116.00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2013805</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市场秩序执法</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4"/>
                <w:szCs w:val="24"/>
                <w:u w:val="none"/>
                <w:lang w:val="en-US" w:eastAsia="zh-CN" w:bidi="ar"/>
              </w:rPr>
              <w:t>55</w:t>
            </w:r>
            <w:r>
              <w:rPr>
                <w:rFonts w:hint="default" w:ascii="Calibri" w:hAnsi="Calibri" w:eastAsia="宋体" w:cs="Calibri"/>
                <w:i w:val="0"/>
                <w:color w:val="000000"/>
                <w:kern w:val="0"/>
                <w:sz w:val="24"/>
                <w:szCs w:val="24"/>
                <w:u w:val="none"/>
                <w:lang w:val="en-US" w:eastAsia="zh-CN" w:bidi="ar"/>
              </w:rPr>
              <w:t>.00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4"/>
                <w:szCs w:val="24"/>
                <w:u w:val="none"/>
                <w:lang w:val="en-US" w:eastAsia="zh-CN" w:bidi="ar"/>
              </w:rPr>
              <w:t>55</w:t>
            </w:r>
            <w:r>
              <w:rPr>
                <w:rFonts w:hint="default" w:ascii="Calibri" w:hAnsi="Calibri" w:eastAsia="宋体" w:cs="Calibri"/>
                <w:i w:val="0"/>
                <w:color w:val="000000"/>
                <w:kern w:val="0"/>
                <w:sz w:val="24"/>
                <w:szCs w:val="24"/>
                <w:u w:val="none"/>
                <w:lang w:val="en-US" w:eastAsia="zh-CN" w:bidi="ar"/>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2013810</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质量基础</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4"/>
                <w:szCs w:val="24"/>
                <w:u w:val="none"/>
                <w:lang w:val="en-US" w:eastAsia="zh-CN" w:bidi="ar"/>
              </w:rPr>
              <w:t>168.95</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4"/>
                <w:szCs w:val="24"/>
                <w:u w:val="none"/>
                <w:lang w:val="en-US" w:eastAsia="zh-CN" w:bidi="ar"/>
              </w:rPr>
              <w:t>168.95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9</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2013812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药品事务</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4"/>
                <w:szCs w:val="24"/>
                <w:u w:val="none"/>
                <w:lang w:val="en-US" w:eastAsia="zh-CN" w:bidi="ar"/>
              </w:rPr>
              <w:t>5.00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4"/>
                <w:szCs w:val="24"/>
                <w:u w:val="none"/>
                <w:lang w:val="en-US" w:eastAsia="zh-CN" w:bidi="ar"/>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2013899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其他市场监督管理事务</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4"/>
                <w:szCs w:val="24"/>
                <w:u w:val="none"/>
                <w:lang w:val="en-US" w:eastAsia="zh-CN" w:bidi="ar"/>
              </w:rPr>
              <w:t>147</w:t>
            </w:r>
            <w:r>
              <w:rPr>
                <w:rFonts w:hint="default" w:ascii="Calibri" w:hAnsi="Calibri" w:eastAsia="宋体" w:cs="Calibri"/>
                <w:i w:val="0"/>
                <w:color w:val="000000"/>
                <w:kern w:val="0"/>
                <w:sz w:val="24"/>
                <w:szCs w:val="24"/>
                <w:u w:val="none"/>
                <w:lang w:val="en-US" w:eastAsia="zh-CN" w:bidi="ar"/>
              </w:rPr>
              <w:t>.70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4"/>
                <w:szCs w:val="24"/>
                <w:u w:val="none"/>
                <w:lang w:val="en-US" w:eastAsia="zh-CN" w:bidi="ar"/>
              </w:rPr>
              <w:t>147</w:t>
            </w:r>
            <w:r>
              <w:rPr>
                <w:rFonts w:hint="default" w:ascii="Calibri" w:hAnsi="Calibri" w:eastAsia="宋体" w:cs="Calibri"/>
                <w:i w:val="0"/>
                <w:color w:val="000000"/>
                <w:kern w:val="0"/>
                <w:sz w:val="24"/>
                <w:szCs w:val="24"/>
                <w:u w:val="none"/>
                <w:lang w:val="en-US" w:eastAsia="zh-CN" w:bidi="ar"/>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11</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社会保障和就业支出</w:t>
            </w:r>
          </w:p>
        </w:tc>
        <w:tc>
          <w:tcPr>
            <w:tcW w:w="2551" w:type="dxa"/>
            <w:vAlign w:val="top"/>
          </w:tcPr>
          <w:p>
            <w:pPr>
              <w:keepNext w:val="0"/>
              <w:keepLines w:val="0"/>
              <w:widowControl/>
              <w:suppressLineNumbers w:val="0"/>
              <w:jc w:val="right"/>
              <w:textAlignment w:val="top"/>
            </w:pPr>
            <w:r>
              <w:rPr>
                <w:sz w:val="24"/>
                <w:szCs w:val="24"/>
              </w:rPr>
              <w:t>132.41</w:t>
            </w:r>
          </w:p>
        </w:tc>
        <w:tc>
          <w:tcPr>
            <w:tcW w:w="2551" w:type="dxa"/>
            <w:vAlign w:val="top"/>
          </w:tcPr>
          <w:p>
            <w:pPr>
              <w:keepNext w:val="0"/>
              <w:keepLines w:val="0"/>
              <w:widowControl/>
              <w:suppressLineNumbers w:val="0"/>
              <w:jc w:val="right"/>
              <w:textAlignment w:val="top"/>
            </w:pPr>
            <w:r>
              <w:rPr>
                <w:sz w:val="24"/>
                <w:szCs w:val="24"/>
              </w:rPr>
              <w:t>132.41</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行政事业单位养老支出</w:t>
            </w:r>
          </w:p>
        </w:tc>
        <w:tc>
          <w:tcPr>
            <w:tcW w:w="2551" w:type="dxa"/>
            <w:vAlign w:val="top"/>
          </w:tcPr>
          <w:p>
            <w:pPr>
              <w:keepNext w:val="0"/>
              <w:keepLines w:val="0"/>
              <w:widowControl/>
              <w:suppressLineNumbers w:val="0"/>
              <w:jc w:val="right"/>
              <w:textAlignment w:val="top"/>
            </w:pPr>
            <w:r>
              <w:rPr>
                <w:sz w:val="24"/>
                <w:szCs w:val="24"/>
              </w:rPr>
              <w:t>132.41</w:t>
            </w:r>
          </w:p>
        </w:tc>
        <w:tc>
          <w:tcPr>
            <w:tcW w:w="2551" w:type="dxa"/>
            <w:vAlign w:val="top"/>
          </w:tcPr>
          <w:p>
            <w:pPr>
              <w:keepNext w:val="0"/>
              <w:keepLines w:val="0"/>
              <w:widowControl/>
              <w:suppressLineNumbers w:val="0"/>
              <w:jc w:val="right"/>
              <w:textAlignment w:val="top"/>
            </w:pPr>
            <w:r>
              <w:rPr>
                <w:sz w:val="24"/>
                <w:szCs w:val="24"/>
              </w:rPr>
              <w:t>132.41</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2080505</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2551" w:type="dxa"/>
            <w:vAlign w:val="top"/>
          </w:tcPr>
          <w:p>
            <w:pPr>
              <w:keepNext w:val="0"/>
              <w:keepLines w:val="0"/>
              <w:widowControl/>
              <w:suppressLineNumbers w:val="0"/>
              <w:jc w:val="right"/>
              <w:textAlignment w:val="top"/>
            </w:pPr>
            <w:r>
              <w:rPr>
                <w:sz w:val="24"/>
                <w:szCs w:val="24"/>
              </w:rPr>
              <w:t>132.41</w:t>
            </w:r>
          </w:p>
        </w:tc>
        <w:tc>
          <w:tcPr>
            <w:tcW w:w="2551" w:type="dxa"/>
            <w:vAlign w:val="top"/>
          </w:tcPr>
          <w:p>
            <w:pPr>
              <w:keepNext w:val="0"/>
              <w:keepLines w:val="0"/>
              <w:widowControl/>
              <w:suppressLineNumbers w:val="0"/>
              <w:jc w:val="right"/>
              <w:textAlignment w:val="top"/>
            </w:pPr>
            <w:r>
              <w:rPr>
                <w:sz w:val="24"/>
                <w:szCs w:val="24"/>
              </w:rPr>
              <w:t>132.41</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卫生健康支出</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4"/>
                <w:szCs w:val="24"/>
                <w:u w:val="none"/>
                <w:lang w:val="en-US" w:eastAsia="zh-CN" w:bidi="ar"/>
              </w:rPr>
              <w:t>69.53</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4"/>
                <w:szCs w:val="24"/>
                <w:u w:val="none"/>
                <w:lang w:val="en-US" w:eastAsia="zh-CN" w:bidi="ar"/>
              </w:rPr>
              <w:t>69.53</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4"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行政事业单位医疗</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4"/>
                <w:szCs w:val="24"/>
                <w:u w:val="none"/>
                <w:lang w:val="en-US" w:eastAsia="zh-CN" w:bidi="ar"/>
              </w:rPr>
              <w:t>69.53</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4"/>
                <w:szCs w:val="24"/>
                <w:u w:val="none"/>
                <w:lang w:val="en-US" w:eastAsia="zh-CN" w:bidi="ar"/>
              </w:rPr>
              <w:t>69.53</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0"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行政单位医疗</w:t>
            </w:r>
          </w:p>
        </w:tc>
        <w:tc>
          <w:tcPr>
            <w:tcW w:w="2551" w:type="dxa"/>
            <w:vAlign w:val="center"/>
          </w:tcPr>
          <w:p>
            <w:pPr>
              <w:pStyle w:val="16"/>
            </w:pPr>
            <w:r>
              <w:rPr>
                <w:sz w:val="24"/>
                <w:szCs w:val="24"/>
              </w:rPr>
              <w:t>52.97</w:t>
            </w:r>
          </w:p>
        </w:tc>
        <w:tc>
          <w:tcPr>
            <w:tcW w:w="2551" w:type="dxa"/>
            <w:vAlign w:val="center"/>
          </w:tcPr>
          <w:p>
            <w:pPr>
              <w:pStyle w:val="16"/>
            </w:pPr>
            <w:r>
              <w:rPr>
                <w:sz w:val="24"/>
                <w:szCs w:val="24"/>
              </w:rPr>
              <w:t>52.97</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4"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17</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2101103</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公务员医疗补助</w:t>
            </w:r>
          </w:p>
        </w:tc>
        <w:tc>
          <w:tcPr>
            <w:tcW w:w="2551" w:type="dxa"/>
            <w:vAlign w:val="center"/>
          </w:tcPr>
          <w:p>
            <w:pPr>
              <w:pStyle w:val="16"/>
              <w:rPr>
                <w:rFonts w:hint="default" w:ascii="Calibri" w:hAnsi="Calibri" w:eastAsia="宋体" w:cs="Calibri"/>
                <w:i w:val="0"/>
                <w:color w:val="000000"/>
                <w:kern w:val="0"/>
                <w:sz w:val="22"/>
                <w:szCs w:val="22"/>
                <w:u w:val="none"/>
                <w:lang w:val="en-US" w:eastAsia="zh-CN" w:bidi="ar"/>
              </w:rPr>
            </w:pPr>
            <w:r>
              <w:rPr>
                <w:rFonts w:hint="eastAsia" w:eastAsia="宋体"/>
                <w:sz w:val="24"/>
                <w:szCs w:val="24"/>
                <w:lang w:val="en-US" w:eastAsia="zh-CN"/>
              </w:rPr>
              <w:t>16.56</w:t>
            </w:r>
          </w:p>
        </w:tc>
        <w:tc>
          <w:tcPr>
            <w:tcW w:w="2551" w:type="dxa"/>
            <w:vAlign w:val="center"/>
          </w:tcPr>
          <w:p>
            <w:pPr>
              <w:pStyle w:val="16"/>
              <w:rPr>
                <w:rFonts w:hint="default" w:ascii="Calibri" w:hAnsi="Calibri" w:eastAsia="宋体" w:cs="Calibri"/>
                <w:i w:val="0"/>
                <w:color w:val="000000"/>
                <w:kern w:val="0"/>
                <w:sz w:val="22"/>
                <w:szCs w:val="22"/>
                <w:u w:val="none"/>
                <w:lang w:val="en-US" w:eastAsia="zh-CN" w:bidi="ar"/>
              </w:rPr>
            </w:pPr>
            <w:r>
              <w:rPr>
                <w:rFonts w:hint="eastAsia" w:eastAsia="宋体"/>
                <w:sz w:val="24"/>
                <w:szCs w:val="24"/>
                <w:lang w:val="en-US" w:eastAsia="zh-CN"/>
              </w:rPr>
              <w:t>16.56</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4" w:hRule="atLeast"/>
          <w:jc w:val="center"/>
        </w:trPr>
        <w:tc>
          <w:tcPr>
            <w:tcW w:w="850" w:type="dxa"/>
            <w:vAlign w:val="top"/>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18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住房保障支出</w:t>
            </w:r>
          </w:p>
        </w:tc>
        <w:tc>
          <w:tcPr>
            <w:tcW w:w="2551" w:type="dxa"/>
            <w:vAlign w:val="top"/>
          </w:tcPr>
          <w:p>
            <w:pPr>
              <w:keepNext w:val="0"/>
              <w:keepLines w:val="0"/>
              <w:widowControl/>
              <w:suppressLineNumbers w:val="0"/>
              <w:jc w:val="right"/>
              <w:textAlignment w:val="top"/>
            </w:pPr>
            <w:r>
              <w:rPr>
                <w:rFonts w:hint="eastAsia" w:eastAsia="宋体"/>
                <w:sz w:val="24"/>
                <w:szCs w:val="24"/>
                <w:lang w:val="en-US" w:eastAsia="zh-CN"/>
              </w:rPr>
              <w:t>82.76</w:t>
            </w:r>
          </w:p>
        </w:tc>
        <w:tc>
          <w:tcPr>
            <w:tcW w:w="2551" w:type="dxa"/>
            <w:vAlign w:val="top"/>
          </w:tcPr>
          <w:p>
            <w:pPr>
              <w:keepNext w:val="0"/>
              <w:keepLines w:val="0"/>
              <w:widowControl/>
              <w:suppressLineNumbers w:val="0"/>
              <w:jc w:val="right"/>
              <w:textAlignment w:val="top"/>
            </w:pPr>
            <w:r>
              <w:rPr>
                <w:rFonts w:hint="eastAsia" w:eastAsia="宋体"/>
                <w:sz w:val="24"/>
                <w:szCs w:val="24"/>
                <w:lang w:val="en-US" w:eastAsia="zh-CN"/>
              </w:rPr>
              <w:t>82.76</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vAlign w:val="top"/>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19</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住房改革支出</w:t>
            </w:r>
          </w:p>
        </w:tc>
        <w:tc>
          <w:tcPr>
            <w:tcW w:w="2551" w:type="dxa"/>
            <w:vAlign w:val="top"/>
          </w:tcPr>
          <w:p>
            <w:pPr>
              <w:keepNext w:val="0"/>
              <w:keepLines w:val="0"/>
              <w:widowControl/>
              <w:suppressLineNumbers w:val="0"/>
              <w:jc w:val="right"/>
              <w:textAlignment w:val="top"/>
              <w:rPr>
                <w:rFonts w:hint="default"/>
                <w:lang w:val="en-US"/>
              </w:rPr>
            </w:pPr>
            <w:r>
              <w:rPr>
                <w:rFonts w:hint="eastAsia" w:eastAsia="宋体"/>
                <w:sz w:val="24"/>
                <w:szCs w:val="24"/>
                <w:lang w:val="en-US" w:eastAsia="zh-CN"/>
              </w:rPr>
              <w:t>82.76</w:t>
            </w:r>
          </w:p>
        </w:tc>
        <w:tc>
          <w:tcPr>
            <w:tcW w:w="2551" w:type="dxa"/>
            <w:vAlign w:val="top"/>
          </w:tcPr>
          <w:p>
            <w:pPr>
              <w:keepNext w:val="0"/>
              <w:keepLines w:val="0"/>
              <w:widowControl/>
              <w:suppressLineNumbers w:val="0"/>
              <w:jc w:val="right"/>
              <w:textAlignment w:val="top"/>
            </w:pPr>
            <w:r>
              <w:rPr>
                <w:rFonts w:hint="eastAsia" w:eastAsia="宋体"/>
                <w:sz w:val="24"/>
                <w:szCs w:val="24"/>
                <w:lang w:val="en-US" w:eastAsia="zh-CN"/>
              </w:rPr>
              <w:t>82.76</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20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2210201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住房公积金</w:t>
            </w:r>
          </w:p>
        </w:tc>
        <w:tc>
          <w:tcPr>
            <w:tcW w:w="2551" w:type="dxa"/>
            <w:vAlign w:val="top"/>
          </w:tcPr>
          <w:p>
            <w:pPr>
              <w:keepNext w:val="0"/>
              <w:keepLines w:val="0"/>
              <w:widowControl/>
              <w:suppressLineNumbers w:val="0"/>
              <w:jc w:val="right"/>
              <w:textAlignment w:val="top"/>
              <w:rPr>
                <w:rFonts w:hint="default"/>
                <w:lang w:val="en-US"/>
              </w:rPr>
            </w:pPr>
            <w:r>
              <w:rPr>
                <w:rFonts w:hint="eastAsia" w:eastAsia="宋体"/>
                <w:sz w:val="24"/>
                <w:szCs w:val="24"/>
                <w:lang w:val="en-US" w:eastAsia="zh-CN"/>
              </w:rPr>
              <w:t>82.76</w:t>
            </w:r>
          </w:p>
        </w:tc>
        <w:tc>
          <w:tcPr>
            <w:tcW w:w="2551" w:type="dxa"/>
            <w:vAlign w:val="top"/>
          </w:tcPr>
          <w:p>
            <w:pPr>
              <w:keepNext w:val="0"/>
              <w:keepLines w:val="0"/>
              <w:widowControl/>
              <w:suppressLineNumbers w:val="0"/>
              <w:jc w:val="right"/>
              <w:textAlignment w:val="top"/>
            </w:pPr>
            <w:r>
              <w:rPr>
                <w:rFonts w:hint="eastAsia" w:eastAsia="宋体"/>
                <w:sz w:val="24"/>
                <w:szCs w:val="24"/>
                <w:lang w:val="en-US" w:eastAsia="zh-CN"/>
              </w:rPr>
              <w:t>82.76</w:t>
            </w:r>
          </w:p>
        </w:tc>
        <w:tc>
          <w:tcPr>
            <w:tcW w:w="2551" w:type="dxa"/>
            <w:vAlign w:val="top"/>
          </w:tcPr>
          <w:p>
            <w:pPr>
              <w:jc w:val="right"/>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5" w:name="_Toc_2_2_0000000006"/>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预算一般公共预算财政拨款基本支出表</w:t>
      </w:r>
      <w:bookmarkEnd w:id="5"/>
    </w:p>
    <w:tbl>
      <w:tblPr>
        <w:tblStyle w:val="9"/>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416001涞水县市场监督管理局本级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4</w:t>
            </w:r>
          </w:p>
        </w:tc>
        <w:tc>
          <w:tcPr>
            <w:tcW w:w="510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w:t>
            </w:r>
          </w:p>
        </w:tc>
        <w:tc>
          <w:tcPr>
            <w:tcW w:w="1191" w:type="dxa"/>
            <w:vAlign w:val="top"/>
          </w:tcPr>
          <w:p>
            <w:pPr>
              <w:jc w:val="left"/>
            </w:pP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合计</w:t>
            </w:r>
          </w:p>
        </w:tc>
        <w:tc>
          <w:tcPr>
            <w:tcW w:w="2551" w:type="dxa"/>
            <w:vAlign w:val="top"/>
          </w:tcPr>
          <w:p>
            <w:pPr>
              <w:keepNext w:val="0"/>
              <w:keepLines w:val="0"/>
              <w:widowControl/>
              <w:suppressLineNumbers w:val="0"/>
              <w:jc w:val="right"/>
              <w:textAlignment w:val="top"/>
              <w:rPr>
                <w:rFonts w:hint="default"/>
                <w:sz w:val="24"/>
                <w:szCs w:val="24"/>
                <w:lang w:val="en-US"/>
              </w:rPr>
            </w:pPr>
            <w:r>
              <w:rPr>
                <w:rFonts w:hint="eastAsia" w:ascii="Calibri" w:hAnsi="Calibri" w:eastAsia="宋体" w:cs="Calibri"/>
                <w:i w:val="0"/>
                <w:color w:val="000000"/>
                <w:kern w:val="0"/>
                <w:sz w:val="24"/>
                <w:szCs w:val="24"/>
                <w:u w:val="none"/>
                <w:lang w:val="en-US" w:eastAsia="zh-CN" w:bidi="ar"/>
              </w:rPr>
              <w:t>1753.32</w:t>
            </w:r>
          </w:p>
        </w:tc>
        <w:tc>
          <w:tcPr>
            <w:tcW w:w="2551" w:type="dxa"/>
            <w:vAlign w:val="top"/>
          </w:tcPr>
          <w:p>
            <w:pPr>
              <w:keepNext w:val="0"/>
              <w:keepLines w:val="0"/>
              <w:widowControl/>
              <w:suppressLineNumbers w:val="0"/>
              <w:jc w:val="right"/>
              <w:textAlignment w:val="top"/>
              <w:rPr>
                <w:rFonts w:hint="default" w:eastAsia="宋体"/>
                <w:sz w:val="24"/>
                <w:szCs w:val="24"/>
                <w:lang w:val="en-US" w:eastAsia="zh-CN"/>
              </w:rPr>
            </w:pPr>
            <w:r>
              <w:rPr>
                <w:rFonts w:hint="eastAsia" w:eastAsia="宋体"/>
                <w:sz w:val="24"/>
                <w:szCs w:val="24"/>
                <w:lang w:val="en-US" w:eastAsia="zh-CN"/>
              </w:rPr>
              <w:t>1753.32</w:t>
            </w:r>
          </w:p>
        </w:tc>
        <w:tc>
          <w:tcPr>
            <w:tcW w:w="2552" w:type="dxa"/>
            <w:vAlign w:val="top"/>
          </w:tcPr>
          <w:p>
            <w:pPr>
              <w:keepNext w:val="0"/>
              <w:keepLines w:val="0"/>
              <w:widowControl/>
              <w:suppressLineNumbers w:val="0"/>
              <w:jc w:val="right"/>
              <w:textAlignment w:val="top"/>
              <w:rPr>
                <w:rFonts w:hint="default"/>
                <w:sz w:val="24"/>
                <w:szCs w:val="24"/>
                <w:lang w:val="en-US"/>
              </w:rPr>
            </w:pPr>
            <w:r>
              <w:rPr>
                <w:rFonts w:hint="eastAsia" w:ascii="Calibri" w:hAnsi="Calibri" w:eastAsia="宋体" w:cs="Calibri"/>
                <w:i w:val="0"/>
                <w:color w:val="000000"/>
                <w:kern w:val="0"/>
                <w:sz w:val="24"/>
                <w:szCs w:val="24"/>
                <w:u w:val="none"/>
                <w:lang w:val="en-US" w:eastAsia="zh-CN" w:bidi="ar"/>
              </w:rPr>
              <w:t>285.62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工资福利支出</w:t>
            </w:r>
          </w:p>
        </w:tc>
        <w:tc>
          <w:tcPr>
            <w:tcW w:w="2551" w:type="dxa"/>
            <w:vAlign w:val="top"/>
          </w:tcPr>
          <w:p>
            <w:pPr>
              <w:keepNext w:val="0"/>
              <w:keepLines w:val="0"/>
              <w:widowControl/>
              <w:suppressLineNumbers w:val="0"/>
              <w:jc w:val="right"/>
              <w:textAlignment w:val="top"/>
              <w:rPr>
                <w:rFonts w:hint="default"/>
                <w:sz w:val="24"/>
                <w:szCs w:val="24"/>
                <w:lang w:val="en-US"/>
              </w:rPr>
            </w:pPr>
            <w:r>
              <w:rPr>
                <w:rFonts w:hint="eastAsia" w:ascii="Calibri" w:hAnsi="Calibri" w:eastAsia="宋体" w:cs="Calibri"/>
                <w:i w:val="0"/>
                <w:color w:val="000000"/>
                <w:kern w:val="0"/>
                <w:sz w:val="24"/>
                <w:szCs w:val="24"/>
                <w:u w:val="none"/>
                <w:lang w:val="en-US" w:eastAsia="zh-CN" w:bidi="ar"/>
              </w:rPr>
              <w:t>1743.73</w:t>
            </w:r>
          </w:p>
        </w:tc>
        <w:tc>
          <w:tcPr>
            <w:tcW w:w="2551" w:type="dxa"/>
            <w:vAlign w:val="top"/>
          </w:tcPr>
          <w:p>
            <w:pPr>
              <w:keepNext w:val="0"/>
              <w:keepLines w:val="0"/>
              <w:widowControl/>
              <w:suppressLineNumbers w:val="0"/>
              <w:jc w:val="right"/>
              <w:textAlignment w:val="top"/>
              <w:rPr>
                <w:rFonts w:hint="default"/>
                <w:sz w:val="24"/>
                <w:szCs w:val="24"/>
                <w:lang w:val="en-US"/>
              </w:rPr>
            </w:pPr>
            <w:r>
              <w:rPr>
                <w:rFonts w:hint="eastAsia" w:ascii="Calibri" w:hAnsi="Calibri" w:eastAsia="宋体" w:cs="Calibri"/>
                <w:i w:val="0"/>
                <w:color w:val="000000"/>
                <w:kern w:val="0"/>
                <w:sz w:val="24"/>
                <w:szCs w:val="24"/>
                <w:u w:val="none"/>
                <w:lang w:val="en-US" w:eastAsia="zh-CN" w:bidi="ar"/>
              </w:rPr>
              <w:t>1743.73</w:t>
            </w:r>
          </w:p>
        </w:tc>
        <w:tc>
          <w:tcPr>
            <w:tcW w:w="2552" w:type="dxa"/>
            <w:vAlign w:val="top"/>
          </w:tcPr>
          <w:p>
            <w:pPr>
              <w:jc w:val="right"/>
              <w:rPr>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基本工资</w:t>
            </w:r>
          </w:p>
        </w:tc>
        <w:tc>
          <w:tcPr>
            <w:tcW w:w="2551" w:type="dxa"/>
            <w:vAlign w:val="top"/>
          </w:tcPr>
          <w:p>
            <w:pPr>
              <w:keepNext w:val="0"/>
              <w:keepLines w:val="0"/>
              <w:widowControl/>
              <w:suppressLineNumbers w:val="0"/>
              <w:jc w:val="right"/>
              <w:textAlignment w:val="top"/>
              <w:rPr>
                <w:rFonts w:hint="default"/>
                <w:sz w:val="24"/>
                <w:szCs w:val="24"/>
                <w:lang w:val="en-US"/>
              </w:rPr>
            </w:pPr>
            <w:r>
              <w:rPr>
                <w:rFonts w:hint="eastAsia" w:ascii="Calibri" w:hAnsi="Calibri" w:eastAsia="宋体" w:cs="Calibri"/>
                <w:i w:val="0"/>
                <w:color w:val="000000"/>
                <w:kern w:val="0"/>
                <w:sz w:val="24"/>
                <w:szCs w:val="24"/>
                <w:u w:val="none"/>
                <w:lang w:val="en-US" w:eastAsia="zh-CN" w:bidi="ar"/>
              </w:rPr>
              <w:t>1019.7</w:t>
            </w:r>
          </w:p>
        </w:tc>
        <w:tc>
          <w:tcPr>
            <w:tcW w:w="2551"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1019.7</w:t>
            </w:r>
          </w:p>
        </w:tc>
        <w:tc>
          <w:tcPr>
            <w:tcW w:w="2552" w:type="dxa"/>
            <w:vAlign w:val="top"/>
          </w:tcPr>
          <w:p>
            <w:pPr>
              <w:jc w:val="right"/>
              <w:rPr>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津贴补贴</w:t>
            </w:r>
          </w:p>
        </w:tc>
        <w:tc>
          <w:tcPr>
            <w:tcW w:w="2551" w:type="dxa"/>
            <w:vAlign w:val="top"/>
          </w:tcPr>
          <w:p>
            <w:pPr>
              <w:keepNext w:val="0"/>
              <w:keepLines w:val="0"/>
              <w:widowControl/>
              <w:suppressLineNumbers w:val="0"/>
              <w:jc w:val="right"/>
              <w:textAlignment w:val="top"/>
              <w:rPr>
                <w:rFonts w:hint="default" w:eastAsia="宋体"/>
                <w:sz w:val="24"/>
                <w:szCs w:val="24"/>
                <w:lang w:val="en-US" w:eastAsia="zh-CN"/>
              </w:rPr>
            </w:pPr>
            <w:r>
              <w:rPr>
                <w:rFonts w:hint="eastAsia" w:eastAsia="宋体"/>
                <w:sz w:val="24"/>
                <w:szCs w:val="24"/>
                <w:lang w:val="en-US" w:eastAsia="zh-CN"/>
              </w:rPr>
              <w:t>205.56</w:t>
            </w:r>
          </w:p>
        </w:tc>
        <w:tc>
          <w:tcPr>
            <w:tcW w:w="2551" w:type="dxa"/>
            <w:vAlign w:val="top"/>
          </w:tcPr>
          <w:p>
            <w:pPr>
              <w:keepNext w:val="0"/>
              <w:keepLines w:val="0"/>
              <w:widowControl/>
              <w:suppressLineNumbers w:val="0"/>
              <w:jc w:val="right"/>
              <w:textAlignment w:val="top"/>
              <w:rPr>
                <w:sz w:val="24"/>
                <w:szCs w:val="24"/>
              </w:rPr>
            </w:pPr>
            <w:r>
              <w:rPr>
                <w:rFonts w:hint="eastAsia" w:eastAsia="宋体"/>
                <w:sz w:val="24"/>
                <w:szCs w:val="24"/>
                <w:lang w:val="en-US" w:eastAsia="zh-CN"/>
              </w:rPr>
              <w:t>205.56</w:t>
            </w:r>
          </w:p>
        </w:tc>
        <w:tc>
          <w:tcPr>
            <w:tcW w:w="2552" w:type="dxa"/>
            <w:vAlign w:val="top"/>
          </w:tcPr>
          <w:p>
            <w:pPr>
              <w:jc w:val="right"/>
              <w:rPr>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30103</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奖金</w:t>
            </w:r>
          </w:p>
        </w:tc>
        <w:tc>
          <w:tcPr>
            <w:tcW w:w="2551" w:type="dxa"/>
            <w:vAlign w:val="top"/>
          </w:tcPr>
          <w:p>
            <w:pPr>
              <w:keepNext w:val="0"/>
              <w:keepLines w:val="0"/>
              <w:widowControl/>
              <w:suppressLineNumbers w:val="0"/>
              <w:jc w:val="right"/>
              <w:textAlignment w:val="top"/>
              <w:rPr>
                <w:rFonts w:hint="default" w:eastAsia="宋体"/>
                <w:sz w:val="24"/>
                <w:szCs w:val="24"/>
                <w:lang w:val="en-US" w:eastAsia="zh-CN"/>
              </w:rPr>
            </w:pPr>
            <w:r>
              <w:rPr>
                <w:rFonts w:hint="eastAsia" w:eastAsia="宋体"/>
                <w:sz w:val="24"/>
                <w:szCs w:val="24"/>
                <w:lang w:val="en-US" w:eastAsia="zh-CN"/>
              </w:rPr>
              <w:t>84.62</w:t>
            </w:r>
          </w:p>
        </w:tc>
        <w:tc>
          <w:tcPr>
            <w:tcW w:w="2551" w:type="dxa"/>
            <w:vAlign w:val="top"/>
          </w:tcPr>
          <w:p>
            <w:pPr>
              <w:keepNext w:val="0"/>
              <w:keepLines w:val="0"/>
              <w:widowControl/>
              <w:suppressLineNumbers w:val="0"/>
              <w:jc w:val="right"/>
              <w:textAlignment w:val="top"/>
              <w:rPr>
                <w:sz w:val="24"/>
                <w:szCs w:val="24"/>
              </w:rPr>
            </w:pPr>
            <w:r>
              <w:rPr>
                <w:rFonts w:hint="eastAsia" w:eastAsia="宋体"/>
                <w:sz w:val="24"/>
                <w:szCs w:val="24"/>
                <w:lang w:val="en-US" w:eastAsia="zh-CN"/>
              </w:rPr>
              <w:t>84.62</w:t>
            </w:r>
          </w:p>
        </w:tc>
        <w:tc>
          <w:tcPr>
            <w:tcW w:w="2552" w:type="dxa"/>
            <w:vAlign w:val="top"/>
          </w:tcPr>
          <w:p>
            <w:pPr>
              <w:jc w:val="right"/>
              <w:rPr>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4"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30107</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绩效工资</w:t>
            </w:r>
          </w:p>
        </w:tc>
        <w:tc>
          <w:tcPr>
            <w:tcW w:w="2551" w:type="dxa"/>
            <w:vAlign w:val="top"/>
          </w:tcPr>
          <w:p>
            <w:pPr>
              <w:keepNext w:val="0"/>
              <w:keepLines w:val="0"/>
              <w:widowControl/>
              <w:suppressLineNumbers w:val="0"/>
              <w:jc w:val="right"/>
              <w:textAlignment w:val="top"/>
              <w:rPr>
                <w:rFonts w:hint="default" w:eastAsia="宋体"/>
                <w:sz w:val="24"/>
                <w:szCs w:val="24"/>
                <w:lang w:val="en-US" w:eastAsia="zh-CN"/>
              </w:rPr>
            </w:pPr>
            <w:r>
              <w:rPr>
                <w:rFonts w:hint="eastAsia" w:eastAsia="宋体"/>
                <w:sz w:val="24"/>
                <w:szCs w:val="24"/>
                <w:lang w:val="en-US" w:eastAsia="zh-CN"/>
              </w:rPr>
              <w:t>142.6</w:t>
            </w:r>
          </w:p>
        </w:tc>
        <w:tc>
          <w:tcPr>
            <w:tcW w:w="2551" w:type="dxa"/>
            <w:vAlign w:val="top"/>
          </w:tcPr>
          <w:p>
            <w:pPr>
              <w:keepNext w:val="0"/>
              <w:keepLines w:val="0"/>
              <w:widowControl/>
              <w:suppressLineNumbers w:val="0"/>
              <w:jc w:val="right"/>
              <w:textAlignment w:val="top"/>
              <w:rPr>
                <w:sz w:val="24"/>
                <w:szCs w:val="24"/>
              </w:rPr>
            </w:pPr>
            <w:r>
              <w:rPr>
                <w:rFonts w:hint="eastAsia" w:eastAsia="宋体"/>
                <w:sz w:val="24"/>
                <w:szCs w:val="24"/>
                <w:lang w:val="en-US" w:eastAsia="zh-CN"/>
              </w:rPr>
              <w:t>142.6</w:t>
            </w:r>
          </w:p>
        </w:tc>
        <w:tc>
          <w:tcPr>
            <w:tcW w:w="2552" w:type="dxa"/>
            <w:vAlign w:val="top"/>
          </w:tcPr>
          <w:p>
            <w:pPr>
              <w:jc w:val="right"/>
              <w:rPr>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机关事业单位基本养老保险缴费</w:t>
            </w:r>
          </w:p>
        </w:tc>
        <w:tc>
          <w:tcPr>
            <w:tcW w:w="2551" w:type="dxa"/>
            <w:vAlign w:val="top"/>
          </w:tcPr>
          <w:p>
            <w:pPr>
              <w:keepNext w:val="0"/>
              <w:keepLines w:val="0"/>
              <w:widowControl/>
              <w:suppressLineNumbers w:val="0"/>
              <w:jc w:val="right"/>
              <w:textAlignment w:val="top"/>
              <w:rPr>
                <w:rFonts w:hint="default"/>
                <w:sz w:val="24"/>
                <w:szCs w:val="24"/>
                <w:lang w:val="en-US"/>
              </w:rPr>
            </w:pPr>
            <w:r>
              <w:rPr>
                <w:sz w:val="24"/>
                <w:szCs w:val="24"/>
              </w:rPr>
              <w:t>132.41</w:t>
            </w:r>
          </w:p>
        </w:tc>
        <w:tc>
          <w:tcPr>
            <w:tcW w:w="2551" w:type="dxa"/>
            <w:vAlign w:val="top"/>
          </w:tcPr>
          <w:p>
            <w:pPr>
              <w:keepNext w:val="0"/>
              <w:keepLines w:val="0"/>
              <w:widowControl/>
              <w:suppressLineNumbers w:val="0"/>
              <w:jc w:val="right"/>
              <w:textAlignment w:val="top"/>
              <w:rPr>
                <w:sz w:val="24"/>
                <w:szCs w:val="24"/>
              </w:rPr>
            </w:pPr>
            <w:r>
              <w:rPr>
                <w:sz w:val="24"/>
                <w:szCs w:val="24"/>
              </w:rPr>
              <w:t>132.41</w:t>
            </w:r>
          </w:p>
        </w:tc>
        <w:tc>
          <w:tcPr>
            <w:tcW w:w="2552" w:type="dxa"/>
            <w:vAlign w:val="top"/>
          </w:tcPr>
          <w:p>
            <w:pPr>
              <w:jc w:val="right"/>
              <w:rPr>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30110</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城镇职工基本医疗保险缴费</w:t>
            </w:r>
          </w:p>
        </w:tc>
        <w:tc>
          <w:tcPr>
            <w:tcW w:w="2551" w:type="dxa"/>
            <w:vAlign w:val="center"/>
          </w:tcPr>
          <w:p>
            <w:pPr>
              <w:pStyle w:val="16"/>
              <w:jc w:val="right"/>
              <w:rPr>
                <w:rFonts w:hint="default"/>
                <w:sz w:val="24"/>
                <w:szCs w:val="24"/>
                <w:lang w:val="en-US"/>
              </w:rPr>
            </w:pPr>
            <w:r>
              <w:rPr>
                <w:sz w:val="24"/>
                <w:szCs w:val="24"/>
              </w:rPr>
              <w:t>52.97</w:t>
            </w:r>
          </w:p>
        </w:tc>
        <w:tc>
          <w:tcPr>
            <w:tcW w:w="2551" w:type="dxa"/>
            <w:vAlign w:val="center"/>
          </w:tcPr>
          <w:p>
            <w:pPr>
              <w:pStyle w:val="16"/>
              <w:jc w:val="right"/>
              <w:rPr>
                <w:sz w:val="24"/>
                <w:szCs w:val="24"/>
              </w:rPr>
            </w:pPr>
            <w:r>
              <w:rPr>
                <w:sz w:val="24"/>
                <w:szCs w:val="24"/>
              </w:rPr>
              <w:t>52.97</w:t>
            </w:r>
          </w:p>
        </w:tc>
        <w:tc>
          <w:tcPr>
            <w:tcW w:w="2552" w:type="dxa"/>
            <w:vAlign w:val="top"/>
          </w:tcPr>
          <w:p>
            <w:pPr>
              <w:jc w:val="right"/>
              <w:rPr>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Times New Roman" w:hAnsi="Times New Roman" w:eastAsia="Times New Roman" w:cs="Times New Roman"/>
                <w:sz w:val="24"/>
                <w:szCs w:val="24"/>
                <w:lang w:val="en-US" w:eastAsia="zh-CN" w:bidi="ar-SA"/>
              </w:rPr>
            </w:pPr>
            <w:r>
              <w:rPr>
                <w:rFonts w:hint="default" w:ascii="Calibri" w:hAnsi="Calibri" w:eastAsia="宋体" w:cs="Calibri"/>
                <w:i w:val="0"/>
                <w:color w:val="000000"/>
                <w:kern w:val="0"/>
                <w:sz w:val="22"/>
                <w:szCs w:val="22"/>
                <w:u w:val="none"/>
                <w:lang w:val="en-US" w:eastAsia="zh-CN" w:bidi="ar"/>
              </w:rPr>
              <w:t>9</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30111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公务员医疗补助</w:t>
            </w:r>
          </w:p>
        </w:tc>
        <w:tc>
          <w:tcPr>
            <w:tcW w:w="2551" w:type="dxa"/>
            <w:vAlign w:val="center"/>
          </w:tcPr>
          <w:p>
            <w:pPr>
              <w:pStyle w:val="16"/>
              <w:jc w:val="right"/>
              <w:rPr>
                <w:rFonts w:hint="default" w:ascii="Calibri" w:hAnsi="Calibri" w:eastAsia="宋体" w:cs="Calibri"/>
                <w:i w:val="0"/>
                <w:color w:val="000000"/>
                <w:kern w:val="0"/>
                <w:sz w:val="24"/>
                <w:szCs w:val="24"/>
                <w:u w:val="none"/>
                <w:lang w:val="en-US" w:eastAsia="zh-CN" w:bidi="ar"/>
              </w:rPr>
            </w:pPr>
            <w:r>
              <w:rPr>
                <w:sz w:val="24"/>
                <w:szCs w:val="24"/>
              </w:rPr>
              <w:t>16.56</w:t>
            </w:r>
          </w:p>
        </w:tc>
        <w:tc>
          <w:tcPr>
            <w:tcW w:w="2551" w:type="dxa"/>
            <w:vAlign w:val="center"/>
          </w:tcPr>
          <w:p>
            <w:pPr>
              <w:pStyle w:val="16"/>
              <w:jc w:val="right"/>
              <w:rPr>
                <w:rFonts w:hint="default" w:ascii="Calibri" w:hAnsi="Calibri" w:eastAsia="宋体" w:cs="Calibri"/>
                <w:i w:val="0"/>
                <w:color w:val="000000"/>
                <w:kern w:val="0"/>
                <w:sz w:val="24"/>
                <w:szCs w:val="24"/>
                <w:u w:val="none"/>
                <w:lang w:val="en-US" w:eastAsia="zh-CN" w:bidi="ar"/>
              </w:rPr>
            </w:pPr>
            <w:r>
              <w:rPr>
                <w:sz w:val="24"/>
                <w:szCs w:val="24"/>
              </w:rPr>
              <w:t>16.56</w:t>
            </w:r>
          </w:p>
        </w:tc>
        <w:tc>
          <w:tcPr>
            <w:tcW w:w="2552" w:type="dxa"/>
            <w:vAlign w:val="top"/>
          </w:tcPr>
          <w:p>
            <w:pPr>
              <w:jc w:val="right"/>
              <w:rPr>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color w:val="000000"/>
                <w:kern w:val="0"/>
                <w:sz w:val="22"/>
                <w:szCs w:val="22"/>
                <w:u w:val="none"/>
                <w:lang w:val="en-US" w:eastAsia="zh-CN" w:bidi="ar"/>
              </w:rPr>
              <w:t>10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30112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其他社会保障缴费</w:t>
            </w:r>
          </w:p>
        </w:tc>
        <w:tc>
          <w:tcPr>
            <w:tcW w:w="2551" w:type="dxa"/>
            <w:vAlign w:val="top"/>
          </w:tcPr>
          <w:p>
            <w:pPr>
              <w:keepNext w:val="0"/>
              <w:keepLines w:val="0"/>
              <w:widowControl/>
              <w:suppressLineNumbers w:val="0"/>
              <w:jc w:val="right"/>
              <w:textAlignment w:val="top"/>
              <w:rPr>
                <w:rFonts w:hint="default"/>
                <w:sz w:val="24"/>
                <w:szCs w:val="24"/>
                <w:lang w:val="en-US"/>
              </w:rPr>
            </w:pPr>
            <w:r>
              <w:rPr>
                <w:rFonts w:hint="eastAsia" w:ascii="Calibri" w:hAnsi="Calibri" w:eastAsia="宋体" w:cs="Calibri"/>
                <w:i w:val="0"/>
                <w:color w:val="000000"/>
                <w:kern w:val="0"/>
                <w:sz w:val="24"/>
                <w:szCs w:val="24"/>
                <w:u w:val="none"/>
                <w:lang w:val="en-US" w:eastAsia="zh-CN" w:bidi="ar"/>
              </w:rPr>
              <w:t>6.55</w:t>
            </w:r>
          </w:p>
        </w:tc>
        <w:tc>
          <w:tcPr>
            <w:tcW w:w="2551"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6.55</w:t>
            </w:r>
          </w:p>
        </w:tc>
        <w:tc>
          <w:tcPr>
            <w:tcW w:w="2552" w:type="dxa"/>
            <w:vAlign w:val="top"/>
          </w:tcPr>
          <w:p>
            <w:pPr>
              <w:jc w:val="right"/>
              <w:rPr>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color w:val="000000"/>
                <w:kern w:val="0"/>
                <w:sz w:val="22"/>
                <w:szCs w:val="22"/>
                <w:u w:val="none"/>
                <w:lang w:val="en-US" w:eastAsia="zh-CN" w:bidi="ar"/>
              </w:rPr>
              <w:t>11</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30113</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住房公积金</w:t>
            </w:r>
          </w:p>
        </w:tc>
        <w:tc>
          <w:tcPr>
            <w:tcW w:w="2551" w:type="dxa"/>
            <w:vAlign w:val="top"/>
          </w:tcPr>
          <w:p>
            <w:pPr>
              <w:keepNext w:val="0"/>
              <w:keepLines w:val="0"/>
              <w:widowControl/>
              <w:suppressLineNumbers w:val="0"/>
              <w:jc w:val="right"/>
              <w:textAlignment w:val="top"/>
              <w:rPr>
                <w:rFonts w:hint="default"/>
                <w:sz w:val="24"/>
                <w:szCs w:val="24"/>
                <w:lang w:val="en-US"/>
              </w:rPr>
            </w:pPr>
            <w:r>
              <w:rPr>
                <w:sz w:val="24"/>
                <w:szCs w:val="24"/>
              </w:rPr>
              <w:t>82.76</w:t>
            </w:r>
          </w:p>
        </w:tc>
        <w:tc>
          <w:tcPr>
            <w:tcW w:w="2551" w:type="dxa"/>
            <w:vAlign w:val="top"/>
          </w:tcPr>
          <w:p>
            <w:pPr>
              <w:keepNext w:val="0"/>
              <w:keepLines w:val="0"/>
              <w:widowControl/>
              <w:suppressLineNumbers w:val="0"/>
              <w:jc w:val="right"/>
              <w:textAlignment w:val="top"/>
              <w:rPr>
                <w:sz w:val="24"/>
                <w:szCs w:val="24"/>
              </w:rPr>
            </w:pPr>
            <w:r>
              <w:rPr>
                <w:sz w:val="24"/>
                <w:szCs w:val="24"/>
              </w:rPr>
              <w:t>82.76</w:t>
            </w:r>
          </w:p>
        </w:tc>
        <w:tc>
          <w:tcPr>
            <w:tcW w:w="2552" w:type="dxa"/>
            <w:vAlign w:val="top"/>
          </w:tcPr>
          <w:p>
            <w:pPr>
              <w:jc w:val="right"/>
              <w:rPr>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color w:val="000000"/>
                <w:kern w:val="0"/>
                <w:sz w:val="22"/>
                <w:szCs w:val="22"/>
                <w:u w:val="none"/>
                <w:lang w:val="en-US" w:eastAsia="zh-CN" w:bidi="ar"/>
              </w:rPr>
              <w:t>12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商品和服务支出</w:t>
            </w:r>
          </w:p>
        </w:tc>
        <w:tc>
          <w:tcPr>
            <w:tcW w:w="2551" w:type="dxa"/>
            <w:vAlign w:val="top"/>
          </w:tcPr>
          <w:p>
            <w:pPr>
              <w:keepNext w:val="0"/>
              <w:keepLines w:val="0"/>
              <w:widowControl/>
              <w:suppressLineNumbers w:val="0"/>
              <w:jc w:val="right"/>
              <w:textAlignment w:val="top"/>
              <w:rPr>
                <w:rFonts w:hint="default"/>
                <w:sz w:val="24"/>
                <w:szCs w:val="24"/>
                <w:lang w:val="en-US"/>
              </w:rPr>
            </w:pPr>
            <w:r>
              <w:rPr>
                <w:rFonts w:hint="eastAsia" w:ascii="Calibri" w:hAnsi="Calibri" w:eastAsia="宋体" w:cs="Calibri"/>
                <w:i w:val="0"/>
                <w:color w:val="000000"/>
                <w:kern w:val="0"/>
                <w:sz w:val="24"/>
                <w:szCs w:val="24"/>
                <w:u w:val="none"/>
                <w:lang w:val="en-US" w:eastAsia="zh-CN" w:bidi="ar"/>
              </w:rPr>
              <w:t>285.62</w:t>
            </w:r>
          </w:p>
        </w:tc>
        <w:tc>
          <w:tcPr>
            <w:tcW w:w="2551" w:type="dxa"/>
            <w:vAlign w:val="top"/>
          </w:tcPr>
          <w:p>
            <w:pPr>
              <w:jc w:val="right"/>
              <w:rPr>
                <w:sz w:val="24"/>
                <w:szCs w:val="24"/>
              </w:rPr>
            </w:pPr>
          </w:p>
        </w:tc>
        <w:tc>
          <w:tcPr>
            <w:tcW w:w="2552" w:type="dxa"/>
            <w:vAlign w:val="top"/>
          </w:tcPr>
          <w:p>
            <w:pPr>
              <w:keepNext w:val="0"/>
              <w:keepLines w:val="0"/>
              <w:widowControl/>
              <w:suppressLineNumbers w:val="0"/>
              <w:jc w:val="right"/>
              <w:textAlignment w:val="top"/>
              <w:rPr>
                <w:rFonts w:hint="default"/>
                <w:sz w:val="24"/>
                <w:szCs w:val="24"/>
                <w:lang w:val="en-US"/>
              </w:rPr>
            </w:pPr>
            <w:r>
              <w:rPr>
                <w:rFonts w:hint="eastAsia" w:ascii="Calibri" w:hAnsi="Calibri" w:eastAsia="宋体" w:cs="Calibri"/>
                <w:i w:val="0"/>
                <w:color w:val="000000"/>
                <w:kern w:val="0"/>
                <w:sz w:val="24"/>
                <w:szCs w:val="24"/>
                <w:u w:val="none"/>
                <w:lang w:val="en-US" w:eastAsia="zh-CN" w:bidi="ar"/>
              </w:rPr>
              <w:t>285.62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color w:val="000000"/>
                <w:kern w:val="0"/>
                <w:sz w:val="22"/>
                <w:szCs w:val="22"/>
                <w:u w:val="none"/>
                <w:lang w:val="en-US" w:eastAsia="zh-CN" w:bidi="ar"/>
              </w:rPr>
              <w:t>13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办公费</w:t>
            </w:r>
          </w:p>
        </w:tc>
        <w:tc>
          <w:tcPr>
            <w:tcW w:w="2551" w:type="dxa"/>
            <w:vAlign w:val="top"/>
          </w:tcPr>
          <w:p>
            <w:pPr>
              <w:keepNext w:val="0"/>
              <w:keepLines w:val="0"/>
              <w:widowControl/>
              <w:suppressLineNumbers w:val="0"/>
              <w:jc w:val="right"/>
              <w:textAlignment w:val="top"/>
              <w:rPr>
                <w:rFonts w:hint="default"/>
                <w:sz w:val="24"/>
                <w:szCs w:val="24"/>
                <w:lang w:val="en-US"/>
              </w:rPr>
            </w:pPr>
            <w:r>
              <w:rPr>
                <w:rFonts w:hint="eastAsia" w:ascii="Calibri" w:hAnsi="Calibri" w:eastAsia="宋体" w:cs="Calibri"/>
                <w:i w:val="0"/>
                <w:color w:val="000000"/>
                <w:kern w:val="0"/>
                <w:sz w:val="24"/>
                <w:szCs w:val="24"/>
                <w:u w:val="none"/>
                <w:lang w:val="en-US" w:eastAsia="zh-CN" w:bidi="ar"/>
              </w:rPr>
              <w:t>37.94</w:t>
            </w:r>
          </w:p>
        </w:tc>
        <w:tc>
          <w:tcPr>
            <w:tcW w:w="2551" w:type="dxa"/>
            <w:vAlign w:val="top"/>
          </w:tcPr>
          <w:p>
            <w:pPr>
              <w:jc w:val="right"/>
              <w:rPr>
                <w:sz w:val="24"/>
                <w:szCs w:val="24"/>
              </w:rPr>
            </w:pPr>
          </w:p>
        </w:tc>
        <w:tc>
          <w:tcPr>
            <w:tcW w:w="2552"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37.94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color w:val="000000"/>
                <w:kern w:val="0"/>
                <w:sz w:val="22"/>
                <w:szCs w:val="22"/>
                <w:u w:val="none"/>
                <w:lang w:val="en-US" w:eastAsia="zh-CN" w:bidi="ar"/>
              </w:rPr>
              <w:t>14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30207</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邮电费</w:t>
            </w:r>
          </w:p>
        </w:tc>
        <w:tc>
          <w:tcPr>
            <w:tcW w:w="2551" w:type="dxa"/>
            <w:vAlign w:val="top"/>
          </w:tcPr>
          <w:p>
            <w:pPr>
              <w:keepNext w:val="0"/>
              <w:keepLines w:val="0"/>
              <w:widowControl/>
              <w:suppressLineNumbers w:val="0"/>
              <w:jc w:val="right"/>
              <w:textAlignment w:val="top"/>
              <w:rPr>
                <w:sz w:val="24"/>
                <w:szCs w:val="24"/>
              </w:rPr>
            </w:pPr>
            <w:r>
              <w:rPr>
                <w:rFonts w:hint="default" w:ascii="Calibri" w:hAnsi="Calibri" w:eastAsia="宋体" w:cs="Calibri"/>
                <w:i w:val="0"/>
                <w:color w:val="000000"/>
                <w:kern w:val="0"/>
                <w:sz w:val="24"/>
                <w:szCs w:val="24"/>
                <w:u w:val="none"/>
                <w:lang w:val="en-US" w:eastAsia="zh-CN" w:bidi="ar"/>
              </w:rPr>
              <w:t>0.60</w:t>
            </w:r>
          </w:p>
        </w:tc>
        <w:tc>
          <w:tcPr>
            <w:tcW w:w="2551" w:type="dxa"/>
            <w:vAlign w:val="top"/>
          </w:tcPr>
          <w:p>
            <w:pPr>
              <w:jc w:val="right"/>
              <w:rPr>
                <w:sz w:val="24"/>
                <w:szCs w:val="24"/>
              </w:rPr>
            </w:pPr>
          </w:p>
        </w:tc>
        <w:tc>
          <w:tcPr>
            <w:tcW w:w="2552" w:type="dxa"/>
            <w:vAlign w:val="top"/>
          </w:tcPr>
          <w:p>
            <w:pPr>
              <w:keepNext w:val="0"/>
              <w:keepLines w:val="0"/>
              <w:widowControl/>
              <w:suppressLineNumbers w:val="0"/>
              <w:jc w:val="right"/>
              <w:textAlignment w:val="top"/>
              <w:rPr>
                <w:sz w:val="24"/>
                <w:szCs w:val="24"/>
              </w:rPr>
            </w:pPr>
            <w:r>
              <w:rPr>
                <w:rFonts w:hint="default" w:ascii="Calibri" w:hAnsi="Calibri" w:eastAsia="宋体" w:cs="Calibri"/>
                <w:i w:val="0"/>
                <w:color w:val="000000"/>
                <w:kern w:val="0"/>
                <w:sz w:val="24"/>
                <w:szCs w:val="24"/>
                <w:u w:val="none"/>
                <w:lang w:val="en-US" w:eastAsia="zh-CN" w:bidi="ar"/>
              </w:rP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color w:val="000000"/>
                <w:kern w:val="0"/>
                <w:sz w:val="22"/>
                <w:szCs w:val="22"/>
                <w:u w:val="none"/>
                <w:lang w:val="en-US" w:eastAsia="zh-CN" w:bidi="ar"/>
              </w:rPr>
              <w:t>15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30208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取暖费</w:t>
            </w:r>
          </w:p>
        </w:tc>
        <w:tc>
          <w:tcPr>
            <w:tcW w:w="2551" w:type="dxa"/>
            <w:vAlign w:val="top"/>
          </w:tcPr>
          <w:p>
            <w:pPr>
              <w:keepNext w:val="0"/>
              <w:keepLines w:val="0"/>
              <w:widowControl/>
              <w:suppressLineNumbers w:val="0"/>
              <w:jc w:val="right"/>
              <w:textAlignment w:val="top"/>
              <w:rPr>
                <w:sz w:val="24"/>
                <w:szCs w:val="24"/>
              </w:rPr>
            </w:pPr>
            <w:r>
              <w:rPr>
                <w:rFonts w:hint="default" w:ascii="Calibri" w:hAnsi="Calibri" w:eastAsia="宋体" w:cs="Calibri"/>
                <w:i w:val="0"/>
                <w:color w:val="000000"/>
                <w:kern w:val="0"/>
                <w:sz w:val="24"/>
                <w:szCs w:val="24"/>
                <w:u w:val="none"/>
                <w:lang w:val="en-US" w:eastAsia="zh-CN" w:bidi="ar"/>
              </w:rPr>
              <w:t>17.27</w:t>
            </w:r>
          </w:p>
        </w:tc>
        <w:tc>
          <w:tcPr>
            <w:tcW w:w="2551" w:type="dxa"/>
            <w:vAlign w:val="top"/>
          </w:tcPr>
          <w:p>
            <w:pPr>
              <w:jc w:val="right"/>
              <w:rPr>
                <w:sz w:val="24"/>
                <w:szCs w:val="24"/>
              </w:rPr>
            </w:pPr>
          </w:p>
        </w:tc>
        <w:tc>
          <w:tcPr>
            <w:tcW w:w="2552" w:type="dxa"/>
            <w:vAlign w:val="top"/>
          </w:tcPr>
          <w:p>
            <w:pPr>
              <w:keepNext w:val="0"/>
              <w:keepLines w:val="0"/>
              <w:widowControl/>
              <w:suppressLineNumbers w:val="0"/>
              <w:jc w:val="right"/>
              <w:textAlignment w:val="top"/>
              <w:rPr>
                <w:sz w:val="24"/>
                <w:szCs w:val="24"/>
              </w:rPr>
            </w:pPr>
            <w:r>
              <w:rPr>
                <w:rFonts w:hint="default" w:ascii="Calibri" w:hAnsi="Calibri" w:eastAsia="宋体" w:cs="Calibri"/>
                <w:i w:val="0"/>
                <w:color w:val="000000"/>
                <w:kern w:val="0"/>
                <w:sz w:val="24"/>
                <w:szCs w:val="24"/>
                <w:u w:val="none"/>
                <w:lang w:val="en-US" w:eastAsia="zh-CN" w:bidi="ar"/>
              </w:rPr>
              <w:t>17.27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color w:val="000000"/>
                <w:kern w:val="0"/>
                <w:sz w:val="22"/>
                <w:szCs w:val="22"/>
                <w:u w:val="none"/>
                <w:lang w:val="en-US" w:eastAsia="zh-CN" w:bidi="ar"/>
              </w:rPr>
              <w:t>16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30211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差旅费</w:t>
            </w:r>
          </w:p>
        </w:tc>
        <w:tc>
          <w:tcPr>
            <w:tcW w:w="2551" w:type="dxa"/>
            <w:vAlign w:val="top"/>
          </w:tcPr>
          <w:p>
            <w:pPr>
              <w:keepNext w:val="0"/>
              <w:keepLines w:val="0"/>
              <w:widowControl/>
              <w:suppressLineNumbers w:val="0"/>
              <w:jc w:val="right"/>
              <w:textAlignment w:val="top"/>
              <w:rPr>
                <w:rFonts w:hint="default"/>
                <w:sz w:val="24"/>
                <w:szCs w:val="24"/>
                <w:lang w:val="en-US"/>
              </w:rPr>
            </w:pPr>
            <w:r>
              <w:rPr>
                <w:rFonts w:hint="eastAsia" w:ascii="Calibri" w:hAnsi="Calibri" w:eastAsia="宋体" w:cs="Calibri"/>
                <w:i w:val="0"/>
                <w:color w:val="000000"/>
                <w:kern w:val="0"/>
                <w:sz w:val="24"/>
                <w:szCs w:val="24"/>
                <w:u w:val="none"/>
                <w:lang w:val="en-US" w:eastAsia="zh-CN" w:bidi="ar"/>
              </w:rPr>
              <w:t>17.70</w:t>
            </w:r>
          </w:p>
        </w:tc>
        <w:tc>
          <w:tcPr>
            <w:tcW w:w="2551" w:type="dxa"/>
            <w:vAlign w:val="top"/>
          </w:tcPr>
          <w:p>
            <w:pPr>
              <w:jc w:val="right"/>
              <w:rPr>
                <w:sz w:val="24"/>
                <w:szCs w:val="24"/>
              </w:rPr>
            </w:pPr>
          </w:p>
        </w:tc>
        <w:tc>
          <w:tcPr>
            <w:tcW w:w="2552"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17.70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color w:val="000000"/>
                <w:kern w:val="0"/>
                <w:sz w:val="22"/>
                <w:szCs w:val="22"/>
                <w:u w:val="none"/>
                <w:lang w:val="en-US" w:eastAsia="zh-CN" w:bidi="ar"/>
              </w:rPr>
              <w:t>17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30217</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公务接待费</w:t>
            </w:r>
          </w:p>
        </w:tc>
        <w:tc>
          <w:tcPr>
            <w:tcW w:w="2551" w:type="dxa"/>
            <w:vAlign w:val="top"/>
          </w:tcPr>
          <w:p>
            <w:pPr>
              <w:keepNext w:val="0"/>
              <w:keepLines w:val="0"/>
              <w:widowControl/>
              <w:suppressLineNumbers w:val="0"/>
              <w:jc w:val="right"/>
              <w:textAlignment w:val="top"/>
              <w:rPr>
                <w:rFonts w:hint="default"/>
                <w:sz w:val="24"/>
                <w:szCs w:val="24"/>
                <w:lang w:val="en-US"/>
              </w:rPr>
            </w:pPr>
            <w:r>
              <w:rPr>
                <w:rFonts w:hint="eastAsia" w:ascii="Calibri" w:hAnsi="Calibri" w:eastAsia="宋体" w:cs="Calibri"/>
                <w:i w:val="0"/>
                <w:color w:val="000000"/>
                <w:kern w:val="0"/>
                <w:sz w:val="24"/>
                <w:szCs w:val="24"/>
                <w:u w:val="none"/>
                <w:lang w:val="en-US" w:eastAsia="zh-CN" w:bidi="ar"/>
              </w:rPr>
              <w:t>1.00</w:t>
            </w:r>
          </w:p>
        </w:tc>
        <w:tc>
          <w:tcPr>
            <w:tcW w:w="2551" w:type="dxa"/>
            <w:vAlign w:val="top"/>
          </w:tcPr>
          <w:p>
            <w:pPr>
              <w:jc w:val="right"/>
              <w:rPr>
                <w:sz w:val="24"/>
                <w:szCs w:val="24"/>
              </w:rPr>
            </w:pPr>
          </w:p>
        </w:tc>
        <w:tc>
          <w:tcPr>
            <w:tcW w:w="2552"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color w:val="000000"/>
                <w:kern w:val="0"/>
                <w:sz w:val="22"/>
                <w:szCs w:val="22"/>
                <w:u w:val="none"/>
                <w:lang w:val="en-US" w:eastAsia="zh-CN" w:bidi="ar"/>
              </w:rPr>
              <w:t>18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30226</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劳务费</w:t>
            </w:r>
          </w:p>
        </w:tc>
        <w:tc>
          <w:tcPr>
            <w:tcW w:w="2551" w:type="dxa"/>
            <w:vAlign w:val="top"/>
          </w:tcPr>
          <w:p>
            <w:pPr>
              <w:keepNext w:val="0"/>
              <w:keepLines w:val="0"/>
              <w:widowControl/>
              <w:suppressLineNumbers w:val="0"/>
              <w:jc w:val="right"/>
              <w:textAlignment w:val="top"/>
              <w:rPr>
                <w:rFonts w:hint="default"/>
                <w:sz w:val="24"/>
                <w:szCs w:val="24"/>
                <w:lang w:val="en-US"/>
              </w:rPr>
            </w:pPr>
            <w:r>
              <w:rPr>
                <w:rFonts w:hint="eastAsia" w:ascii="Calibri" w:hAnsi="Calibri" w:eastAsia="宋体" w:cs="Calibri"/>
                <w:i w:val="0"/>
                <w:color w:val="000000"/>
                <w:kern w:val="0"/>
                <w:sz w:val="24"/>
                <w:szCs w:val="24"/>
                <w:u w:val="none"/>
                <w:lang w:val="en-US" w:eastAsia="zh-CN" w:bidi="ar"/>
              </w:rPr>
              <w:t>95.47</w:t>
            </w:r>
          </w:p>
        </w:tc>
        <w:tc>
          <w:tcPr>
            <w:tcW w:w="2551" w:type="dxa"/>
            <w:vAlign w:val="top"/>
          </w:tcPr>
          <w:p>
            <w:pPr>
              <w:jc w:val="right"/>
              <w:rPr>
                <w:sz w:val="24"/>
                <w:szCs w:val="24"/>
              </w:rPr>
            </w:pPr>
          </w:p>
        </w:tc>
        <w:tc>
          <w:tcPr>
            <w:tcW w:w="2552"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95.47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eastAsia="宋体"/>
                <w:lang w:val="en-US" w:eastAsia="zh-CN"/>
              </w:rPr>
            </w:pPr>
            <w:r>
              <w:rPr>
                <w:rFonts w:hint="eastAsia" w:eastAsia="宋体"/>
                <w:lang w:val="en-US" w:eastAsia="zh-CN"/>
              </w:rPr>
              <w:t>19</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30228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工会经费</w:t>
            </w:r>
          </w:p>
        </w:tc>
        <w:tc>
          <w:tcPr>
            <w:tcW w:w="2551" w:type="dxa"/>
            <w:vAlign w:val="top"/>
          </w:tcPr>
          <w:p>
            <w:pPr>
              <w:keepNext w:val="0"/>
              <w:keepLines w:val="0"/>
              <w:widowControl/>
              <w:suppressLineNumbers w:val="0"/>
              <w:jc w:val="right"/>
              <w:textAlignment w:val="top"/>
              <w:rPr>
                <w:rFonts w:hint="default"/>
                <w:sz w:val="24"/>
                <w:szCs w:val="24"/>
                <w:lang w:val="en-US"/>
              </w:rPr>
            </w:pPr>
            <w:r>
              <w:rPr>
                <w:rFonts w:hint="eastAsia" w:ascii="Calibri" w:hAnsi="Calibri" w:eastAsia="宋体" w:cs="Calibri"/>
                <w:i w:val="0"/>
                <w:color w:val="000000"/>
                <w:kern w:val="0"/>
                <w:sz w:val="24"/>
                <w:szCs w:val="24"/>
                <w:u w:val="none"/>
                <w:lang w:val="en-US" w:eastAsia="zh-CN" w:bidi="ar"/>
              </w:rPr>
              <w:t>15.45</w:t>
            </w:r>
          </w:p>
        </w:tc>
        <w:tc>
          <w:tcPr>
            <w:tcW w:w="2551" w:type="dxa"/>
            <w:vAlign w:val="top"/>
          </w:tcPr>
          <w:p>
            <w:pPr>
              <w:jc w:val="right"/>
              <w:rPr>
                <w:sz w:val="24"/>
                <w:szCs w:val="24"/>
              </w:rPr>
            </w:pPr>
          </w:p>
        </w:tc>
        <w:tc>
          <w:tcPr>
            <w:tcW w:w="2552"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15.45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20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30229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福利费</w:t>
            </w:r>
          </w:p>
        </w:tc>
        <w:tc>
          <w:tcPr>
            <w:tcW w:w="2551" w:type="dxa"/>
            <w:vAlign w:val="top"/>
          </w:tcPr>
          <w:p>
            <w:pPr>
              <w:keepNext w:val="0"/>
              <w:keepLines w:val="0"/>
              <w:widowControl/>
              <w:suppressLineNumbers w:val="0"/>
              <w:jc w:val="right"/>
              <w:textAlignment w:val="top"/>
              <w:rPr>
                <w:rFonts w:hint="default"/>
                <w:sz w:val="24"/>
                <w:szCs w:val="24"/>
                <w:lang w:val="en-US"/>
              </w:rPr>
            </w:pPr>
            <w:r>
              <w:rPr>
                <w:rFonts w:hint="eastAsia" w:ascii="Calibri" w:hAnsi="Calibri" w:eastAsia="宋体" w:cs="Calibri"/>
                <w:i w:val="0"/>
                <w:color w:val="000000"/>
                <w:kern w:val="0"/>
                <w:sz w:val="24"/>
                <w:szCs w:val="24"/>
                <w:u w:val="none"/>
                <w:lang w:val="en-US" w:eastAsia="zh-CN" w:bidi="ar"/>
              </w:rPr>
              <w:t>27.63</w:t>
            </w:r>
          </w:p>
        </w:tc>
        <w:tc>
          <w:tcPr>
            <w:tcW w:w="2551" w:type="dxa"/>
            <w:vAlign w:val="top"/>
          </w:tcPr>
          <w:p>
            <w:pPr>
              <w:jc w:val="right"/>
              <w:rPr>
                <w:sz w:val="24"/>
                <w:szCs w:val="24"/>
              </w:rPr>
            </w:pPr>
          </w:p>
        </w:tc>
        <w:tc>
          <w:tcPr>
            <w:tcW w:w="2552"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27.63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color w:val="000000"/>
                <w:kern w:val="0"/>
                <w:sz w:val="22"/>
                <w:szCs w:val="22"/>
                <w:u w:val="none"/>
                <w:lang w:val="en-US" w:eastAsia="zh-CN" w:bidi="ar"/>
              </w:rPr>
              <w:t>21</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30231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公务用车运行维护费</w:t>
            </w:r>
          </w:p>
        </w:tc>
        <w:tc>
          <w:tcPr>
            <w:tcW w:w="2551" w:type="dxa"/>
            <w:vAlign w:val="top"/>
          </w:tcPr>
          <w:p>
            <w:pPr>
              <w:keepNext w:val="0"/>
              <w:keepLines w:val="0"/>
              <w:widowControl/>
              <w:suppressLineNumbers w:val="0"/>
              <w:jc w:val="right"/>
              <w:textAlignment w:val="top"/>
              <w:rPr>
                <w:sz w:val="24"/>
                <w:szCs w:val="24"/>
              </w:rPr>
            </w:pPr>
            <w:r>
              <w:rPr>
                <w:rFonts w:hint="default" w:ascii="Calibri" w:hAnsi="Calibri" w:eastAsia="宋体" w:cs="Calibri"/>
                <w:i w:val="0"/>
                <w:color w:val="000000"/>
                <w:kern w:val="0"/>
                <w:sz w:val="24"/>
                <w:szCs w:val="24"/>
                <w:u w:val="none"/>
                <w:lang w:val="en-US" w:eastAsia="zh-CN" w:bidi="ar"/>
              </w:rPr>
              <w:t>3</w:t>
            </w:r>
            <w:r>
              <w:rPr>
                <w:rFonts w:hint="eastAsia" w:ascii="Calibri" w:hAnsi="Calibri" w:eastAsia="宋体" w:cs="Calibri"/>
                <w:i w:val="0"/>
                <w:color w:val="000000"/>
                <w:kern w:val="0"/>
                <w:sz w:val="24"/>
                <w:szCs w:val="24"/>
                <w:u w:val="none"/>
                <w:lang w:val="en-US" w:eastAsia="zh-CN" w:bidi="ar"/>
              </w:rPr>
              <w:t>4</w:t>
            </w:r>
            <w:r>
              <w:rPr>
                <w:rFonts w:hint="default" w:ascii="Calibri" w:hAnsi="Calibri" w:eastAsia="宋体" w:cs="Calibri"/>
                <w:i w:val="0"/>
                <w:color w:val="000000"/>
                <w:kern w:val="0"/>
                <w:sz w:val="24"/>
                <w:szCs w:val="24"/>
                <w:u w:val="none"/>
                <w:lang w:val="en-US" w:eastAsia="zh-CN" w:bidi="ar"/>
              </w:rPr>
              <w:t>.00</w:t>
            </w:r>
          </w:p>
        </w:tc>
        <w:tc>
          <w:tcPr>
            <w:tcW w:w="2551" w:type="dxa"/>
            <w:vAlign w:val="top"/>
          </w:tcPr>
          <w:p>
            <w:pPr>
              <w:jc w:val="right"/>
              <w:rPr>
                <w:sz w:val="24"/>
                <w:szCs w:val="24"/>
              </w:rPr>
            </w:pPr>
          </w:p>
        </w:tc>
        <w:tc>
          <w:tcPr>
            <w:tcW w:w="2552" w:type="dxa"/>
            <w:vAlign w:val="top"/>
          </w:tcPr>
          <w:p>
            <w:pPr>
              <w:keepNext w:val="0"/>
              <w:keepLines w:val="0"/>
              <w:widowControl/>
              <w:suppressLineNumbers w:val="0"/>
              <w:jc w:val="right"/>
              <w:textAlignment w:val="top"/>
              <w:rPr>
                <w:sz w:val="24"/>
                <w:szCs w:val="24"/>
              </w:rPr>
            </w:pPr>
            <w:r>
              <w:rPr>
                <w:rFonts w:hint="default" w:ascii="Calibri" w:hAnsi="Calibri" w:eastAsia="宋体" w:cs="Calibri"/>
                <w:i w:val="0"/>
                <w:color w:val="000000"/>
                <w:kern w:val="0"/>
                <w:sz w:val="24"/>
                <w:szCs w:val="24"/>
                <w:u w:val="none"/>
                <w:lang w:val="en-US" w:eastAsia="zh-CN" w:bidi="ar"/>
              </w:rPr>
              <w:t>3</w:t>
            </w:r>
            <w:r>
              <w:rPr>
                <w:rFonts w:hint="eastAsia" w:ascii="Calibri" w:hAnsi="Calibri" w:eastAsia="宋体" w:cs="Calibri"/>
                <w:i w:val="0"/>
                <w:color w:val="000000"/>
                <w:kern w:val="0"/>
                <w:sz w:val="24"/>
                <w:szCs w:val="24"/>
                <w:u w:val="none"/>
                <w:lang w:val="en-US" w:eastAsia="zh-CN" w:bidi="ar"/>
              </w:rPr>
              <w:t>4</w:t>
            </w:r>
            <w:r>
              <w:rPr>
                <w:rFonts w:hint="default" w:ascii="Calibri" w:hAnsi="Calibri" w:eastAsia="宋体" w:cs="Calibri"/>
                <w:i w:val="0"/>
                <w:color w:val="000000"/>
                <w:kern w:val="0"/>
                <w:sz w:val="24"/>
                <w:szCs w:val="24"/>
                <w:u w:val="none"/>
                <w:lang w:val="en-US" w:eastAsia="zh-CN" w:bidi="ar"/>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22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30239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其他交通费用</w:t>
            </w:r>
          </w:p>
        </w:tc>
        <w:tc>
          <w:tcPr>
            <w:tcW w:w="2551" w:type="dxa"/>
            <w:vAlign w:val="top"/>
          </w:tcPr>
          <w:p>
            <w:pPr>
              <w:keepNext w:val="0"/>
              <w:keepLines w:val="0"/>
              <w:widowControl/>
              <w:suppressLineNumbers w:val="0"/>
              <w:jc w:val="right"/>
              <w:textAlignment w:val="top"/>
              <w:rPr>
                <w:rFonts w:hint="default"/>
                <w:sz w:val="24"/>
                <w:szCs w:val="24"/>
                <w:lang w:val="en-US"/>
              </w:rPr>
            </w:pPr>
            <w:r>
              <w:rPr>
                <w:rFonts w:hint="eastAsia" w:ascii="Calibri" w:hAnsi="Calibri" w:eastAsia="宋体" w:cs="Calibri"/>
                <w:i w:val="0"/>
                <w:color w:val="000000"/>
                <w:kern w:val="0"/>
                <w:sz w:val="24"/>
                <w:szCs w:val="24"/>
                <w:u w:val="none"/>
                <w:lang w:val="en-US" w:eastAsia="zh-CN" w:bidi="ar"/>
              </w:rPr>
              <w:t>36.36</w:t>
            </w:r>
          </w:p>
        </w:tc>
        <w:tc>
          <w:tcPr>
            <w:tcW w:w="2551" w:type="dxa"/>
            <w:vAlign w:val="top"/>
          </w:tcPr>
          <w:p>
            <w:pPr>
              <w:jc w:val="right"/>
              <w:rPr>
                <w:sz w:val="24"/>
                <w:szCs w:val="24"/>
              </w:rPr>
            </w:pPr>
          </w:p>
        </w:tc>
        <w:tc>
          <w:tcPr>
            <w:tcW w:w="2552"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36.36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23</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30299</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cs="Calibri"/>
                <w:i w:val="0"/>
                <w:color w:val="000000"/>
                <w:kern w:val="0"/>
                <w:sz w:val="22"/>
                <w:szCs w:val="22"/>
                <w:u w:val="none"/>
                <w:lang w:val="en-US" w:eastAsia="zh-CN" w:bidi="ar"/>
              </w:rPr>
              <w:t>离退休人员公用经费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4"/>
                <w:szCs w:val="24"/>
                <w:u w:val="none"/>
                <w:lang w:val="en-US" w:eastAsia="zh-CN" w:bidi="ar"/>
              </w:rPr>
            </w:pPr>
            <w:r>
              <w:rPr>
                <w:rFonts w:hint="eastAsia" w:ascii="Calibri" w:hAnsi="Calibri" w:eastAsia="宋体" w:cs="Calibri"/>
                <w:i w:val="0"/>
                <w:color w:val="000000"/>
                <w:kern w:val="0"/>
                <w:sz w:val="24"/>
                <w:szCs w:val="24"/>
                <w:u w:val="none"/>
                <w:lang w:val="en-US" w:eastAsia="zh-CN" w:bidi="ar"/>
              </w:rPr>
              <w:t>2.20</w:t>
            </w:r>
          </w:p>
        </w:tc>
        <w:tc>
          <w:tcPr>
            <w:tcW w:w="2551" w:type="dxa"/>
            <w:vAlign w:val="top"/>
          </w:tcPr>
          <w:p>
            <w:pPr>
              <w:jc w:val="right"/>
              <w:rPr>
                <w:sz w:val="24"/>
                <w:szCs w:val="24"/>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4"/>
                <w:szCs w:val="24"/>
                <w:u w:val="none"/>
                <w:lang w:val="en-US" w:eastAsia="zh-CN" w:bidi="ar"/>
              </w:rPr>
            </w:pPr>
            <w:r>
              <w:rPr>
                <w:rFonts w:hint="eastAsia" w:ascii="Calibri" w:hAnsi="Calibri" w:eastAsia="宋体" w:cs="Calibri"/>
                <w:i w:val="0"/>
                <w:color w:val="000000"/>
                <w:kern w:val="0"/>
                <w:sz w:val="24"/>
                <w:szCs w:val="24"/>
                <w:u w:val="none"/>
                <w:lang w:val="en-US" w:eastAsia="zh-CN" w:bidi="ar"/>
              </w:rPr>
              <w:t>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24</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303</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对个人和家庭的补助</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4"/>
                <w:szCs w:val="24"/>
                <w:u w:val="none"/>
                <w:lang w:val="en-US" w:eastAsia="zh-CN" w:bidi="ar"/>
              </w:rPr>
            </w:pPr>
            <w:r>
              <w:rPr>
                <w:rFonts w:hint="eastAsia" w:ascii="Calibri" w:hAnsi="Calibri" w:eastAsia="宋体" w:cs="Calibri"/>
                <w:i w:val="0"/>
                <w:color w:val="000000"/>
                <w:kern w:val="0"/>
                <w:sz w:val="24"/>
                <w:szCs w:val="24"/>
                <w:u w:val="none"/>
                <w:lang w:val="en-US" w:eastAsia="zh-CN" w:bidi="ar"/>
              </w:rPr>
              <w:t>9.59</w:t>
            </w:r>
          </w:p>
        </w:tc>
        <w:tc>
          <w:tcPr>
            <w:tcW w:w="2551" w:type="dxa"/>
            <w:vAlign w:val="top"/>
          </w:tcPr>
          <w:p>
            <w:pPr>
              <w:keepNext w:val="0"/>
              <w:keepLines w:val="0"/>
              <w:widowControl/>
              <w:suppressLineNumbers w:val="0"/>
              <w:jc w:val="right"/>
              <w:textAlignment w:val="top"/>
              <w:rPr>
                <w:rFonts w:hint="default"/>
                <w:sz w:val="24"/>
                <w:szCs w:val="24"/>
                <w:lang w:val="en-US"/>
              </w:rPr>
            </w:pPr>
            <w:r>
              <w:rPr>
                <w:rFonts w:hint="eastAsia" w:ascii="Calibri" w:hAnsi="Calibri" w:eastAsia="宋体" w:cs="Calibri"/>
                <w:i w:val="0"/>
                <w:color w:val="000000"/>
                <w:kern w:val="0"/>
                <w:sz w:val="24"/>
                <w:szCs w:val="24"/>
                <w:u w:val="none"/>
                <w:lang w:val="en-US" w:eastAsia="zh-CN" w:bidi="ar"/>
              </w:rPr>
              <w:t>9.59</w:t>
            </w: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4"/>
                <w:szCs w:val="24"/>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25</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30305</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生活补助</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4"/>
                <w:szCs w:val="24"/>
                <w:u w:val="none"/>
                <w:lang w:val="en-US" w:eastAsia="zh-CN" w:bidi="ar"/>
              </w:rPr>
            </w:pPr>
            <w:r>
              <w:rPr>
                <w:rFonts w:hint="eastAsia" w:ascii="Calibri" w:hAnsi="Calibri" w:eastAsia="宋体" w:cs="Calibri"/>
                <w:i w:val="0"/>
                <w:color w:val="000000"/>
                <w:kern w:val="0"/>
                <w:sz w:val="24"/>
                <w:szCs w:val="24"/>
                <w:u w:val="none"/>
                <w:lang w:val="en-US" w:eastAsia="zh-CN" w:bidi="ar"/>
              </w:rPr>
              <w:t>9.59</w:t>
            </w:r>
          </w:p>
        </w:tc>
        <w:tc>
          <w:tcPr>
            <w:tcW w:w="2551" w:type="dxa"/>
            <w:vAlign w:val="top"/>
          </w:tcPr>
          <w:p>
            <w:pPr>
              <w:keepNext w:val="0"/>
              <w:keepLines w:val="0"/>
              <w:widowControl/>
              <w:suppressLineNumbers w:val="0"/>
              <w:jc w:val="right"/>
              <w:textAlignment w:val="top"/>
              <w:rPr>
                <w:rFonts w:hint="default"/>
                <w:sz w:val="24"/>
                <w:szCs w:val="24"/>
                <w:lang w:val="en-US"/>
              </w:rPr>
            </w:pPr>
            <w:r>
              <w:rPr>
                <w:rFonts w:hint="eastAsia" w:ascii="Calibri" w:hAnsi="Calibri" w:eastAsia="宋体" w:cs="Calibri"/>
                <w:i w:val="0"/>
                <w:color w:val="000000"/>
                <w:kern w:val="0"/>
                <w:sz w:val="24"/>
                <w:szCs w:val="24"/>
                <w:u w:val="none"/>
                <w:lang w:val="en-US" w:eastAsia="zh-CN" w:bidi="ar"/>
              </w:rPr>
              <w:t>9.59</w:t>
            </w: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4"/>
                <w:szCs w:val="24"/>
                <w:u w:val="none"/>
                <w:lang w:val="en-US" w:eastAsia="zh-CN" w:bidi="ar"/>
              </w:rPr>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6" w:name="_Toc_2_2_0000000007"/>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6"/>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416001涞水县市场监督管理局本级</w:t>
            </w:r>
          </w:p>
        </w:tc>
        <w:tc>
          <w:tcPr>
            <w:tcW w:w="2551" w:type="dxa"/>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7"/>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416001涞水县市场监督管理局本级</w:t>
            </w:r>
          </w:p>
        </w:tc>
        <w:tc>
          <w:tcPr>
            <w:tcW w:w="2551" w:type="dxa"/>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bookmarkEnd w:id="8"/>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416001涞水县市场监督管理局本级</w:t>
            </w:r>
          </w:p>
        </w:tc>
        <w:tc>
          <w:tcPr>
            <w:tcW w:w="238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4</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5"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w:t>
            </w:r>
          </w:p>
        </w:tc>
        <w:tc>
          <w:tcPr>
            <w:tcW w:w="379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合计</w:t>
            </w:r>
          </w:p>
        </w:tc>
        <w:tc>
          <w:tcPr>
            <w:tcW w:w="2382" w:type="dxa"/>
            <w:vAlign w:val="top"/>
          </w:tcPr>
          <w:p>
            <w:pPr>
              <w:jc w:val="right"/>
              <w:rPr>
                <w:rFonts w:hint="default" w:eastAsia="宋体"/>
                <w:lang w:val="en-US" w:eastAsia="zh-CN"/>
              </w:rPr>
            </w:pPr>
            <w:r>
              <w:rPr>
                <w:rFonts w:hint="eastAsia" w:eastAsia="宋体"/>
                <w:lang w:val="en-US" w:eastAsia="zh-CN"/>
              </w:rPr>
              <w:t>79.00</w:t>
            </w:r>
          </w:p>
        </w:tc>
        <w:tc>
          <w:tcPr>
            <w:tcW w:w="2381" w:type="dxa"/>
            <w:vAlign w:val="top"/>
          </w:tcPr>
          <w:p>
            <w:pPr>
              <w:jc w:val="right"/>
              <w:rPr>
                <w:rFonts w:hint="default" w:eastAsia="宋体"/>
                <w:lang w:val="en-US" w:eastAsia="zh-CN"/>
              </w:rPr>
            </w:pPr>
            <w:r>
              <w:rPr>
                <w:rFonts w:hint="eastAsia" w:eastAsia="宋体"/>
                <w:lang w:val="en-US" w:eastAsia="zh-CN"/>
              </w:rPr>
              <w:t>79.00</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w:t>
            </w:r>
          </w:p>
        </w:tc>
        <w:tc>
          <w:tcPr>
            <w:tcW w:w="379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“三公”经费小计</w:t>
            </w:r>
          </w:p>
        </w:tc>
        <w:tc>
          <w:tcPr>
            <w:tcW w:w="2382" w:type="dxa"/>
            <w:vAlign w:val="top"/>
          </w:tcPr>
          <w:p>
            <w:pPr>
              <w:jc w:val="right"/>
              <w:rPr>
                <w:rFonts w:hint="default" w:eastAsia="宋体"/>
                <w:lang w:val="en-US" w:eastAsia="zh-CN"/>
              </w:rPr>
            </w:pPr>
            <w:r>
              <w:rPr>
                <w:rFonts w:hint="eastAsia" w:eastAsia="宋体"/>
                <w:lang w:val="en-US" w:eastAsia="zh-CN"/>
              </w:rPr>
              <w:t>79.00</w:t>
            </w:r>
          </w:p>
        </w:tc>
        <w:tc>
          <w:tcPr>
            <w:tcW w:w="2381" w:type="dxa"/>
            <w:vAlign w:val="top"/>
          </w:tcPr>
          <w:p>
            <w:pPr>
              <w:jc w:val="right"/>
              <w:rPr>
                <w:rFonts w:hint="default" w:eastAsia="宋体"/>
                <w:lang w:val="en-US" w:eastAsia="zh-CN"/>
              </w:rPr>
            </w:pPr>
            <w:r>
              <w:rPr>
                <w:rFonts w:hint="eastAsia" w:eastAsia="宋体"/>
                <w:lang w:val="en-US" w:eastAsia="zh-CN"/>
              </w:rPr>
              <w:t>79.00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w:t>
            </w:r>
          </w:p>
        </w:tc>
        <w:tc>
          <w:tcPr>
            <w:tcW w:w="379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一、因公出国（境）费</w:t>
            </w:r>
          </w:p>
        </w:tc>
        <w:tc>
          <w:tcPr>
            <w:tcW w:w="2382" w:type="dxa"/>
            <w:vAlign w:val="top"/>
          </w:tcPr>
          <w:p>
            <w:pPr>
              <w:jc w:val="right"/>
            </w:pPr>
          </w:p>
        </w:tc>
        <w:tc>
          <w:tcPr>
            <w:tcW w:w="2381" w:type="dxa"/>
            <w:vAlign w:val="top"/>
          </w:tcPr>
          <w:p>
            <w:pPr>
              <w:jc w:val="right"/>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4</w:t>
            </w:r>
          </w:p>
        </w:tc>
        <w:tc>
          <w:tcPr>
            <w:tcW w:w="379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 xml:space="preserve">    其中：教学科研人员因公出国（境）费</w:t>
            </w:r>
          </w:p>
        </w:tc>
        <w:tc>
          <w:tcPr>
            <w:tcW w:w="2382" w:type="dxa"/>
            <w:vAlign w:val="top"/>
          </w:tcPr>
          <w:p>
            <w:pPr>
              <w:jc w:val="right"/>
            </w:pPr>
          </w:p>
        </w:tc>
        <w:tc>
          <w:tcPr>
            <w:tcW w:w="2381" w:type="dxa"/>
            <w:vAlign w:val="top"/>
          </w:tcPr>
          <w:p>
            <w:pPr>
              <w:jc w:val="right"/>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5</w:t>
            </w:r>
          </w:p>
        </w:tc>
        <w:tc>
          <w:tcPr>
            <w:tcW w:w="379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 xml:space="preserve">          其他因公出国（境）费</w:t>
            </w:r>
          </w:p>
        </w:tc>
        <w:tc>
          <w:tcPr>
            <w:tcW w:w="2382" w:type="dxa"/>
            <w:vAlign w:val="top"/>
          </w:tcPr>
          <w:p>
            <w:pPr>
              <w:jc w:val="right"/>
            </w:pPr>
          </w:p>
        </w:tc>
        <w:tc>
          <w:tcPr>
            <w:tcW w:w="2381" w:type="dxa"/>
            <w:vAlign w:val="top"/>
          </w:tcPr>
          <w:p>
            <w:pPr>
              <w:jc w:val="right"/>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6</w:t>
            </w:r>
          </w:p>
        </w:tc>
        <w:tc>
          <w:tcPr>
            <w:tcW w:w="379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二、公务用车购置及运维费</w:t>
            </w:r>
          </w:p>
        </w:tc>
        <w:tc>
          <w:tcPr>
            <w:tcW w:w="2382" w:type="dxa"/>
            <w:vAlign w:val="top"/>
          </w:tcPr>
          <w:p>
            <w:pPr>
              <w:jc w:val="right"/>
              <w:rPr>
                <w:rFonts w:hint="default" w:eastAsia="宋体"/>
                <w:lang w:val="en-US" w:eastAsia="zh-CN"/>
              </w:rPr>
            </w:pPr>
            <w:r>
              <w:rPr>
                <w:rFonts w:hint="eastAsia" w:eastAsia="宋体"/>
                <w:lang w:val="en-US" w:eastAsia="zh-CN"/>
              </w:rPr>
              <w:t>79.00</w:t>
            </w:r>
          </w:p>
        </w:tc>
        <w:tc>
          <w:tcPr>
            <w:tcW w:w="2381" w:type="dxa"/>
            <w:vAlign w:val="top"/>
          </w:tcPr>
          <w:p>
            <w:pPr>
              <w:jc w:val="right"/>
              <w:rPr>
                <w:rFonts w:hint="default" w:eastAsia="宋体"/>
                <w:lang w:val="en-US" w:eastAsia="zh-CN"/>
              </w:rPr>
            </w:pPr>
            <w:r>
              <w:rPr>
                <w:rFonts w:hint="eastAsia" w:eastAsia="宋体"/>
                <w:lang w:val="en-US" w:eastAsia="zh-CN"/>
              </w:rPr>
              <w:t>79.00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7</w:t>
            </w:r>
          </w:p>
        </w:tc>
        <w:tc>
          <w:tcPr>
            <w:tcW w:w="379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 xml:space="preserve">    其中：公务用车购置费</w:t>
            </w:r>
          </w:p>
        </w:tc>
        <w:tc>
          <w:tcPr>
            <w:tcW w:w="2382"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14.00</w:t>
            </w:r>
          </w:p>
        </w:tc>
        <w:tc>
          <w:tcPr>
            <w:tcW w:w="238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14.00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8</w:t>
            </w:r>
          </w:p>
        </w:tc>
        <w:tc>
          <w:tcPr>
            <w:tcW w:w="379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 xml:space="preserve">          公务用车运行维护费</w:t>
            </w:r>
          </w:p>
        </w:tc>
        <w:tc>
          <w:tcPr>
            <w:tcW w:w="2382"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65.00</w:t>
            </w:r>
          </w:p>
        </w:tc>
        <w:tc>
          <w:tcPr>
            <w:tcW w:w="238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65.00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9</w:t>
            </w:r>
          </w:p>
        </w:tc>
        <w:tc>
          <w:tcPr>
            <w:tcW w:w="379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三、公务接待费</w:t>
            </w:r>
          </w:p>
        </w:tc>
        <w:tc>
          <w:tcPr>
            <w:tcW w:w="2382"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w:t>
            </w:r>
            <w:r>
              <w:rPr>
                <w:rFonts w:hint="default" w:ascii="Calibri" w:hAnsi="Calibri" w:eastAsia="宋体" w:cs="Calibri"/>
                <w:i w:val="0"/>
                <w:color w:val="000000"/>
                <w:kern w:val="0"/>
                <w:sz w:val="22"/>
                <w:szCs w:val="22"/>
                <w:u w:val="none"/>
                <w:lang w:val="en-US" w:eastAsia="zh-CN" w:bidi="ar"/>
              </w:rPr>
              <w:t>.00</w:t>
            </w:r>
          </w:p>
        </w:tc>
        <w:tc>
          <w:tcPr>
            <w:tcW w:w="238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w:t>
            </w:r>
            <w:r>
              <w:rPr>
                <w:rFonts w:hint="default" w:ascii="Calibri" w:hAnsi="Calibri" w:eastAsia="宋体" w:cs="Calibri"/>
                <w:i w:val="0"/>
                <w:color w:val="000000"/>
                <w:kern w:val="0"/>
                <w:sz w:val="22"/>
                <w:szCs w:val="22"/>
                <w:u w:val="none"/>
                <w:lang w:val="en-US" w:eastAsia="zh-CN" w:bidi="ar"/>
              </w:rPr>
              <w:t>.00</w:t>
            </w:r>
          </w:p>
        </w:tc>
        <w:tc>
          <w:tcPr>
            <w:tcW w:w="2381" w:type="dxa"/>
            <w:vAlign w:val="center"/>
          </w:tcPr>
          <w:p>
            <w:pPr>
              <w:pStyle w:val="16"/>
            </w:pPr>
          </w:p>
        </w:tc>
        <w:tc>
          <w:tcPr>
            <w:tcW w:w="2381" w:type="dxa"/>
            <w:vAlign w:val="center"/>
          </w:tcPr>
          <w:p>
            <w:pPr>
              <w:pStyle w:val="16"/>
            </w:pPr>
          </w:p>
        </w:tc>
      </w:tr>
    </w:tbl>
    <w:p>
      <w:pPr>
        <w:jc w:val="both"/>
        <w:outlineLvl w:val="0"/>
        <w:rPr>
          <w:rFonts w:ascii="方正书宋_GBK" w:hAnsi="方正书宋_GBK" w:eastAsia="方正书宋_GBK" w:cs="方正书宋_GBK"/>
          <w:color w:val="FFFFFF"/>
          <w:sz w:val="21"/>
        </w:rPr>
      </w:pPr>
      <w:r>
        <w:rPr>
          <w:rFonts w:ascii="方正书宋_GBK" w:hAnsi="方正书宋_GBK" w:eastAsia="方正书宋_GBK" w:cs="方正书宋_GBK"/>
          <w:color w:val="FFFFFF"/>
          <w:sz w:val="21"/>
        </w:rPr>
        <w:t>息公开情况说明</w:t>
      </w:r>
    </w:p>
    <w:p>
      <w:pPr>
        <w:jc w:val="both"/>
        <w:outlineLvl w:val="0"/>
        <w:rPr>
          <w:rFonts w:ascii="方正书宋_GBK" w:hAnsi="方正书宋_GBK" w:eastAsia="方正书宋_GBK" w:cs="方正书宋_GBK"/>
          <w:color w:val="FFFFFF"/>
          <w:sz w:val="21"/>
        </w:rPr>
      </w:pPr>
    </w:p>
    <w:p>
      <w:pPr>
        <w:jc w:val="center"/>
        <w:outlineLvl w:val="0"/>
        <w:rPr>
          <w:rFonts w:hint="eastAsia" w:ascii="方正小标宋_GBK" w:hAnsi="方正小标宋_GBK" w:eastAsia="方正小标宋_GBK" w:cs="方正小标宋_GBK"/>
          <w:color w:val="000000"/>
          <w:sz w:val="44"/>
          <w:lang w:eastAsia="zh-CN"/>
        </w:rPr>
      </w:pPr>
    </w:p>
    <w:p>
      <w:pPr>
        <w:jc w:val="center"/>
        <w:outlineLvl w:val="0"/>
      </w:pPr>
      <w:r>
        <w:rPr>
          <w:rFonts w:hint="eastAsia" w:ascii="方正小标宋_GBK" w:hAnsi="方正小标宋_GBK" w:eastAsia="方正小标宋_GBK" w:cs="方正小标宋_GBK"/>
          <w:color w:val="000000"/>
          <w:sz w:val="44"/>
          <w:lang w:eastAsia="zh-CN"/>
        </w:rPr>
        <w:t>涞水县市场监督管理局</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4</w:t>
      </w:r>
      <w:r>
        <w:rPr>
          <w:rFonts w:ascii="方正小标宋_GBK" w:hAnsi="方正小标宋_GBK" w:eastAsia="方正小标宋_GBK" w:cs="方正小标宋_GBK"/>
          <w:color w:val="000000"/>
          <w:sz w:val="44"/>
        </w:rPr>
        <w:t>年</w:t>
      </w:r>
      <w:r>
        <w:rPr>
          <w:rFonts w:hint="eastAsia" w:ascii="方正小标宋_GBK" w:hAnsi="方正小标宋_GBK" w:eastAsia="方正小标宋_GBK" w:cs="方正小标宋_GBK"/>
          <w:color w:val="000000"/>
          <w:sz w:val="44"/>
          <w:lang w:eastAsia="zh-CN"/>
        </w:rPr>
        <w:t>单位</w:t>
      </w:r>
      <w:r>
        <w:rPr>
          <w:rFonts w:ascii="方正小标宋_GBK" w:hAnsi="方正小标宋_GBK" w:eastAsia="方正小标宋_GBK" w:cs="方正小标宋_GBK"/>
          <w:color w:val="000000"/>
          <w:sz w:val="44"/>
        </w:rPr>
        <w:t>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r>
        <w:rPr>
          <w:rFonts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涞水县市场监督管理局</w:t>
      </w:r>
      <w:r>
        <w:rPr>
          <w:rFonts w:eastAsia="方正仿宋_GBK"/>
          <w:color w:val="000000"/>
          <w:sz w:val="28"/>
        </w:rPr>
        <w:t>202</w:t>
      </w:r>
      <w:r>
        <w:rPr>
          <w:rFonts w:hint="eastAsia" w:eastAsia="方正仿宋_GBK"/>
          <w:color w:val="000000"/>
          <w:sz w:val="28"/>
          <w:lang w:val="en-US" w:eastAsia="zh-CN"/>
        </w:rPr>
        <w:t>4</w:t>
      </w:r>
      <w:r>
        <w:rPr>
          <w:rFonts w:eastAsia="方正仿宋_GBK"/>
          <w:color w:val="000000"/>
          <w:sz w:val="28"/>
        </w:rPr>
        <w:t>年</w:t>
      </w:r>
      <w:r>
        <w:rPr>
          <w:rFonts w:hint="eastAsia" w:eastAsia="方正仿宋_GBK"/>
          <w:color w:val="000000"/>
          <w:sz w:val="28"/>
          <w:lang w:eastAsia="zh-CN"/>
        </w:rPr>
        <w:t>单位</w:t>
      </w:r>
      <w:r>
        <w:rPr>
          <w:rFonts w:eastAsia="方正仿宋_GBK"/>
          <w:color w:val="000000"/>
          <w:sz w:val="28"/>
        </w:rPr>
        <w:t>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w:t>
      </w:r>
      <w:r>
        <w:rPr>
          <w:rFonts w:hint="eastAsia" w:ascii="黑体" w:hAnsi="黑体" w:eastAsia="黑体" w:cs="黑体"/>
          <w:color w:val="000000"/>
          <w:sz w:val="32"/>
          <w:lang w:eastAsia="zh-CN"/>
        </w:rPr>
        <w:t>单位</w:t>
      </w:r>
      <w:r>
        <w:rPr>
          <w:rFonts w:ascii="黑体" w:hAnsi="黑体" w:eastAsia="黑体" w:cs="黑体"/>
          <w:color w:val="000000"/>
          <w:sz w:val="32"/>
        </w:rPr>
        <w:t>职责及机构设置情况</w:t>
      </w:r>
      <w:bookmarkEnd w:id="9"/>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lang w:eastAsia="zh-CN"/>
        </w:rPr>
        <w:t>单位</w:t>
      </w:r>
      <w:r>
        <w:rPr>
          <w:rFonts w:hint="eastAsia" w:ascii="方正楷体_GBK" w:hAnsi="方正楷体_GBK" w:eastAsia="方正楷体_GBK" w:cs="方正楷体_GBK"/>
          <w:b/>
          <w:color w:val="000000"/>
          <w:sz w:val="32"/>
        </w:rPr>
        <w:t>职责</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根据《涞水县市场监督管理局职能配置、内设机构和人员编制规定》，涞水县市场监督管理局的主要职责是：</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一）负责全县市场综合监督管理。制定有关政策、标准，组织实施质量强县战略、食品安全战略、标准化战略、知识产权战略，拟订并组织实施有关规划，规范和维护市场秩序，营造诚实守信、公平竞争的市场环境。</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 xml:space="preserve">（二）负责建立市场主体信息公示和共享机制，依法公示和共享有关信息。加强信用监管，推动市场主体信用体系建设。 </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（三）负责组织和指导全县市场监管综合执法工作。整合全县市场监管综合执法队伍建设，推动实行统一的市场监管。组织查处重大违法案件。规范市场监管行政执法行为。</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（四）负责反垄断统一执法。依法对经营者集中行为进行反垄断审查，负责垄断协议、滥用市场支配地位和滥用行政权力排除、限制竞争等反垄断执法工作。</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五）负责监督管理市场秩序。依法监督管理全县市场交易、网络商品交易及有关服务的行为。组织指导查处价格收费违法违规、不正当竞争、违法直销、传销、侵犯商标专利知识产权和制售假冒伪劣行为。指导全县广告业发展，监督管理广告活动。指导查处无照生产经营和相关无证生产经营行为。指导县消费者协会开展消费维权工作。</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六）负责全县宏观质量管理。拟订并实施全县质量发展的制度措施。统筹全县质量基础设施建设与应用，会同有关部门组织实施重大工程设备质量监理制度，组织重大质量事故调查，组织实施缺陷产品召回制度，监督管理产品防伪工作。</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（七）负责全县产品质量安全监督管理。承担县级产品质量安全风险监控、监督抽查工作。组织实施质量分级制度、质量安全追溯制度。实施工业产品生产许可管理。</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（八）负责全县特种设备安全监督管理。综合管理特种设备安全监察、监督工作，监督检查高耗能特种设备节能标准和锅炉环境保护标准的执行情况。负责特种设备安全生产监督管理工作。</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九）负责食品药品安全监督管理综合协调。推动健全食品药品安全地方党政同责和跨部门协调联动机制。负责食品药品安全应急体系建设，组织指导全县重大食品药品安全事件应急处置和调查处理工作。建立健全食品药品安全信息统一公布和重要信息直报制度。承担涞水县食品安全委员会日常工作。</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十）负责食品安全监督管理。建立覆盖食品生产、流通、消费全过程的监督检查制度和隐患排查治理机制并组织实施，防范区域性、系统性食品安全风险。推动建立食品生产经营者落实主体责任的机制，健全食品安全追溯体系。参与食品安全风险监测，组织开展食品安全监督抽检、核查处置和风险预警、风险交流工作。</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十一）负责药品（含中药、民族药，下同）、医疗器械和化妆品的质量管理工作。贯彻执行国家药品、医疗器械和化妆品法律法规。负责监督实施国家药品、医疗器械和化妆品标准和质量管理规范，组织落实分类管理制度。配合实施国家基本药物制度。组织实施中药饮片炮制规范。</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（十二）负责药品、医疗器械和化妆品上市后风险管理。 建立健全全县药品不良反应、医疗器械不良事件、化妆品不良反应监测体系，并开展监测、评价和处置工作。依法承担药品、医疗器械和化妆品安全应急管理工作。</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（十三）负责指导乡、镇、社区食品药品监督管理工作。推动落实食品、药品、医疗器械和化妆品安全企业主体责任，监督乡、镇、社区履行党政同责，组织实施食品、药品、医疗器械和化妆品安全考核。</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（十四）负责统一管理全县计量工作。推行法定计量单位和国家计量制度，管理计量器具及量值传递和比对工作。规范、监督商品量和市场计量行为。</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（十五）负责统一管理全县标准化工作。依法参与省、市地方标准的起草、制定、修订工作。宣传贯彻强制性、推荐性国家标准和行业标准、地方标准。依法协调指导和监督团体标准、企业标准制定工作。</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（十六）负责统一管理全县检验检测工作。推进检验检测机构整合和改革，规范检验检测市场，完善检验检测体系，指导协调检验检测行业发展。</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（十七）负责统一管理、监督和协调全县认证认可工作。组织贯彻实施国家统一的认证认可和合格评定监督管理制度。</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(十八）负责推进全县知识产权管理工作。拟订加强知识产权强县建设的重大方针政策和发展规划。拟订和实施强化知识产权创造、保护和运用的政策和制度。</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(十九）负责保护知识产权。监督实施商标、专利、原产地地理标志、集成电路布图设计等知识产权地方性法规、规章。</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二十）负责促进知识产权运用。拟订知识产权运用和规范交易的政策，促进知识产权转移转化。负责知识产权宣传，人才培训工作。组织实施原产地地理标志统一认定制度。负责全县市场监督管理科技和信息化建设、新闻宣传工作。</w:t>
      </w:r>
    </w:p>
    <w:p>
      <w:pPr>
        <w:pStyle w:val="22"/>
      </w:pPr>
      <w:r>
        <w:rPr>
          <w:rFonts w:hint="eastAsia" w:ascii="方正楷体_GBK" w:hAnsi="方正楷体_GBK" w:eastAsia="方正楷体_GBK" w:cs="方正楷体_GBK"/>
          <w:b/>
          <w:color w:val="000000"/>
          <w:sz w:val="32"/>
        </w:rPr>
        <w:t>（二十一）承接省、市市场监督管理局和省药品监督管理局委托县级实施的管理事项。</w:t>
      </w:r>
    </w:p>
    <w:p>
      <w:pPr>
        <w:ind w:firstLine="640"/>
      </w:pPr>
      <w:r>
        <w:rPr>
          <w:rFonts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机构设置情况</w:t>
      </w:r>
    </w:p>
    <w:tbl>
      <w:tblPr>
        <w:tblStyle w:val="9"/>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258"/>
        <w:gridCol w:w="2083"/>
        <w:gridCol w:w="2217"/>
        <w:gridCol w:w="49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258" w:type="dxa"/>
            <w:vAlign w:val="center"/>
          </w:tcPr>
          <w:p>
            <w:pPr>
              <w:pStyle w:val="15"/>
            </w:pPr>
            <w:r>
              <w:t>单位名称</w:t>
            </w:r>
          </w:p>
        </w:tc>
        <w:tc>
          <w:tcPr>
            <w:tcW w:w="2083" w:type="dxa"/>
            <w:vAlign w:val="center"/>
          </w:tcPr>
          <w:p>
            <w:pPr>
              <w:pStyle w:val="15"/>
            </w:pPr>
            <w:r>
              <w:t>单位性质</w:t>
            </w:r>
          </w:p>
        </w:tc>
        <w:tc>
          <w:tcPr>
            <w:tcW w:w="2217" w:type="dxa"/>
            <w:vAlign w:val="center"/>
          </w:tcPr>
          <w:p>
            <w:pPr>
              <w:pStyle w:val="15"/>
            </w:pPr>
            <w:r>
              <w:t>单位规格</w:t>
            </w:r>
          </w:p>
        </w:tc>
        <w:tc>
          <w:tcPr>
            <w:tcW w:w="490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58" w:type="dxa"/>
            <w:vAlign w:val="center"/>
          </w:tcPr>
          <w:p>
            <w:pPr>
              <w:keepNext w:val="0"/>
              <w:keepLines w:val="0"/>
              <w:pageBreakBefore w:val="0"/>
              <w:widowControl w:val="0"/>
              <w:kinsoku/>
              <w:wordWrap/>
              <w:overflowPunct/>
              <w:topLinePunct w:val="0"/>
              <w:autoSpaceDE/>
              <w:autoSpaceDN/>
              <w:bidi w:val="0"/>
              <w:adjustRightInd/>
              <w:spacing w:line="560" w:lineRule="exact"/>
              <w:jc w:val="left"/>
              <w:textAlignment w:val="auto"/>
            </w:pPr>
            <w:r>
              <w:rPr>
                <w:rFonts w:hint="eastAsia" w:ascii="仿宋" w:hAnsi="仿宋" w:eastAsia="仿宋" w:cs="仿宋"/>
                <w:sz w:val="32"/>
                <w:szCs w:val="32"/>
              </w:rPr>
              <w:t>涞水县</w:t>
            </w:r>
            <w:r>
              <w:rPr>
                <w:rFonts w:hint="eastAsia" w:ascii="仿宋" w:hAnsi="仿宋" w:eastAsia="仿宋" w:cs="仿宋"/>
                <w:sz w:val="32"/>
                <w:szCs w:val="32"/>
                <w:lang w:eastAsia="zh-CN"/>
              </w:rPr>
              <w:t>市场监督管理局</w:t>
            </w:r>
          </w:p>
        </w:tc>
        <w:tc>
          <w:tcPr>
            <w:tcW w:w="2083" w:type="dxa"/>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pPr>
            <w:r>
              <w:rPr>
                <w:rFonts w:hint="eastAsia" w:ascii="仿宋" w:hAnsi="仿宋" w:eastAsia="仿宋" w:cs="仿宋"/>
                <w:sz w:val="32"/>
                <w:szCs w:val="32"/>
              </w:rPr>
              <w:t>行政</w:t>
            </w:r>
          </w:p>
        </w:tc>
        <w:tc>
          <w:tcPr>
            <w:tcW w:w="2217" w:type="dxa"/>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pPr>
            <w:r>
              <w:rPr>
                <w:rFonts w:hint="eastAsia" w:ascii="仿宋" w:hAnsi="仿宋" w:eastAsia="仿宋" w:cs="仿宋"/>
                <w:sz w:val="32"/>
                <w:szCs w:val="32"/>
                <w:lang w:eastAsia="zh-CN"/>
              </w:rPr>
              <w:t>正科</w:t>
            </w:r>
            <w:r>
              <w:rPr>
                <w:rFonts w:hint="eastAsia" w:ascii="仿宋" w:hAnsi="仿宋" w:eastAsia="仿宋" w:cs="仿宋"/>
                <w:sz w:val="32"/>
                <w:szCs w:val="32"/>
              </w:rPr>
              <w:t>级</w:t>
            </w:r>
          </w:p>
        </w:tc>
        <w:tc>
          <w:tcPr>
            <w:tcW w:w="4907" w:type="dxa"/>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pPr>
            <w:r>
              <w:rPr>
                <w:rFonts w:hint="eastAsia" w:ascii="仿宋" w:hAnsi="仿宋" w:eastAsia="仿宋" w:cs="仿宋"/>
                <w:sz w:val="32"/>
                <w:szCs w:val="32"/>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58" w:type="dxa"/>
            <w:vAlign w:val="center"/>
          </w:tcPr>
          <w:p>
            <w:pPr>
              <w:keepNext w:val="0"/>
              <w:keepLines w:val="0"/>
              <w:pageBreakBefore w:val="0"/>
              <w:widowControl w:val="0"/>
              <w:kinsoku/>
              <w:wordWrap/>
              <w:overflowPunct/>
              <w:topLinePunct w:val="0"/>
              <w:autoSpaceDE/>
              <w:autoSpaceDN/>
              <w:bidi w:val="0"/>
              <w:adjustRightInd/>
              <w:spacing w:line="560" w:lineRule="exact"/>
              <w:jc w:val="left"/>
              <w:textAlignment w:val="auto"/>
            </w:pPr>
            <w:r>
              <w:rPr>
                <w:rFonts w:hint="eastAsia" w:ascii="仿宋" w:hAnsi="仿宋" w:eastAsia="仿宋" w:cs="仿宋"/>
                <w:sz w:val="32"/>
                <w:szCs w:val="32"/>
                <w:lang w:eastAsia="zh-CN"/>
              </w:rPr>
              <w:t>涞水县市场监督管理局事业</w:t>
            </w:r>
          </w:p>
        </w:tc>
        <w:tc>
          <w:tcPr>
            <w:tcW w:w="2083" w:type="dxa"/>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pPr>
            <w:r>
              <w:rPr>
                <w:rFonts w:hint="eastAsia" w:ascii="仿宋" w:hAnsi="仿宋" w:eastAsia="仿宋" w:cs="仿宋"/>
                <w:sz w:val="32"/>
                <w:szCs w:val="32"/>
                <w:lang w:eastAsia="zh-CN"/>
              </w:rPr>
              <w:t>事业</w:t>
            </w:r>
          </w:p>
        </w:tc>
        <w:tc>
          <w:tcPr>
            <w:tcW w:w="2217" w:type="dxa"/>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pPr>
            <w:r>
              <w:rPr>
                <w:rFonts w:hint="eastAsia" w:ascii="仿宋" w:hAnsi="仿宋" w:eastAsia="仿宋" w:cs="仿宋"/>
                <w:sz w:val="32"/>
                <w:szCs w:val="32"/>
                <w:lang w:eastAsia="zh-CN"/>
              </w:rPr>
              <w:t>正股级</w:t>
            </w:r>
          </w:p>
        </w:tc>
        <w:tc>
          <w:tcPr>
            <w:tcW w:w="4907" w:type="dxa"/>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pPr>
            <w:r>
              <w:rPr>
                <w:rFonts w:hint="eastAsia" w:ascii="仿宋" w:hAnsi="仿宋" w:eastAsia="仿宋" w:cs="仿宋"/>
                <w:sz w:val="32"/>
                <w:szCs w:val="32"/>
              </w:rPr>
              <w:t>财政性资金基本保证</w:t>
            </w:r>
            <w:r>
              <w:rPr>
                <w:rFonts w:hint="eastAsia" w:ascii="仿宋" w:hAnsi="仿宋" w:eastAsia="仿宋" w:cs="仿宋"/>
                <w:sz w:val="32"/>
                <w:szCs w:val="32"/>
                <w:lang w:eastAsia="zh-CN"/>
              </w:rPr>
              <w:t>或定额补助</w:t>
            </w:r>
          </w:p>
        </w:tc>
      </w:tr>
    </w:tbl>
    <w:p>
      <w:pPr>
        <w:spacing w:before="10" w:after="10" w:line="360" w:lineRule="auto"/>
        <w:ind w:firstLine="640" w:firstLineChars="200"/>
        <w:outlineLvl w:val="2"/>
        <w:rPr>
          <w:rFonts w:ascii="黑体" w:hAnsi="黑体" w:eastAsia="黑体" w:cs="黑体"/>
          <w:color w:val="000000"/>
          <w:sz w:val="32"/>
        </w:rPr>
      </w:pPr>
      <w:bookmarkStart w:id="10" w:name="_Toc_3_3_0000000011"/>
    </w:p>
    <w:p>
      <w:pPr>
        <w:spacing w:before="10" w:after="10" w:line="360" w:lineRule="auto"/>
        <w:ind w:firstLine="640" w:firstLineChars="200"/>
        <w:outlineLvl w:val="2"/>
      </w:pPr>
      <w:r>
        <w:rPr>
          <w:rFonts w:ascii="黑体" w:hAnsi="黑体" w:eastAsia="黑体" w:cs="黑体"/>
          <w:color w:val="000000"/>
          <w:sz w:val="32"/>
        </w:rPr>
        <w:t>二、</w:t>
      </w:r>
      <w:r>
        <w:rPr>
          <w:rFonts w:hint="eastAsia" w:ascii="黑体" w:hAnsi="黑体" w:eastAsia="黑体" w:cs="黑体"/>
          <w:color w:val="000000"/>
          <w:sz w:val="32"/>
          <w:lang w:eastAsia="zh-CN"/>
        </w:rPr>
        <w:t>单位</w:t>
      </w:r>
      <w:r>
        <w:rPr>
          <w:rFonts w:ascii="黑体" w:hAnsi="黑体" w:eastAsia="黑体" w:cs="黑体"/>
          <w:color w:val="000000"/>
          <w:sz w:val="32"/>
        </w:rPr>
        <w:t>预算安排的总体情况</w:t>
      </w:r>
      <w:bookmarkEnd w:id="10"/>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eastAsia="zh-CN"/>
        </w:rPr>
      </w:pPr>
      <w:bookmarkStart w:id="11" w:name="_Toc_3_3_0000000012"/>
      <w:r>
        <w:rPr>
          <w:rFonts w:hint="eastAsia" w:ascii="仿宋" w:hAnsi="仿宋" w:eastAsia="仿宋" w:cs="仿宋"/>
          <w:sz w:val="32"/>
          <w:szCs w:val="32"/>
        </w:rPr>
        <w:t>1、</w:t>
      </w:r>
      <w:r>
        <w:rPr>
          <w:rFonts w:hint="eastAsia" w:ascii="仿宋" w:hAnsi="仿宋" w:eastAsia="仿宋" w:cs="仿宋"/>
          <w:sz w:val="32"/>
          <w:szCs w:val="32"/>
          <w:lang w:eastAsia="zh-CN"/>
        </w:rPr>
        <w:t>收入说明</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年预算收入总额为</w:t>
      </w:r>
      <w:r>
        <w:rPr>
          <w:rFonts w:hint="eastAsia" w:ascii="仿宋" w:hAnsi="仿宋" w:eastAsia="仿宋" w:cs="仿宋"/>
          <w:sz w:val="32"/>
          <w:szCs w:val="32"/>
          <w:lang w:val="en-US" w:eastAsia="zh-CN"/>
        </w:rPr>
        <w:t>2653.59</w:t>
      </w:r>
      <w:r>
        <w:rPr>
          <w:rFonts w:hint="eastAsia" w:ascii="仿宋" w:hAnsi="仿宋" w:eastAsia="仿宋" w:cs="仿宋"/>
          <w:sz w:val="32"/>
          <w:szCs w:val="32"/>
        </w:rPr>
        <w:t>万元，其中：</w:t>
      </w:r>
      <w:r>
        <w:rPr>
          <w:rFonts w:hint="eastAsia" w:ascii="仿宋" w:hAnsi="仿宋" w:eastAsia="仿宋" w:cs="仿宋"/>
          <w:sz w:val="32"/>
          <w:szCs w:val="32"/>
          <w:lang w:eastAsia="zh-CN"/>
        </w:rPr>
        <w:t>一般公共预算收入</w:t>
      </w:r>
      <w:r>
        <w:rPr>
          <w:rFonts w:hint="eastAsia" w:ascii="仿宋" w:hAnsi="仿宋" w:eastAsia="仿宋" w:cs="仿宋"/>
          <w:sz w:val="32"/>
          <w:szCs w:val="32"/>
          <w:lang w:val="en-US" w:eastAsia="zh-CN"/>
        </w:rPr>
        <w:t>2540.59</w:t>
      </w:r>
      <w:r>
        <w:rPr>
          <w:rFonts w:hint="eastAsia" w:ascii="仿宋" w:hAnsi="仿宋" w:eastAsia="仿宋" w:cs="仿宋"/>
          <w:sz w:val="32"/>
          <w:szCs w:val="32"/>
        </w:rPr>
        <w:t>万元，</w:t>
      </w:r>
      <w:r>
        <w:rPr>
          <w:rFonts w:hint="eastAsia" w:ascii="仿宋" w:hAnsi="仿宋" w:eastAsia="仿宋" w:cs="仿宋"/>
          <w:sz w:val="32"/>
          <w:szCs w:val="32"/>
          <w:lang w:eastAsia="zh-CN"/>
        </w:rPr>
        <w:t>上级财政</w:t>
      </w:r>
      <w:r>
        <w:rPr>
          <w:rFonts w:hint="eastAsia" w:ascii="仿宋" w:hAnsi="仿宋" w:eastAsia="仿宋" w:cs="仿宋"/>
          <w:sz w:val="32"/>
          <w:szCs w:val="32"/>
        </w:rPr>
        <w:t>提前通知转移支付</w:t>
      </w:r>
      <w:r>
        <w:rPr>
          <w:rFonts w:hint="eastAsia" w:ascii="仿宋" w:hAnsi="仿宋" w:eastAsia="仿宋" w:cs="仿宋"/>
          <w:sz w:val="32"/>
          <w:szCs w:val="32"/>
          <w:lang w:eastAsia="zh-CN"/>
        </w:rPr>
        <w:t>收入</w:t>
      </w:r>
      <w:r>
        <w:rPr>
          <w:rFonts w:hint="eastAsia" w:ascii="仿宋" w:hAnsi="仿宋" w:eastAsia="仿宋" w:cs="仿宋"/>
          <w:sz w:val="32"/>
          <w:szCs w:val="32"/>
          <w:lang w:val="en-US" w:eastAsia="zh-CN"/>
        </w:rPr>
        <w:t>113</w:t>
      </w:r>
      <w:r>
        <w:rPr>
          <w:rFonts w:hint="eastAsia" w:ascii="仿宋" w:hAnsi="仿宋" w:eastAsia="仿宋" w:cs="仿宋"/>
          <w:sz w:val="32"/>
          <w:szCs w:val="32"/>
        </w:rPr>
        <w:t>万元。202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年预算收入总额为</w:t>
      </w:r>
      <w:r>
        <w:rPr>
          <w:rFonts w:hint="eastAsia" w:ascii="仿宋" w:hAnsi="仿宋" w:eastAsia="仿宋" w:cs="仿宋"/>
          <w:sz w:val="32"/>
          <w:szCs w:val="32"/>
          <w:lang w:val="en-US" w:eastAsia="zh-CN"/>
        </w:rPr>
        <w:t>2653.59</w:t>
      </w:r>
      <w:r>
        <w:rPr>
          <w:rFonts w:hint="eastAsia" w:ascii="仿宋" w:hAnsi="仿宋" w:eastAsia="仿宋" w:cs="仿宋"/>
          <w:sz w:val="32"/>
          <w:szCs w:val="32"/>
        </w:rPr>
        <w:t>万元，其中：</w:t>
      </w:r>
      <w:r>
        <w:rPr>
          <w:rFonts w:hint="eastAsia" w:ascii="仿宋" w:hAnsi="仿宋" w:eastAsia="仿宋" w:cs="仿宋"/>
          <w:sz w:val="32"/>
          <w:szCs w:val="32"/>
          <w:lang w:eastAsia="zh-CN"/>
        </w:rPr>
        <w:t>一般公共预算收入</w:t>
      </w:r>
      <w:r>
        <w:rPr>
          <w:rFonts w:hint="eastAsia" w:ascii="仿宋" w:hAnsi="仿宋" w:eastAsia="仿宋" w:cs="仿宋"/>
          <w:sz w:val="32"/>
          <w:szCs w:val="32"/>
          <w:lang w:val="en-US" w:eastAsia="zh-CN"/>
        </w:rPr>
        <w:t>2540.59</w:t>
      </w:r>
      <w:r>
        <w:rPr>
          <w:rFonts w:hint="eastAsia" w:ascii="仿宋" w:hAnsi="仿宋" w:eastAsia="仿宋" w:cs="仿宋"/>
          <w:sz w:val="32"/>
          <w:szCs w:val="32"/>
        </w:rPr>
        <w:t>万元，</w:t>
      </w:r>
      <w:r>
        <w:rPr>
          <w:rFonts w:hint="eastAsia" w:ascii="仿宋" w:hAnsi="仿宋" w:eastAsia="仿宋" w:cs="仿宋"/>
          <w:sz w:val="32"/>
          <w:szCs w:val="32"/>
          <w:lang w:eastAsia="zh-CN"/>
        </w:rPr>
        <w:t>上级财政</w:t>
      </w:r>
      <w:r>
        <w:rPr>
          <w:rFonts w:hint="eastAsia" w:ascii="仿宋" w:hAnsi="仿宋" w:eastAsia="仿宋" w:cs="仿宋"/>
          <w:sz w:val="32"/>
          <w:szCs w:val="32"/>
        </w:rPr>
        <w:t>提前通知转移支付</w:t>
      </w:r>
      <w:r>
        <w:rPr>
          <w:rFonts w:hint="eastAsia" w:ascii="仿宋" w:hAnsi="仿宋" w:eastAsia="仿宋" w:cs="仿宋"/>
          <w:sz w:val="32"/>
          <w:szCs w:val="32"/>
          <w:lang w:eastAsia="zh-CN"/>
        </w:rPr>
        <w:t>收入</w:t>
      </w:r>
      <w:r>
        <w:rPr>
          <w:rFonts w:hint="eastAsia" w:ascii="仿宋" w:hAnsi="仿宋" w:eastAsia="仿宋" w:cs="仿宋"/>
          <w:sz w:val="32"/>
          <w:szCs w:val="32"/>
          <w:lang w:val="en-US" w:eastAsia="zh-CN"/>
        </w:rPr>
        <w:t>113</w:t>
      </w:r>
      <w:r>
        <w:rPr>
          <w:rFonts w:hint="eastAsia" w:ascii="仿宋" w:hAnsi="仿宋" w:eastAsia="仿宋" w:cs="仿宋"/>
          <w:sz w:val="32"/>
          <w:szCs w:val="32"/>
        </w:rPr>
        <w:t>万元。</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支出说明</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支出预算</w:t>
      </w:r>
      <w:r>
        <w:rPr>
          <w:rFonts w:hint="eastAsia" w:ascii="仿宋" w:hAnsi="仿宋" w:eastAsia="仿宋" w:cs="仿宋"/>
          <w:sz w:val="32"/>
          <w:szCs w:val="32"/>
          <w:lang w:val="en-US" w:eastAsia="zh-CN"/>
        </w:rPr>
        <w:t>2653.59</w:t>
      </w:r>
      <w:r>
        <w:rPr>
          <w:rFonts w:hint="eastAsia" w:ascii="仿宋" w:hAnsi="仿宋" w:eastAsia="仿宋" w:cs="仿宋"/>
          <w:sz w:val="32"/>
          <w:szCs w:val="32"/>
        </w:rPr>
        <w:t>万元，其中：</w:t>
      </w:r>
      <w:r>
        <w:rPr>
          <w:rFonts w:hint="eastAsia" w:ascii="仿宋" w:hAnsi="仿宋" w:eastAsia="仿宋" w:cs="仿宋"/>
          <w:sz w:val="32"/>
          <w:szCs w:val="32"/>
          <w:lang w:eastAsia="zh-CN"/>
        </w:rPr>
        <w:t>基本支出</w:t>
      </w:r>
      <w:r>
        <w:rPr>
          <w:rFonts w:hint="eastAsia" w:ascii="仿宋" w:hAnsi="仿宋" w:eastAsia="仿宋" w:cs="仿宋"/>
          <w:sz w:val="32"/>
          <w:szCs w:val="32"/>
          <w:lang w:val="en-US" w:eastAsia="zh-CN"/>
        </w:rPr>
        <w:t>2038.94万元，包括</w:t>
      </w:r>
      <w:r>
        <w:rPr>
          <w:rFonts w:hint="eastAsia" w:ascii="仿宋" w:hAnsi="仿宋" w:eastAsia="仿宋" w:cs="仿宋"/>
          <w:sz w:val="32"/>
          <w:szCs w:val="32"/>
        </w:rPr>
        <w:t>人员</w:t>
      </w:r>
      <w:r>
        <w:rPr>
          <w:rFonts w:hint="eastAsia" w:ascii="仿宋" w:hAnsi="仿宋" w:eastAsia="仿宋" w:cs="仿宋"/>
          <w:sz w:val="32"/>
          <w:szCs w:val="32"/>
          <w:lang w:eastAsia="zh-CN"/>
        </w:rPr>
        <w:t>经费</w:t>
      </w:r>
      <w:r>
        <w:rPr>
          <w:rFonts w:hint="eastAsia" w:ascii="仿宋" w:hAnsi="仿宋" w:eastAsia="仿宋" w:cs="仿宋"/>
          <w:sz w:val="32"/>
          <w:szCs w:val="32"/>
          <w:lang w:val="en-US" w:eastAsia="zh-CN"/>
        </w:rPr>
        <w:t>1753.32</w:t>
      </w:r>
      <w:r>
        <w:rPr>
          <w:rFonts w:hint="eastAsia" w:ascii="仿宋" w:hAnsi="仿宋" w:eastAsia="仿宋" w:cs="仿宋"/>
          <w:sz w:val="32"/>
          <w:szCs w:val="32"/>
        </w:rPr>
        <w:t>万元</w:t>
      </w:r>
      <w:r>
        <w:rPr>
          <w:rFonts w:hint="eastAsia" w:ascii="仿宋" w:hAnsi="仿宋" w:eastAsia="仿宋" w:cs="仿宋"/>
          <w:sz w:val="32"/>
          <w:szCs w:val="32"/>
          <w:lang w:eastAsia="zh-CN"/>
        </w:rPr>
        <w:t>和</w:t>
      </w:r>
      <w:r>
        <w:rPr>
          <w:rFonts w:hint="eastAsia" w:ascii="仿宋" w:hAnsi="仿宋" w:eastAsia="仿宋" w:cs="仿宋"/>
          <w:sz w:val="32"/>
          <w:szCs w:val="32"/>
        </w:rPr>
        <w:t>日常公用</w:t>
      </w:r>
      <w:r>
        <w:rPr>
          <w:rFonts w:hint="eastAsia" w:ascii="仿宋" w:hAnsi="仿宋" w:eastAsia="仿宋" w:cs="仿宋"/>
          <w:sz w:val="32"/>
          <w:szCs w:val="32"/>
          <w:lang w:eastAsia="zh-CN"/>
        </w:rPr>
        <w:t>经费</w:t>
      </w:r>
      <w:r>
        <w:rPr>
          <w:rFonts w:hint="eastAsia" w:ascii="仿宋" w:hAnsi="仿宋" w:eastAsia="仿宋" w:cs="仿宋"/>
          <w:sz w:val="32"/>
          <w:szCs w:val="32"/>
          <w:lang w:val="en-US" w:eastAsia="zh-CN"/>
        </w:rPr>
        <w:t>285.62</w:t>
      </w:r>
      <w:r>
        <w:rPr>
          <w:rFonts w:hint="eastAsia" w:ascii="仿宋" w:hAnsi="仿宋" w:eastAsia="仿宋" w:cs="仿宋"/>
          <w:sz w:val="32"/>
          <w:szCs w:val="32"/>
        </w:rPr>
        <w:t>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项目</w:t>
      </w:r>
      <w:r>
        <w:rPr>
          <w:rFonts w:hint="eastAsia" w:ascii="仿宋" w:hAnsi="仿宋" w:eastAsia="仿宋" w:cs="仿宋"/>
          <w:sz w:val="32"/>
          <w:szCs w:val="32"/>
        </w:rPr>
        <w:t>支出</w:t>
      </w:r>
      <w:r>
        <w:rPr>
          <w:rFonts w:hint="eastAsia" w:ascii="仿宋" w:hAnsi="仿宋" w:eastAsia="仿宋" w:cs="仿宋"/>
          <w:sz w:val="32"/>
          <w:szCs w:val="32"/>
          <w:lang w:val="en-US" w:eastAsia="zh-CN"/>
        </w:rPr>
        <w:t>614.65</w:t>
      </w:r>
      <w:r>
        <w:rPr>
          <w:rFonts w:hint="eastAsia" w:ascii="仿宋" w:hAnsi="仿宋" w:eastAsia="仿宋" w:cs="仿宋"/>
          <w:sz w:val="32"/>
          <w:szCs w:val="32"/>
        </w:rPr>
        <w:t>万元</w:t>
      </w:r>
      <w:r>
        <w:rPr>
          <w:rFonts w:hint="eastAsia" w:ascii="仿宋" w:hAnsi="仿宋" w:eastAsia="仿宋" w:cs="仿宋"/>
          <w:sz w:val="32"/>
          <w:szCs w:val="32"/>
          <w:lang w:eastAsia="zh-CN"/>
        </w:rPr>
        <w:t>，为本级支出，主要</w:t>
      </w:r>
      <w:r>
        <w:rPr>
          <w:rFonts w:hint="eastAsia" w:ascii="仿宋" w:hAnsi="仿宋" w:eastAsia="仿宋" w:cs="仿宋"/>
          <w:sz w:val="32"/>
          <w:szCs w:val="32"/>
          <w:lang w:val="en-US" w:eastAsia="zh-CN"/>
        </w:rPr>
        <w:t>清理整治无照经营专项经费、流通领域商品抽检经费、公务用车购置经费、消费者权益保护专项经费、知识产权保护工作专项经费、执法办案专项经费、“双随机、一公开”、网络市场监管“局际联席会议”专项经费、煤炭市场治理专项经费、价格监测经费、食安办日常运行公用经费、石亭工商分局安置经费、食品药品安全协管员补贴、计量检验检测经费、物价综合业务管理经费、2024年省级市场监管专项补助经费(冀财行[2023]97号)、煤质检测经费、食安办对“三小”从业者及食品安全协管员培训经费、食品安全抽检经费、药品检测监测经费、麻核桃国家地理标志产品保护示范区建设经费、政府质量奖奖励经费、政府质量奖工作经费、专用仪器设备购置经费、小微企业质量体系认证提升经费等。</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3、比上年增减情况</w:t>
      </w:r>
    </w:p>
    <w:p>
      <w:pPr>
        <w:spacing w:before="10" w:after="10" w:line="360" w:lineRule="auto"/>
        <w:ind w:firstLine="640"/>
        <w:outlineLvl w:val="2"/>
        <w:rPr>
          <w:rFonts w:hint="eastAsia" w:ascii="仿宋" w:hAnsi="仿宋" w:eastAsia="仿宋" w:cs="仿宋"/>
          <w:sz w:val="32"/>
          <w:szCs w:val="32"/>
        </w:rPr>
      </w:pPr>
      <w:r>
        <w:rPr>
          <w:rFonts w:hint="eastAsia" w:ascii="仿宋" w:hAnsi="仿宋" w:eastAsia="仿宋" w:cs="仿宋"/>
          <w:sz w:val="32"/>
          <w:szCs w:val="32"/>
          <w:lang w:eastAsia="zh-CN"/>
        </w:rPr>
        <w:t>我单位机关及所属单位</w:t>
      </w:r>
      <w:r>
        <w:rPr>
          <w:rFonts w:hint="eastAsia" w:ascii="仿宋" w:hAnsi="仿宋" w:eastAsia="仿宋" w:cs="仿宋"/>
          <w:sz w:val="32"/>
          <w:szCs w:val="32"/>
          <w:lang w:val="en-US" w:eastAsia="zh-CN"/>
        </w:rPr>
        <w:t>2024年预算收支安排2653.59</w:t>
      </w:r>
      <w:r>
        <w:rPr>
          <w:rFonts w:hint="eastAsia" w:ascii="仿宋" w:hAnsi="仿宋" w:eastAsia="仿宋" w:cs="仿宋"/>
          <w:sz w:val="32"/>
          <w:szCs w:val="32"/>
        </w:rPr>
        <w:t>万元，</w:t>
      </w:r>
      <w:r>
        <w:rPr>
          <w:rFonts w:hint="eastAsia" w:ascii="仿宋" w:hAnsi="仿宋" w:eastAsia="仿宋" w:cs="仿宋"/>
          <w:sz w:val="32"/>
          <w:szCs w:val="32"/>
          <w:lang w:eastAsia="zh-CN"/>
        </w:rPr>
        <w:t>比</w:t>
      </w:r>
      <w:r>
        <w:rPr>
          <w:rFonts w:hint="eastAsia" w:ascii="仿宋" w:hAnsi="仿宋" w:eastAsia="仿宋" w:cs="仿宋"/>
          <w:sz w:val="32"/>
          <w:szCs w:val="32"/>
          <w:lang w:val="en-US" w:eastAsia="zh-CN"/>
        </w:rPr>
        <w:t>2023年预算减少213.42</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减少203.42</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项目支出</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10万元</w:t>
      </w:r>
      <w:r>
        <w:rPr>
          <w:rFonts w:hint="eastAsia" w:ascii="仿宋" w:hAnsi="仿宋" w:eastAsia="仿宋" w:cs="仿宋"/>
          <w:sz w:val="32"/>
          <w:szCs w:val="32"/>
          <w:lang w:eastAsia="zh-CN"/>
        </w:rPr>
        <w:t>。</w:t>
      </w:r>
      <w:r>
        <w:rPr>
          <w:rFonts w:hint="eastAsia" w:ascii="仿宋" w:hAnsi="仿宋" w:eastAsia="仿宋" w:cs="仿宋"/>
          <w:sz w:val="32"/>
          <w:szCs w:val="32"/>
        </w:rPr>
        <w:t>主要是</w:t>
      </w:r>
      <w:r>
        <w:rPr>
          <w:rFonts w:hint="eastAsia" w:ascii="仿宋" w:hAnsi="仿宋" w:eastAsia="仿宋" w:cs="仿宋"/>
          <w:sz w:val="32"/>
          <w:szCs w:val="32"/>
          <w:lang w:eastAsia="zh-CN"/>
        </w:rPr>
        <w:t>人员、</w:t>
      </w:r>
      <w:r>
        <w:rPr>
          <w:rFonts w:hint="eastAsia" w:ascii="仿宋" w:hAnsi="仿宋" w:eastAsia="仿宋" w:cs="仿宋"/>
          <w:sz w:val="32"/>
          <w:szCs w:val="32"/>
          <w:lang w:val="en-US" w:eastAsia="zh-CN"/>
        </w:rPr>
        <w:t>正常、项目</w:t>
      </w:r>
      <w:r>
        <w:rPr>
          <w:rFonts w:hint="eastAsia" w:ascii="仿宋" w:hAnsi="仿宋" w:eastAsia="仿宋" w:cs="仿宋"/>
          <w:sz w:val="32"/>
          <w:szCs w:val="32"/>
          <w:lang w:eastAsia="zh-CN"/>
        </w:rPr>
        <w:t>经费有所</w:t>
      </w:r>
      <w:r>
        <w:rPr>
          <w:rFonts w:hint="eastAsia" w:ascii="仿宋" w:hAnsi="仿宋" w:eastAsia="仿宋" w:cs="仿宋"/>
          <w:sz w:val="32"/>
          <w:szCs w:val="32"/>
          <w:lang w:val="en-US" w:eastAsia="zh-CN"/>
        </w:rPr>
        <w:t>减少</w:t>
      </w:r>
      <w:r>
        <w:rPr>
          <w:rFonts w:hint="eastAsia" w:ascii="仿宋" w:hAnsi="仿宋" w:eastAsia="仿宋" w:cs="仿宋"/>
          <w:sz w:val="32"/>
          <w:szCs w:val="32"/>
        </w:rPr>
        <w:t>。</w:t>
      </w:r>
    </w:p>
    <w:p>
      <w:pPr>
        <w:spacing w:before="10" w:after="10" w:line="360" w:lineRule="auto"/>
        <w:ind w:firstLine="640"/>
        <w:outlineLvl w:val="2"/>
      </w:pPr>
      <w:r>
        <w:rPr>
          <w:rFonts w:ascii="黑体" w:hAnsi="黑体" w:eastAsia="黑体" w:cs="黑体"/>
          <w:color w:val="000000"/>
          <w:sz w:val="32"/>
        </w:rPr>
        <w:t>三、机关运行经费安排情况</w:t>
      </w:r>
      <w:bookmarkEnd w:id="11"/>
    </w:p>
    <w:p>
      <w:pPr>
        <w:pStyle w:val="24"/>
        <w:rPr>
          <w:rFonts w:ascii="黑体" w:hAnsi="黑体" w:eastAsia="黑体" w:cs="黑体"/>
          <w:color w:val="000000"/>
          <w:sz w:val="32"/>
        </w:rPr>
      </w:pPr>
      <w:r>
        <w:rPr>
          <w:rFonts w:hint="eastAsia" w:eastAsia="方正仿宋_GBK"/>
          <w:color w:val="000000"/>
          <w:sz w:val="28"/>
        </w:rPr>
        <w:t>202</w:t>
      </w:r>
      <w:r>
        <w:rPr>
          <w:rFonts w:hint="eastAsia"/>
          <w:color w:val="000000"/>
          <w:sz w:val="28"/>
          <w:lang w:val="en-US" w:eastAsia="zh-CN"/>
        </w:rPr>
        <w:t>4</w:t>
      </w:r>
      <w:r>
        <w:rPr>
          <w:rFonts w:hint="eastAsia" w:eastAsia="方正仿宋_GBK"/>
          <w:color w:val="000000"/>
          <w:sz w:val="28"/>
        </w:rPr>
        <w:t>年，机关运行费共计安排</w:t>
      </w:r>
      <w:r>
        <w:rPr>
          <w:rFonts w:hint="eastAsia"/>
          <w:color w:val="000000"/>
          <w:sz w:val="28"/>
          <w:lang w:val="en-US" w:eastAsia="zh-CN"/>
        </w:rPr>
        <w:t>285.62</w:t>
      </w:r>
      <w:r>
        <w:rPr>
          <w:rFonts w:hint="eastAsia" w:eastAsia="方正仿宋_GBK"/>
          <w:color w:val="000000"/>
          <w:sz w:val="28"/>
        </w:rPr>
        <w:t>万元，其中办公费</w:t>
      </w:r>
      <w:r>
        <w:rPr>
          <w:rFonts w:hint="eastAsia"/>
          <w:color w:val="000000"/>
          <w:sz w:val="28"/>
          <w:lang w:val="en-US" w:eastAsia="zh-CN"/>
        </w:rPr>
        <w:t>37.94</w:t>
      </w:r>
      <w:r>
        <w:rPr>
          <w:rFonts w:hint="eastAsia" w:eastAsia="方正仿宋_GBK"/>
          <w:color w:val="000000"/>
          <w:sz w:val="28"/>
        </w:rPr>
        <w:t>万元，邮电费0.6</w:t>
      </w:r>
      <w:r>
        <w:rPr>
          <w:rFonts w:hint="eastAsia"/>
          <w:color w:val="000000"/>
          <w:sz w:val="28"/>
          <w:lang w:val="en-US" w:eastAsia="zh-CN"/>
        </w:rPr>
        <w:t>0</w:t>
      </w:r>
      <w:r>
        <w:rPr>
          <w:rFonts w:hint="eastAsia" w:eastAsia="方正仿宋_GBK"/>
          <w:color w:val="000000"/>
          <w:sz w:val="28"/>
        </w:rPr>
        <w:t>万元，取暖费17.27万元，差旅费</w:t>
      </w:r>
      <w:r>
        <w:rPr>
          <w:rFonts w:hint="eastAsia"/>
          <w:color w:val="000000"/>
          <w:sz w:val="28"/>
          <w:lang w:val="en-US" w:eastAsia="zh-CN"/>
        </w:rPr>
        <w:t>17.70</w:t>
      </w:r>
      <w:r>
        <w:rPr>
          <w:rFonts w:hint="eastAsia" w:eastAsia="方正仿宋_GBK"/>
          <w:color w:val="000000"/>
          <w:sz w:val="28"/>
        </w:rPr>
        <w:t>万元，公务接待费</w:t>
      </w:r>
      <w:r>
        <w:rPr>
          <w:rFonts w:hint="eastAsia"/>
          <w:color w:val="000000"/>
          <w:sz w:val="28"/>
          <w:lang w:val="en-US" w:eastAsia="zh-CN"/>
        </w:rPr>
        <w:t>1.00万元</w:t>
      </w:r>
      <w:r>
        <w:rPr>
          <w:rFonts w:hint="eastAsia" w:eastAsia="方正仿宋_GBK"/>
          <w:color w:val="000000"/>
          <w:sz w:val="28"/>
        </w:rPr>
        <w:t>元，劳务费</w:t>
      </w:r>
      <w:r>
        <w:rPr>
          <w:rFonts w:hint="eastAsia"/>
          <w:color w:val="000000"/>
          <w:sz w:val="28"/>
          <w:lang w:val="en-US" w:eastAsia="zh-CN"/>
        </w:rPr>
        <w:t>95.47</w:t>
      </w:r>
      <w:r>
        <w:rPr>
          <w:rFonts w:hint="eastAsia" w:eastAsia="方正仿宋_GBK"/>
          <w:color w:val="000000"/>
          <w:sz w:val="28"/>
        </w:rPr>
        <w:t>万元，公务用车运行维护费3</w:t>
      </w:r>
      <w:r>
        <w:rPr>
          <w:rFonts w:hint="eastAsia"/>
          <w:color w:val="000000"/>
          <w:sz w:val="28"/>
          <w:lang w:val="en-US" w:eastAsia="zh-CN"/>
        </w:rPr>
        <w:t>4.00</w:t>
      </w:r>
      <w:r>
        <w:rPr>
          <w:rFonts w:hint="eastAsia" w:eastAsia="方正仿宋_GBK"/>
          <w:color w:val="000000"/>
          <w:sz w:val="28"/>
        </w:rPr>
        <w:t>万元，公务交通补贴</w:t>
      </w:r>
      <w:r>
        <w:rPr>
          <w:rFonts w:hint="eastAsia"/>
          <w:color w:val="000000"/>
          <w:sz w:val="28"/>
          <w:lang w:val="en-US" w:eastAsia="zh-CN"/>
        </w:rPr>
        <w:t>36.36</w:t>
      </w:r>
      <w:r>
        <w:rPr>
          <w:rFonts w:hint="eastAsia" w:eastAsia="方正仿宋_GBK"/>
          <w:color w:val="000000"/>
          <w:sz w:val="28"/>
        </w:rPr>
        <w:t>元，离退休人员公用经费</w:t>
      </w:r>
      <w:r>
        <w:rPr>
          <w:rFonts w:hint="eastAsia"/>
          <w:color w:val="000000"/>
          <w:sz w:val="28"/>
          <w:lang w:val="en-US" w:eastAsia="zh-CN"/>
        </w:rPr>
        <w:t>2.20</w:t>
      </w:r>
      <w:r>
        <w:rPr>
          <w:rFonts w:hint="eastAsia" w:eastAsia="方正仿宋_GBK"/>
          <w:color w:val="000000"/>
          <w:sz w:val="28"/>
        </w:rPr>
        <w:t>万元，工会经费</w:t>
      </w:r>
      <w:r>
        <w:rPr>
          <w:rFonts w:hint="eastAsia"/>
          <w:color w:val="000000"/>
          <w:sz w:val="28"/>
          <w:lang w:val="en-US" w:eastAsia="zh-CN"/>
        </w:rPr>
        <w:t>15.45</w:t>
      </w:r>
      <w:r>
        <w:rPr>
          <w:rFonts w:hint="eastAsia" w:eastAsia="方正仿宋_GBK"/>
          <w:color w:val="000000"/>
          <w:sz w:val="28"/>
        </w:rPr>
        <w:t>万元，职工福利费</w:t>
      </w:r>
      <w:r>
        <w:rPr>
          <w:rFonts w:hint="eastAsia"/>
          <w:color w:val="000000"/>
          <w:sz w:val="28"/>
          <w:lang w:val="en-US" w:eastAsia="zh-CN"/>
        </w:rPr>
        <w:t>27.63</w:t>
      </w:r>
      <w:r>
        <w:rPr>
          <w:rFonts w:hint="eastAsia" w:eastAsia="方正仿宋_GBK"/>
          <w:color w:val="000000"/>
          <w:sz w:val="28"/>
        </w:rPr>
        <w:t>万元。</w:t>
      </w:r>
      <w:bookmarkStart w:id="12" w:name="_Toc_3_3_0000000013"/>
    </w:p>
    <w:p>
      <w:pPr>
        <w:numPr>
          <w:ilvl w:val="0"/>
          <w:numId w:val="1"/>
        </w:numPr>
        <w:spacing w:before="10" w:after="10" w:line="360" w:lineRule="auto"/>
        <w:ind w:firstLine="640"/>
        <w:outlineLvl w:val="2"/>
        <w:rPr>
          <w:rFonts w:ascii="黑体" w:hAnsi="黑体" w:eastAsia="黑体" w:cs="黑体"/>
          <w:color w:val="000000"/>
          <w:sz w:val="32"/>
        </w:rPr>
      </w:pPr>
      <w:r>
        <w:rPr>
          <w:rFonts w:ascii="黑体" w:hAnsi="黑体" w:eastAsia="黑体" w:cs="黑体"/>
          <w:color w:val="000000"/>
          <w:sz w:val="32"/>
        </w:rPr>
        <w:t>财政拨款“三公”经费预算情况及增减变化原因</w:t>
      </w:r>
      <w:bookmarkEnd w:id="12"/>
    </w:p>
    <w:p>
      <w:pPr>
        <w:numPr>
          <w:ilvl w:val="0"/>
          <w:numId w:val="0"/>
        </w:numPr>
        <w:spacing w:before="10" w:after="10" w:line="360" w:lineRule="auto"/>
        <w:ind w:firstLine="640" w:firstLineChars="200"/>
        <w:outlineLvl w:val="2"/>
        <w:rPr>
          <w:rFonts w:hint="eastAsia" w:ascii="仿宋" w:hAnsi="仿宋" w:eastAsia="仿宋" w:cs="仿宋"/>
          <w:sz w:val="32"/>
          <w:szCs w:val="32"/>
          <w:lang w:eastAsia="zh-CN"/>
        </w:rPr>
      </w:pPr>
      <w:r>
        <w:rPr>
          <w:rFonts w:hint="eastAsia" w:ascii="仿宋" w:hAnsi="仿宋" w:eastAsia="仿宋" w:cs="仿宋"/>
          <w:sz w:val="32"/>
          <w:szCs w:val="32"/>
          <w:lang w:val="en-US" w:eastAsia="zh-CN"/>
        </w:rPr>
        <w:t>2024</w:t>
      </w:r>
      <w:r>
        <w:rPr>
          <w:rFonts w:hint="eastAsia" w:ascii="仿宋" w:hAnsi="仿宋" w:eastAsia="仿宋" w:cs="仿宋"/>
          <w:sz w:val="32"/>
          <w:szCs w:val="32"/>
        </w:rPr>
        <w:t>年我</w:t>
      </w:r>
      <w:r>
        <w:rPr>
          <w:rFonts w:hint="eastAsia" w:ascii="仿宋" w:hAnsi="仿宋" w:eastAsia="仿宋" w:cs="仿宋"/>
          <w:sz w:val="32"/>
          <w:szCs w:val="32"/>
          <w:lang w:eastAsia="zh-CN"/>
        </w:rPr>
        <w:t>单位</w:t>
      </w:r>
      <w:r>
        <w:rPr>
          <w:rFonts w:hint="eastAsia" w:ascii="仿宋" w:hAnsi="仿宋" w:eastAsia="仿宋" w:cs="仿宋"/>
          <w:sz w:val="32"/>
          <w:szCs w:val="32"/>
        </w:rPr>
        <w:t>安排“三公经费”预算</w:t>
      </w:r>
      <w:r>
        <w:rPr>
          <w:rFonts w:hint="eastAsia" w:ascii="仿宋" w:hAnsi="仿宋" w:eastAsia="仿宋" w:cs="仿宋"/>
          <w:sz w:val="32"/>
          <w:szCs w:val="32"/>
          <w:lang w:val="en-US" w:eastAsia="zh-CN"/>
        </w:rPr>
        <w:t>79.00</w:t>
      </w:r>
      <w:r>
        <w:rPr>
          <w:rFonts w:hint="eastAsia" w:ascii="仿宋" w:hAnsi="仿宋" w:eastAsia="仿宋" w:cs="仿宋"/>
          <w:sz w:val="32"/>
          <w:szCs w:val="32"/>
        </w:rPr>
        <w:t>万元，严格落实“三公经费”管理办法以及中央八项规定。其中，</w:t>
      </w:r>
      <w:r>
        <w:rPr>
          <w:rFonts w:hint="eastAsia" w:ascii="仿宋" w:hAnsi="仿宋" w:eastAsia="仿宋" w:cs="仿宋"/>
          <w:sz w:val="32"/>
          <w:szCs w:val="32"/>
          <w:lang w:eastAsia="zh-CN"/>
        </w:rPr>
        <w:t>公务用车购置费</w:t>
      </w:r>
      <w:r>
        <w:rPr>
          <w:rFonts w:hint="eastAsia" w:ascii="仿宋" w:hAnsi="仿宋" w:eastAsia="仿宋" w:cs="仿宋"/>
          <w:sz w:val="32"/>
          <w:szCs w:val="32"/>
          <w:lang w:val="en-US" w:eastAsia="zh-CN"/>
        </w:rPr>
        <w:t>14.00万元，与2023年持平，</w:t>
      </w:r>
      <w:r>
        <w:rPr>
          <w:rFonts w:hint="eastAsia" w:ascii="仿宋" w:hAnsi="仿宋" w:eastAsia="仿宋" w:cs="仿宋"/>
          <w:sz w:val="32"/>
          <w:szCs w:val="32"/>
        </w:rPr>
        <w:t>公务用车运行维护费</w:t>
      </w:r>
      <w:r>
        <w:rPr>
          <w:rFonts w:hint="eastAsia" w:ascii="仿宋" w:hAnsi="仿宋" w:eastAsia="仿宋" w:cs="仿宋"/>
          <w:sz w:val="32"/>
          <w:szCs w:val="32"/>
          <w:lang w:val="en-US" w:eastAsia="zh-CN"/>
        </w:rPr>
        <w:t>65.00</w:t>
      </w:r>
      <w:r>
        <w:rPr>
          <w:rFonts w:hint="eastAsia" w:ascii="仿宋" w:hAnsi="仿宋" w:eastAsia="仿宋" w:cs="仿宋"/>
          <w:sz w:val="32"/>
          <w:szCs w:val="32"/>
        </w:rPr>
        <w:t>万元，</w:t>
      </w:r>
      <w:r>
        <w:rPr>
          <w:rFonts w:hint="eastAsia" w:ascii="仿宋" w:hAnsi="仿宋" w:eastAsia="仿宋" w:cs="仿宋"/>
          <w:sz w:val="32"/>
          <w:szCs w:val="32"/>
          <w:lang w:val="en-US" w:eastAsia="zh-CN"/>
        </w:rPr>
        <w:t>较2023年减少15.00万元</w:t>
      </w:r>
      <w:r>
        <w:rPr>
          <w:rFonts w:hint="eastAsia" w:ascii="仿宋" w:hAnsi="仿宋" w:eastAsia="仿宋" w:cs="仿宋"/>
          <w:sz w:val="32"/>
          <w:szCs w:val="32"/>
        </w:rPr>
        <w:t>；公务接待费</w:t>
      </w:r>
      <w:r>
        <w:rPr>
          <w:rFonts w:hint="eastAsia" w:ascii="仿宋" w:hAnsi="仿宋" w:eastAsia="仿宋" w:cs="仿宋"/>
          <w:sz w:val="32"/>
          <w:szCs w:val="32"/>
          <w:lang w:val="en-US" w:eastAsia="zh-CN"/>
        </w:rPr>
        <w:t>1.00</w:t>
      </w:r>
      <w:r>
        <w:rPr>
          <w:rFonts w:hint="eastAsia" w:ascii="仿宋" w:hAnsi="仿宋" w:eastAsia="仿宋" w:cs="仿宋"/>
          <w:sz w:val="32"/>
          <w:szCs w:val="32"/>
        </w:rPr>
        <w:t>万元，</w:t>
      </w:r>
      <w:r>
        <w:rPr>
          <w:rFonts w:hint="eastAsia" w:ascii="仿宋" w:hAnsi="仿宋" w:eastAsia="仿宋" w:cs="仿宋"/>
          <w:sz w:val="32"/>
          <w:szCs w:val="32"/>
          <w:lang w:val="en-US" w:eastAsia="zh-CN"/>
        </w:rPr>
        <w:t>较</w:t>
      </w:r>
      <w:r>
        <w:rPr>
          <w:rFonts w:hint="eastAsia" w:ascii="仿宋" w:hAnsi="仿宋" w:eastAsia="仿宋" w:cs="仿宋"/>
          <w:sz w:val="32"/>
          <w:szCs w:val="32"/>
        </w:rPr>
        <w:t>20</w:t>
      </w:r>
      <w:r>
        <w:rPr>
          <w:rFonts w:hint="eastAsia" w:ascii="仿宋" w:hAnsi="仿宋" w:eastAsia="仿宋" w:cs="仿宋"/>
          <w:sz w:val="32"/>
          <w:szCs w:val="32"/>
          <w:lang w:val="en-US" w:eastAsia="zh-CN"/>
        </w:rPr>
        <w:t>23</w:t>
      </w:r>
      <w:r>
        <w:rPr>
          <w:rFonts w:hint="eastAsia" w:ascii="仿宋" w:hAnsi="仿宋" w:eastAsia="仿宋" w:cs="仿宋"/>
          <w:sz w:val="32"/>
          <w:szCs w:val="32"/>
        </w:rPr>
        <w:t>年</w:t>
      </w:r>
      <w:r>
        <w:rPr>
          <w:rFonts w:hint="eastAsia" w:ascii="仿宋" w:hAnsi="仿宋" w:eastAsia="仿宋" w:cs="仿宋"/>
          <w:sz w:val="32"/>
          <w:szCs w:val="32"/>
          <w:lang w:val="en-US" w:eastAsia="zh-CN"/>
        </w:rPr>
        <w:t>减少1.00万元</w:t>
      </w:r>
      <w:r>
        <w:rPr>
          <w:rFonts w:hint="eastAsia" w:ascii="仿宋" w:hAnsi="仿宋" w:eastAsia="仿宋" w:cs="仿宋"/>
          <w:sz w:val="32"/>
          <w:szCs w:val="32"/>
        </w:rPr>
        <w:t>；因公出国经费无</w:t>
      </w:r>
      <w:r>
        <w:rPr>
          <w:rFonts w:hint="eastAsia" w:ascii="仿宋" w:hAnsi="仿宋" w:eastAsia="仿宋" w:cs="仿宋"/>
          <w:sz w:val="32"/>
          <w:szCs w:val="32"/>
          <w:lang w:eastAsia="zh-CN"/>
        </w:rPr>
        <w:t>。</w:t>
      </w:r>
    </w:p>
    <w:p>
      <w:pPr>
        <w:numPr>
          <w:ilvl w:val="0"/>
          <w:numId w:val="0"/>
        </w:numPr>
        <w:spacing w:before="10" w:after="10" w:line="360" w:lineRule="auto"/>
        <w:ind w:firstLine="640" w:firstLineChars="200"/>
        <w:outlineLvl w:val="2"/>
        <w:rPr>
          <w:rFonts w:hint="eastAsia" w:ascii="仿宋" w:hAnsi="仿宋" w:eastAsia="仿宋" w:cs="仿宋"/>
          <w:sz w:val="32"/>
          <w:szCs w:val="32"/>
          <w:lang w:eastAsia="zh-CN"/>
        </w:rPr>
      </w:pPr>
    </w:p>
    <w:p>
      <w:pPr>
        <w:numPr>
          <w:ilvl w:val="0"/>
          <w:numId w:val="0"/>
        </w:numPr>
        <w:spacing w:before="10" w:after="10" w:line="360" w:lineRule="auto"/>
        <w:ind w:firstLine="640" w:firstLineChars="200"/>
        <w:outlineLvl w:val="2"/>
        <w:rPr>
          <w:rFonts w:hint="eastAsia" w:ascii="仿宋" w:hAnsi="仿宋" w:eastAsia="仿宋" w:cs="仿宋"/>
          <w:sz w:val="32"/>
          <w:szCs w:val="32"/>
          <w:lang w:eastAsia="zh-CN"/>
        </w:rPr>
      </w:pPr>
    </w:p>
    <w:tbl>
      <w:tblPr>
        <w:tblStyle w:val="9"/>
        <w:tblW w:w="15157" w:type="dxa"/>
        <w:tblInd w:w="0" w:type="dxa"/>
        <w:tblLayout w:type="fixed"/>
        <w:tblCellMar>
          <w:top w:w="0" w:type="dxa"/>
          <w:left w:w="108" w:type="dxa"/>
          <w:bottom w:w="0" w:type="dxa"/>
          <w:right w:w="108" w:type="dxa"/>
        </w:tblCellMar>
      </w:tblPr>
      <w:tblGrid>
        <w:gridCol w:w="2527"/>
        <w:gridCol w:w="1515"/>
        <w:gridCol w:w="1725"/>
        <w:gridCol w:w="1275"/>
        <w:gridCol w:w="8115"/>
      </w:tblGrid>
      <w:tr>
        <w:tblPrEx>
          <w:tblCellMar>
            <w:top w:w="0" w:type="dxa"/>
            <w:left w:w="108" w:type="dxa"/>
            <w:bottom w:w="0" w:type="dxa"/>
            <w:right w:w="108" w:type="dxa"/>
          </w:tblCellMar>
        </w:tblPrEx>
        <w:trPr>
          <w:trHeight w:val="236" w:hRule="atLeast"/>
        </w:trPr>
        <w:tc>
          <w:tcPr>
            <w:tcW w:w="2527" w:type="dxa"/>
            <w:tcBorders>
              <w:top w:val="nil"/>
              <w:left w:val="nil"/>
              <w:bottom w:val="nil"/>
              <w:right w:val="nil"/>
            </w:tcBorders>
            <w:vAlign w:val="center"/>
          </w:tcPr>
          <w:p>
            <w:pPr>
              <w:rPr>
                <w:rFonts w:ascii="宋体" w:hAnsi="宋体" w:eastAsia="宋体" w:cs="宋体"/>
              </w:rPr>
            </w:pPr>
          </w:p>
        </w:tc>
        <w:tc>
          <w:tcPr>
            <w:tcW w:w="1515" w:type="dxa"/>
            <w:tcBorders>
              <w:top w:val="nil"/>
              <w:left w:val="nil"/>
              <w:bottom w:val="nil"/>
              <w:right w:val="nil"/>
            </w:tcBorders>
            <w:vAlign w:val="center"/>
          </w:tcPr>
          <w:p>
            <w:pPr>
              <w:rPr>
                <w:rFonts w:ascii="宋体" w:hAnsi="宋体" w:eastAsia="宋体" w:cs="宋体"/>
              </w:rPr>
            </w:pPr>
          </w:p>
        </w:tc>
        <w:tc>
          <w:tcPr>
            <w:tcW w:w="1725" w:type="dxa"/>
            <w:tcBorders>
              <w:top w:val="nil"/>
              <w:left w:val="nil"/>
              <w:bottom w:val="nil"/>
              <w:right w:val="nil"/>
            </w:tcBorders>
            <w:vAlign w:val="center"/>
          </w:tcPr>
          <w:p>
            <w:pPr>
              <w:rPr>
                <w:rFonts w:ascii="宋体" w:hAnsi="宋体" w:eastAsia="宋体" w:cs="宋体"/>
              </w:rPr>
            </w:pPr>
          </w:p>
        </w:tc>
        <w:tc>
          <w:tcPr>
            <w:tcW w:w="1275" w:type="dxa"/>
            <w:tcBorders>
              <w:top w:val="nil"/>
              <w:left w:val="nil"/>
              <w:bottom w:val="nil"/>
              <w:right w:val="nil"/>
            </w:tcBorders>
            <w:vAlign w:val="center"/>
          </w:tcPr>
          <w:p>
            <w:pPr>
              <w:rPr>
                <w:rFonts w:ascii="宋体" w:hAnsi="宋体" w:eastAsia="宋体" w:cs="宋体"/>
              </w:rPr>
            </w:pPr>
          </w:p>
        </w:tc>
        <w:tc>
          <w:tcPr>
            <w:tcW w:w="8115"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495" w:hRule="atLeast"/>
        </w:trPr>
        <w:tc>
          <w:tcPr>
            <w:tcW w:w="2527" w:type="dxa"/>
            <w:tcBorders>
              <w:top w:val="single" w:color="auto" w:sz="4" w:space="0"/>
              <w:left w:val="single" w:color="auto" w:sz="4" w:space="0"/>
              <w:bottom w:val="single" w:color="auto" w:sz="4" w:space="0"/>
              <w:right w:val="single" w:color="auto" w:sz="4" w:space="0"/>
            </w:tcBorders>
            <w:vAlign w:val="top"/>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rPr>
              <w:t>项目名称</w:t>
            </w:r>
          </w:p>
        </w:tc>
        <w:tc>
          <w:tcPr>
            <w:tcW w:w="1515" w:type="dxa"/>
            <w:tcBorders>
              <w:top w:val="single" w:color="auto" w:sz="4" w:space="0"/>
              <w:left w:val="nil"/>
              <w:bottom w:val="single" w:color="auto" w:sz="4" w:space="0"/>
              <w:right w:val="single" w:color="auto" w:sz="4" w:space="0"/>
            </w:tcBorders>
            <w:vAlign w:val="top"/>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rPr>
              <w:t>20</w:t>
            </w:r>
            <w:r>
              <w:rPr>
                <w:rFonts w:hint="eastAsia" w:ascii="仿宋" w:hAnsi="仿宋" w:eastAsia="仿宋" w:cs="仿宋"/>
                <w:sz w:val="28"/>
                <w:szCs w:val="28"/>
                <w:lang w:val="en-US" w:eastAsia="zh-CN"/>
              </w:rPr>
              <w:t>23</w:t>
            </w:r>
            <w:r>
              <w:rPr>
                <w:rFonts w:hint="eastAsia" w:ascii="仿宋" w:hAnsi="仿宋" w:eastAsia="仿宋" w:cs="仿宋"/>
                <w:sz w:val="28"/>
                <w:szCs w:val="28"/>
              </w:rPr>
              <w:t>年度预算</w:t>
            </w:r>
          </w:p>
        </w:tc>
        <w:tc>
          <w:tcPr>
            <w:tcW w:w="1725" w:type="dxa"/>
            <w:tcBorders>
              <w:top w:val="single" w:color="auto" w:sz="4" w:space="0"/>
              <w:left w:val="nil"/>
              <w:bottom w:val="single" w:color="auto" w:sz="4" w:space="0"/>
              <w:right w:val="single" w:color="auto" w:sz="4" w:space="0"/>
            </w:tcBorders>
            <w:vAlign w:val="top"/>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rPr>
              <w:t>202</w:t>
            </w:r>
            <w:r>
              <w:rPr>
                <w:rFonts w:hint="eastAsia" w:ascii="仿宋" w:hAnsi="仿宋" w:eastAsia="仿宋" w:cs="仿宋"/>
                <w:sz w:val="28"/>
                <w:szCs w:val="28"/>
                <w:lang w:val="en-US" w:eastAsia="zh-CN"/>
              </w:rPr>
              <w:t>4</w:t>
            </w:r>
            <w:r>
              <w:rPr>
                <w:rFonts w:hint="eastAsia" w:ascii="仿宋" w:hAnsi="仿宋" w:eastAsia="仿宋" w:cs="仿宋"/>
                <w:sz w:val="28"/>
                <w:szCs w:val="28"/>
              </w:rPr>
              <w:t>年度预算</w:t>
            </w:r>
          </w:p>
        </w:tc>
        <w:tc>
          <w:tcPr>
            <w:tcW w:w="1275" w:type="dxa"/>
            <w:tcBorders>
              <w:top w:val="single" w:color="auto" w:sz="4" w:space="0"/>
              <w:left w:val="nil"/>
              <w:bottom w:val="single" w:color="auto" w:sz="4" w:space="0"/>
              <w:right w:val="single" w:color="auto" w:sz="4" w:space="0"/>
            </w:tcBorders>
            <w:vAlign w:val="top"/>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rPr>
              <w:t>增减金额</w:t>
            </w:r>
          </w:p>
        </w:tc>
        <w:tc>
          <w:tcPr>
            <w:tcW w:w="8115" w:type="dxa"/>
            <w:tcBorders>
              <w:top w:val="single" w:color="auto" w:sz="4" w:space="0"/>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rPr>
              <w:t>变化原因</w:t>
            </w:r>
          </w:p>
        </w:tc>
      </w:tr>
      <w:tr>
        <w:tblPrEx>
          <w:tblCellMar>
            <w:top w:w="0" w:type="dxa"/>
            <w:left w:w="108" w:type="dxa"/>
            <w:bottom w:w="0" w:type="dxa"/>
            <w:right w:w="108" w:type="dxa"/>
          </w:tblCellMar>
        </w:tblPrEx>
        <w:trPr>
          <w:trHeight w:val="430" w:hRule="atLeast"/>
        </w:trPr>
        <w:tc>
          <w:tcPr>
            <w:tcW w:w="2527" w:type="dxa"/>
            <w:tcBorders>
              <w:top w:val="nil"/>
              <w:left w:val="single" w:color="auto" w:sz="4" w:space="0"/>
              <w:bottom w:val="single" w:color="auto" w:sz="4" w:space="0"/>
              <w:right w:val="single" w:color="auto" w:sz="4" w:space="0"/>
            </w:tcBorders>
            <w:vAlign w:val="top"/>
          </w:tcPr>
          <w:p>
            <w:pPr>
              <w:snapToGrid w:val="0"/>
              <w:spacing w:line="520" w:lineRule="exact"/>
              <w:jc w:val="both"/>
              <w:rPr>
                <w:rFonts w:ascii="仿宋_GB2312" w:hAnsi="宋体" w:eastAsia="仿宋_GB2312" w:cs="宋体"/>
                <w:sz w:val="28"/>
                <w:szCs w:val="28"/>
              </w:rPr>
            </w:pPr>
            <w:r>
              <w:rPr>
                <w:rFonts w:hint="eastAsia" w:ascii="仿宋" w:hAnsi="仿宋" w:eastAsia="仿宋" w:cs="仿宋"/>
                <w:sz w:val="28"/>
                <w:szCs w:val="28"/>
              </w:rPr>
              <w:t>因公出国经费</w:t>
            </w:r>
          </w:p>
        </w:tc>
        <w:tc>
          <w:tcPr>
            <w:tcW w:w="1515"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rPr>
              <w:t>0</w:t>
            </w:r>
          </w:p>
        </w:tc>
        <w:tc>
          <w:tcPr>
            <w:tcW w:w="1725"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rPr>
              <w:t>0</w:t>
            </w:r>
          </w:p>
        </w:tc>
        <w:tc>
          <w:tcPr>
            <w:tcW w:w="1275"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rPr>
              <w:t>0</w:t>
            </w:r>
          </w:p>
        </w:tc>
        <w:tc>
          <w:tcPr>
            <w:tcW w:w="8115" w:type="dxa"/>
            <w:tcBorders>
              <w:top w:val="nil"/>
              <w:left w:val="nil"/>
              <w:bottom w:val="single" w:color="auto" w:sz="4" w:space="0"/>
              <w:right w:val="single" w:color="auto" w:sz="4" w:space="0"/>
            </w:tcBorders>
            <w:vAlign w:val="center"/>
          </w:tcPr>
          <w:p>
            <w:pPr>
              <w:snapToGrid w:val="0"/>
              <w:spacing w:line="520" w:lineRule="exact"/>
              <w:jc w:val="left"/>
              <w:rPr>
                <w:rFonts w:ascii="仿宋_GB2312" w:hAnsi="宋体" w:eastAsia="仿宋_GB2312" w:cs="宋体"/>
                <w:sz w:val="28"/>
                <w:szCs w:val="28"/>
              </w:rPr>
            </w:pPr>
            <w:r>
              <w:rPr>
                <w:rFonts w:hint="eastAsia" w:ascii="仿宋" w:hAnsi="仿宋" w:eastAsia="仿宋" w:cs="仿宋"/>
                <w:sz w:val="28"/>
                <w:szCs w:val="28"/>
              </w:rPr>
              <w:t>无增减变化</w:t>
            </w:r>
          </w:p>
        </w:tc>
      </w:tr>
      <w:tr>
        <w:tblPrEx>
          <w:tblCellMar>
            <w:top w:w="0" w:type="dxa"/>
            <w:left w:w="108" w:type="dxa"/>
            <w:bottom w:w="0" w:type="dxa"/>
            <w:right w:w="108" w:type="dxa"/>
          </w:tblCellMar>
        </w:tblPrEx>
        <w:trPr>
          <w:trHeight w:val="285" w:hRule="atLeast"/>
        </w:trPr>
        <w:tc>
          <w:tcPr>
            <w:tcW w:w="2527" w:type="dxa"/>
            <w:tcBorders>
              <w:top w:val="nil"/>
              <w:left w:val="single" w:color="auto" w:sz="4" w:space="0"/>
              <w:bottom w:val="single" w:color="auto" w:sz="4" w:space="0"/>
              <w:right w:val="single" w:color="auto" w:sz="4" w:space="0"/>
            </w:tcBorders>
            <w:vAlign w:val="top"/>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rPr>
              <w:t>公务用车购置经费</w:t>
            </w:r>
          </w:p>
        </w:tc>
        <w:tc>
          <w:tcPr>
            <w:tcW w:w="1515"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lang w:val="en-US" w:eastAsia="zh-CN"/>
              </w:rPr>
              <w:t>14</w:t>
            </w:r>
          </w:p>
        </w:tc>
        <w:tc>
          <w:tcPr>
            <w:tcW w:w="1725"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lang w:val="en-US" w:eastAsia="zh-CN"/>
              </w:rPr>
              <w:t>14</w:t>
            </w:r>
          </w:p>
        </w:tc>
        <w:tc>
          <w:tcPr>
            <w:tcW w:w="1275"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lang w:val="en-US" w:eastAsia="zh-CN"/>
              </w:rPr>
              <w:t>0</w:t>
            </w:r>
          </w:p>
        </w:tc>
        <w:tc>
          <w:tcPr>
            <w:tcW w:w="8115" w:type="dxa"/>
            <w:tcBorders>
              <w:top w:val="nil"/>
              <w:left w:val="nil"/>
              <w:bottom w:val="single" w:color="auto" w:sz="4" w:space="0"/>
              <w:right w:val="single" w:color="auto" w:sz="4" w:space="0"/>
            </w:tcBorders>
            <w:vAlign w:val="center"/>
          </w:tcPr>
          <w:p>
            <w:pPr>
              <w:snapToGrid w:val="0"/>
              <w:spacing w:line="520" w:lineRule="exact"/>
              <w:jc w:val="both"/>
              <w:rPr>
                <w:rFonts w:hint="default" w:ascii="仿宋_GB2312" w:hAnsi="宋体" w:eastAsia="仿宋_GB2312" w:cs="宋体"/>
                <w:sz w:val="28"/>
                <w:szCs w:val="28"/>
                <w:lang w:val="en-US" w:eastAsia="zh-CN"/>
              </w:rPr>
            </w:pPr>
            <w:r>
              <w:rPr>
                <w:rFonts w:hint="eastAsia" w:ascii="仿宋" w:hAnsi="仿宋" w:eastAsia="仿宋" w:cs="仿宋"/>
                <w:sz w:val="28"/>
                <w:szCs w:val="28"/>
                <w:lang w:val="en-US" w:eastAsia="zh-CN"/>
              </w:rPr>
              <w:t>无增减变化</w:t>
            </w:r>
          </w:p>
        </w:tc>
      </w:tr>
      <w:tr>
        <w:tblPrEx>
          <w:tblCellMar>
            <w:top w:w="0" w:type="dxa"/>
            <w:left w:w="108" w:type="dxa"/>
            <w:bottom w:w="0" w:type="dxa"/>
            <w:right w:w="108" w:type="dxa"/>
          </w:tblCellMar>
        </w:tblPrEx>
        <w:trPr>
          <w:trHeight w:val="570" w:hRule="atLeast"/>
        </w:trPr>
        <w:tc>
          <w:tcPr>
            <w:tcW w:w="2527" w:type="dxa"/>
            <w:tcBorders>
              <w:top w:val="nil"/>
              <w:left w:val="single" w:color="auto" w:sz="4" w:space="0"/>
              <w:bottom w:val="single" w:color="auto" w:sz="4" w:space="0"/>
              <w:right w:val="single" w:color="auto" w:sz="4" w:space="0"/>
            </w:tcBorders>
            <w:vAlign w:val="top"/>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rPr>
              <w:t>公务用车运行经费</w:t>
            </w:r>
          </w:p>
        </w:tc>
        <w:tc>
          <w:tcPr>
            <w:tcW w:w="1515"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lang w:val="en-US" w:eastAsia="zh-CN"/>
              </w:rPr>
              <w:t>79.9</w:t>
            </w:r>
          </w:p>
        </w:tc>
        <w:tc>
          <w:tcPr>
            <w:tcW w:w="1725" w:type="dxa"/>
            <w:tcBorders>
              <w:top w:val="nil"/>
              <w:left w:val="nil"/>
              <w:bottom w:val="single" w:color="auto" w:sz="4" w:space="0"/>
              <w:right w:val="single" w:color="auto" w:sz="4" w:space="0"/>
            </w:tcBorders>
            <w:vAlign w:val="center"/>
          </w:tcPr>
          <w:p>
            <w:pPr>
              <w:snapToGrid w:val="0"/>
              <w:spacing w:line="520" w:lineRule="exact"/>
              <w:jc w:val="center"/>
              <w:rPr>
                <w:rFonts w:hint="default" w:ascii="仿宋_GB2312" w:hAnsi="宋体" w:eastAsia="仿宋_GB2312" w:cs="宋体"/>
                <w:sz w:val="28"/>
                <w:szCs w:val="28"/>
                <w:lang w:val="en-US"/>
              </w:rPr>
            </w:pPr>
            <w:r>
              <w:rPr>
                <w:rFonts w:hint="eastAsia" w:ascii="仿宋" w:hAnsi="仿宋" w:eastAsia="仿宋" w:cs="仿宋"/>
                <w:sz w:val="28"/>
                <w:szCs w:val="28"/>
                <w:lang w:val="en-US" w:eastAsia="zh-CN"/>
              </w:rPr>
              <w:t>65</w:t>
            </w:r>
          </w:p>
        </w:tc>
        <w:tc>
          <w:tcPr>
            <w:tcW w:w="1275"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lang w:val="en-US" w:eastAsia="zh-CN"/>
              </w:rPr>
              <w:t>0</w:t>
            </w:r>
          </w:p>
        </w:tc>
        <w:tc>
          <w:tcPr>
            <w:tcW w:w="8115" w:type="dxa"/>
            <w:tcBorders>
              <w:top w:val="nil"/>
              <w:left w:val="nil"/>
              <w:bottom w:val="single" w:color="auto" w:sz="4" w:space="0"/>
              <w:right w:val="single" w:color="auto" w:sz="4" w:space="0"/>
            </w:tcBorders>
            <w:vAlign w:val="center"/>
          </w:tcPr>
          <w:p>
            <w:pPr>
              <w:snapToGrid w:val="0"/>
              <w:spacing w:line="520" w:lineRule="exact"/>
              <w:jc w:val="both"/>
              <w:rPr>
                <w:rFonts w:ascii="仿宋_GB2312" w:hAnsi="宋体" w:eastAsia="仿宋_GB2312" w:cs="宋体"/>
                <w:sz w:val="28"/>
                <w:szCs w:val="28"/>
              </w:rPr>
            </w:pPr>
            <w:r>
              <w:rPr>
                <w:rFonts w:hint="eastAsia" w:ascii="仿宋" w:hAnsi="仿宋" w:eastAsia="仿宋" w:cs="仿宋"/>
                <w:sz w:val="28"/>
                <w:szCs w:val="28"/>
                <w:lang w:val="en-US" w:eastAsia="zh-CN"/>
              </w:rPr>
              <w:t>严格执行公务用车相关规定，控制相关经费支出</w:t>
            </w:r>
          </w:p>
        </w:tc>
      </w:tr>
      <w:tr>
        <w:tblPrEx>
          <w:tblCellMar>
            <w:top w:w="0" w:type="dxa"/>
            <w:left w:w="108" w:type="dxa"/>
            <w:bottom w:w="0" w:type="dxa"/>
            <w:right w:w="108" w:type="dxa"/>
          </w:tblCellMar>
        </w:tblPrEx>
        <w:trPr>
          <w:trHeight w:val="90" w:hRule="atLeast"/>
        </w:trPr>
        <w:tc>
          <w:tcPr>
            <w:tcW w:w="2527" w:type="dxa"/>
            <w:tcBorders>
              <w:top w:val="nil"/>
              <w:left w:val="single" w:color="auto" w:sz="4" w:space="0"/>
              <w:bottom w:val="single" w:color="auto" w:sz="4" w:space="0"/>
              <w:right w:val="single" w:color="auto" w:sz="4" w:space="0"/>
            </w:tcBorders>
            <w:vAlign w:val="top"/>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rPr>
              <w:t>公务接待费支出</w:t>
            </w:r>
          </w:p>
        </w:tc>
        <w:tc>
          <w:tcPr>
            <w:tcW w:w="1515"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lang w:val="en-US" w:eastAsia="zh-CN"/>
              </w:rPr>
              <w:t>2</w:t>
            </w:r>
          </w:p>
        </w:tc>
        <w:tc>
          <w:tcPr>
            <w:tcW w:w="1725"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sz w:val="28"/>
                <w:szCs w:val="28"/>
                <w:lang w:eastAsia="zh-CN"/>
              </w:rPr>
            </w:pPr>
            <w:r>
              <w:rPr>
                <w:rFonts w:hint="eastAsia" w:ascii="仿宋" w:hAnsi="仿宋" w:eastAsia="仿宋" w:cs="仿宋"/>
                <w:sz w:val="28"/>
                <w:szCs w:val="28"/>
                <w:lang w:val="en-US" w:eastAsia="zh-CN"/>
              </w:rPr>
              <w:t>1</w:t>
            </w:r>
          </w:p>
        </w:tc>
        <w:tc>
          <w:tcPr>
            <w:tcW w:w="1275"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sz w:val="28"/>
                <w:szCs w:val="28"/>
                <w:lang w:eastAsia="zh-CN"/>
              </w:rPr>
            </w:pPr>
            <w:r>
              <w:rPr>
                <w:rFonts w:hint="eastAsia" w:ascii="仿宋" w:hAnsi="仿宋" w:eastAsia="仿宋" w:cs="仿宋"/>
                <w:sz w:val="28"/>
                <w:szCs w:val="28"/>
              </w:rPr>
              <w:t>0</w:t>
            </w:r>
          </w:p>
        </w:tc>
        <w:tc>
          <w:tcPr>
            <w:tcW w:w="8115" w:type="dxa"/>
            <w:tcBorders>
              <w:top w:val="nil"/>
              <w:left w:val="nil"/>
              <w:bottom w:val="single" w:color="auto" w:sz="4" w:space="0"/>
              <w:right w:val="single" w:color="auto" w:sz="4" w:space="0"/>
            </w:tcBorders>
            <w:vAlign w:val="center"/>
          </w:tcPr>
          <w:p>
            <w:pPr>
              <w:snapToGrid w:val="0"/>
              <w:spacing w:line="520" w:lineRule="exact"/>
              <w:jc w:val="both"/>
              <w:rPr>
                <w:rFonts w:hint="default" w:ascii="仿宋_GB2312" w:hAnsi="宋体" w:eastAsia="仿宋_GB2312" w:cs="宋体"/>
                <w:sz w:val="28"/>
                <w:szCs w:val="28"/>
                <w:lang w:val="en-US" w:eastAsia="zh-CN"/>
              </w:rPr>
            </w:pPr>
            <w:r>
              <w:rPr>
                <w:rFonts w:hint="eastAsia" w:ascii="仿宋" w:hAnsi="仿宋" w:eastAsia="仿宋" w:cs="仿宋"/>
                <w:sz w:val="28"/>
                <w:szCs w:val="28"/>
                <w:lang w:val="en-US" w:eastAsia="zh-CN"/>
              </w:rPr>
              <w:t>严格执行公务接待规定，控制招待费支出</w:t>
            </w:r>
          </w:p>
        </w:tc>
      </w:tr>
      <w:tr>
        <w:tblPrEx>
          <w:tblCellMar>
            <w:top w:w="0" w:type="dxa"/>
            <w:left w:w="108" w:type="dxa"/>
            <w:bottom w:w="0" w:type="dxa"/>
            <w:right w:w="108" w:type="dxa"/>
          </w:tblCellMar>
        </w:tblPrEx>
        <w:trPr>
          <w:trHeight w:val="586" w:hRule="atLeast"/>
        </w:trPr>
        <w:tc>
          <w:tcPr>
            <w:tcW w:w="2527" w:type="dxa"/>
            <w:tcBorders>
              <w:top w:val="nil"/>
              <w:left w:val="single" w:color="auto" w:sz="4" w:space="0"/>
              <w:bottom w:val="single" w:color="auto" w:sz="4" w:space="0"/>
              <w:right w:val="single" w:color="auto" w:sz="4" w:space="0"/>
            </w:tcBorders>
            <w:vAlign w:val="top"/>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rPr>
              <w:t>合计</w:t>
            </w:r>
          </w:p>
        </w:tc>
        <w:tc>
          <w:tcPr>
            <w:tcW w:w="1515"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lang w:val="en-US" w:eastAsia="zh-CN"/>
              </w:rPr>
              <w:t>95.9</w:t>
            </w:r>
          </w:p>
        </w:tc>
        <w:tc>
          <w:tcPr>
            <w:tcW w:w="1725" w:type="dxa"/>
            <w:tcBorders>
              <w:top w:val="nil"/>
              <w:left w:val="nil"/>
              <w:bottom w:val="single" w:color="auto" w:sz="4" w:space="0"/>
              <w:right w:val="single" w:color="auto" w:sz="4" w:space="0"/>
            </w:tcBorders>
            <w:vAlign w:val="center"/>
          </w:tcPr>
          <w:p>
            <w:pPr>
              <w:snapToGrid w:val="0"/>
              <w:spacing w:line="520" w:lineRule="exact"/>
              <w:jc w:val="center"/>
              <w:rPr>
                <w:rFonts w:hint="default" w:ascii="仿宋_GB2312" w:hAnsi="宋体" w:eastAsia="仿宋_GB2312" w:cs="宋体"/>
                <w:sz w:val="28"/>
                <w:szCs w:val="28"/>
                <w:lang w:val="en-US" w:eastAsia="zh-CN"/>
              </w:rPr>
            </w:pPr>
            <w:r>
              <w:rPr>
                <w:rFonts w:hint="eastAsia" w:ascii="仿宋" w:hAnsi="仿宋" w:eastAsia="仿宋" w:cs="仿宋"/>
                <w:sz w:val="28"/>
                <w:szCs w:val="28"/>
                <w:lang w:val="en-US" w:eastAsia="zh-CN"/>
              </w:rPr>
              <w:t>79</w:t>
            </w:r>
          </w:p>
        </w:tc>
        <w:tc>
          <w:tcPr>
            <w:tcW w:w="1275"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sz w:val="28"/>
                <w:szCs w:val="28"/>
                <w:lang w:eastAsia="zh-CN"/>
              </w:rPr>
            </w:pPr>
            <w:r>
              <w:rPr>
                <w:rFonts w:hint="eastAsia" w:ascii="仿宋" w:hAnsi="仿宋" w:eastAsia="仿宋" w:cs="仿宋"/>
                <w:sz w:val="28"/>
                <w:szCs w:val="28"/>
                <w:lang w:val="en-US" w:eastAsia="zh-CN"/>
              </w:rPr>
              <w:t>0</w:t>
            </w:r>
          </w:p>
        </w:tc>
        <w:tc>
          <w:tcPr>
            <w:tcW w:w="8115" w:type="dxa"/>
            <w:tcBorders>
              <w:top w:val="nil"/>
              <w:left w:val="nil"/>
              <w:bottom w:val="single" w:color="auto" w:sz="4" w:space="0"/>
              <w:right w:val="single" w:color="auto" w:sz="4" w:space="0"/>
            </w:tcBorders>
            <w:vAlign w:val="center"/>
          </w:tcPr>
          <w:p>
            <w:pPr>
              <w:snapToGrid w:val="0"/>
              <w:spacing w:line="520" w:lineRule="exact"/>
              <w:jc w:val="both"/>
              <w:rPr>
                <w:rFonts w:ascii="仿宋_GB2312" w:hAnsi="宋体" w:eastAsia="仿宋_GB2312" w:cs="宋体"/>
                <w:sz w:val="28"/>
                <w:szCs w:val="28"/>
              </w:rPr>
            </w:pPr>
            <w:r>
              <w:rPr>
                <w:rFonts w:hint="eastAsia" w:ascii="仿宋" w:hAnsi="仿宋" w:eastAsia="仿宋" w:cs="仿宋"/>
                <w:sz w:val="28"/>
                <w:szCs w:val="28"/>
                <w:lang w:val="en-US" w:eastAsia="zh-CN"/>
              </w:rPr>
              <w:t>严格执行公务用车、公务接待相关规定，控制相关经费支出</w:t>
            </w:r>
          </w:p>
        </w:tc>
      </w:tr>
    </w:tbl>
    <w:p>
      <w:pPr>
        <w:pStyle w:val="25"/>
        <w:rPr>
          <w:sz w:val="28"/>
          <w:szCs w:val="28"/>
        </w:rPr>
      </w:pPr>
    </w:p>
    <w:p>
      <w:pPr>
        <w:spacing w:before="10" w:after="10" w:line="360" w:lineRule="auto"/>
        <w:ind w:firstLine="640"/>
        <w:outlineLvl w:val="2"/>
        <w:rPr>
          <w:rFonts w:hint="eastAsia" w:ascii="方正楷体_GBK" w:hAnsi="方正楷体_GBK" w:cs="方正楷体_GBK" w:eastAsiaTheme="minorEastAsia"/>
          <w:b/>
          <w:color w:val="000000"/>
          <w:sz w:val="32"/>
          <w:lang w:eastAsia="zh-CN"/>
        </w:rPr>
      </w:pPr>
      <w:bookmarkStart w:id="13" w:name="_Toc_3_3_0000000014"/>
      <w:r>
        <w:rPr>
          <w:rFonts w:ascii="黑体" w:hAnsi="黑体" w:eastAsia="黑体" w:cs="黑体"/>
          <w:color w:val="000000"/>
          <w:sz w:val="32"/>
        </w:rPr>
        <w:t>五、预算绩效信息</w:t>
      </w:r>
      <w:bookmarkEnd w:id="13"/>
    </w:p>
    <w:p>
      <w:pPr>
        <w:ind w:firstLine="640"/>
        <w:rPr>
          <w:rFonts w:eastAsia="方正仿宋_GBK"/>
          <w:color w:val="000000"/>
          <w:sz w:val="28"/>
          <w:lang w:eastAsia="zh-CN"/>
        </w:rPr>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整体绩效目标</w:t>
      </w:r>
    </w:p>
    <w:p>
      <w:pPr>
        <w:spacing w:before="10" w:after="10"/>
        <w:ind w:firstLine="560"/>
        <w:outlineLvl w:val="1"/>
        <w:rPr>
          <w:rFonts w:hint="eastAsia" w:ascii="宋体" w:hAnsi="宋体" w:eastAsia="宋体" w:cs="宋体"/>
          <w:sz w:val="32"/>
          <w:szCs w:val="32"/>
        </w:rPr>
      </w:pPr>
      <w:bookmarkStart w:id="14" w:name="_Toc_2_2_0000000001"/>
      <w:r>
        <w:rPr>
          <w:rFonts w:hint="eastAsia" w:ascii="宋体" w:hAnsi="宋体" w:eastAsia="宋体" w:cs="宋体"/>
          <w:color w:val="000000"/>
          <w:sz w:val="32"/>
          <w:szCs w:val="32"/>
        </w:rPr>
        <w:t>一、总体绩效目标</w:t>
      </w:r>
      <w:bookmarkEnd w:id="14"/>
    </w:p>
    <w:p>
      <w:pPr>
        <w:spacing w:before="10" w:after="10"/>
        <w:ind w:firstLine="560"/>
        <w:outlineLvl w:val="1"/>
        <w:rPr>
          <w:rFonts w:hint="eastAsia" w:ascii="仿宋" w:hAnsi="仿宋" w:eastAsia="仿宋" w:cs="仿宋"/>
          <w:sz w:val="32"/>
          <w:szCs w:val="32"/>
        </w:rPr>
      </w:pPr>
      <w:r>
        <w:rPr>
          <w:rFonts w:hint="eastAsia" w:ascii="仿宋" w:hAnsi="仿宋" w:eastAsia="仿宋" w:cs="仿宋"/>
          <w:sz w:val="32"/>
          <w:szCs w:val="32"/>
        </w:rPr>
        <w:t>紧紧围绕全面深化改革的总体要求，牢牢把握京津冀协同发展和生态文明建设的战略部署，2024年，全县市场监管工作以习近平新时代中国特色社会主义思想和</w:t>
      </w:r>
      <w:r>
        <w:rPr>
          <w:rFonts w:hint="eastAsia" w:ascii="仿宋" w:hAnsi="仿宋" w:eastAsia="仿宋" w:cs="仿宋"/>
          <w:sz w:val="32"/>
          <w:szCs w:val="32"/>
          <w:lang w:val="en-US" w:eastAsia="zh-CN"/>
        </w:rPr>
        <w:t>党的</w:t>
      </w:r>
      <w:r>
        <w:rPr>
          <w:rFonts w:hint="eastAsia" w:ascii="仿宋" w:hAnsi="仿宋" w:eastAsia="仿宋" w:cs="仿宋"/>
          <w:sz w:val="32"/>
          <w:szCs w:val="32"/>
        </w:rPr>
        <w:t>二十大精神为指导，以稳队伍、强监管、抓重点、保安全为统揽，围绕“四突出</w:t>
      </w:r>
      <w:r>
        <w:rPr>
          <w:rFonts w:hint="eastAsia" w:ascii="仿宋" w:hAnsi="仿宋" w:eastAsia="仿宋" w:cs="仿宋"/>
          <w:sz w:val="32"/>
          <w:szCs w:val="32"/>
          <w:lang w:eastAsia="zh-CN"/>
        </w:rPr>
        <w:t>、</w:t>
      </w:r>
      <w:r>
        <w:rPr>
          <w:rFonts w:hint="eastAsia" w:ascii="仿宋" w:hAnsi="仿宋" w:eastAsia="仿宋" w:cs="仿宋"/>
          <w:sz w:val="32"/>
          <w:szCs w:val="32"/>
        </w:rPr>
        <w:t>四全力”，进一步把市场监管工作做扎实，为县域经济发展做贡献。商事制度改革、惠民利企政策全部落实到位；食品药品不出系统性、行业性、区域性安全责任事故，特种设备安全不出重大责任事故；保持质量工作、知识产权工作全省前列位置；市场综合管理和执法工作成效显著，违规违法和假冒伪劣现象得到有效遏制。</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（一）加强生产、流通、餐饮等各环节食品安全监管。</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绩效目标：树立部分食品经营单位成为“食品质量安全示范型”单位。眀厨亮灶工程覆盖率达到要求。</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绩效指标：培树2家大型超市（市场），3家中型超市，10家小型超市（门店）成为“食品质量安全示范型”单位。明厨亮灶100%全覆盖。2024年，适用于随机抽查的监管事项要达到100%。</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（二）强化大气污染治理。</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绩效目标：全力开展劣质散煤治理、型煤质量监管、成品油质量监测等工作。</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绩效指标：对全</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煤炭抽检批次达到600批次，对抽检过程中发现的不合格煤炭成品油处罚率达到100%。</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（三）助力优化市场营商环境。</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绩效目标:清理“僵尸企业”，2024年企业年报率不低于今年。研究应对职业打假措施。开展涉企收费、金融服务业收费等各类专项检查，落实专利扶助政策，营商环境全面优化。</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绩效指标：全县2024年市场主体抽查率达到5%。开展涉企收费、金融服务业收费等各类专项检查次数不低于5次，2024年企业年报率不低于今年。</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（四）广泛开展宣传教育活动，严厉打击各类违法行为，维护人民群众合法权益。</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绩效目标：开展食品药品、质量计量、消费维权等知识的宣传教育。开展传销查处工作。组织实施价格和收费监督检查，维护老百姓合法利益。</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绩效指标：对全县食品药品、质量计量、消费维权等知识的宣传教育覆盖率不低于90%。组织实施价格和收费监督检查不低于5次。</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（五）开展惠民活动，保障产品质量安全。</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绩效目标：实施家用和强制计量器具免费检定工作，特别着重检定有关民生部分，如全县企业、学校、市民提供的服装、学生服、棉絮制品等、有关民生健康的家用血压计、集贸市场衡具等。</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绩效指标：产品质量监督抽检不合格品后处理率达到100%。对不合格产品下架率达到100%，让人民群众的满意度达到90%。</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（六）推进知识产权培育及保护工作。</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绩效目标：推动地理标志产品的培育申报和专用商标使用工作。有效发挥专利技术在推动科技创新中重要作用，鼓励发明创造，促进我市科技进步和经济发展，</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绩效指标：全面统计我县有效专利数量，及时按照相关文件将专利补助发放到位，促进专利申请的积极性，2024年有效专利数量较上年增长率达到10%。</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三、工作保障措施</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深化改革促落实。要进一步统一思想，提高认识，在机构整合组建的基础上，加快推进干部队伍的思想融合、工作融合、感情融合，抓好班子、带好队伍，积极协调解决有关问题，尽快理顺运行体制机制，进一步增强市场监管队伍的凝聚力、向心力、战斗力。</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（二）提升素质促落实。大力开展素质提升行动，以打造专业化的许可审批队伍、市场监管队伍、执法办案队伍为目标，科学制定培训计划，创新培训模式，丰富活动载体，开展岗位练兵。</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（三）转变作风促落实。强化党风廉政建设主体责任，严格执行中央八项规定，加强队伍管理和监督检查，促进机构改革和反腐倡廉齐头并进。</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（四）强化责任促落实。要实行严格的工作目标责任制，明确每项工作的牵头领导、责任单位、工作标准和完成时限，层层传导压力，推进各项工作扎实开展。</w:t>
      </w: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rPr>
          <w:rFonts w:hint="eastAsia" w:ascii="仿宋" w:hAnsi="仿宋" w:eastAsia="仿宋"/>
          <w:sz w:val="32"/>
          <w:szCs w:val="32"/>
        </w:rPr>
      </w:pPr>
    </w:p>
    <w:p>
      <w:pPr>
        <w:ind w:firstLine="640" w:firstLineChars="200"/>
        <w:rPr>
          <w:rFonts w:hint="eastAsia" w:ascii="仿宋" w:hAnsi="仿宋" w:eastAsia="仿宋"/>
          <w:sz w:val="32"/>
          <w:szCs w:val="32"/>
        </w:rPr>
      </w:pPr>
      <w:r>
        <w:rPr>
          <w:rFonts w:hint="eastAsia" w:ascii="仿宋" w:hAnsi="仿宋" w:eastAsia="仿宋"/>
          <w:sz w:val="32"/>
          <w:szCs w:val="32"/>
        </w:rPr>
        <w:t>第二部分 预算项目绩效目标</w:t>
      </w:r>
    </w:p>
    <w:p>
      <w:pPr>
        <w:spacing w:before="0" w:after="0"/>
        <w:ind w:firstLine="560"/>
        <w:jc w:val="left"/>
        <w:outlineLvl w:val="3"/>
      </w:pPr>
      <w:bookmarkStart w:id="15" w:name="_Toc_4_4_0000000004"/>
      <w:bookmarkStart w:id="16" w:name="_Toc_3_3_0000000016"/>
      <w:r>
        <w:rPr>
          <w:rFonts w:ascii="方正仿宋_GBK" w:hAnsi="方正仿宋_GBK" w:eastAsia="方正仿宋_GBK" w:cs="方正仿宋_GBK"/>
          <w:color w:val="000000"/>
          <w:sz w:val="28"/>
        </w:rPr>
        <w:t>1.2024基层所能力提升经费绩效目标表</w:t>
      </w:r>
      <w:bookmarkEnd w:id="1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416001涞水县市场监督管理局本级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13062324P009397100023</w:t>
            </w:r>
          </w:p>
        </w:tc>
        <w:tc>
          <w:tcPr>
            <w:tcW w:w="1587" w:type="dxa"/>
            <w:vAlign w:val="center"/>
          </w:tcPr>
          <w:p>
            <w:pPr>
              <w:pStyle w:val="15"/>
            </w:pPr>
            <w:r>
              <w:t>项目名称</w:t>
            </w:r>
          </w:p>
        </w:tc>
        <w:tc>
          <w:tcPr>
            <w:tcW w:w="4422" w:type="dxa"/>
            <w:gridSpan w:val="3"/>
            <w:vAlign w:val="center"/>
          </w:tcPr>
          <w:p>
            <w:pPr>
              <w:pStyle w:val="17"/>
            </w:pPr>
            <w:r>
              <w:t>2024基层所能力提升经费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10.00</w:t>
            </w:r>
          </w:p>
        </w:tc>
        <w:tc>
          <w:tcPr>
            <w:tcW w:w="1587" w:type="dxa"/>
            <w:vAlign w:val="center"/>
          </w:tcPr>
          <w:p>
            <w:pPr>
              <w:pStyle w:val="15"/>
            </w:pPr>
            <w:r>
              <w:t>其中：财政    资金</w:t>
            </w:r>
          </w:p>
        </w:tc>
        <w:tc>
          <w:tcPr>
            <w:tcW w:w="1304" w:type="dxa"/>
            <w:vAlign w:val="center"/>
          </w:tcPr>
          <w:p>
            <w:pPr>
              <w:pStyle w:val="17"/>
            </w:pPr>
            <w:r>
              <w:t>10.00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基层所改造提升支出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5.00</w:t>
            </w:r>
          </w:p>
        </w:tc>
        <w:tc>
          <w:tcPr>
            <w:tcW w:w="1304" w:type="dxa"/>
            <w:vAlign w:val="center"/>
          </w:tcPr>
          <w:p>
            <w:pPr>
              <w:pStyle w:val="18"/>
            </w:pPr>
            <w:r>
              <w:t>10.00</w:t>
            </w:r>
          </w:p>
        </w:tc>
        <w:tc>
          <w:tcPr>
            <w:tcW w:w="3118"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1.基层所提升改造，达到相关标准要求</w:t>
            </w:r>
            <w:r>
              <w:tab/>
            </w:r>
            <w:r>
              <w:tab/>
            </w:r>
            <w:r>
              <w:tab/>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试点数量情况</w:t>
            </w:r>
          </w:p>
        </w:tc>
        <w:tc>
          <w:tcPr>
            <w:tcW w:w="2891" w:type="dxa"/>
            <w:vAlign w:val="center"/>
          </w:tcPr>
          <w:p>
            <w:pPr>
              <w:pStyle w:val="17"/>
            </w:pPr>
            <w:r>
              <w:t>试点建设数量</w:t>
            </w:r>
          </w:p>
        </w:tc>
        <w:tc>
          <w:tcPr>
            <w:tcW w:w="1276" w:type="dxa"/>
            <w:vAlign w:val="center"/>
          </w:tcPr>
          <w:p>
            <w:pPr>
              <w:pStyle w:val="17"/>
            </w:pPr>
            <w:r>
              <w:t>≥1所</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提升标准情况</w:t>
            </w:r>
          </w:p>
        </w:tc>
        <w:tc>
          <w:tcPr>
            <w:tcW w:w="2891" w:type="dxa"/>
            <w:vAlign w:val="center"/>
          </w:tcPr>
          <w:p>
            <w:pPr>
              <w:pStyle w:val="17"/>
            </w:pPr>
            <w:r>
              <w:t>提升标准达标情况</w:t>
            </w:r>
          </w:p>
        </w:tc>
        <w:tc>
          <w:tcPr>
            <w:tcW w:w="1276" w:type="dxa"/>
            <w:vAlign w:val="center"/>
          </w:tcPr>
          <w:p>
            <w:pPr>
              <w:pStyle w:val="17"/>
            </w:pPr>
            <w:r>
              <w:t>达到市局规定要求</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完成时限情况</w:t>
            </w:r>
          </w:p>
        </w:tc>
        <w:tc>
          <w:tcPr>
            <w:tcW w:w="2891" w:type="dxa"/>
            <w:vAlign w:val="center"/>
          </w:tcPr>
          <w:p>
            <w:pPr>
              <w:pStyle w:val="17"/>
            </w:pPr>
            <w:r>
              <w:t>完成时限情况</w:t>
            </w:r>
          </w:p>
        </w:tc>
        <w:tc>
          <w:tcPr>
            <w:tcW w:w="1276" w:type="dxa"/>
            <w:vAlign w:val="center"/>
          </w:tcPr>
          <w:p>
            <w:pPr>
              <w:pStyle w:val="17"/>
            </w:pPr>
            <w:r>
              <w:t>12月底前完成</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控制预算情况</w:t>
            </w:r>
          </w:p>
        </w:tc>
        <w:tc>
          <w:tcPr>
            <w:tcW w:w="2891" w:type="dxa"/>
            <w:vAlign w:val="center"/>
          </w:tcPr>
          <w:p>
            <w:pPr>
              <w:pStyle w:val="17"/>
            </w:pPr>
            <w:r>
              <w:t>控制预算情况</w:t>
            </w:r>
          </w:p>
        </w:tc>
        <w:tc>
          <w:tcPr>
            <w:tcW w:w="1276" w:type="dxa"/>
            <w:vAlign w:val="center"/>
          </w:tcPr>
          <w:p>
            <w:pPr>
              <w:pStyle w:val="17"/>
            </w:pPr>
            <w:r>
              <w:t>严格预算支出</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提升后产生效果情况</w:t>
            </w:r>
          </w:p>
        </w:tc>
        <w:tc>
          <w:tcPr>
            <w:tcW w:w="2891" w:type="dxa"/>
            <w:vAlign w:val="center"/>
          </w:tcPr>
          <w:p>
            <w:pPr>
              <w:pStyle w:val="17"/>
            </w:pPr>
            <w:r>
              <w:t>提升后产生效果情况</w:t>
            </w:r>
          </w:p>
        </w:tc>
        <w:tc>
          <w:tcPr>
            <w:tcW w:w="1276" w:type="dxa"/>
            <w:vAlign w:val="center"/>
          </w:tcPr>
          <w:p>
            <w:pPr>
              <w:pStyle w:val="17"/>
            </w:pPr>
            <w:r>
              <w:t>达到市局标准要求，利于企业群众办事</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群众满意度</w:t>
            </w:r>
          </w:p>
        </w:tc>
        <w:tc>
          <w:tcPr>
            <w:tcW w:w="1276" w:type="dxa"/>
            <w:vAlign w:val="center"/>
          </w:tcPr>
          <w:p>
            <w:pPr>
              <w:pStyle w:val="17"/>
            </w:pPr>
            <w:r>
              <w:t>≥90%</w:t>
            </w:r>
          </w:p>
        </w:tc>
        <w:tc>
          <w:tcPr>
            <w:tcW w:w="1843" w:type="dxa"/>
            <w:vAlign w:val="center"/>
          </w:tcPr>
          <w:p>
            <w:pPr>
              <w:pStyle w:val="17"/>
            </w:pPr>
            <w:r>
              <w:t>政府请示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 w:name="_Toc_4_4_0000000005"/>
      <w:r>
        <w:rPr>
          <w:rFonts w:ascii="方正仿宋_GBK" w:hAnsi="方正仿宋_GBK" w:eastAsia="方正仿宋_GBK" w:cs="方正仿宋_GBK"/>
          <w:color w:val="000000"/>
          <w:sz w:val="28"/>
        </w:rPr>
        <w:t>2.2024年“双随机</w:t>
      </w:r>
      <w:r>
        <w:rPr>
          <w:rFonts w:hint="eastAsia" w:ascii="方正仿宋_GBK" w:hAnsi="方正仿宋_GBK" w:eastAsia="方正仿宋_GBK" w:cs="方正仿宋_GBK"/>
          <w:color w:val="000000"/>
          <w:sz w:val="28"/>
          <w:lang w:eastAsia="zh-CN"/>
        </w:rPr>
        <w:t>、</w:t>
      </w:r>
      <w:r>
        <w:rPr>
          <w:rFonts w:ascii="方正仿宋_GBK" w:hAnsi="方正仿宋_GBK" w:eastAsia="方正仿宋_GBK" w:cs="方正仿宋_GBK"/>
          <w:color w:val="000000"/>
          <w:sz w:val="28"/>
        </w:rPr>
        <w:t>一公开”、网络市场监管“局际联席会议”专项经费绩效目标表</w:t>
      </w:r>
      <w:bookmarkEnd w:id="1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416001涞水县市场监督管理局本级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13062324P007997100030</w:t>
            </w:r>
          </w:p>
        </w:tc>
        <w:tc>
          <w:tcPr>
            <w:tcW w:w="1587" w:type="dxa"/>
            <w:vAlign w:val="center"/>
          </w:tcPr>
          <w:p>
            <w:pPr>
              <w:pStyle w:val="15"/>
            </w:pPr>
            <w:r>
              <w:t>项目名称</w:t>
            </w:r>
          </w:p>
        </w:tc>
        <w:tc>
          <w:tcPr>
            <w:tcW w:w="4422" w:type="dxa"/>
            <w:gridSpan w:val="3"/>
            <w:vAlign w:val="center"/>
          </w:tcPr>
          <w:p>
            <w:pPr>
              <w:pStyle w:val="17"/>
            </w:pPr>
            <w:r>
              <w:t>2024年“双随机</w:t>
            </w:r>
            <w:r>
              <w:rPr>
                <w:rFonts w:hint="eastAsia"/>
                <w:lang w:eastAsia="zh-CN"/>
              </w:rPr>
              <w:t>、</w:t>
            </w:r>
            <w:bookmarkStart w:id="46" w:name="_GoBack"/>
            <w:bookmarkEnd w:id="46"/>
            <w:r>
              <w:t>一公开”、网络市场监管“局际联席会议”专项经费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3.00</w:t>
            </w:r>
          </w:p>
        </w:tc>
        <w:tc>
          <w:tcPr>
            <w:tcW w:w="1587" w:type="dxa"/>
            <w:vAlign w:val="center"/>
          </w:tcPr>
          <w:p>
            <w:pPr>
              <w:pStyle w:val="15"/>
            </w:pPr>
            <w:r>
              <w:t>其中：财政    资金</w:t>
            </w:r>
          </w:p>
        </w:tc>
        <w:tc>
          <w:tcPr>
            <w:tcW w:w="1304" w:type="dxa"/>
            <w:vAlign w:val="center"/>
          </w:tcPr>
          <w:p>
            <w:pPr>
              <w:pStyle w:val="17"/>
            </w:pPr>
            <w:r>
              <w:t>3.00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“双随机、一公开”监管支出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2.00</w:t>
            </w:r>
          </w:p>
        </w:tc>
        <w:tc>
          <w:tcPr>
            <w:tcW w:w="1304" w:type="dxa"/>
            <w:vAlign w:val="center"/>
          </w:tcPr>
          <w:p>
            <w:pPr>
              <w:pStyle w:val="18"/>
            </w:pPr>
            <w:r>
              <w:t>3.00</w:t>
            </w:r>
          </w:p>
        </w:tc>
        <w:tc>
          <w:tcPr>
            <w:tcW w:w="3118"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1.深入推进我县“双随机</w:t>
            </w:r>
            <w:r>
              <w:rPr>
                <w:rFonts w:hint="eastAsia"/>
                <w:lang w:eastAsia="zh-CN"/>
              </w:rPr>
              <w:t>、</w:t>
            </w:r>
            <w:r>
              <w:t>一公开”监管制度，建立涞水县网络监管“局际联席会议”制度</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随机抽查事项覆盖率</w:t>
            </w:r>
          </w:p>
        </w:tc>
        <w:tc>
          <w:tcPr>
            <w:tcW w:w="2891" w:type="dxa"/>
            <w:vAlign w:val="center"/>
          </w:tcPr>
          <w:p>
            <w:pPr>
              <w:pStyle w:val="17"/>
            </w:pPr>
            <w:r>
              <w:t>随机抽查事项覆盖情况</w:t>
            </w:r>
          </w:p>
        </w:tc>
        <w:tc>
          <w:tcPr>
            <w:tcW w:w="1276" w:type="dxa"/>
            <w:vAlign w:val="center"/>
          </w:tcPr>
          <w:p>
            <w:pPr>
              <w:pStyle w:val="17"/>
            </w:pPr>
            <w:r>
              <w:t>≥90%</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局际联席会议召开次数</w:t>
            </w:r>
          </w:p>
        </w:tc>
        <w:tc>
          <w:tcPr>
            <w:tcW w:w="2891" w:type="dxa"/>
            <w:vAlign w:val="center"/>
          </w:tcPr>
          <w:p>
            <w:pPr>
              <w:pStyle w:val="17"/>
            </w:pPr>
            <w:r>
              <w:t>局际联席会议召开情况</w:t>
            </w:r>
          </w:p>
        </w:tc>
        <w:tc>
          <w:tcPr>
            <w:tcW w:w="1276" w:type="dxa"/>
            <w:vAlign w:val="center"/>
          </w:tcPr>
          <w:p>
            <w:pPr>
              <w:pStyle w:val="17"/>
            </w:pPr>
            <w:r>
              <w:t>≥2次</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按期完成率</w:t>
            </w:r>
          </w:p>
        </w:tc>
        <w:tc>
          <w:tcPr>
            <w:tcW w:w="2891" w:type="dxa"/>
            <w:vAlign w:val="center"/>
          </w:tcPr>
          <w:p>
            <w:pPr>
              <w:pStyle w:val="17"/>
            </w:pPr>
            <w:r>
              <w:t>按期完成情况</w:t>
            </w:r>
          </w:p>
        </w:tc>
        <w:tc>
          <w:tcPr>
            <w:tcW w:w="1276" w:type="dxa"/>
            <w:vAlign w:val="center"/>
          </w:tcPr>
          <w:p>
            <w:pPr>
              <w:pStyle w:val="17"/>
            </w:pPr>
            <w:r>
              <w:t>≥90%</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节俭办公</w:t>
            </w:r>
          </w:p>
        </w:tc>
        <w:tc>
          <w:tcPr>
            <w:tcW w:w="2891" w:type="dxa"/>
            <w:vAlign w:val="center"/>
          </w:tcPr>
          <w:p>
            <w:pPr>
              <w:pStyle w:val="17"/>
            </w:pPr>
            <w:r>
              <w:t>日常办公严格执行相关规定，勤俭节约</w:t>
            </w:r>
          </w:p>
        </w:tc>
        <w:tc>
          <w:tcPr>
            <w:tcW w:w="1276" w:type="dxa"/>
            <w:vAlign w:val="center"/>
          </w:tcPr>
          <w:p>
            <w:pPr>
              <w:pStyle w:val="17"/>
            </w:pPr>
            <w:r>
              <w:t>实际节俭情况</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监督检查次数</w:t>
            </w:r>
          </w:p>
        </w:tc>
        <w:tc>
          <w:tcPr>
            <w:tcW w:w="2891" w:type="dxa"/>
            <w:vAlign w:val="center"/>
          </w:tcPr>
          <w:p>
            <w:pPr>
              <w:pStyle w:val="17"/>
            </w:pPr>
            <w:r>
              <w:t>监督检查情况</w:t>
            </w:r>
          </w:p>
        </w:tc>
        <w:tc>
          <w:tcPr>
            <w:tcW w:w="1276" w:type="dxa"/>
            <w:vAlign w:val="center"/>
          </w:tcPr>
          <w:p>
            <w:pPr>
              <w:pStyle w:val="17"/>
            </w:pPr>
            <w:r>
              <w:t>≥5次</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服务对象的满意度</w:t>
            </w:r>
          </w:p>
        </w:tc>
        <w:tc>
          <w:tcPr>
            <w:tcW w:w="2891" w:type="dxa"/>
            <w:vAlign w:val="center"/>
          </w:tcPr>
          <w:p>
            <w:pPr>
              <w:pStyle w:val="17"/>
            </w:pPr>
            <w:r>
              <w:t>服务对象的满意度</w:t>
            </w:r>
          </w:p>
        </w:tc>
        <w:tc>
          <w:tcPr>
            <w:tcW w:w="1276" w:type="dxa"/>
            <w:vAlign w:val="center"/>
          </w:tcPr>
          <w:p>
            <w:pPr>
              <w:pStyle w:val="17"/>
            </w:pPr>
            <w:r>
              <w:t>≥85%</w:t>
            </w:r>
          </w:p>
        </w:tc>
        <w:tc>
          <w:tcPr>
            <w:tcW w:w="1843" w:type="dxa"/>
            <w:vAlign w:val="center"/>
          </w:tcPr>
          <w:p>
            <w:pPr>
              <w:pStyle w:val="17"/>
            </w:pPr>
            <w:r>
              <w:t>政府批示</w:t>
            </w:r>
          </w:p>
          <w:p>
            <w:pPr>
              <w:pStyle w:val="17"/>
            </w:pP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 w:name="_Toc_4_4_0000000006"/>
      <w:r>
        <w:rPr>
          <w:rFonts w:ascii="方正仿宋_GBK" w:hAnsi="方正仿宋_GBK" w:eastAsia="方正仿宋_GBK" w:cs="方正仿宋_GBK"/>
          <w:color w:val="000000"/>
          <w:sz w:val="28"/>
        </w:rPr>
        <w:t>3.2024年打击传销专项经费绩效目标表</w:t>
      </w:r>
      <w:bookmarkEnd w:id="1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416001涞水县市场监督管理局本级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13062324P008000100034</w:t>
            </w:r>
          </w:p>
        </w:tc>
        <w:tc>
          <w:tcPr>
            <w:tcW w:w="1587" w:type="dxa"/>
            <w:vAlign w:val="center"/>
          </w:tcPr>
          <w:p>
            <w:pPr>
              <w:pStyle w:val="15"/>
            </w:pPr>
            <w:r>
              <w:t>项目名称</w:t>
            </w:r>
          </w:p>
        </w:tc>
        <w:tc>
          <w:tcPr>
            <w:tcW w:w="4422" w:type="dxa"/>
            <w:gridSpan w:val="3"/>
            <w:vAlign w:val="center"/>
          </w:tcPr>
          <w:p>
            <w:pPr>
              <w:pStyle w:val="17"/>
            </w:pPr>
            <w:r>
              <w:t>2024年打击传销专项经费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5.00</w:t>
            </w:r>
          </w:p>
        </w:tc>
        <w:tc>
          <w:tcPr>
            <w:tcW w:w="1587" w:type="dxa"/>
            <w:vAlign w:val="center"/>
          </w:tcPr>
          <w:p>
            <w:pPr>
              <w:pStyle w:val="15"/>
            </w:pPr>
            <w:r>
              <w:t>其中：财政    资金</w:t>
            </w:r>
          </w:p>
        </w:tc>
        <w:tc>
          <w:tcPr>
            <w:tcW w:w="1304" w:type="dxa"/>
            <w:vAlign w:val="center"/>
          </w:tcPr>
          <w:p>
            <w:pPr>
              <w:pStyle w:val="17"/>
            </w:pPr>
            <w:r>
              <w:t>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打击传销支出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2.00</w:t>
            </w:r>
          </w:p>
        </w:tc>
        <w:tc>
          <w:tcPr>
            <w:tcW w:w="1304" w:type="dxa"/>
            <w:vAlign w:val="center"/>
          </w:tcPr>
          <w:p>
            <w:pPr>
              <w:pStyle w:val="18"/>
            </w:pPr>
            <w:r>
              <w:t>5.00</w:t>
            </w:r>
          </w:p>
        </w:tc>
        <w:tc>
          <w:tcPr>
            <w:tcW w:w="3118"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1.打击传销行为，保护群众利益</w:t>
            </w:r>
            <w:r>
              <w:tab/>
            </w:r>
            <w:r>
              <w:tab/>
            </w:r>
            <w:r>
              <w:tab/>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专项整治行动开展情况</w:t>
            </w:r>
          </w:p>
        </w:tc>
        <w:tc>
          <w:tcPr>
            <w:tcW w:w="2891" w:type="dxa"/>
            <w:vAlign w:val="center"/>
          </w:tcPr>
          <w:p>
            <w:pPr>
              <w:pStyle w:val="17"/>
            </w:pPr>
            <w:r>
              <w:t>专项整治行动开展情况</w:t>
            </w:r>
          </w:p>
        </w:tc>
        <w:tc>
          <w:tcPr>
            <w:tcW w:w="1276" w:type="dxa"/>
            <w:vAlign w:val="center"/>
          </w:tcPr>
          <w:p>
            <w:pPr>
              <w:pStyle w:val="17"/>
            </w:pPr>
            <w:r>
              <w:t>≥5次</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监督执法完成情况</w:t>
            </w:r>
          </w:p>
        </w:tc>
        <w:tc>
          <w:tcPr>
            <w:tcW w:w="2891" w:type="dxa"/>
            <w:vAlign w:val="center"/>
          </w:tcPr>
          <w:p>
            <w:pPr>
              <w:pStyle w:val="17"/>
            </w:pPr>
            <w:r>
              <w:t>监督执法完成情况</w:t>
            </w:r>
          </w:p>
        </w:tc>
        <w:tc>
          <w:tcPr>
            <w:tcW w:w="1276" w:type="dxa"/>
            <w:vAlign w:val="center"/>
          </w:tcPr>
          <w:p>
            <w:pPr>
              <w:pStyle w:val="17"/>
            </w:pPr>
            <w:r>
              <w:t>≥90%</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宣传资料发放情况</w:t>
            </w:r>
          </w:p>
        </w:tc>
        <w:tc>
          <w:tcPr>
            <w:tcW w:w="2891" w:type="dxa"/>
            <w:vAlign w:val="center"/>
          </w:tcPr>
          <w:p>
            <w:pPr>
              <w:pStyle w:val="17"/>
            </w:pPr>
            <w:r>
              <w:t>宣传资料发放情况</w:t>
            </w:r>
          </w:p>
        </w:tc>
        <w:tc>
          <w:tcPr>
            <w:tcW w:w="1276" w:type="dxa"/>
            <w:vAlign w:val="center"/>
          </w:tcPr>
          <w:p>
            <w:pPr>
              <w:pStyle w:val="17"/>
            </w:pPr>
            <w:r>
              <w:t>≥500份</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严格预算支出</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对社会起到积极作用</w:t>
            </w:r>
          </w:p>
        </w:tc>
        <w:tc>
          <w:tcPr>
            <w:tcW w:w="2891" w:type="dxa"/>
            <w:vAlign w:val="center"/>
          </w:tcPr>
          <w:p>
            <w:pPr>
              <w:pStyle w:val="17"/>
            </w:pPr>
            <w:r>
              <w:t>对社会起到积极作用</w:t>
            </w:r>
          </w:p>
        </w:tc>
        <w:tc>
          <w:tcPr>
            <w:tcW w:w="1276" w:type="dxa"/>
            <w:vAlign w:val="center"/>
          </w:tcPr>
          <w:p>
            <w:pPr>
              <w:pStyle w:val="17"/>
            </w:pPr>
            <w:r>
              <w:t>保持长期打击传销工作</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群众满意度</w:t>
            </w:r>
          </w:p>
        </w:tc>
        <w:tc>
          <w:tcPr>
            <w:tcW w:w="1276" w:type="dxa"/>
            <w:vAlign w:val="center"/>
          </w:tcPr>
          <w:p>
            <w:pPr>
              <w:pStyle w:val="17"/>
            </w:pPr>
            <w:r>
              <w:t>≥90%</w:t>
            </w:r>
          </w:p>
        </w:tc>
        <w:tc>
          <w:tcPr>
            <w:tcW w:w="1843" w:type="dxa"/>
            <w:vAlign w:val="center"/>
          </w:tcPr>
          <w:p>
            <w:pPr>
              <w:pStyle w:val="17"/>
            </w:pPr>
            <w:r>
              <w:t>政府请示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 w:name="_Toc_4_4_0000000007"/>
      <w:r>
        <w:rPr>
          <w:rFonts w:ascii="方正仿宋_GBK" w:hAnsi="方正仿宋_GBK" w:eastAsia="方正仿宋_GBK" w:cs="方正仿宋_GBK"/>
          <w:color w:val="000000"/>
          <w:sz w:val="28"/>
        </w:rPr>
        <w:t>4.2024年公务用车购置经费绩效目标表</w:t>
      </w:r>
      <w:bookmarkEnd w:id="1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416001涞水县市场监督管理局本级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13062324P00868510003Q</w:t>
            </w:r>
          </w:p>
        </w:tc>
        <w:tc>
          <w:tcPr>
            <w:tcW w:w="1587" w:type="dxa"/>
            <w:vAlign w:val="center"/>
          </w:tcPr>
          <w:p>
            <w:pPr>
              <w:pStyle w:val="15"/>
            </w:pPr>
            <w:r>
              <w:t>项目名称</w:t>
            </w:r>
          </w:p>
        </w:tc>
        <w:tc>
          <w:tcPr>
            <w:tcW w:w="4422" w:type="dxa"/>
            <w:gridSpan w:val="3"/>
            <w:vAlign w:val="center"/>
          </w:tcPr>
          <w:p>
            <w:pPr>
              <w:pStyle w:val="17"/>
            </w:pPr>
            <w:r>
              <w:t>2024年公务用车购置经费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14.00</w:t>
            </w:r>
          </w:p>
        </w:tc>
        <w:tc>
          <w:tcPr>
            <w:tcW w:w="1587" w:type="dxa"/>
            <w:vAlign w:val="center"/>
          </w:tcPr>
          <w:p>
            <w:pPr>
              <w:pStyle w:val="15"/>
            </w:pPr>
            <w:r>
              <w:t>其中：财政    资金</w:t>
            </w:r>
          </w:p>
        </w:tc>
        <w:tc>
          <w:tcPr>
            <w:tcW w:w="1304" w:type="dxa"/>
            <w:vAlign w:val="center"/>
          </w:tcPr>
          <w:p>
            <w:pPr>
              <w:pStyle w:val="17"/>
            </w:pPr>
            <w:r>
              <w:t>14.00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公务用车购置支出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14.00</w:t>
            </w:r>
          </w:p>
        </w:tc>
        <w:tc>
          <w:tcPr>
            <w:tcW w:w="3118"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1.购置公务用车，解决用车紧张局面</w:t>
            </w:r>
            <w:r>
              <w:tab/>
            </w:r>
            <w:r>
              <w:tab/>
            </w:r>
            <w:r>
              <w:tab/>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购置公务用车数量</w:t>
            </w:r>
          </w:p>
        </w:tc>
        <w:tc>
          <w:tcPr>
            <w:tcW w:w="2891" w:type="dxa"/>
            <w:vAlign w:val="center"/>
          </w:tcPr>
          <w:p>
            <w:pPr>
              <w:pStyle w:val="17"/>
            </w:pPr>
            <w:r>
              <w:t>购置公务用车数量情况</w:t>
            </w:r>
          </w:p>
        </w:tc>
        <w:tc>
          <w:tcPr>
            <w:tcW w:w="1276" w:type="dxa"/>
            <w:vAlign w:val="center"/>
          </w:tcPr>
          <w:p>
            <w:pPr>
              <w:pStyle w:val="17"/>
            </w:pPr>
            <w:r>
              <w:t>≥1辆</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购置公务用车品牌</w:t>
            </w:r>
          </w:p>
        </w:tc>
        <w:tc>
          <w:tcPr>
            <w:tcW w:w="2891" w:type="dxa"/>
            <w:vAlign w:val="center"/>
          </w:tcPr>
          <w:p>
            <w:pPr>
              <w:pStyle w:val="17"/>
            </w:pPr>
            <w:r>
              <w:t>购置公务用车品牌情况</w:t>
            </w:r>
          </w:p>
        </w:tc>
        <w:tc>
          <w:tcPr>
            <w:tcW w:w="1276" w:type="dxa"/>
            <w:vAlign w:val="center"/>
          </w:tcPr>
          <w:p>
            <w:pPr>
              <w:pStyle w:val="17"/>
            </w:pPr>
            <w:r>
              <w:t>公车办规定品牌</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完成购置实效</w:t>
            </w:r>
          </w:p>
        </w:tc>
        <w:tc>
          <w:tcPr>
            <w:tcW w:w="2891" w:type="dxa"/>
            <w:vAlign w:val="center"/>
          </w:tcPr>
          <w:p>
            <w:pPr>
              <w:pStyle w:val="17"/>
            </w:pPr>
            <w:r>
              <w:t>完成购置时间情况</w:t>
            </w:r>
          </w:p>
        </w:tc>
        <w:tc>
          <w:tcPr>
            <w:tcW w:w="1276" w:type="dxa"/>
            <w:vAlign w:val="center"/>
          </w:tcPr>
          <w:p>
            <w:pPr>
              <w:pStyle w:val="17"/>
            </w:pPr>
            <w:r>
              <w:t>12月底前完成</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控制在预算内</w:t>
            </w:r>
          </w:p>
        </w:tc>
        <w:tc>
          <w:tcPr>
            <w:tcW w:w="2891" w:type="dxa"/>
            <w:vAlign w:val="center"/>
          </w:tcPr>
          <w:p>
            <w:pPr>
              <w:pStyle w:val="17"/>
            </w:pPr>
            <w:r>
              <w:t>控制在预算内</w:t>
            </w:r>
          </w:p>
        </w:tc>
        <w:tc>
          <w:tcPr>
            <w:tcW w:w="1276" w:type="dxa"/>
            <w:vAlign w:val="center"/>
          </w:tcPr>
          <w:p>
            <w:pPr>
              <w:pStyle w:val="17"/>
            </w:pPr>
            <w:r>
              <w:t>按预算执行</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长期使用性</w:t>
            </w:r>
          </w:p>
        </w:tc>
        <w:tc>
          <w:tcPr>
            <w:tcW w:w="2891" w:type="dxa"/>
            <w:vAlign w:val="center"/>
          </w:tcPr>
          <w:p>
            <w:pPr>
              <w:pStyle w:val="17"/>
            </w:pPr>
            <w:r>
              <w:t>满足执法执勤工作需要</w:t>
            </w:r>
          </w:p>
        </w:tc>
        <w:tc>
          <w:tcPr>
            <w:tcW w:w="1276" w:type="dxa"/>
            <w:vAlign w:val="center"/>
          </w:tcPr>
          <w:p>
            <w:pPr>
              <w:pStyle w:val="17"/>
            </w:pPr>
            <w:r>
              <w:t>≥10年</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群众满意度</w:t>
            </w:r>
          </w:p>
        </w:tc>
        <w:tc>
          <w:tcPr>
            <w:tcW w:w="1276" w:type="dxa"/>
            <w:vAlign w:val="center"/>
          </w:tcPr>
          <w:p>
            <w:pPr>
              <w:pStyle w:val="17"/>
            </w:pPr>
            <w:r>
              <w:t>≥90%</w:t>
            </w:r>
          </w:p>
        </w:tc>
        <w:tc>
          <w:tcPr>
            <w:tcW w:w="1843" w:type="dxa"/>
            <w:vAlign w:val="center"/>
          </w:tcPr>
          <w:p>
            <w:pPr>
              <w:pStyle w:val="17"/>
            </w:pPr>
            <w:r>
              <w:t>政府请示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 w:name="_Toc_4_4_0000000008"/>
      <w:r>
        <w:rPr>
          <w:rFonts w:ascii="方正仿宋_GBK" w:hAnsi="方正仿宋_GBK" w:eastAsia="方正仿宋_GBK" w:cs="方正仿宋_GBK"/>
          <w:color w:val="000000"/>
          <w:sz w:val="28"/>
        </w:rPr>
        <w:t>5.2024年计量检验检测经费绩效目标表</w:t>
      </w:r>
      <w:bookmarkEnd w:id="2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416001涞水县市场监督管理局本级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13062324P008003100035</w:t>
            </w:r>
          </w:p>
        </w:tc>
        <w:tc>
          <w:tcPr>
            <w:tcW w:w="1587" w:type="dxa"/>
            <w:vAlign w:val="center"/>
          </w:tcPr>
          <w:p>
            <w:pPr>
              <w:pStyle w:val="15"/>
            </w:pPr>
            <w:r>
              <w:t>项目名称</w:t>
            </w:r>
          </w:p>
        </w:tc>
        <w:tc>
          <w:tcPr>
            <w:tcW w:w="4422" w:type="dxa"/>
            <w:gridSpan w:val="3"/>
            <w:vAlign w:val="center"/>
          </w:tcPr>
          <w:p>
            <w:pPr>
              <w:pStyle w:val="17"/>
            </w:pPr>
            <w:r>
              <w:t>2024年计量检验检测经费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30.00</w:t>
            </w:r>
          </w:p>
        </w:tc>
        <w:tc>
          <w:tcPr>
            <w:tcW w:w="1587" w:type="dxa"/>
            <w:vAlign w:val="center"/>
          </w:tcPr>
          <w:p>
            <w:pPr>
              <w:pStyle w:val="15"/>
            </w:pPr>
            <w:r>
              <w:t>其中：财政    资金</w:t>
            </w:r>
          </w:p>
        </w:tc>
        <w:tc>
          <w:tcPr>
            <w:tcW w:w="1304" w:type="dxa"/>
            <w:vAlign w:val="center"/>
          </w:tcPr>
          <w:p>
            <w:pPr>
              <w:pStyle w:val="17"/>
            </w:pPr>
            <w:r>
              <w:t>30.00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计量检验检测支出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5.00</w:t>
            </w:r>
          </w:p>
        </w:tc>
        <w:tc>
          <w:tcPr>
            <w:tcW w:w="1587" w:type="dxa"/>
            <w:vAlign w:val="center"/>
          </w:tcPr>
          <w:p>
            <w:pPr>
              <w:pStyle w:val="18"/>
            </w:pPr>
            <w:r>
              <w:t>10.00</w:t>
            </w:r>
          </w:p>
        </w:tc>
        <w:tc>
          <w:tcPr>
            <w:tcW w:w="1304" w:type="dxa"/>
            <w:vAlign w:val="center"/>
          </w:tcPr>
          <w:p>
            <w:pPr>
              <w:pStyle w:val="18"/>
            </w:pPr>
            <w:r>
              <w:t>25.00</w:t>
            </w:r>
          </w:p>
        </w:tc>
        <w:tc>
          <w:tcPr>
            <w:tcW w:w="3118" w:type="dxa"/>
            <w:gridSpan w:val="2"/>
            <w:vAlign w:val="center"/>
          </w:tcPr>
          <w:p>
            <w:pPr>
              <w:pStyle w:val="18"/>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1.按照全年检定计划检定计量器具</w:t>
            </w:r>
            <w:r>
              <w:tab/>
            </w:r>
            <w:r>
              <w:tab/>
            </w:r>
            <w:r>
              <w:tab/>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检定计量器具数量</w:t>
            </w:r>
          </w:p>
        </w:tc>
        <w:tc>
          <w:tcPr>
            <w:tcW w:w="2891" w:type="dxa"/>
            <w:vAlign w:val="center"/>
          </w:tcPr>
          <w:p>
            <w:pPr>
              <w:pStyle w:val="17"/>
            </w:pPr>
            <w:r>
              <w:t>检定强检计量器具数量情况</w:t>
            </w:r>
          </w:p>
        </w:tc>
        <w:tc>
          <w:tcPr>
            <w:tcW w:w="1276" w:type="dxa"/>
            <w:vAlign w:val="center"/>
          </w:tcPr>
          <w:p>
            <w:pPr>
              <w:pStyle w:val="17"/>
            </w:pPr>
            <w:r>
              <w:t>≥600台件</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检定计划完成率</w:t>
            </w:r>
          </w:p>
        </w:tc>
        <w:tc>
          <w:tcPr>
            <w:tcW w:w="2891" w:type="dxa"/>
            <w:vAlign w:val="center"/>
          </w:tcPr>
          <w:p>
            <w:pPr>
              <w:pStyle w:val="17"/>
            </w:pPr>
            <w:r>
              <w:t>检定计划完成情况</w:t>
            </w:r>
          </w:p>
        </w:tc>
        <w:tc>
          <w:tcPr>
            <w:tcW w:w="1276" w:type="dxa"/>
            <w:vAlign w:val="center"/>
          </w:tcPr>
          <w:p>
            <w:pPr>
              <w:pStyle w:val="17"/>
            </w:pPr>
            <w:r>
              <w:t>≥90%</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按期完成率</w:t>
            </w:r>
          </w:p>
        </w:tc>
        <w:tc>
          <w:tcPr>
            <w:tcW w:w="2891" w:type="dxa"/>
            <w:vAlign w:val="center"/>
          </w:tcPr>
          <w:p>
            <w:pPr>
              <w:pStyle w:val="17"/>
            </w:pPr>
            <w:r>
              <w:t>按期完成情况</w:t>
            </w:r>
          </w:p>
        </w:tc>
        <w:tc>
          <w:tcPr>
            <w:tcW w:w="1276" w:type="dxa"/>
            <w:vAlign w:val="center"/>
          </w:tcPr>
          <w:p>
            <w:pPr>
              <w:pStyle w:val="17"/>
            </w:pPr>
            <w:r>
              <w:t>≥90%</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控制在预算内</w:t>
            </w:r>
          </w:p>
        </w:tc>
        <w:tc>
          <w:tcPr>
            <w:tcW w:w="2891" w:type="dxa"/>
            <w:vAlign w:val="center"/>
          </w:tcPr>
          <w:p>
            <w:pPr>
              <w:pStyle w:val="17"/>
            </w:pPr>
            <w:r>
              <w:t>控制在预算内</w:t>
            </w:r>
          </w:p>
        </w:tc>
        <w:tc>
          <w:tcPr>
            <w:tcW w:w="1276" w:type="dxa"/>
            <w:vAlign w:val="center"/>
          </w:tcPr>
          <w:p>
            <w:pPr>
              <w:pStyle w:val="17"/>
            </w:pPr>
            <w:r>
              <w:t>严格预算支出</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服务的改善与提升</w:t>
            </w:r>
          </w:p>
        </w:tc>
        <w:tc>
          <w:tcPr>
            <w:tcW w:w="2891" w:type="dxa"/>
            <w:vAlign w:val="center"/>
          </w:tcPr>
          <w:p>
            <w:pPr>
              <w:pStyle w:val="17"/>
            </w:pPr>
            <w:r>
              <w:t>服务的改善与提升</w:t>
            </w:r>
          </w:p>
        </w:tc>
        <w:tc>
          <w:tcPr>
            <w:tcW w:w="1276" w:type="dxa"/>
            <w:vAlign w:val="center"/>
          </w:tcPr>
          <w:p>
            <w:pPr>
              <w:pStyle w:val="17"/>
            </w:pPr>
            <w:r>
              <w:t>热情服务</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群众满意度</w:t>
            </w:r>
          </w:p>
        </w:tc>
        <w:tc>
          <w:tcPr>
            <w:tcW w:w="1276" w:type="dxa"/>
            <w:vAlign w:val="center"/>
          </w:tcPr>
          <w:p>
            <w:pPr>
              <w:pStyle w:val="17"/>
            </w:pPr>
            <w:r>
              <w:t>≥90%</w:t>
            </w:r>
          </w:p>
        </w:tc>
        <w:tc>
          <w:tcPr>
            <w:tcW w:w="1843" w:type="dxa"/>
            <w:vAlign w:val="center"/>
          </w:tcPr>
          <w:p>
            <w:pPr>
              <w:pStyle w:val="17"/>
            </w:pPr>
            <w:r>
              <w:t>政府批示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 w:name="_Toc_4_4_0000000009"/>
      <w:r>
        <w:rPr>
          <w:rFonts w:ascii="方正仿宋_GBK" w:hAnsi="方正仿宋_GBK" w:eastAsia="方正仿宋_GBK" w:cs="方正仿宋_GBK"/>
          <w:color w:val="000000"/>
          <w:sz w:val="28"/>
        </w:rPr>
        <w:t>6.2024年价格监测经费绩效目标表</w:t>
      </w:r>
      <w:bookmarkEnd w:id="2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416001涞水县市场监督管理局本级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13062324P00799810003M</w:t>
            </w:r>
          </w:p>
        </w:tc>
        <w:tc>
          <w:tcPr>
            <w:tcW w:w="1587" w:type="dxa"/>
            <w:vAlign w:val="center"/>
          </w:tcPr>
          <w:p>
            <w:pPr>
              <w:pStyle w:val="15"/>
            </w:pPr>
            <w:r>
              <w:t>项目名称</w:t>
            </w:r>
          </w:p>
        </w:tc>
        <w:tc>
          <w:tcPr>
            <w:tcW w:w="4422" w:type="dxa"/>
            <w:gridSpan w:val="3"/>
            <w:vAlign w:val="center"/>
          </w:tcPr>
          <w:p>
            <w:pPr>
              <w:pStyle w:val="17"/>
            </w:pPr>
            <w:r>
              <w:t>2024年价格监测经费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3.00</w:t>
            </w:r>
          </w:p>
        </w:tc>
        <w:tc>
          <w:tcPr>
            <w:tcW w:w="1587" w:type="dxa"/>
            <w:vAlign w:val="center"/>
          </w:tcPr>
          <w:p>
            <w:pPr>
              <w:pStyle w:val="15"/>
            </w:pPr>
            <w:r>
              <w:t>其中：财政    资金</w:t>
            </w:r>
          </w:p>
        </w:tc>
        <w:tc>
          <w:tcPr>
            <w:tcW w:w="1304" w:type="dxa"/>
            <w:vAlign w:val="center"/>
          </w:tcPr>
          <w:p>
            <w:pPr>
              <w:pStyle w:val="17"/>
            </w:pPr>
            <w:r>
              <w:t>3.00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价格监测支出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2.00</w:t>
            </w:r>
          </w:p>
        </w:tc>
        <w:tc>
          <w:tcPr>
            <w:tcW w:w="1304" w:type="dxa"/>
            <w:vAlign w:val="center"/>
          </w:tcPr>
          <w:p>
            <w:pPr>
              <w:pStyle w:val="18"/>
            </w:pPr>
            <w:r>
              <w:t>3.00</w:t>
            </w:r>
          </w:p>
        </w:tc>
        <w:tc>
          <w:tcPr>
            <w:tcW w:w="3118"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客观、公正、合理出具价格鉴证结论，维护司法机关公平、公正和当事人的合法权。客观、公正、合理出具价格认证结论，为纪检监察机关、税务机关、民政部门等办理案件提供依据，维护公平公正，保护国家、公民、法人和其他组织的合法权益</w:t>
            </w:r>
            <w:r>
              <w:tab/>
            </w:r>
            <w:r>
              <w:tab/>
            </w:r>
            <w:r>
              <w:tab/>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开展听证会次数</w:t>
            </w:r>
          </w:p>
        </w:tc>
        <w:tc>
          <w:tcPr>
            <w:tcW w:w="2891" w:type="dxa"/>
            <w:vAlign w:val="center"/>
          </w:tcPr>
          <w:p>
            <w:pPr>
              <w:pStyle w:val="17"/>
            </w:pPr>
            <w:r>
              <w:t>开展听证会情况</w:t>
            </w:r>
          </w:p>
        </w:tc>
        <w:tc>
          <w:tcPr>
            <w:tcW w:w="1276" w:type="dxa"/>
            <w:vAlign w:val="center"/>
          </w:tcPr>
          <w:p>
            <w:pPr>
              <w:pStyle w:val="17"/>
            </w:pPr>
            <w:r>
              <w:t>≥2次</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居民消费价格涨幅调控有效率</w:t>
            </w:r>
          </w:p>
        </w:tc>
        <w:tc>
          <w:tcPr>
            <w:tcW w:w="2891" w:type="dxa"/>
            <w:vAlign w:val="center"/>
          </w:tcPr>
          <w:p>
            <w:pPr>
              <w:pStyle w:val="17"/>
            </w:pPr>
            <w:r>
              <w:t>居民消费价格涨幅调控情况</w:t>
            </w:r>
          </w:p>
        </w:tc>
        <w:tc>
          <w:tcPr>
            <w:tcW w:w="1276" w:type="dxa"/>
            <w:vAlign w:val="center"/>
          </w:tcPr>
          <w:p>
            <w:pPr>
              <w:pStyle w:val="17"/>
            </w:pPr>
            <w:r>
              <w:t>≥90%</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监测工作完成率</w:t>
            </w:r>
          </w:p>
        </w:tc>
        <w:tc>
          <w:tcPr>
            <w:tcW w:w="2891" w:type="dxa"/>
            <w:vAlign w:val="center"/>
          </w:tcPr>
          <w:p>
            <w:pPr>
              <w:pStyle w:val="17"/>
            </w:pPr>
            <w:r>
              <w:t>监测工作完成情况</w:t>
            </w:r>
          </w:p>
        </w:tc>
        <w:tc>
          <w:tcPr>
            <w:tcW w:w="1276" w:type="dxa"/>
            <w:vAlign w:val="center"/>
          </w:tcPr>
          <w:p>
            <w:pPr>
              <w:pStyle w:val="17"/>
            </w:pPr>
            <w:r>
              <w:t>≥90%</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控制在预算内</w:t>
            </w:r>
          </w:p>
        </w:tc>
        <w:tc>
          <w:tcPr>
            <w:tcW w:w="2891" w:type="dxa"/>
            <w:vAlign w:val="center"/>
          </w:tcPr>
          <w:p>
            <w:pPr>
              <w:pStyle w:val="17"/>
            </w:pPr>
            <w:r>
              <w:t>控制在预算内</w:t>
            </w:r>
          </w:p>
        </w:tc>
        <w:tc>
          <w:tcPr>
            <w:tcW w:w="1276" w:type="dxa"/>
            <w:vAlign w:val="center"/>
          </w:tcPr>
          <w:p>
            <w:pPr>
              <w:pStyle w:val="17"/>
            </w:pPr>
            <w:r>
              <w:t>严格按照预算执行</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提高本单位工作人员的业务水平</w:t>
            </w:r>
          </w:p>
        </w:tc>
        <w:tc>
          <w:tcPr>
            <w:tcW w:w="2891" w:type="dxa"/>
            <w:vAlign w:val="center"/>
          </w:tcPr>
          <w:p>
            <w:pPr>
              <w:pStyle w:val="17"/>
            </w:pPr>
            <w:r>
              <w:t>通过出差培训等活动，提高工作人员相关业务素质</w:t>
            </w:r>
          </w:p>
        </w:tc>
        <w:tc>
          <w:tcPr>
            <w:tcW w:w="1276" w:type="dxa"/>
            <w:vAlign w:val="center"/>
          </w:tcPr>
          <w:p>
            <w:pPr>
              <w:pStyle w:val="17"/>
            </w:pPr>
            <w:r>
              <w:t>通过外出培训、网络培训提高工作人员业务水平</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群众满意度</w:t>
            </w:r>
          </w:p>
        </w:tc>
        <w:tc>
          <w:tcPr>
            <w:tcW w:w="1276" w:type="dxa"/>
            <w:vAlign w:val="center"/>
          </w:tcPr>
          <w:p>
            <w:pPr>
              <w:pStyle w:val="17"/>
            </w:pPr>
            <w:r>
              <w:t>≥90%</w:t>
            </w:r>
          </w:p>
        </w:tc>
        <w:tc>
          <w:tcPr>
            <w:tcW w:w="1843" w:type="dxa"/>
            <w:vAlign w:val="center"/>
          </w:tcPr>
          <w:p>
            <w:pPr>
              <w:pStyle w:val="17"/>
            </w:pPr>
            <w:r>
              <w:t>政府批示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 w:name="_Toc_4_4_0000000010"/>
      <w:r>
        <w:rPr>
          <w:rFonts w:ascii="方正仿宋_GBK" w:hAnsi="方正仿宋_GBK" w:eastAsia="方正仿宋_GBK" w:cs="方正仿宋_GBK"/>
          <w:color w:val="000000"/>
          <w:sz w:val="28"/>
        </w:rPr>
        <w:t>7.2024年流通领域商品抽检经费绩效目标表</w:t>
      </w:r>
      <w:bookmarkEnd w:id="2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416001涞水县市场监督管理局本级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13062324P007993100039</w:t>
            </w:r>
          </w:p>
        </w:tc>
        <w:tc>
          <w:tcPr>
            <w:tcW w:w="1587" w:type="dxa"/>
            <w:vAlign w:val="center"/>
          </w:tcPr>
          <w:p>
            <w:pPr>
              <w:pStyle w:val="15"/>
            </w:pPr>
            <w:r>
              <w:t>项目名称</w:t>
            </w:r>
          </w:p>
        </w:tc>
        <w:tc>
          <w:tcPr>
            <w:tcW w:w="4422" w:type="dxa"/>
            <w:gridSpan w:val="3"/>
            <w:vAlign w:val="center"/>
          </w:tcPr>
          <w:p>
            <w:pPr>
              <w:pStyle w:val="17"/>
            </w:pPr>
            <w:r>
              <w:t>2024年流通领域商品抽检经费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43.95</w:t>
            </w:r>
          </w:p>
        </w:tc>
        <w:tc>
          <w:tcPr>
            <w:tcW w:w="1587" w:type="dxa"/>
            <w:vAlign w:val="center"/>
          </w:tcPr>
          <w:p>
            <w:pPr>
              <w:pStyle w:val="15"/>
            </w:pPr>
            <w:r>
              <w:t>其中：财政    资金</w:t>
            </w:r>
          </w:p>
        </w:tc>
        <w:tc>
          <w:tcPr>
            <w:tcW w:w="1304" w:type="dxa"/>
            <w:vAlign w:val="center"/>
          </w:tcPr>
          <w:p>
            <w:pPr>
              <w:pStyle w:val="17"/>
            </w:pPr>
            <w:r>
              <w:t>43.95</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流通领域商品抽检支出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30.00</w:t>
            </w:r>
          </w:p>
        </w:tc>
        <w:tc>
          <w:tcPr>
            <w:tcW w:w="3118" w:type="dxa"/>
            <w:gridSpan w:val="2"/>
            <w:vAlign w:val="center"/>
          </w:tcPr>
          <w:p>
            <w:pPr>
              <w:pStyle w:val="18"/>
            </w:pPr>
            <w:r>
              <w:t>43.95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1.流通领域商品质量抽检，保障消费者权益</w:t>
            </w:r>
            <w:r>
              <w:tab/>
            </w:r>
            <w:r>
              <w:tab/>
            </w:r>
            <w:r>
              <w:tab/>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抽检批次</w:t>
            </w:r>
          </w:p>
        </w:tc>
        <w:tc>
          <w:tcPr>
            <w:tcW w:w="2891" w:type="dxa"/>
            <w:vAlign w:val="center"/>
          </w:tcPr>
          <w:p>
            <w:pPr>
              <w:pStyle w:val="17"/>
            </w:pPr>
            <w:r>
              <w:t>抽检批次情况</w:t>
            </w:r>
          </w:p>
        </w:tc>
        <w:tc>
          <w:tcPr>
            <w:tcW w:w="1276" w:type="dxa"/>
            <w:vAlign w:val="center"/>
          </w:tcPr>
          <w:p>
            <w:pPr>
              <w:pStyle w:val="17"/>
            </w:pPr>
            <w:r>
              <w:t>≥300批次</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抽检合格率</w:t>
            </w:r>
          </w:p>
        </w:tc>
        <w:tc>
          <w:tcPr>
            <w:tcW w:w="2891" w:type="dxa"/>
            <w:vAlign w:val="center"/>
          </w:tcPr>
          <w:p>
            <w:pPr>
              <w:pStyle w:val="17"/>
            </w:pPr>
            <w:r>
              <w:t>抽检排查情况抽检合格率情况</w:t>
            </w:r>
          </w:p>
        </w:tc>
        <w:tc>
          <w:tcPr>
            <w:tcW w:w="1276" w:type="dxa"/>
            <w:vAlign w:val="center"/>
          </w:tcPr>
          <w:p>
            <w:pPr>
              <w:pStyle w:val="17"/>
            </w:pPr>
            <w:r>
              <w:t>≥85%</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抽检流通商品覆盖率</w:t>
            </w:r>
          </w:p>
        </w:tc>
        <w:tc>
          <w:tcPr>
            <w:tcW w:w="2891" w:type="dxa"/>
            <w:vAlign w:val="center"/>
          </w:tcPr>
          <w:p>
            <w:pPr>
              <w:pStyle w:val="17"/>
            </w:pPr>
            <w:r>
              <w:t>抽检覆盖率情况</w:t>
            </w:r>
          </w:p>
        </w:tc>
        <w:tc>
          <w:tcPr>
            <w:tcW w:w="1276" w:type="dxa"/>
            <w:vAlign w:val="center"/>
          </w:tcPr>
          <w:p>
            <w:pPr>
              <w:pStyle w:val="17"/>
            </w:pPr>
            <w:r>
              <w:t>≥80%</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控制在预算内</w:t>
            </w:r>
          </w:p>
        </w:tc>
        <w:tc>
          <w:tcPr>
            <w:tcW w:w="2891" w:type="dxa"/>
            <w:vAlign w:val="center"/>
          </w:tcPr>
          <w:p>
            <w:pPr>
              <w:pStyle w:val="17"/>
            </w:pPr>
            <w:r>
              <w:t>控制在预算内</w:t>
            </w:r>
          </w:p>
        </w:tc>
        <w:tc>
          <w:tcPr>
            <w:tcW w:w="1276" w:type="dxa"/>
            <w:vAlign w:val="center"/>
          </w:tcPr>
          <w:p>
            <w:pPr>
              <w:pStyle w:val="17"/>
            </w:pPr>
            <w:r>
              <w:t>按预算执行</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开展的工作长效性</w:t>
            </w:r>
          </w:p>
        </w:tc>
        <w:tc>
          <w:tcPr>
            <w:tcW w:w="2891" w:type="dxa"/>
            <w:vAlign w:val="center"/>
          </w:tcPr>
          <w:p>
            <w:pPr>
              <w:pStyle w:val="17"/>
            </w:pPr>
            <w:r>
              <w:t>对社会起到积极作用</w:t>
            </w:r>
          </w:p>
        </w:tc>
        <w:tc>
          <w:tcPr>
            <w:tcW w:w="1276" w:type="dxa"/>
            <w:vAlign w:val="center"/>
          </w:tcPr>
          <w:p>
            <w:pPr>
              <w:pStyle w:val="17"/>
            </w:pPr>
            <w:r>
              <w:t>抽检流通领域商品，保护消费者权益</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群众满意度</w:t>
            </w:r>
          </w:p>
        </w:tc>
        <w:tc>
          <w:tcPr>
            <w:tcW w:w="1276" w:type="dxa"/>
            <w:vAlign w:val="center"/>
          </w:tcPr>
          <w:p>
            <w:pPr>
              <w:pStyle w:val="17"/>
            </w:pPr>
            <w:r>
              <w:t>≥90%</w:t>
            </w:r>
          </w:p>
        </w:tc>
        <w:tc>
          <w:tcPr>
            <w:tcW w:w="1843" w:type="dxa"/>
            <w:vAlign w:val="center"/>
          </w:tcPr>
          <w:p>
            <w:pPr>
              <w:pStyle w:val="17"/>
            </w:pPr>
            <w:r>
              <w:t>政府批示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3" w:name="_Toc_4_4_0000000011"/>
      <w:r>
        <w:rPr>
          <w:rFonts w:ascii="方正仿宋_GBK" w:hAnsi="方正仿宋_GBK" w:eastAsia="方正仿宋_GBK" w:cs="方正仿宋_GBK"/>
          <w:color w:val="000000"/>
          <w:sz w:val="28"/>
        </w:rPr>
        <w:t>8.2024年麻核桃国家地理标志产品保护示范区建设项目（尾款）绩效目标表</w:t>
      </w:r>
      <w:bookmarkEnd w:id="2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416001涞水县市场监督管理局本级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13062324P00801310003C</w:t>
            </w:r>
          </w:p>
        </w:tc>
        <w:tc>
          <w:tcPr>
            <w:tcW w:w="1587" w:type="dxa"/>
            <w:vAlign w:val="center"/>
          </w:tcPr>
          <w:p>
            <w:pPr>
              <w:pStyle w:val="15"/>
            </w:pPr>
            <w:r>
              <w:t>项目名称</w:t>
            </w:r>
          </w:p>
        </w:tc>
        <w:tc>
          <w:tcPr>
            <w:tcW w:w="4422" w:type="dxa"/>
            <w:gridSpan w:val="3"/>
            <w:vAlign w:val="center"/>
          </w:tcPr>
          <w:p>
            <w:pPr>
              <w:pStyle w:val="17"/>
            </w:pPr>
            <w:r>
              <w:t>2024年麻核桃国家地理标志产品保护示范区建设项目（尾款）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25.00</w:t>
            </w:r>
          </w:p>
        </w:tc>
        <w:tc>
          <w:tcPr>
            <w:tcW w:w="1587" w:type="dxa"/>
            <w:vAlign w:val="center"/>
          </w:tcPr>
          <w:p>
            <w:pPr>
              <w:pStyle w:val="15"/>
            </w:pPr>
            <w:r>
              <w:t>其中：财政    资金</w:t>
            </w:r>
          </w:p>
        </w:tc>
        <w:tc>
          <w:tcPr>
            <w:tcW w:w="1304" w:type="dxa"/>
            <w:vAlign w:val="center"/>
          </w:tcPr>
          <w:p>
            <w:pPr>
              <w:pStyle w:val="17"/>
            </w:pPr>
            <w:r>
              <w:t>25.00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麻核桃地理标志示范保护区建设支出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5.00</w:t>
            </w:r>
          </w:p>
        </w:tc>
        <w:tc>
          <w:tcPr>
            <w:tcW w:w="1304" w:type="dxa"/>
            <w:vAlign w:val="center"/>
          </w:tcPr>
          <w:p>
            <w:pPr>
              <w:pStyle w:val="18"/>
            </w:pPr>
            <w:r>
              <w:t>25.00</w:t>
            </w:r>
          </w:p>
        </w:tc>
        <w:tc>
          <w:tcPr>
            <w:tcW w:w="3118"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1.建设“涞水县麻核桃国家地理标志产品保护示范区”促进我县支柱产业快速发展</w:t>
            </w:r>
            <w:r>
              <w:tab/>
            </w:r>
            <w:r>
              <w:tab/>
            </w:r>
            <w:r>
              <w:tab/>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示范区覆盖乡镇数量</w:t>
            </w:r>
          </w:p>
        </w:tc>
        <w:tc>
          <w:tcPr>
            <w:tcW w:w="2891" w:type="dxa"/>
            <w:vAlign w:val="center"/>
          </w:tcPr>
          <w:p>
            <w:pPr>
              <w:pStyle w:val="17"/>
            </w:pPr>
            <w:r>
              <w:t>示范区覆盖乡镇情况</w:t>
            </w:r>
          </w:p>
        </w:tc>
        <w:tc>
          <w:tcPr>
            <w:tcW w:w="1276" w:type="dxa"/>
            <w:vAlign w:val="center"/>
          </w:tcPr>
          <w:p>
            <w:pPr>
              <w:pStyle w:val="17"/>
            </w:pPr>
            <w:r>
              <w:t>≥2个</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建成麻核桃市场数量</w:t>
            </w:r>
          </w:p>
        </w:tc>
        <w:tc>
          <w:tcPr>
            <w:tcW w:w="2891" w:type="dxa"/>
            <w:vAlign w:val="center"/>
          </w:tcPr>
          <w:p>
            <w:pPr>
              <w:pStyle w:val="17"/>
            </w:pPr>
            <w:r>
              <w:t>麻核桃市场数量情况</w:t>
            </w:r>
          </w:p>
        </w:tc>
        <w:tc>
          <w:tcPr>
            <w:tcW w:w="1276" w:type="dxa"/>
            <w:vAlign w:val="center"/>
          </w:tcPr>
          <w:p>
            <w:pPr>
              <w:pStyle w:val="17"/>
            </w:pPr>
            <w:r>
              <w:t>≥2个</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工程竣工及时率（%）</w:t>
            </w:r>
          </w:p>
        </w:tc>
        <w:tc>
          <w:tcPr>
            <w:tcW w:w="2891" w:type="dxa"/>
            <w:vAlign w:val="center"/>
          </w:tcPr>
          <w:p>
            <w:pPr>
              <w:pStyle w:val="17"/>
            </w:pPr>
            <w:r>
              <w:t>工程竣工及时率（%）</w:t>
            </w:r>
          </w:p>
        </w:tc>
        <w:tc>
          <w:tcPr>
            <w:tcW w:w="1276" w:type="dxa"/>
            <w:vAlign w:val="center"/>
          </w:tcPr>
          <w:p>
            <w:pPr>
              <w:pStyle w:val="17"/>
            </w:pPr>
            <w:r>
              <w:t>≥90%</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严格控制预算，不超预算</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品牌形象</w:t>
            </w:r>
          </w:p>
        </w:tc>
        <w:tc>
          <w:tcPr>
            <w:tcW w:w="2891" w:type="dxa"/>
            <w:vAlign w:val="center"/>
          </w:tcPr>
          <w:p>
            <w:pPr>
              <w:pStyle w:val="17"/>
            </w:pPr>
            <w:r>
              <w:t>品牌形象</w:t>
            </w:r>
          </w:p>
        </w:tc>
        <w:tc>
          <w:tcPr>
            <w:tcW w:w="1276" w:type="dxa"/>
            <w:vAlign w:val="center"/>
          </w:tcPr>
          <w:p>
            <w:pPr>
              <w:pStyle w:val="17"/>
            </w:pPr>
            <w:r>
              <w:t>建设示范区，提升我县麻核桃品牌形象</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群众满意度</w:t>
            </w:r>
          </w:p>
        </w:tc>
        <w:tc>
          <w:tcPr>
            <w:tcW w:w="1276" w:type="dxa"/>
            <w:vAlign w:val="center"/>
          </w:tcPr>
          <w:p>
            <w:pPr>
              <w:pStyle w:val="17"/>
            </w:pPr>
            <w:r>
              <w:t>≥90%</w:t>
            </w:r>
          </w:p>
        </w:tc>
        <w:tc>
          <w:tcPr>
            <w:tcW w:w="1843" w:type="dxa"/>
            <w:vAlign w:val="center"/>
          </w:tcPr>
          <w:p>
            <w:pPr>
              <w:pStyle w:val="17"/>
            </w:pPr>
            <w:r>
              <w:t>政府请示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4" w:name="_Toc_4_4_0000000012"/>
      <w:r>
        <w:rPr>
          <w:rFonts w:ascii="方正仿宋_GBK" w:hAnsi="方正仿宋_GBK" w:eastAsia="方正仿宋_GBK" w:cs="方正仿宋_GBK"/>
          <w:color w:val="000000"/>
          <w:sz w:val="28"/>
        </w:rPr>
        <w:t>9.2024年煤炭市场治理专项经费绩效目标表</w:t>
      </w:r>
      <w:bookmarkEnd w:id="2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416001涞水县市场监督管理局本级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13062324P00801610003D</w:t>
            </w:r>
          </w:p>
        </w:tc>
        <w:tc>
          <w:tcPr>
            <w:tcW w:w="1587" w:type="dxa"/>
            <w:vAlign w:val="center"/>
          </w:tcPr>
          <w:p>
            <w:pPr>
              <w:pStyle w:val="15"/>
            </w:pPr>
            <w:r>
              <w:t>项目名称</w:t>
            </w:r>
          </w:p>
        </w:tc>
        <w:tc>
          <w:tcPr>
            <w:tcW w:w="4422" w:type="dxa"/>
            <w:gridSpan w:val="3"/>
            <w:vAlign w:val="center"/>
          </w:tcPr>
          <w:p>
            <w:pPr>
              <w:pStyle w:val="17"/>
            </w:pPr>
            <w:r>
              <w:t>2024年煤炭市场治理专项经费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20.00</w:t>
            </w:r>
          </w:p>
        </w:tc>
        <w:tc>
          <w:tcPr>
            <w:tcW w:w="1587" w:type="dxa"/>
            <w:vAlign w:val="center"/>
          </w:tcPr>
          <w:p>
            <w:pPr>
              <w:pStyle w:val="15"/>
            </w:pPr>
            <w:r>
              <w:t>其中：财政    资金</w:t>
            </w:r>
          </w:p>
        </w:tc>
        <w:tc>
          <w:tcPr>
            <w:tcW w:w="1304" w:type="dxa"/>
            <w:vAlign w:val="center"/>
          </w:tcPr>
          <w:p>
            <w:pPr>
              <w:pStyle w:val="17"/>
            </w:pPr>
            <w:r>
              <w:t>20.00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煤炭治理支出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5.00</w:t>
            </w:r>
          </w:p>
        </w:tc>
        <w:tc>
          <w:tcPr>
            <w:tcW w:w="1304" w:type="dxa"/>
            <w:vAlign w:val="center"/>
          </w:tcPr>
          <w:p>
            <w:pPr>
              <w:pStyle w:val="18"/>
            </w:pPr>
            <w:r>
              <w:t>10.00</w:t>
            </w:r>
          </w:p>
        </w:tc>
        <w:tc>
          <w:tcPr>
            <w:tcW w:w="3118" w:type="dxa"/>
            <w:gridSpan w:val="2"/>
            <w:vAlign w:val="center"/>
          </w:tcPr>
          <w:p>
            <w:pPr>
              <w:pStyle w:val="18"/>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1.实现散煤治理“双清零”</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查处案件数</w:t>
            </w:r>
          </w:p>
        </w:tc>
        <w:tc>
          <w:tcPr>
            <w:tcW w:w="2891" w:type="dxa"/>
            <w:vAlign w:val="center"/>
          </w:tcPr>
          <w:p>
            <w:pPr>
              <w:pStyle w:val="17"/>
            </w:pPr>
            <w:r>
              <w:t>查处案件数</w:t>
            </w:r>
          </w:p>
        </w:tc>
        <w:tc>
          <w:tcPr>
            <w:tcW w:w="1276" w:type="dxa"/>
            <w:vAlign w:val="center"/>
          </w:tcPr>
          <w:p>
            <w:pPr>
              <w:pStyle w:val="17"/>
            </w:pPr>
            <w:r>
              <w:t>≥2件</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资金到位率</w:t>
            </w:r>
          </w:p>
          <w:p>
            <w:pPr>
              <w:pStyle w:val="17"/>
            </w:pPr>
          </w:p>
          <w:p>
            <w:pPr>
              <w:pStyle w:val="17"/>
            </w:pPr>
          </w:p>
        </w:tc>
        <w:tc>
          <w:tcPr>
            <w:tcW w:w="2891" w:type="dxa"/>
            <w:vAlign w:val="center"/>
          </w:tcPr>
          <w:p>
            <w:pPr>
              <w:pStyle w:val="17"/>
            </w:pPr>
            <w:r>
              <w:t>资金到位率</w:t>
            </w:r>
          </w:p>
          <w:p>
            <w:pPr>
              <w:pStyle w:val="17"/>
            </w:pPr>
          </w:p>
          <w:p>
            <w:pPr>
              <w:pStyle w:val="17"/>
            </w:pPr>
          </w:p>
        </w:tc>
        <w:tc>
          <w:tcPr>
            <w:tcW w:w="1276" w:type="dxa"/>
            <w:vAlign w:val="center"/>
          </w:tcPr>
          <w:p>
            <w:pPr>
              <w:pStyle w:val="17"/>
            </w:pPr>
            <w:r>
              <w:t>≥90%</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项目按时完成率</w:t>
            </w:r>
          </w:p>
        </w:tc>
        <w:tc>
          <w:tcPr>
            <w:tcW w:w="2891" w:type="dxa"/>
            <w:vAlign w:val="center"/>
          </w:tcPr>
          <w:p>
            <w:pPr>
              <w:pStyle w:val="17"/>
            </w:pPr>
            <w:r>
              <w:t>项目按时完成率</w:t>
            </w:r>
          </w:p>
        </w:tc>
        <w:tc>
          <w:tcPr>
            <w:tcW w:w="1276" w:type="dxa"/>
            <w:vAlign w:val="center"/>
          </w:tcPr>
          <w:p>
            <w:pPr>
              <w:pStyle w:val="17"/>
            </w:pPr>
            <w:r>
              <w:t>≥90%</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严格按预算执行</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社会影响力</w:t>
            </w:r>
          </w:p>
        </w:tc>
        <w:tc>
          <w:tcPr>
            <w:tcW w:w="2891" w:type="dxa"/>
            <w:vAlign w:val="center"/>
          </w:tcPr>
          <w:p>
            <w:pPr>
              <w:pStyle w:val="17"/>
            </w:pPr>
            <w:r>
              <w:t>在本地区产生的重要影响，得到广大受众的充分认可。</w:t>
            </w:r>
          </w:p>
        </w:tc>
        <w:tc>
          <w:tcPr>
            <w:tcW w:w="1276" w:type="dxa"/>
            <w:vAlign w:val="center"/>
          </w:tcPr>
          <w:p>
            <w:pPr>
              <w:pStyle w:val="17"/>
            </w:pPr>
            <w:r>
              <w:t>≥90%</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服务对象的满意度</w:t>
            </w:r>
          </w:p>
        </w:tc>
        <w:tc>
          <w:tcPr>
            <w:tcW w:w="2891" w:type="dxa"/>
            <w:vAlign w:val="center"/>
          </w:tcPr>
          <w:p>
            <w:pPr>
              <w:pStyle w:val="17"/>
            </w:pPr>
            <w:r>
              <w:t>服务对象的满意度</w:t>
            </w:r>
          </w:p>
        </w:tc>
        <w:tc>
          <w:tcPr>
            <w:tcW w:w="1276" w:type="dxa"/>
            <w:vAlign w:val="center"/>
          </w:tcPr>
          <w:p>
            <w:pPr>
              <w:pStyle w:val="17"/>
            </w:pPr>
            <w:r>
              <w:t>≥90%</w:t>
            </w:r>
          </w:p>
        </w:tc>
        <w:tc>
          <w:tcPr>
            <w:tcW w:w="1843" w:type="dxa"/>
            <w:vAlign w:val="center"/>
          </w:tcPr>
          <w:p>
            <w:pPr>
              <w:pStyle w:val="17"/>
            </w:pPr>
            <w:r>
              <w:t>政府批示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5" w:name="_Toc_4_4_0000000013"/>
      <w:r>
        <w:rPr>
          <w:rFonts w:ascii="方正仿宋_GBK" w:hAnsi="方正仿宋_GBK" w:eastAsia="方正仿宋_GBK" w:cs="方正仿宋_GBK"/>
          <w:color w:val="000000"/>
          <w:sz w:val="28"/>
        </w:rPr>
        <w:t>10.2024年煤质检测经费绩效目标表</w:t>
      </w:r>
      <w:bookmarkEnd w:id="2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416001涞水县市场监督管理局本级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13062324P00800610004R</w:t>
            </w:r>
          </w:p>
        </w:tc>
        <w:tc>
          <w:tcPr>
            <w:tcW w:w="1587" w:type="dxa"/>
            <w:vAlign w:val="center"/>
          </w:tcPr>
          <w:p>
            <w:pPr>
              <w:pStyle w:val="15"/>
            </w:pPr>
            <w:r>
              <w:t>项目名称</w:t>
            </w:r>
          </w:p>
        </w:tc>
        <w:tc>
          <w:tcPr>
            <w:tcW w:w="4422" w:type="dxa"/>
            <w:gridSpan w:val="3"/>
            <w:vAlign w:val="center"/>
          </w:tcPr>
          <w:p>
            <w:pPr>
              <w:pStyle w:val="17"/>
            </w:pPr>
            <w:r>
              <w:t>2024年煤质检测经费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8.00</w:t>
            </w:r>
          </w:p>
        </w:tc>
        <w:tc>
          <w:tcPr>
            <w:tcW w:w="1587" w:type="dxa"/>
            <w:vAlign w:val="center"/>
          </w:tcPr>
          <w:p>
            <w:pPr>
              <w:pStyle w:val="15"/>
            </w:pPr>
            <w:r>
              <w:t>其中：财政    资金</w:t>
            </w:r>
          </w:p>
        </w:tc>
        <w:tc>
          <w:tcPr>
            <w:tcW w:w="1304" w:type="dxa"/>
            <w:vAlign w:val="center"/>
          </w:tcPr>
          <w:p>
            <w:pPr>
              <w:pStyle w:val="17"/>
            </w:pPr>
            <w:r>
              <w:t>8.00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煤质检测支出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3.00</w:t>
            </w:r>
          </w:p>
        </w:tc>
        <w:tc>
          <w:tcPr>
            <w:tcW w:w="1304" w:type="dxa"/>
            <w:vAlign w:val="center"/>
          </w:tcPr>
          <w:p>
            <w:pPr>
              <w:pStyle w:val="18"/>
            </w:pPr>
            <w:r>
              <w:t>5.00</w:t>
            </w:r>
          </w:p>
        </w:tc>
        <w:tc>
          <w:tcPr>
            <w:tcW w:w="3118" w:type="dxa"/>
            <w:gridSpan w:val="2"/>
            <w:vAlign w:val="center"/>
          </w:tcPr>
          <w:p>
            <w:pPr>
              <w:pStyle w:val="18"/>
            </w:pPr>
            <w:r>
              <w:t>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1.检验煤炭质量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检验批次</w:t>
            </w:r>
          </w:p>
        </w:tc>
        <w:tc>
          <w:tcPr>
            <w:tcW w:w="2891" w:type="dxa"/>
            <w:vAlign w:val="center"/>
          </w:tcPr>
          <w:p>
            <w:pPr>
              <w:pStyle w:val="17"/>
            </w:pPr>
            <w:r>
              <w:t>全年完成检验批次情况</w:t>
            </w:r>
          </w:p>
        </w:tc>
        <w:tc>
          <w:tcPr>
            <w:tcW w:w="1276" w:type="dxa"/>
            <w:vAlign w:val="center"/>
          </w:tcPr>
          <w:p>
            <w:pPr>
              <w:pStyle w:val="17"/>
            </w:pPr>
            <w:r>
              <w:t>≥200批次</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检验合格率</w:t>
            </w:r>
          </w:p>
        </w:tc>
        <w:tc>
          <w:tcPr>
            <w:tcW w:w="2891" w:type="dxa"/>
            <w:vAlign w:val="center"/>
          </w:tcPr>
          <w:p>
            <w:pPr>
              <w:pStyle w:val="17"/>
            </w:pPr>
            <w:r>
              <w:t>抽检散煤检测合格情况</w:t>
            </w:r>
          </w:p>
        </w:tc>
        <w:tc>
          <w:tcPr>
            <w:tcW w:w="1276" w:type="dxa"/>
            <w:vAlign w:val="center"/>
          </w:tcPr>
          <w:p>
            <w:pPr>
              <w:pStyle w:val="17"/>
            </w:pPr>
            <w:r>
              <w:t>≥90%</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检测实效</w:t>
            </w:r>
          </w:p>
        </w:tc>
        <w:tc>
          <w:tcPr>
            <w:tcW w:w="2891" w:type="dxa"/>
            <w:vAlign w:val="center"/>
          </w:tcPr>
          <w:p>
            <w:pPr>
              <w:pStyle w:val="17"/>
            </w:pPr>
            <w:r>
              <w:t>检验完成实效情况</w:t>
            </w:r>
          </w:p>
        </w:tc>
        <w:tc>
          <w:tcPr>
            <w:tcW w:w="1276" w:type="dxa"/>
            <w:vAlign w:val="center"/>
          </w:tcPr>
          <w:p>
            <w:pPr>
              <w:pStyle w:val="17"/>
            </w:pPr>
            <w:r>
              <w:t>15个工作日</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控制在预算内</w:t>
            </w:r>
          </w:p>
        </w:tc>
        <w:tc>
          <w:tcPr>
            <w:tcW w:w="2891" w:type="dxa"/>
            <w:vAlign w:val="center"/>
          </w:tcPr>
          <w:p>
            <w:pPr>
              <w:pStyle w:val="17"/>
            </w:pPr>
            <w:r>
              <w:t>控制在预算内</w:t>
            </w:r>
          </w:p>
        </w:tc>
        <w:tc>
          <w:tcPr>
            <w:tcW w:w="1276" w:type="dxa"/>
            <w:vAlign w:val="center"/>
          </w:tcPr>
          <w:p>
            <w:pPr>
              <w:pStyle w:val="17"/>
            </w:pPr>
            <w:r>
              <w:t>按预算执行</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社会影响力</w:t>
            </w:r>
          </w:p>
        </w:tc>
        <w:tc>
          <w:tcPr>
            <w:tcW w:w="2891" w:type="dxa"/>
            <w:vAlign w:val="center"/>
          </w:tcPr>
          <w:p>
            <w:pPr>
              <w:pStyle w:val="17"/>
            </w:pPr>
            <w:r>
              <w:t>在散煤使用单位的重要影响，得到广大受众的充分认可</w:t>
            </w:r>
          </w:p>
        </w:tc>
        <w:tc>
          <w:tcPr>
            <w:tcW w:w="1276" w:type="dxa"/>
            <w:vAlign w:val="center"/>
          </w:tcPr>
          <w:p>
            <w:pPr>
              <w:pStyle w:val="17"/>
            </w:pPr>
            <w:r>
              <w:t>≥80%</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服务满意度</w:t>
            </w:r>
          </w:p>
        </w:tc>
        <w:tc>
          <w:tcPr>
            <w:tcW w:w="2891" w:type="dxa"/>
            <w:vAlign w:val="center"/>
          </w:tcPr>
          <w:p>
            <w:pPr>
              <w:pStyle w:val="17"/>
            </w:pPr>
            <w:r>
              <w:t>服务满意度</w:t>
            </w:r>
          </w:p>
        </w:tc>
        <w:tc>
          <w:tcPr>
            <w:tcW w:w="1276" w:type="dxa"/>
            <w:vAlign w:val="center"/>
          </w:tcPr>
          <w:p>
            <w:pPr>
              <w:pStyle w:val="17"/>
            </w:pPr>
            <w:r>
              <w:t>≥90%</w:t>
            </w:r>
          </w:p>
        </w:tc>
        <w:tc>
          <w:tcPr>
            <w:tcW w:w="1843" w:type="dxa"/>
            <w:vAlign w:val="center"/>
          </w:tcPr>
          <w:p>
            <w:pPr>
              <w:pStyle w:val="17"/>
            </w:pPr>
            <w:r>
              <w:t>政府请示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6" w:name="_Toc_4_4_0000000014"/>
      <w:r>
        <w:rPr>
          <w:rFonts w:ascii="方正仿宋_GBK" w:hAnsi="方正仿宋_GBK" w:eastAsia="方正仿宋_GBK" w:cs="方正仿宋_GBK"/>
          <w:color w:val="000000"/>
          <w:sz w:val="28"/>
        </w:rPr>
        <w:t>11.2024年清理整治无照经营专项经费绩效目标表</w:t>
      </w:r>
      <w:bookmarkEnd w:id="2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416001涞水县市场监督管理局本级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13062324P00799210003K</w:t>
            </w:r>
          </w:p>
        </w:tc>
        <w:tc>
          <w:tcPr>
            <w:tcW w:w="1587" w:type="dxa"/>
            <w:vAlign w:val="center"/>
          </w:tcPr>
          <w:p>
            <w:pPr>
              <w:pStyle w:val="15"/>
            </w:pPr>
            <w:r>
              <w:t>项目名称</w:t>
            </w:r>
          </w:p>
        </w:tc>
        <w:tc>
          <w:tcPr>
            <w:tcW w:w="4422" w:type="dxa"/>
            <w:gridSpan w:val="3"/>
            <w:vAlign w:val="center"/>
          </w:tcPr>
          <w:p>
            <w:pPr>
              <w:pStyle w:val="17"/>
            </w:pPr>
            <w:r>
              <w:t>2024年清理整治无照经营专项经费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5.00</w:t>
            </w:r>
          </w:p>
        </w:tc>
        <w:tc>
          <w:tcPr>
            <w:tcW w:w="1587" w:type="dxa"/>
            <w:vAlign w:val="center"/>
          </w:tcPr>
          <w:p>
            <w:pPr>
              <w:pStyle w:val="15"/>
            </w:pPr>
            <w:r>
              <w:t>其中：财政    资金</w:t>
            </w:r>
          </w:p>
        </w:tc>
        <w:tc>
          <w:tcPr>
            <w:tcW w:w="1304" w:type="dxa"/>
            <w:vAlign w:val="center"/>
          </w:tcPr>
          <w:p>
            <w:pPr>
              <w:pStyle w:val="17"/>
            </w:pPr>
            <w:r>
              <w:t>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清理整治无照支出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3.00</w:t>
            </w:r>
          </w:p>
        </w:tc>
        <w:tc>
          <w:tcPr>
            <w:tcW w:w="1304" w:type="dxa"/>
            <w:vAlign w:val="center"/>
          </w:tcPr>
          <w:p>
            <w:pPr>
              <w:pStyle w:val="18"/>
            </w:pPr>
            <w:r>
              <w:t>5.00</w:t>
            </w:r>
          </w:p>
        </w:tc>
        <w:tc>
          <w:tcPr>
            <w:tcW w:w="3118"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1.全县商户合法经营，形成良好经营环境</w:t>
            </w:r>
            <w:r>
              <w:tab/>
            </w:r>
            <w:r>
              <w:tab/>
            </w:r>
            <w:r>
              <w:tab/>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清理无照经营专项行动次数</w:t>
            </w:r>
          </w:p>
        </w:tc>
        <w:tc>
          <w:tcPr>
            <w:tcW w:w="2891" w:type="dxa"/>
            <w:vAlign w:val="center"/>
          </w:tcPr>
          <w:p>
            <w:pPr>
              <w:pStyle w:val="17"/>
            </w:pPr>
            <w:r>
              <w:t>清理无照经营专项行动情况</w:t>
            </w:r>
          </w:p>
        </w:tc>
        <w:tc>
          <w:tcPr>
            <w:tcW w:w="1276" w:type="dxa"/>
            <w:vAlign w:val="center"/>
          </w:tcPr>
          <w:p>
            <w:pPr>
              <w:pStyle w:val="17"/>
            </w:pPr>
            <w:r>
              <w:t>≥10次</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监督执法计划完成率</w:t>
            </w:r>
          </w:p>
        </w:tc>
        <w:tc>
          <w:tcPr>
            <w:tcW w:w="2891" w:type="dxa"/>
            <w:vAlign w:val="center"/>
          </w:tcPr>
          <w:p>
            <w:pPr>
              <w:pStyle w:val="17"/>
            </w:pPr>
            <w:r>
              <w:t>监督执法完成情况</w:t>
            </w:r>
          </w:p>
        </w:tc>
        <w:tc>
          <w:tcPr>
            <w:tcW w:w="1276" w:type="dxa"/>
            <w:vAlign w:val="center"/>
          </w:tcPr>
          <w:p>
            <w:pPr>
              <w:pStyle w:val="17"/>
            </w:pPr>
            <w:r>
              <w:t>≥90%</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项目按时完成率</w:t>
            </w:r>
          </w:p>
        </w:tc>
        <w:tc>
          <w:tcPr>
            <w:tcW w:w="2891" w:type="dxa"/>
            <w:vAlign w:val="center"/>
          </w:tcPr>
          <w:p>
            <w:pPr>
              <w:pStyle w:val="17"/>
            </w:pPr>
            <w:r>
              <w:t>项目按时完成率</w:t>
            </w:r>
          </w:p>
        </w:tc>
        <w:tc>
          <w:tcPr>
            <w:tcW w:w="1276" w:type="dxa"/>
            <w:vAlign w:val="center"/>
          </w:tcPr>
          <w:p>
            <w:pPr>
              <w:pStyle w:val="17"/>
            </w:pPr>
            <w:r>
              <w:t>≥90%</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严格控制预算支出</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社会影响力</w:t>
            </w:r>
          </w:p>
        </w:tc>
        <w:tc>
          <w:tcPr>
            <w:tcW w:w="2891" w:type="dxa"/>
            <w:vAlign w:val="center"/>
          </w:tcPr>
          <w:p>
            <w:pPr>
              <w:pStyle w:val="17"/>
            </w:pPr>
            <w:r>
              <w:t>社会影响力</w:t>
            </w:r>
          </w:p>
        </w:tc>
        <w:tc>
          <w:tcPr>
            <w:tcW w:w="1276" w:type="dxa"/>
            <w:vAlign w:val="center"/>
          </w:tcPr>
          <w:p>
            <w:pPr>
              <w:pStyle w:val="17"/>
            </w:pPr>
            <w:r>
              <w:t>查处无照行为，保护合法商户正当权益</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≥90%</w:t>
            </w:r>
          </w:p>
        </w:tc>
        <w:tc>
          <w:tcPr>
            <w:tcW w:w="1843" w:type="dxa"/>
            <w:vAlign w:val="center"/>
          </w:tcPr>
          <w:p>
            <w:pPr>
              <w:pStyle w:val="17"/>
            </w:pPr>
            <w:r>
              <w:t>政府请示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7" w:name="_Toc_4_4_0000000015"/>
      <w:r>
        <w:rPr>
          <w:rFonts w:ascii="方正仿宋_GBK" w:hAnsi="方正仿宋_GBK" w:eastAsia="方正仿宋_GBK" w:cs="方正仿宋_GBK"/>
          <w:color w:val="000000"/>
          <w:sz w:val="28"/>
        </w:rPr>
        <w:t>12.2024年三坡所煤炭检验站建设项目（尾款）绩效目标表</w:t>
      </w:r>
      <w:bookmarkEnd w:id="2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416001涞水县市场监督管理局本级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13062324P00942210002U</w:t>
            </w:r>
          </w:p>
        </w:tc>
        <w:tc>
          <w:tcPr>
            <w:tcW w:w="1587" w:type="dxa"/>
            <w:vAlign w:val="center"/>
          </w:tcPr>
          <w:p>
            <w:pPr>
              <w:pStyle w:val="15"/>
            </w:pPr>
            <w:r>
              <w:t>项目名称</w:t>
            </w:r>
          </w:p>
        </w:tc>
        <w:tc>
          <w:tcPr>
            <w:tcW w:w="4422" w:type="dxa"/>
            <w:gridSpan w:val="3"/>
            <w:vAlign w:val="center"/>
          </w:tcPr>
          <w:p>
            <w:pPr>
              <w:pStyle w:val="17"/>
            </w:pPr>
            <w:r>
              <w:t>2024年三坡所煤炭检验站建设项目（尾款）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40.00</w:t>
            </w:r>
          </w:p>
        </w:tc>
        <w:tc>
          <w:tcPr>
            <w:tcW w:w="1587" w:type="dxa"/>
            <w:vAlign w:val="center"/>
          </w:tcPr>
          <w:p>
            <w:pPr>
              <w:pStyle w:val="15"/>
            </w:pPr>
            <w:r>
              <w:t>其中：财政    资金</w:t>
            </w:r>
          </w:p>
        </w:tc>
        <w:tc>
          <w:tcPr>
            <w:tcW w:w="1304" w:type="dxa"/>
            <w:vAlign w:val="center"/>
          </w:tcPr>
          <w:p>
            <w:pPr>
              <w:pStyle w:val="17"/>
            </w:pPr>
            <w:r>
              <w:t>40.00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煤检站建设支出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40.00</w:t>
            </w:r>
          </w:p>
        </w:tc>
        <w:tc>
          <w:tcPr>
            <w:tcW w:w="1304" w:type="dxa"/>
            <w:vAlign w:val="center"/>
          </w:tcPr>
          <w:p>
            <w:pPr>
              <w:pStyle w:val="18"/>
            </w:pPr>
            <w:r>
              <w:t xml:space="preserve"> </w:t>
            </w:r>
          </w:p>
        </w:tc>
        <w:tc>
          <w:tcPr>
            <w:tcW w:w="3118"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1.建设三坡煤检站</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建设面积</w:t>
            </w:r>
          </w:p>
        </w:tc>
        <w:tc>
          <w:tcPr>
            <w:tcW w:w="2891" w:type="dxa"/>
            <w:vAlign w:val="center"/>
          </w:tcPr>
          <w:p>
            <w:pPr>
              <w:pStyle w:val="17"/>
            </w:pPr>
            <w:r>
              <w:t>建设面积情况</w:t>
            </w:r>
          </w:p>
        </w:tc>
        <w:tc>
          <w:tcPr>
            <w:tcW w:w="1276" w:type="dxa"/>
            <w:vAlign w:val="center"/>
          </w:tcPr>
          <w:p>
            <w:pPr>
              <w:pStyle w:val="17"/>
            </w:pPr>
            <w:r>
              <w:t>≥300平米</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竣工验收合格</w:t>
            </w:r>
          </w:p>
        </w:tc>
        <w:tc>
          <w:tcPr>
            <w:tcW w:w="2891" w:type="dxa"/>
            <w:vAlign w:val="center"/>
          </w:tcPr>
          <w:p>
            <w:pPr>
              <w:pStyle w:val="17"/>
            </w:pPr>
            <w:r>
              <w:t>验收合格情况</w:t>
            </w:r>
          </w:p>
        </w:tc>
        <w:tc>
          <w:tcPr>
            <w:tcW w:w="1276" w:type="dxa"/>
            <w:vAlign w:val="center"/>
          </w:tcPr>
          <w:p>
            <w:pPr>
              <w:pStyle w:val="17"/>
            </w:pPr>
            <w:r>
              <w:t>验收合格</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完成时限</w:t>
            </w:r>
          </w:p>
        </w:tc>
        <w:tc>
          <w:tcPr>
            <w:tcW w:w="2891" w:type="dxa"/>
            <w:vAlign w:val="center"/>
          </w:tcPr>
          <w:p>
            <w:pPr>
              <w:pStyle w:val="17"/>
            </w:pPr>
            <w:r>
              <w:t>完时限情况</w:t>
            </w:r>
          </w:p>
        </w:tc>
        <w:tc>
          <w:tcPr>
            <w:tcW w:w="1276" w:type="dxa"/>
            <w:vAlign w:val="center"/>
          </w:tcPr>
          <w:p>
            <w:pPr>
              <w:pStyle w:val="17"/>
            </w:pPr>
            <w:r>
              <w:t>10月底前完成</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严格预算执行</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社会影响力</w:t>
            </w:r>
          </w:p>
        </w:tc>
        <w:tc>
          <w:tcPr>
            <w:tcW w:w="2891" w:type="dxa"/>
            <w:vAlign w:val="center"/>
          </w:tcPr>
          <w:p>
            <w:pPr>
              <w:pStyle w:val="17"/>
            </w:pPr>
            <w:r>
              <w:t>社会影响力</w:t>
            </w:r>
          </w:p>
        </w:tc>
        <w:tc>
          <w:tcPr>
            <w:tcW w:w="1276" w:type="dxa"/>
            <w:vAlign w:val="center"/>
          </w:tcPr>
          <w:p>
            <w:pPr>
              <w:pStyle w:val="17"/>
            </w:pPr>
            <w:r>
              <w:t>方便辖区煤炭经营和使用单位检测</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群众满意度</w:t>
            </w:r>
          </w:p>
        </w:tc>
        <w:tc>
          <w:tcPr>
            <w:tcW w:w="1276" w:type="dxa"/>
            <w:vAlign w:val="center"/>
          </w:tcPr>
          <w:p>
            <w:pPr>
              <w:pStyle w:val="17"/>
            </w:pPr>
            <w:r>
              <w:t>≥90%</w:t>
            </w:r>
          </w:p>
        </w:tc>
        <w:tc>
          <w:tcPr>
            <w:tcW w:w="1843" w:type="dxa"/>
            <w:vAlign w:val="center"/>
          </w:tcPr>
          <w:p>
            <w:pPr>
              <w:pStyle w:val="17"/>
            </w:pPr>
            <w:r>
              <w:t>政府请示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8" w:name="_Toc_4_4_0000000016"/>
      <w:r>
        <w:rPr>
          <w:rFonts w:ascii="方正仿宋_GBK" w:hAnsi="方正仿宋_GBK" w:eastAsia="方正仿宋_GBK" w:cs="方正仿宋_GBK"/>
          <w:color w:val="000000"/>
          <w:sz w:val="28"/>
        </w:rPr>
        <w:t>13.2024年省级市场监管专项补助经费(冀财行[2023]97号)绩效目标表</w:t>
      </w:r>
      <w:bookmarkEnd w:id="2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416001涞水县市场监督管理局本级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13062324P00682A10002G</w:t>
            </w:r>
          </w:p>
        </w:tc>
        <w:tc>
          <w:tcPr>
            <w:tcW w:w="1587" w:type="dxa"/>
            <w:vAlign w:val="center"/>
          </w:tcPr>
          <w:p>
            <w:pPr>
              <w:pStyle w:val="15"/>
            </w:pPr>
            <w:r>
              <w:t>项目名称</w:t>
            </w:r>
          </w:p>
        </w:tc>
        <w:tc>
          <w:tcPr>
            <w:tcW w:w="4422" w:type="dxa"/>
            <w:gridSpan w:val="3"/>
            <w:vAlign w:val="center"/>
          </w:tcPr>
          <w:p>
            <w:pPr>
              <w:pStyle w:val="17"/>
            </w:pPr>
            <w:r>
              <w:t>2024年省级市场监管专项补助经费(冀财行[2023]97号)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113.00</w:t>
            </w:r>
          </w:p>
        </w:tc>
        <w:tc>
          <w:tcPr>
            <w:tcW w:w="1587" w:type="dxa"/>
            <w:vAlign w:val="center"/>
          </w:tcPr>
          <w:p>
            <w:pPr>
              <w:pStyle w:val="15"/>
            </w:pPr>
            <w:r>
              <w:t>其中：财政    资金</w:t>
            </w:r>
          </w:p>
        </w:tc>
        <w:tc>
          <w:tcPr>
            <w:tcW w:w="1304" w:type="dxa"/>
            <w:vAlign w:val="center"/>
          </w:tcPr>
          <w:p>
            <w:pPr>
              <w:pStyle w:val="17"/>
            </w:pPr>
            <w:r>
              <w:t>113.00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市场监管补助支出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50.00</w:t>
            </w:r>
          </w:p>
        </w:tc>
        <w:tc>
          <w:tcPr>
            <w:tcW w:w="1304" w:type="dxa"/>
            <w:vAlign w:val="center"/>
          </w:tcPr>
          <w:p>
            <w:pPr>
              <w:pStyle w:val="18"/>
            </w:pPr>
            <w:r>
              <w:t>80.00</w:t>
            </w:r>
          </w:p>
        </w:tc>
        <w:tc>
          <w:tcPr>
            <w:tcW w:w="3118" w:type="dxa"/>
            <w:gridSpan w:val="2"/>
            <w:vAlign w:val="center"/>
          </w:tcPr>
          <w:p>
            <w:pPr>
              <w:pStyle w:val="18"/>
            </w:pPr>
            <w:r>
              <w:t>113.00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1.持续推进商事制度改革，优化营商环境，促进企业健康有序发展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完成基层所提升数量</w:t>
            </w:r>
          </w:p>
        </w:tc>
        <w:tc>
          <w:tcPr>
            <w:tcW w:w="2891" w:type="dxa"/>
            <w:vAlign w:val="center"/>
          </w:tcPr>
          <w:p>
            <w:pPr>
              <w:pStyle w:val="17"/>
            </w:pPr>
            <w:r>
              <w:t>完成基层所提升数量情况</w:t>
            </w:r>
          </w:p>
        </w:tc>
        <w:tc>
          <w:tcPr>
            <w:tcW w:w="1276" w:type="dxa"/>
            <w:vAlign w:val="center"/>
          </w:tcPr>
          <w:p>
            <w:pPr>
              <w:pStyle w:val="17"/>
            </w:pPr>
            <w:r>
              <w:t>≥1个</w:t>
            </w:r>
          </w:p>
        </w:tc>
        <w:tc>
          <w:tcPr>
            <w:tcW w:w="1843" w:type="dxa"/>
            <w:vAlign w:val="center"/>
          </w:tcPr>
          <w:p>
            <w:pPr>
              <w:pStyle w:val="17"/>
            </w:pPr>
            <w:r>
              <w:t>冀财行【2023】97号文件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购置执法装备情况</w:t>
            </w:r>
          </w:p>
        </w:tc>
        <w:tc>
          <w:tcPr>
            <w:tcW w:w="2891" w:type="dxa"/>
            <w:vAlign w:val="center"/>
          </w:tcPr>
          <w:p>
            <w:pPr>
              <w:pStyle w:val="17"/>
            </w:pPr>
            <w:r>
              <w:t>购置执法装备情况</w:t>
            </w:r>
          </w:p>
        </w:tc>
        <w:tc>
          <w:tcPr>
            <w:tcW w:w="1276" w:type="dxa"/>
            <w:vAlign w:val="center"/>
          </w:tcPr>
          <w:p>
            <w:pPr>
              <w:pStyle w:val="17"/>
            </w:pPr>
            <w:r>
              <w:t>完成执法装备购置</w:t>
            </w:r>
          </w:p>
        </w:tc>
        <w:tc>
          <w:tcPr>
            <w:tcW w:w="1843" w:type="dxa"/>
            <w:vAlign w:val="center"/>
          </w:tcPr>
          <w:p>
            <w:pPr>
              <w:pStyle w:val="17"/>
            </w:pPr>
            <w:r>
              <w:t>冀财行【2023】97号文件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特种设备定检完成率</w:t>
            </w:r>
          </w:p>
        </w:tc>
        <w:tc>
          <w:tcPr>
            <w:tcW w:w="2891" w:type="dxa"/>
            <w:vAlign w:val="center"/>
          </w:tcPr>
          <w:p>
            <w:pPr>
              <w:pStyle w:val="17"/>
            </w:pPr>
            <w:r>
              <w:t>特种设备定检完成情况</w:t>
            </w:r>
          </w:p>
        </w:tc>
        <w:tc>
          <w:tcPr>
            <w:tcW w:w="1276" w:type="dxa"/>
            <w:vAlign w:val="center"/>
          </w:tcPr>
          <w:p>
            <w:pPr>
              <w:pStyle w:val="17"/>
            </w:pPr>
            <w:r>
              <w:t>≥95%</w:t>
            </w:r>
          </w:p>
        </w:tc>
        <w:tc>
          <w:tcPr>
            <w:tcW w:w="1843" w:type="dxa"/>
            <w:vAlign w:val="center"/>
          </w:tcPr>
          <w:p>
            <w:pPr>
              <w:pStyle w:val="17"/>
            </w:pPr>
            <w:r>
              <w:t>冀财行【2023】97号文件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控制在预算内</w:t>
            </w:r>
          </w:p>
        </w:tc>
        <w:tc>
          <w:tcPr>
            <w:tcW w:w="2891" w:type="dxa"/>
            <w:vAlign w:val="center"/>
          </w:tcPr>
          <w:p>
            <w:pPr>
              <w:pStyle w:val="17"/>
            </w:pPr>
            <w:r>
              <w:t>控制预算情况</w:t>
            </w:r>
          </w:p>
        </w:tc>
        <w:tc>
          <w:tcPr>
            <w:tcW w:w="1276" w:type="dxa"/>
            <w:vAlign w:val="center"/>
          </w:tcPr>
          <w:p>
            <w:pPr>
              <w:pStyle w:val="17"/>
            </w:pPr>
            <w:r>
              <w:t>严格按照预算执行</w:t>
            </w:r>
          </w:p>
        </w:tc>
        <w:tc>
          <w:tcPr>
            <w:tcW w:w="1843" w:type="dxa"/>
            <w:vAlign w:val="center"/>
          </w:tcPr>
          <w:p>
            <w:pPr>
              <w:pStyle w:val="17"/>
            </w:pPr>
            <w:r>
              <w:t>冀财行【2023】97号文件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保障能力提升情况</w:t>
            </w:r>
          </w:p>
        </w:tc>
        <w:tc>
          <w:tcPr>
            <w:tcW w:w="2891" w:type="dxa"/>
            <w:vAlign w:val="center"/>
          </w:tcPr>
          <w:p>
            <w:pPr>
              <w:pStyle w:val="17"/>
            </w:pPr>
            <w:r>
              <w:t>保障能力提升情况</w:t>
            </w:r>
          </w:p>
        </w:tc>
        <w:tc>
          <w:tcPr>
            <w:tcW w:w="1276" w:type="dxa"/>
            <w:vAlign w:val="center"/>
          </w:tcPr>
          <w:p>
            <w:pPr>
              <w:pStyle w:val="17"/>
            </w:pPr>
            <w:r>
              <w:t>保障能力进一步提升</w:t>
            </w:r>
          </w:p>
        </w:tc>
        <w:tc>
          <w:tcPr>
            <w:tcW w:w="1843" w:type="dxa"/>
            <w:vAlign w:val="center"/>
          </w:tcPr>
          <w:p>
            <w:pPr>
              <w:pStyle w:val="17"/>
            </w:pPr>
            <w:r>
              <w:t>冀财行【2023】97号文件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服务对象的满意度</w:t>
            </w:r>
          </w:p>
        </w:tc>
        <w:tc>
          <w:tcPr>
            <w:tcW w:w="2891" w:type="dxa"/>
            <w:vAlign w:val="center"/>
          </w:tcPr>
          <w:p>
            <w:pPr>
              <w:pStyle w:val="17"/>
            </w:pPr>
            <w:r>
              <w:t>服务对象的满意度</w:t>
            </w:r>
          </w:p>
        </w:tc>
        <w:tc>
          <w:tcPr>
            <w:tcW w:w="1276" w:type="dxa"/>
            <w:vAlign w:val="center"/>
          </w:tcPr>
          <w:p>
            <w:pPr>
              <w:pStyle w:val="17"/>
            </w:pPr>
            <w:r>
              <w:t>≥90%</w:t>
            </w:r>
          </w:p>
        </w:tc>
        <w:tc>
          <w:tcPr>
            <w:tcW w:w="1843" w:type="dxa"/>
            <w:vAlign w:val="center"/>
          </w:tcPr>
          <w:p>
            <w:pPr>
              <w:pStyle w:val="17"/>
            </w:pPr>
            <w:r>
              <w:t>冀财行【2023】97号文件</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9" w:name="_Toc_4_4_0000000017"/>
      <w:r>
        <w:rPr>
          <w:rFonts w:ascii="方正仿宋_GBK" w:hAnsi="方正仿宋_GBK" w:eastAsia="方正仿宋_GBK" w:cs="方正仿宋_GBK"/>
          <w:color w:val="000000"/>
          <w:sz w:val="28"/>
        </w:rPr>
        <w:t>14.2024年石亭工商分局专项经费绩效目标表</w:t>
      </w:r>
      <w:bookmarkEnd w:id="2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416001涞水县市场监督管理局本级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13062324P00800110003R</w:t>
            </w:r>
          </w:p>
        </w:tc>
        <w:tc>
          <w:tcPr>
            <w:tcW w:w="1587" w:type="dxa"/>
            <w:vAlign w:val="center"/>
          </w:tcPr>
          <w:p>
            <w:pPr>
              <w:pStyle w:val="15"/>
            </w:pPr>
            <w:r>
              <w:t>项目名称</w:t>
            </w:r>
          </w:p>
        </w:tc>
        <w:tc>
          <w:tcPr>
            <w:tcW w:w="4422" w:type="dxa"/>
            <w:gridSpan w:val="3"/>
            <w:vAlign w:val="center"/>
          </w:tcPr>
          <w:p>
            <w:pPr>
              <w:pStyle w:val="17"/>
            </w:pPr>
            <w:r>
              <w:t>2024年石亭工商分局专项经费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8.00</w:t>
            </w:r>
          </w:p>
        </w:tc>
        <w:tc>
          <w:tcPr>
            <w:tcW w:w="1587" w:type="dxa"/>
            <w:vAlign w:val="center"/>
          </w:tcPr>
          <w:p>
            <w:pPr>
              <w:pStyle w:val="15"/>
            </w:pPr>
            <w:r>
              <w:t>其中：财政    资金</w:t>
            </w:r>
          </w:p>
        </w:tc>
        <w:tc>
          <w:tcPr>
            <w:tcW w:w="1304" w:type="dxa"/>
            <w:vAlign w:val="center"/>
          </w:tcPr>
          <w:p>
            <w:pPr>
              <w:pStyle w:val="17"/>
            </w:pPr>
            <w:r>
              <w:t>8.00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rPr>
                <w:rFonts w:hint="eastAsia"/>
                <w:lang w:val="en-US" w:eastAsia="zh-CN"/>
              </w:rPr>
              <w:t>石亭所</w:t>
            </w:r>
            <w:r>
              <w:t>租房、取暖、电费支出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1.00</w:t>
            </w:r>
          </w:p>
        </w:tc>
        <w:tc>
          <w:tcPr>
            <w:tcW w:w="1587" w:type="dxa"/>
            <w:vAlign w:val="center"/>
          </w:tcPr>
          <w:p>
            <w:pPr>
              <w:pStyle w:val="18"/>
            </w:pPr>
            <w:r>
              <w:t>3.00</w:t>
            </w:r>
          </w:p>
        </w:tc>
        <w:tc>
          <w:tcPr>
            <w:tcW w:w="1304" w:type="dxa"/>
            <w:vAlign w:val="center"/>
          </w:tcPr>
          <w:p>
            <w:pPr>
              <w:pStyle w:val="18"/>
            </w:pPr>
            <w:r>
              <w:t>5.00</w:t>
            </w:r>
          </w:p>
        </w:tc>
        <w:tc>
          <w:tcPr>
            <w:tcW w:w="3118" w:type="dxa"/>
            <w:gridSpan w:val="2"/>
            <w:vAlign w:val="center"/>
          </w:tcPr>
          <w:p>
            <w:pPr>
              <w:pStyle w:val="18"/>
            </w:pPr>
            <w:r>
              <w:t>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1.租用办公用房、正常办理市场监管业务</w:t>
            </w:r>
            <w:r>
              <w:tab/>
            </w:r>
            <w:r>
              <w:tab/>
            </w:r>
            <w:r>
              <w:tab/>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租赁房屋面积</w:t>
            </w:r>
          </w:p>
        </w:tc>
        <w:tc>
          <w:tcPr>
            <w:tcW w:w="2891" w:type="dxa"/>
            <w:vAlign w:val="center"/>
          </w:tcPr>
          <w:p>
            <w:pPr>
              <w:pStyle w:val="17"/>
            </w:pPr>
            <w:r>
              <w:t>租赁房屋面积情况</w:t>
            </w:r>
          </w:p>
        </w:tc>
        <w:tc>
          <w:tcPr>
            <w:tcW w:w="1276" w:type="dxa"/>
            <w:vAlign w:val="center"/>
          </w:tcPr>
          <w:p>
            <w:pPr>
              <w:pStyle w:val="17"/>
            </w:pPr>
            <w:r>
              <w:t>≥200平方米</w:t>
            </w:r>
          </w:p>
        </w:tc>
        <w:tc>
          <w:tcPr>
            <w:tcW w:w="1843" w:type="dxa"/>
            <w:vAlign w:val="center"/>
          </w:tcPr>
          <w:p>
            <w:pPr>
              <w:pStyle w:val="17"/>
            </w:pPr>
            <w:r>
              <w:t>政府会议纪要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石亭所工作人员满意度</w:t>
            </w:r>
          </w:p>
        </w:tc>
        <w:tc>
          <w:tcPr>
            <w:tcW w:w="2891" w:type="dxa"/>
            <w:vAlign w:val="center"/>
          </w:tcPr>
          <w:p>
            <w:pPr>
              <w:pStyle w:val="17"/>
            </w:pPr>
            <w:r>
              <w:t>石亭所对租赁房屋满意情况</w:t>
            </w:r>
          </w:p>
        </w:tc>
        <w:tc>
          <w:tcPr>
            <w:tcW w:w="1276" w:type="dxa"/>
            <w:vAlign w:val="center"/>
          </w:tcPr>
          <w:p>
            <w:pPr>
              <w:pStyle w:val="17"/>
            </w:pPr>
            <w:r>
              <w:t>≥90%</w:t>
            </w:r>
          </w:p>
        </w:tc>
        <w:tc>
          <w:tcPr>
            <w:tcW w:w="1843" w:type="dxa"/>
            <w:vAlign w:val="center"/>
          </w:tcPr>
          <w:p>
            <w:pPr>
              <w:pStyle w:val="17"/>
            </w:pPr>
            <w:r>
              <w:t>政府会议纪要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租赁期限</w:t>
            </w:r>
          </w:p>
        </w:tc>
        <w:tc>
          <w:tcPr>
            <w:tcW w:w="2891" w:type="dxa"/>
            <w:vAlign w:val="center"/>
          </w:tcPr>
          <w:p>
            <w:pPr>
              <w:pStyle w:val="17"/>
            </w:pPr>
            <w:r>
              <w:t>租赁期限情况</w:t>
            </w:r>
          </w:p>
        </w:tc>
        <w:tc>
          <w:tcPr>
            <w:tcW w:w="1276" w:type="dxa"/>
            <w:vAlign w:val="center"/>
          </w:tcPr>
          <w:p>
            <w:pPr>
              <w:pStyle w:val="17"/>
            </w:pPr>
            <w:r>
              <w:t>租期1年，到期续租</w:t>
            </w:r>
          </w:p>
        </w:tc>
        <w:tc>
          <w:tcPr>
            <w:tcW w:w="1843" w:type="dxa"/>
            <w:vAlign w:val="center"/>
          </w:tcPr>
          <w:p>
            <w:pPr>
              <w:pStyle w:val="17"/>
            </w:pPr>
            <w:r>
              <w:t>政府会议纪要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控制在预算内</w:t>
            </w:r>
          </w:p>
        </w:tc>
        <w:tc>
          <w:tcPr>
            <w:tcW w:w="2891" w:type="dxa"/>
            <w:vAlign w:val="center"/>
          </w:tcPr>
          <w:p>
            <w:pPr>
              <w:pStyle w:val="17"/>
            </w:pPr>
            <w:r>
              <w:t>控制在预算内</w:t>
            </w:r>
          </w:p>
        </w:tc>
        <w:tc>
          <w:tcPr>
            <w:tcW w:w="1276" w:type="dxa"/>
            <w:vAlign w:val="center"/>
          </w:tcPr>
          <w:p>
            <w:pPr>
              <w:pStyle w:val="17"/>
            </w:pPr>
            <w:r>
              <w:t>按预算执行</w:t>
            </w:r>
          </w:p>
        </w:tc>
        <w:tc>
          <w:tcPr>
            <w:tcW w:w="1843" w:type="dxa"/>
            <w:vAlign w:val="center"/>
          </w:tcPr>
          <w:p>
            <w:pPr>
              <w:pStyle w:val="17"/>
            </w:pPr>
            <w:r>
              <w:t>政府会议纪要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受益人员数</w:t>
            </w:r>
          </w:p>
        </w:tc>
        <w:tc>
          <w:tcPr>
            <w:tcW w:w="2891" w:type="dxa"/>
            <w:vAlign w:val="center"/>
          </w:tcPr>
          <w:p>
            <w:pPr>
              <w:pStyle w:val="17"/>
            </w:pPr>
            <w:r>
              <w:t>受益人员情况</w:t>
            </w:r>
          </w:p>
        </w:tc>
        <w:tc>
          <w:tcPr>
            <w:tcW w:w="1276" w:type="dxa"/>
            <w:vAlign w:val="center"/>
          </w:tcPr>
          <w:p>
            <w:pPr>
              <w:pStyle w:val="17"/>
            </w:pPr>
            <w:r>
              <w:t>≥8人</w:t>
            </w:r>
          </w:p>
        </w:tc>
        <w:tc>
          <w:tcPr>
            <w:tcW w:w="1843" w:type="dxa"/>
            <w:vAlign w:val="center"/>
          </w:tcPr>
          <w:p>
            <w:pPr>
              <w:pStyle w:val="17"/>
            </w:pPr>
            <w:r>
              <w:t>政府会议纪要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群众满意度</w:t>
            </w:r>
          </w:p>
        </w:tc>
        <w:tc>
          <w:tcPr>
            <w:tcW w:w="1276" w:type="dxa"/>
            <w:vAlign w:val="center"/>
          </w:tcPr>
          <w:p>
            <w:pPr>
              <w:pStyle w:val="17"/>
            </w:pPr>
            <w:r>
              <w:t>≥90%</w:t>
            </w:r>
          </w:p>
        </w:tc>
        <w:tc>
          <w:tcPr>
            <w:tcW w:w="1843" w:type="dxa"/>
            <w:vAlign w:val="center"/>
          </w:tcPr>
          <w:p>
            <w:pPr>
              <w:pStyle w:val="17"/>
            </w:pPr>
            <w:r>
              <w:t>政府会议纪要</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0" w:name="_Toc_4_4_0000000018"/>
      <w:r>
        <w:rPr>
          <w:rFonts w:ascii="方正仿宋_GBK" w:hAnsi="方正仿宋_GBK" w:eastAsia="方正仿宋_GBK" w:cs="方正仿宋_GBK"/>
          <w:color w:val="000000"/>
          <w:sz w:val="28"/>
        </w:rPr>
        <w:t>15.2024年食安办对“三小”从业者及食品安全协管员培训经费绩效目标表</w:t>
      </w:r>
      <w:bookmarkEnd w:id="3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416001涞水县市场监督管理局本级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13062324P00800810003H</w:t>
            </w:r>
          </w:p>
        </w:tc>
        <w:tc>
          <w:tcPr>
            <w:tcW w:w="1587" w:type="dxa"/>
            <w:vAlign w:val="center"/>
          </w:tcPr>
          <w:p>
            <w:pPr>
              <w:pStyle w:val="15"/>
            </w:pPr>
            <w:r>
              <w:t>项目名称</w:t>
            </w:r>
          </w:p>
        </w:tc>
        <w:tc>
          <w:tcPr>
            <w:tcW w:w="4422" w:type="dxa"/>
            <w:gridSpan w:val="3"/>
            <w:vAlign w:val="center"/>
          </w:tcPr>
          <w:p>
            <w:pPr>
              <w:pStyle w:val="17"/>
            </w:pPr>
            <w:r>
              <w:t>2024年食安办对“三小”从业者及食品安全协管员培训经费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5.00</w:t>
            </w:r>
          </w:p>
        </w:tc>
        <w:tc>
          <w:tcPr>
            <w:tcW w:w="1587" w:type="dxa"/>
            <w:vAlign w:val="center"/>
          </w:tcPr>
          <w:p>
            <w:pPr>
              <w:pStyle w:val="15"/>
            </w:pPr>
            <w:r>
              <w:t>其中：财政    资金</w:t>
            </w:r>
          </w:p>
        </w:tc>
        <w:tc>
          <w:tcPr>
            <w:tcW w:w="1304" w:type="dxa"/>
            <w:vAlign w:val="center"/>
          </w:tcPr>
          <w:p>
            <w:pPr>
              <w:pStyle w:val="17"/>
            </w:pPr>
            <w:r>
              <w:t>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培训支出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2.00</w:t>
            </w:r>
          </w:p>
        </w:tc>
        <w:tc>
          <w:tcPr>
            <w:tcW w:w="1304" w:type="dxa"/>
            <w:vAlign w:val="center"/>
          </w:tcPr>
          <w:p>
            <w:pPr>
              <w:pStyle w:val="18"/>
            </w:pPr>
            <w:r>
              <w:t>3.00</w:t>
            </w:r>
          </w:p>
        </w:tc>
        <w:tc>
          <w:tcPr>
            <w:tcW w:w="3118" w:type="dxa"/>
            <w:gridSpan w:val="2"/>
            <w:vAlign w:val="center"/>
          </w:tcPr>
          <w:p>
            <w:pPr>
              <w:pStyle w:val="18"/>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1.培训食品药品安全协管员，保证村级食药安全监管工作</w:t>
            </w:r>
            <w:r>
              <w:tab/>
            </w:r>
            <w:r>
              <w:tab/>
            </w:r>
            <w:r>
              <w:tab/>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培训次数</w:t>
            </w:r>
          </w:p>
        </w:tc>
        <w:tc>
          <w:tcPr>
            <w:tcW w:w="2891" w:type="dxa"/>
            <w:vAlign w:val="center"/>
          </w:tcPr>
          <w:p>
            <w:pPr>
              <w:pStyle w:val="17"/>
            </w:pPr>
            <w:r>
              <w:t>举办培训情况</w:t>
            </w:r>
          </w:p>
          <w:p>
            <w:pPr>
              <w:pStyle w:val="17"/>
            </w:pPr>
          </w:p>
        </w:tc>
        <w:tc>
          <w:tcPr>
            <w:tcW w:w="1276" w:type="dxa"/>
            <w:vAlign w:val="center"/>
          </w:tcPr>
          <w:p>
            <w:pPr>
              <w:pStyle w:val="17"/>
            </w:pPr>
            <w:r>
              <w:t>≥2次</w:t>
            </w:r>
          </w:p>
        </w:tc>
        <w:tc>
          <w:tcPr>
            <w:tcW w:w="1843" w:type="dxa"/>
            <w:vAlign w:val="center"/>
          </w:tcPr>
          <w:p>
            <w:pPr>
              <w:pStyle w:val="17"/>
            </w:pPr>
            <w:r>
              <w:t>政府批示</w:t>
            </w:r>
          </w:p>
          <w:p>
            <w:pPr>
              <w:pStyle w:val="17"/>
            </w:pP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培训人次</w:t>
            </w:r>
          </w:p>
        </w:tc>
        <w:tc>
          <w:tcPr>
            <w:tcW w:w="2891" w:type="dxa"/>
            <w:vAlign w:val="center"/>
          </w:tcPr>
          <w:p>
            <w:pPr>
              <w:pStyle w:val="17"/>
            </w:pPr>
            <w:r>
              <w:t>培训人员情况</w:t>
            </w:r>
          </w:p>
        </w:tc>
        <w:tc>
          <w:tcPr>
            <w:tcW w:w="1276" w:type="dxa"/>
            <w:vAlign w:val="center"/>
          </w:tcPr>
          <w:p>
            <w:pPr>
              <w:pStyle w:val="17"/>
            </w:pPr>
            <w:r>
              <w:t>≥300人</w:t>
            </w:r>
          </w:p>
        </w:tc>
        <w:tc>
          <w:tcPr>
            <w:tcW w:w="1843" w:type="dxa"/>
            <w:vAlign w:val="center"/>
          </w:tcPr>
          <w:p>
            <w:pPr>
              <w:pStyle w:val="17"/>
            </w:pPr>
            <w:r>
              <w:t>政府批示</w:t>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完成培训时间</w:t>
            </w:r>
          </w:p>
        </w:tc>
        <w:tc>
          <w:tcPr>
            <w:tcW w:w="2891" w:type="dxa"/>
            <w:vAlign w:val="center"/>
          </w:tcPr>
          <w:p>
            <w:pPr>
              <w:pStyle w:val="17"/>
            </w:pPr>
            <w:r>
              <w:t>完成培训时间情况</w:t>
            </w:r>
          </w:p>
          <w:p>
            <w:pPr>
              <w:pStyle w:val="17"/>
            </w:pPr>
          </w:p>
        </w:tc>
        <w:tc>
          <w:tcPr>
            <w:tcW w:w="1276" w:type="dxa"/>
            <w:vAlign w:val="center"/>
          </w:tcPr>
          <w:p>
            <w:pPr>
              <w:pStyle w:val="17"/>
            </w:pPr>
            <w:r>
              <w:t>12月底前完成</w:t>
            </w:r>
          </w:p>
        </w:tc>
        <w:tc>
          <w:tcPr>
            <w:tcW w:w="1843" w:type="dxa"/>
            <w:vAlign w:val="center"/>
          </w:tcPr>
          <w:p>
            <w:pPr>
              <w:pStyle w:val="17"/>
            </w:pPr>
            <w:r>
              <w:t>政府批示</w:t>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不超出预算数</w:t>
            </w:r>
          </w:p>
        </w:tc>
        <w:tc>
          <w:tcPr>
            <w:tcW w:w="2891" w:type="dxa"/>
            <w:vAlign w:val="center"/>
          </w:tcPr>
          <w:p>
            <w:pPr>
              <w:pStyle w:val="17"/>
            </w:pPr>
            <w:r>
              <w:t>不超预算数情况</w:t>
            </w:r>
          </w:p>
        </w:tc>
        <w:tc>
          <w:tcPr>
            <w:tcW w:w="1276" w:type="dxa"/>
            <w:vAlign w:val="center"/>
          </w:tcPr>
          <w:p>
            <w:pPr>
              <w:pStyle w:val="17"/>
            </w:pPr>
            <w:r>
              <w:t>严格执行预算</w:t>
            </w:r>
          </w:p>
        </w:tc>
        <w:tc>
          <w:tcPr>
            <w:tcW w:w="1843" w:type="dxa"/>
            <w:vAlign w:val="center"/>
          </w:tcPr>
          <w:p>
            <w:pPr>
              <w:pStyle w:val="17"/>
            </w:pPr>
            <w:r>
              <w:t>政府批示</w:t>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受训人员满意程度</w:t>
            </w:r>
          </w:p>
        </w:tc>
        <w:tc>
          <w:tcPr>
            <w:tcW w:w="2891" w:type="dxa"/>
            <w:vAlign w:val="center"/>
          </w:tcPr>
          <w:p>
            <w:pPr>
              <w:pStyle w:val="17"/>
            </w:pPr>
            <w:r>
              <w:t>受训人员认知情况</w:t>
            </w:r>
          </w:p>
        </w:tc>
        <w:tc>
          <w:tcPr>
            <w:tcW w:w="1276" w:type="dxa"/>
            <w:vAlign w:val="center"/>
          </w:tcPr>
          <w:p>
            <w:pPr>
              <w:pStyle w:val="17"/>
            </w:pPr>
            <w:r>
              <w:t>≥90%</w:t>
            </w:r>
          </w:p>
        </w:tc>
        <w:tc>
          <w:tcPr>
            <w:tcW w:w="1843" w:type="dxa"/>
            <w:vAlign w:val="center"/>
          </w:tcPr>
          <w:p>
            <w:pPr>
              <w:pStyle w:val="17"/>
            </w:pPr>
            <w:r>
              <w:t>政府批示</w:t>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群众满意度</w:t>
            </w:r>
          </w:p>
        </w:tc>
        <w:tc>
          <w:tcPr>
            <w:tcW w:w="1276" w:type="dxa"/>
            <w:vAlign w:val="center"/>
          </w:tcPr>
          <w:p>
            <w:pPr>
              <w:pStyle w:val="17"/>
            </w:pPr>
            <w:r>
              <w:t>≥90%</w:t>
            </w:r>
          </w:p>
        </w:tc>
        <w:tc>
          <w:tcPr>
            <w:tcW w:w="1843" w:type="dxa"/>
            <w:vAlign w:val="center"/>
          </w:tcPr>
          <w:p>
            <w:pPr>
              <w:pStyle w:val="17"/>
            </w:pPr>
            <w:r>
              <w:t>政府请示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1" w:name="_Toc_4_4_0000000019"/>
      <w:r>
        <w:rPr>
          <w:rFonts w:ascii="方正仿宋_GBK" w:hAnsi="方正仿宋_GBK" w:eastAsia="方正仿宋_GBK" w:cs="方正仿宋_GBK"/>
          <w:color w:val="000000"/>
          <w:sz w:val="28"/>
        </w:rPr>
        <w:t>16.2024年食安办日常运行公用经费绩效目标表</w:t>
      </w:r>
      <w:bookmarkEnd w:id="3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416001涞水县市场监督管理局本级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13062324P00799910003B</w:t>
            </w:r>
          </w:p>
        </w:tc>
        <w:tc>
          <w:tcPr>
            <w:tcW w:w="1587" w:type="dxa"/>
            <w:vAlign w:val="center"/>
          </w:tcPr>
          <w:p>
            <w:pPr>
              <w:pStyle w:val="15"/>
            </w:pPr>
            <w:r>
              <w:t>项目名称</w:t>
            </w:r>
          </w:p>
        </w:tc>
        <w:tc>
          <w:tcPr>
            <w:tcW w:w="4422" w:type="dxa"/>
            <w:gridSpan w:val="3"/>
            <w:vAlign w:val="center"/>
          </w:tcPr>
          <w:p>
            <w:pPr>
              <w:pStyle w:val="17"/>
            </w:pPr>
            <w:r>
              <w:t>2024年食安办日常运行公用经费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10.00</w:t>
            </w:r>
          </w:p>
        </w:tc>
        <w:tc>
          <w:tcPr>
            <w:tcW w:w="1587" w:type="dxa"/>
            <w:vAlign w:val="center"/>
          </w:tcPr>
          <w:p>
            <w:pPr>
              <w:pStyle w:val="15"/>
            </w:pPr>
            <w:r>
              <w:t>其中：财政    资金</w:t>
            </w:r>
          </w:p>
        </w:tc>
        <w:tc>
          <w:tcPr>
            <w:tcW w:w="1304" w:type="dxa"/>
            <w:vAlign w:val="center"/>
          </w:tcPr>
          <w:p>
            <w:pPr>
              <w:pStyle w:val="17"/>
            </w:pPr>
            <w:r>
              <w:t>10.00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食安办运行支出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2.00</w:t>
            </w:r>
          </w:p>
        </w:tc>
        <w:tc>
          <w:tcPr>
            <w:tcW w:w="1587" w:type="dxa"/>
            <w:vAlign w:val="center"/>
          </w:tcPr>
          <w:p>
            <w:pPr>
              <w:pStyle w:val="18"/>
            </w:pPr>
            <w:r>
              <w:t>3.00</w:t>
            </w:r>
          </w:p>
        </w:tc>
        <w:tc>
          <w:tcPr>
            <w:tcW w:w="1304" w:type="dxa"/>
            <w:vAlign w:val="center"/>
          </w:tcPr>
          <w:p>
            <w:pPr>
              <w:pStyle w:val="18"/>
            </w:pPr>
            <w:r>
              <w:t>8.00</w:t>
            </w:r>
          </w:p>
        </w:tc>
        <w:tc>
          <w:tcPr>
            <w:tcW w:w="3118" w:type="dxa"/>
            <w:gridSpan w:val="2"/>
            <w:vAlign w:val="center"/>
          </w:tcPr>
          <w:p>
            <w:pPr>
              <w:pStyle w:val="18"/>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1.协调全县食品药品安全监管工作，组织开展联合执法。</w:t>
            </w:r>
            <w:r>
              <w:tab/>
            </w:r>
            <w:r>
              <w:tab/>
            </w:r>
            <w:r>
              <w:tab/>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联合执法行动次数</w:t>
            </w:r>
          </w:p>
        </w:tc>
        <w:tc>
          <w:tcPr>
            <w:tcW w:w="2891" w:type="dxa"/>
            <w:vAlign w:val="center"/>
          </w:tcPr>
          <w:p>
            <w:pPr>
              <w:pStyle w:val="17"/>
            </w:pPr>
            <w:r>
              <w:t>联合执法活动情况</w:t>
            </w:r>
          </w:p>
        </w:tc>
        <w:tc>
          <w:tcPr>
            <w:tcW w:w="1276" w:type="dxa"/>
            <w:vAlign w:val="center"/>
          </w:tcPr>
          <w:p>
            <w:pPr>
              <w:pStyle w:val="17"/>
            </w:pPr>
            <w:r>
              <w:t>≥5次</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药品监督次数</w:t>
            </w:r>
          </w:p>
        </w:tc>
        <w:tc>
          <w:tcPr>
            <w:tcW w:w="2891" w:type="dxa"/>
            <w:vAlign w:val="center"/>
          </w:tcPr>
          <w:p>
            <w:pPr>
              <w:pStyle w:val="17"/>
            </w:pPr>
            <w:r>
              <w:t>药品监督检查活动情况</w:t>
            </w:r>
          </w:p>
        </w:tc>
        <w:tc>
          <w:tcPr>
            <w:tcW w:w="1276" w:type="dxa"/>
            <w:vAlign w:val="center"/>
          </w:tcPr>
          <w:p>
            <w:pPr>
              <w:pStyle w:val="17"/>
            </w:pPr>
            <w:r>
              <w:t>≥20次</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违法案件处理率</w:t>
            </w:r>
          </w:p>
        </w:tc>
        <w:tc>
          <w:tcPr>
            <w:tcW w:w="2891" w:type="dxa"/>
            <w:vAlign w:val="center"/>
          </w:tcPr>
          <w:p>
            <w:pPr>
              <w:pStyle w:val="17"/>
            </w:pPr>
            <w:r>
              <w:t>违法案件处理情况</w:t>
            </w:r>
          </w:p>
        </w:tc>
        <w:tc>
          <w:tcPr>
            <w:tcW w:w="1276" w:type="dxa"/>
            <w:vAlign w:val="center"/>
          </w:tcPr>
          <w:p>
            <w:pPr>
              <w:pStyle w:val="17"/>
            </w:pPr>
            <w:r>
              <w:t>≥90%</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重大食品安全事故发生次数</w:t>
            </w:r>
          </w:p>
        </w:tc>
        <w:tc>
          <w:tcPr>
            <w:tcW w:w="2891" w:type="dxa"/>
            <w:vAlign w:val="center"/>
          </w:tcPr>
          <w:p>
            <w:pPr>
              <w:pStyle w:val="17"/>
            </w:pPr>
            <w:r>
              <w:t>重大食品安全事故发生情况</w:t>
            </w:r>
          </w:p>
        </w:tc>
        <w:tc>
          <w:tcPr>
            <w:tcW w:w="1276" w:type="dxa"/>
            <w:vAlign w:val="center"/>
          </w:tcPr>
          <w:p>
            <w:pPr>
              <w:pStyle w:val="17"/>
            </w:pPr>
            <w:r>
              <w:t>&lt;1起</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提高指挥调度</w:t>
            </w:r>
          </w:p>
        </w:tc>
        <w:tc>
          <w:tcPr>
            <w:tcW w:w="2891" w:type="dxa"/>
            <w:vAlign w:val="center"/>
          </w:tcPr>
          <w:p>
            <w:pPr>
              <w:pStyle w:val="17"/>
            </w:pPr>
            <w:r>
              <w:t>提高政府服务水平</w:t>
            </w:r>
          </w:p>
        </w:tc>
        <w:tc>
          <w:tcPr>
            <w:tcW w:w="1276" w:type="dxa"/>
            <w:vAlign w:val="center"/>
          </w:tcPr>
          <w:p>
            <w:pPr>
              <w:pStyle w:val="17"/>
            </w:pPr>
            <w:r>
              <w:t>协调各部门开展食药监管</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群众满意度</w:t>
            </w:r>
          </w:p>
        </w:tc>
        <w:tc>
          <w:tcPr>
            <w:tcW w:w="1276" w:type="dxa"/>
            <w:vAlign w:val="center"/>
          </w:tcPr>
          <w:p>
            <w:pPr>
              <w:pStyle w:val="17"/>
            </w:pPr>
            <w:r>
              <w:t>≥90%</w:t>
            </w:r>
          </w:p>
        </w:tc>
        <w:tc>
          <w:tcPr>
            <w:tcW w:w="1843" w:type="dxa"/>
            <w:vAlign w:val="center"/>
          </w:tcPr>
          <w:p>
            <w:pPr>
              <w:pStyle w:val="17"/>
            </w:pPr>
            <w:r>
              <w:t>政府请示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2" w:name="_Toc_4_4_0000000020"/>
      <w:r>
        <w:rPr>
          <w:rFonts w:ascii="方正仿宋_GBK" w:hAnsi="方正仿宋_GBK" w:eastAsia="方正仿宋_GBK" w:cs="方正仿宋_GBK"/>
          <w:color w:val="000000"/>
          <w:sz w:val="28"/>
        </w:rPr>
        <w:t>17.2024年食品安全抽检经费绩效目标表</w:t>
      </w:r>
      <w:bookmarkEnd w:id="3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416001涞水县市场监督管理局本级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13062324P00800510003G</w:t>
            </w:r>
          </w:p>
        </w:tc>
        <w:tc>
          <w:tcPr>
            <w:tcW w:w="1587" w:type="dxa"/>
            <w:vAlign w:val="center"/>
          </w:tcPr>
          <w:p>
            <w:pPr>
              <w:pStyle w:val="15"/>
            </w:pPr>
            <w:r>
              <w:t>项目名称</w:t>
            </w:r>
          </w:p>
        </w:tc>
        <w:tc>
          <w:tcPr>
            <w:tcW w:w="4422" w:type="dxa"/>
            <w:gridSpan w:val="3"/>
            <w:vAlign w:val="center"/>
          </w:tcPr>
          <w:p>
            <w:pPr>
              <w:pStyle w:val="17"/>
            </w:pPr>
            <w:r>
              <w:t>2024年食品安全抽检经费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97.00</w:t>
            </w:r>
          </w:p>
        </w:tc>
        <w:tc>
          <w:tcPr>
            <w:tcW w:w="1587" w:type="dxa"/>
            <w:vAlign w:val="center"/>
          </w:tcPr>
          <w:p>
            <w:pPr>
              <w:pStyle w:val="15"/>
            </w:pPr>
            <w:r>
              <w:t>其中：财政    资金</w:t>
            </w:r>
          </w:p>
        </w:tc>
        <w:tc>
          <w:tcPr>
            <w:tcW w:w="1304" w:type="dxa"/>
            <w:vAlign w:val="center"/>
          </w:tcPr>
          <w:p>
            <w:pPr>
              <w:pStyle w:val="17"/>
            </w:pPr>
            <w:r>
              <w:t>97.00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食品安全抽检支出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60.00</w:t>
            </w:r>
          </w:p>
        </w:tc>
        <w:tc>
          <w:tcPr>
            <w:tcW w:w="3118" w:type="dxa"/>
            <w:gridSpan w:val="2"/>
            <w:vAlign w:val="center"/>
          </w:tcPr>
          <w:p>
            <w:pPr>
              <w:pStyle w:val="18"/>
            </w:pPr>
            <w:r>
              <w:t>97.00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1.抽检生产、流通、餐饮食品，保护消费者生命安全</w:t>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抽检批次</w:t>
            </w:r>
          </w:p>
        </w:tc>
        <w:tc>
          <w:tcPr>
            <w:tcW w:w="2891" w:type="dxa"/>
            <w:vAlign w:val="center"/>
          </w:tcPr>
          <w:p>
            <w:pPr>
              <w:pStyle w:val="17"/>
            </w:pPr>
            <w:r>
              <w:t>抽检批次情况</w:t>
            </w:r>
          </w:p>
        </w:tc>
        <w:tc>
          <w:tcPr>
            <w:tcW w:w="1276" w:type="dxa"/>
            <w:vAlign w:val="center"/>
          </w:tcPr>
          <w:p>
            <w:pPr>
              <w:pStyle w:val="17"/>
            </w:pPr>
            <w:r>
              <w:t>≥1350批次</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食品检测合格率</w:t>
            </w:r>
          </w:p>
        </w:tc>
        <w:tc>
          <w:tcPr>
            <w:tcW w:w="2891" w:type="dxa"/>
            <w:vAlign w:val="center"/>
          </w:tcPr>
          <w:p>
            <w:pPr>
              <w:pStyle w:val="17"/>
            </w:pPr>
            <w:r>
              <w:t>食品检验情况</w:t>
            </w:r>
          </w:p>
        </w:tc>
        <w:tc>
          <w:tcPr>
            <w:tcW w:w="1276" w:type="dxa"/>
            <w:vAlign w:val="center"/>
          </w:tcPr>
          <w:p>
            <w:pPr>
              <w:pStyle w:val="17"/>
            </w:pPr>
            <w:r>
              <w:t>≥90%</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抽检工作青完成情况</w:t>
            </w:r>
          </w:p>
        </w:tc>
        <w:tc>
          <w:tcPr>
            <w:tcW w:w="2891" w:type="dxa"/>
            <w:vAlign w:val="center"/>
          </w:tcPr>
          <w:p>
            <w:pPr>
              <w:pStyle w:val="17"/>
            </w:pPr>
            <w:r>
              <w:t>抽检工作完成情况</w:t>
            </w:r>
          </w:p>
        </w:tc>
        <w:tc>
          <w:tcPr>
            <w:tcW w:w="1276" w:type="dxa"/>
            <w:vAlign w:val="center"/>
          </w:tcPr>
          <w:p>
            <w:pPr>
              <w:pStyle w:val="17"/>
            </w:pPr>
            <w:r>
              <w:t>按期完成年度抽检计划</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食品检测覆盖率</w:t>
            </w:r>
          </w:p>
        </w:tc>
        <w:tc>
          <w:tcPr>
            <w:tcW w:w="2891" w:type="dxa"/>
            <w:vAlign w:val="center"/>
          </w:tcPr>
          <w:p>
            <w:pPr>
              <w:pStyle w:val="17"/>
            </w:pPr>
            <w:r>
              <w:t>食品检测覆盖情况</w:t>
            </w:r>
          </w:p>
        </w:tc>
        <w:tc>
          <w:tcPr>
            <w:tcW w:w="1276" w:type="dxa"/>
            <w:vAlign w:val="center"/>
          </w:tcPr>
          <w:p>
            <w:pPr>
              <w:pStyle w:val="17"/>
            </w:pPr>
            <w:r>
              <w:t>≥90%</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不合格食品处理率</w:t>
            </w:r>
          </w:p>
        </w:tc>
        <w:tc>
          <w:tcPr>
            <w:tcW w:w="2891" w:type="dxa"/>
            <w:vAlign w:val="center"/>
          </w:tcPr>
          <w:p>
            <w:pPr>
              <w:pStyle w:val="17"/>
            </w:pPr>
            <w:r>
              <w:t>不合格食品处理情况</w:t>
            </w:r>
          </w:p>
        </w:tc>
        <w:tc>
          <w:tcPr>
            <w:tcW w:w="1276" w:type="dxa"/>
            <w:vAlign w:val="center"/>
          </w:tcPr>
          <w:p>
            <w:pPr>
              <w:pStyle w:val="17"/>
            </w:pPr>
            <w:r>
              <w:t>≥95%</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服务对象的满意度</w:t>
            </w:r>
          </w:p>
        </w:tc>
        <w:tc>
          <w:tcPr>
            <w:tcW w:w="2891" w:type="dxa"/>
            <w:vAlign w:val="center"/>
          </w:tcPr>
          <w:p>
            <w:pPr>
              <w:pStyle w:val="17"/>
            </w:pPr>
            <w:r>
              <w:t>服务对象的满意度</w:t>
            </w:r>
          </w:p>
        </w:tc>
        <w:tc>
          <w:tcPr>
            <w:tcW w:w="1276" w:type="dxa"/>
            <w:vAlign w:val="center"/>
          </w:tcPr>
          <w:p>
            <w:pPr>
              <w:pStyle w:val="17"/>
            </w:pPr>
            <w:r>
              <w:t>≥90%</w:t>
            </w:r>
          </w:p>
        </w:tc>
        <w:tc>
          <w:tcPr>
            <w:tcW w:w="1843" w:type="dxa"/>
            <w:vAlign w:val="center"/>
          </w:tcPr>
          <w:p>
            <w:pPr>
              <w:pStyle w:val="17"/>
            </w:pPr>
            <w:r>
              <w:t>政府批示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3" w:name="_Toc_4_4_0000000021"/>
      <w:r>
        <w:rPr>
          <w:rFonts w:ascii="方正仿宋_GBK" w:hAnsi="方正仿宋_GBK" w:eastAsia="方正仿宋_GBK" w:cs="方正仿宋_GBK"/>
          <w:color w:val="000000"/>
          <w:sz w:val="28"/>
        </w:rPr>
        <w:t>18.2024年食品快检室建设运行经费绩效目标表</w:t>
      </w:r>
      <w:bookmarkEnd w:id="3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416001涞水县市场监督管理局本级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13062324P00884810003C</w:t>
            </w:r>
          </w:p>
        </w:tc>
        <w:tc>
          <w:tcPr>
            <w:tcW w:w="1587" w:type="dxa"/>
            <w:vAlign w:val="center"/>
          </w:tcPr>
          <w:p>
            <w:pPr>
              <w:pStyle w:val="15"/>
            </w:pPr>
            <w:r>
              <w:t>项目名称</w:t>
            </w:r>
          </w:p>
        </w:tc>
        <w:tc>
          <w:tcPr>
            <w:tcW w:w="4422" w:type="dxa"/>
            <w:gridSpan w:val="3"/>
            <w:vAlign w:val="center"/>
          </w:tcPr>
          <w:p>
            <w:pPr>
              <w:pStyle w:val="17"/>
            </w:pPr>
            <w:r>
              <w:t>2024年食品快检室建设运行经费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10.00</w:t>
            </w:r>
          </w:p>
        </w:tc>
        <w:tc>
          <w:tcPr>
            <w:tcW w:w="1587" w:type="dxa"/>
            <w:vAlign w:val="center"/>
          </w:tcPr>
          <w:p>
            <w:pPr>
              <w:pStyle w:val="15"/>
            </w:pPr>
            <w:r>
              <w:t>其中：财政    资金</w:t>
            </w:r>
          </w:p>
        </w:tc>
        <w:tc>
          <w:tcPr>
            <w:tcW w:w="1304" w:type="dxa"/>
            <w:vAlign w:val="center"/>
          </w:tcPr>
          <w:p>
            <w:pPr>
              <w:pStyle w:val="17"/>
            </w:pPr>
            <w:r>
              <w:t>10.00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食品快检室运行支出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2.00</w:t>
            </w:r>
          </w:p>
        </w:tc>
        <w:tc>
          <w:tcPr>
            <w:tcW w:w="1587" w:type="dxa"/>
            <w:vAlign w:val="center"/>
          </w:tcPr>
          <w:p>
            <w:pPr>
              <w:pStyle w:val="18"/>
            </w:pPr>
            <w:r>
              <w:t>5.00</w:t>
            </w:r>
          </w:p>
        </w:tc>
        <w:tc>
          <w:tcPr>
            <w:tcW w:w="1304" w:type="dxa"/>
            <w:vAlign w:val="center"/>
          </w:tcPr>
          <w:p>
            <w:pPr>
              <w:pStyle w:val="18"/>
            </w:pPr>
            <w:r>
              <w:t>8.00</w:t>
            </w:r>
          </w:p>
        </w:tc>
        <w:tc>
          <w:tcPr>
            <w:tcW w:w="3118" w:type="dxa"/>
            <w:gridSpan w:val="2"/>
            <w:vAlign w:val="center"/>
          </w:tcPr>
          <w:p>
            <w:pPr>
              <w:pStyle w:val="18"/>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1.保障快检室正常运行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食品快检室数量</w:t>
            </w:r>
          </w:p>
        </w:tc>
        <w:tc>
          <w:tcPr>
            <w:tcW w:w="2891" w:type="dxa"/>
            <w:vAlign w:val="center"/>
          </w:tcPr>
          <w:p>
            <w:pPr>
              <w:pStyle w:val="17"/>
            </w:pPr>
            <w:r>
              <w:t>食品快检室数量情况</w:t>
            </w:r>
          </w:p>
        </w:tc>
        <w:tc>
          <w:tcPr>
            <w:tcW w:w="1276" w:type="dxa"/>
            <w:vAlign w:val="center"/>
          </w:tcPr>
          <w:p>
            <w:pPr>
              <w:pStyle w:val="17"/>
            </w:pPr>
            <w:r>
              <w:t>2家</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实验室建设质量</w:t>
            </w:r>
          </w:p>
        </w:tc>
        <w:tc>
          <w:tcPr>
            <w:tcW w:w="2891" w:type="dxa"/>
            <w:vAlign w:val="center"/>
          </w:tcPr>
          <w:p>
            <w:pPr>
              <w:pStyle w:val="17"/>
            </w:pPr>
            <w:r>
              <w:t>实验室建设质量情况</w:t>
            </w:r>
          </w:p>
        </w:tc>
        <w:tc>
          <w:tcPr>
            <w:tcW w:w="1276" w:type="dxa"/>
            <w:vAlign w:val="center"/>
          </w:tcPr>
          <w:p>
            <w:pPr>
              <w:pStyle w:val="17"/>
            </w:pPr>
            <w:r>
              <w:t>严格按照相关标准建设，验收合格</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保障快检室运行</w:t>
            </w:r>
          </w:p>
        </w:tc>
        <w:tc>
          <w:tcPr>
            <w:tcW w:w="2891" w:type="dxa"/>
            <w:vAlign w:val="center"/>
          </w:tcPr>
          <w:p>
            <w:pPr>
              <w:pStyle w:val="17"/>
            </w:pPr>
            <w:r>
              <w:t>保障快检室运行情况</w:t>
            </w:r>
          </w:p>
        </w:tc>
        <w:tc>
          <w:tcPr>
            <w:tcW w:w="1276" w:type="dxa"/>
            <w:vAlign w:val="center"/>
          </w:tcPr>
          <w:p>
            <w:pPr>
              <w:pStyle w:val="17"/>
            </w:pPr>
            <w:r>
              <w:t>及时购置试剂及相关材料</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预算控制情况</w:t>
            </w:r>
          </w:p>
        </w:tc>
        <w:tc>
          <w:tcPr>
            <w:tcW w:w="2891" w:type="dxa"/>
            <w:vAlign w:val="center"/>
          </w:tcPr>
          <w:p>
            <w:pPr>
              <w:pStyle w:val="17"/>
            </w:pPr>
            <w:r>
              <w:t>预算控制情况</w:t>
            </w:r>
          </w:p>
        </w:tc>
        <w:tc>
          <w:tcPr>
            <w:tcW w:w="1276" w:type="dxa"/>
            <w:vAlign w:val="center"/>
          </w:tcPr>
          <w:p>
            <w:pPr>
              <w:pStyle w:val="17"/>
            </w:pPr>
            <w:r>
              <w:t>严格预算支出</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社会影响力</w:t>
            </w:r>
          </w:p>
        </w:tc>
        <w:tc>
          <w:tcPr>
            <w:tcW w:w="2891" w:type="dxa"/>
            <w:vAlign w:val="center"/>
          </w:tcPr>
          <w:p>
            <w:pPr>
              <w:pStyle w:val="17"/>
            </w:pPr>
            <w:r>
              <w:t>社会影响力</w:t>
            </w:r>
          </w:p>
        </w:tc>
        <w:tc>
          <w:tcPr>
            <w:tcW w:w="1276" w:type="dxa"/>
            <w:vAlign w:val="center"/>
          </w:tcPr>
          <w:p>
            <w:pPr>
              <w:pStyle w:val="17"/>
            </w:pPr>
            <w:r>
              <w:t>确保人民群众购买放心食品</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群众满意度</w:t>
            </w:r>
          </w:p>
        </w:tc>
        <w:tc>
          <w:tcPr>
            <w:tcW w:w="1276" w:type="dxa"/>
            <w:vAlign w:val="center"/>
          </w:tcPr>
          <w:p>
            <w:pPr>
              <w:pStyle w:val="17"/>
            </w:pPr>
            <w:r>
              <w:t>≥90%</w:t>
            </w:r>
          </w:p>
        </w:tc>
        <w:tc>
          <w:tcPr>
            <w:tcW w:w="1843" w:type="dxa"/>
            <w:vAlign w:val="center"/>
          </w:tcPr>
          <w:p>
            <w:pPr>
              <w:pStyle w:val="17"/>
            </w:pPr>
            <w:r>
              <w:t>政府请示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4" w:name="_Toc_4_4_0000000022"/>
      <w:r>
        <w:rPr>
          <w:rFonts w:ascii="方正仿宋_GBK" w:hAnsi="方正仿宋_GBK" w:eastAsia="方正仿宋_GBK" w:cs="方正仿宋_GBK"/>
          <w:color w:val="000000"/>
          <w:sz w:val="28"/>
        </w:rPr>
        <w:t>19.2024年食品药品安全协管员补贴绩效目标表</w:t>
      </w:r>
      <w:bookmarkEnd w:id="3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416001涞水县市场监督管理局本级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13062324P00800210003F</w:t>
            </w:r>
          </w:p>
        </w:tc>
        <w:tc>
          <w:tcPr>
            <w:tcW w:w="1587" w:type="dxa"/>
            <w:vAlign w:val="center"/>
          </w:tcPr>
          <w:p>
            <w:pPr>
              <w:pStyle w:val="15"/>
            </w:pPr>
            <w:r>
              <w:t>项目名称</w:t>
            </w:r>
          </w:p>
        </w:tc>
        <w:tc>
          <w:tcPr>
            <w:tcW w:w="4422" w:type="dxa"/>
            <w:gridSpan w:val="3"/>
            <w:vAlign w:val="center"/>
          </w:tcPr>
          <w:p>
            <w:pPr>
              <w:pStyle w:val="17"/>
            </w:pPr>
            <w:r>
              <w:t>2024年食品药品安全协管员补贴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32.70</w:t>
            </w:r>
          </w:p>
        </w:tc>
        <w:tc>
          <w:tcPr>
            <w:tcW w:w="1587" w:type="dxa"/>
            <w:vAlign w:val="center"/>
          </w:tcPr>
          <w:p>
            <w:pPr>
              <w:pStyle w:val="15"/>
            </w:pPr>
            <w:r>
              <w:t>其中：财政    资金</w:t>
            </w:r>
          </w:p>
        </w:tc>
        <w:tc>
          <w:tcPr>
            <w:tcW w:w="1304" w:type="dxa"/>
            <w:vAlign w:val="center"/>
          </w:tcPr>
          <w:p>
            <w:pPr>
              <w:pStyle w:val="17"/>
            </w:pPr>
            <w:r>
              <w:t>32.70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食品药品安全协管员补贴支出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32.70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1.发放协管员补贴，存进村级食品药品安全监管</w:t>
            </w:r>
            <w:r>
              <w:tab/>
            </w:r>
            <w:r>
              <w:tab/>
            </w:r>
            <w:r>
              <w:tab/>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发放补贴人员数量</w:t>
            </w:r>
          </w:p>
        </w:tc>
        <w:tc>
          <w:tcPr>
            <w:tcW w:w="2891" w:type="dxa"/>
            <w:vAlign w:val="center"/>
          </w:tcPr>
          <w:p>
            <w:pPr>
              <w:pStyle w:val="17"/>
            </w:pPr>
            <w:r>
              <w:t>发放补贴人员情况</w:t>
            </w:r>
          </w:p>
        </w:tc>
        <w:tc>
          <w:tcPr>
            <w:tcW w:w="1276" w:type="dxa"/>
            <w:vAlign w:val="center"/>
          </w:tcPr>
          <w:p>
            <w:pPr>
              <w:pStyle w:val="17"/>
            </w:pPr>
            <w:r>
              <w:t>327人</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安全协管员覆盖率</w:t>
            </w:r>
          </w:p>
        </w:tc>
        <w:tc>
          <w:tcPr>
            <w:tcW w:w="2891" w:type="dxa"/>
            <w:vAlign w:val="center"/>
          </w:tcPr>
          <w:p>
            <w:pPr>
              <w:pStyle w:val="17"/>
            </w:pPr>
            <w:r>
              <w:t>安全协管员覆盖情况</w:t>
            </w:r>
          </w:p>
        </w:tc>
        <w:tc>
          <w:tcPr>
            <w:tcW w:w="1276" w:type="dxa"/>
            <w:vAlign w:val="center"/>
          </w:tcPr>
          <w:p>
            <w:pPr>
              <w:pStyle w:val="17"/>
            </w:pPr>
            <w:r>
              <w:t>100%</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补贴发放时间</w:t>
            </w:r>
          </w:p>
        </w:tc>
        <w:tc>
          <w:tcPr>
            <w:tcW w:w="2891" w:type="dxa"/>
            <w:vAlign w:val="center"/>
          </w:tcPr>
          <w:p>
            <w:pPr>
              <w:pStyle w:val="17"/>
            </w:pPr>
            <w:r>
              <w:t>发放补贴时间情况</w:t>
            </w:r>
          </w:p>
        </w:tc>
        <w:tc>
          <w:tcPr>
            <w:tcW w:w="1276" w:type="dxa"/>
            <w:vAlign w:val="center"/>
          </w:tcPr>
          <w:p>
            <w:pPr>
              <w:pStyle w:val="17"/>
            </w:pPr>
            <w:r>
              <w:t>12月底前发放完毕</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严格预算执行</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激励效果</w:t>
            </w:r>
          </w:p>
        </w:tc>
        <w:tc>
          <w:tcPr>
            <w:tcW w:w="2891" w:type="dxa"/>
            <w:vAlign w:val="center"/>
          </w:tcPr>
          <w:p>
            <w:pPr>
              <w:pStyle w:val="17"/>
            </w:pPr>
            <w:r>
              <w:t>激励效果</w:t>
            </w:r>
          </w:p>
        </w:tc>
        <w:tc>
          <w:tcPr>
            <w:tcW w:w="1276" w:type="dxa"/>
            <w:vAlign w:val="center"/>
          </w:tcPr>
          <w:p>
            <w:pPr>
              <w:pStyle w:val="17"/>
            </w:pPr>
            <w:r>
              <w:t>激励协管员工作积极性</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群众满意度</w:t>
            </w:r>
          </w:p>
        </w:tc>
        <w:tc>
          <w:tcPr>
            <w:tcW w:w="1276" w:type="dxa"/>
            <w:vAlign w:val="center"/>
          </w:tcPr>
          <w:p>
            <w:pPr>
              <w:pStyle w:val="17"/>
            </w:pPr>
            <w:r>
              <w:t>≥90%</w:t>
            </w:r>
          </w:p>
        </w:tc>
        <w:tc>
          <w:tcPr>
            <w:tcW w:w="1843" w:type="dxa"/>
            <w:vAlign w:val="center"/>
          </w:tcPr>
          <w:p>
            <w:pPr>
              <w:pStyle w:val="17"/>
            </w:pPr>
            <w:r>
              <w:t>政府请示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5" w:name="_Toc_4_4_0000000023"/>
      <w:r>
        <w:rPr>
          <w:rFonts w:ascii="方正仿宋_GBK" w:hAnsi="方正仿宋_GBK" w:eastAsia="方正仿宋_GBK" w:cs="方正仿宋_GBK"/>
          <w:color w:val="000000"/>
          <w:sz w:val="28"/>
        </w:rPr>
        <w:t>20.2024年物价综合业务管理经费绩效目标表</w:t>
      </w:r>
      <w:bookmarkEnd w:id="3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416001涞水县市场监督管理局本级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13062324P00800410003T</w:t>
            </w:r>
          </w:p>
        </w:tc>
        <w:tc>
          <w:tcPr>
            <w:tcW w:w="1587" w:type="dxa"/>
            <w:vAlign w:val="center"/>
          </w:tcPr>
          <w:p>
            <w:pPr>
              <w:pStyle w:val="15"/>
            </w:pPr>
            <w:r>
              <w:t>项目名称</w:t>
            </w:r>
          </w:p>
        </w:tc>
        <w:tc>
          <w:tcPr>
            <w:tcW w:w="4422" w:type="dxa"/>
            <w:gridSpan w:val="3"/>
            <w:vAlign w:val="center"/>
          </w:tcPr>
          <w:p>
            <w:pPr>
              <w:pStyle w:val="17"/>
            </w:pPr>
            <w:r>
              <w:t>2024年物价综合业务管理经费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5.00</w:t>
            </w:r>
          </w:p>
        </w:tc>
        <w:tc>
          <w:tcPr>
            <w:tcW w:w="1587" w:type="dxa"/>
            <w:vAlign w:val="center"/>
          </w:tcPr>
          <w:p>
            <w:pPr>
              <w:pStyle w:val="15"/>
            </w:pPr>
            <w:r>
              <w:t>其中：财政    资金</w:t>
            </w:r>
          </w:p>
        </w:tc>
        <w:tc>
          <w:tcPr>
            <w:tcW w:w="1304" w:type="dxa"/>
            <w:vAlign w:val="center"/>
          </w:tcPr>
          <w:p>
            <w:pPr>
              <w:pStyle w:val="17"/>
            </w:pPr>
            <w:r>
              <w:t>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物价业务支出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2.00</w:t>
            </w:r>
          </w:p>
        </w:tc>
        <w:tc>
          <w:tcPr>
            <w:tcW w:w="1587" w:type="dxa"/>
            <w:vAlign w:val="center"/>
          </w:tcPr>
          <w:p>
            <w:pPr>
              <w:pStyle w:val="18"/>
            </w:pPr>
            <w:r>
              <w:t>3.00</w:t>
            </w:r>
          </w:p>
        </w:tc>
        <w:tc>
          <w:tcPr>
            <w:tcW w:w="1304" w:type="dxa"/>
            <w:vAlign w:val="center"/>
          </w:tcPr>
          <w:p>
            <w:pPr>
              <w:pStyle w:val="18"/>
            </w:pPr>
            <w:r>
              <w:t>5.00</w:t>
            </w:r>
          </w:p>
        </w:tc>
        <w:tc>
          <w:tcPr>
            <w:tcW w:w="3118"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1.办理物价违法案件，保护消费者合法权益</w:t>
            </w:r>
            <w:r>
              <w:tab/>
            </w:r>
            <w:r>
              <w:tab/>
            </w:r>
            <w:r>
              <w:tab/>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查办价格案件数量</w:t>
            </w:r>
          </w:p>
        </w:tc>
        <w:tc>
          <w:tcPr>
            <w:tcW w:w="2891" w:type="dxa"/>
            <w:vAlign w:val="center"/>
          </w:tcPr>
          <w:p>
            <w:pPr>
              <w:pStyle w:val="17"/>
            </w:pPr>
            <w:r>
              <w:t>价格案件办理数量情况</w:t>
            </w:r>
          </w:p>
        </w:tc>
        <w:tc>
          <w:tcPr>
            <w:tcW w:w="1276" w:type="dxa"/>
            <w:vAlign w:val="center"/>
          </w:tcPr>
          <w:p>
            <w:pPr>
              <w:pStyle w:val="17"/>
            </w:pPr>
            <w:r>
              <w:t>≥60件</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案件办理率</w:t>
            </w:r>
          </w:p>
        </w:tc>
        <w:tc>
          <w:tcPr>
            <w:tcW w:w="2891" w:type="dxa"/>
            <w:vAlign w:val="center"/>
          </w:tcPr>
          <w:p>
            <w:pPr>
              <w:pStyle w:val="17"/>
            </w:pPr>
            <w:r>
              <w:t>价格案件办理情况</w:t>
            </w:r>
          </w:p>
        </w:tc>
        <w:tc>
          <w:tcPr>
            <w:tcW w:w="1276" w:type="dxa"/>
            <w:vAlign w:val="center"/>
          </w:tcPr>
          <w:p>
            <w:pPr>
              <w:pStyle w:val="17"/>
            </w:pPr>
            <w:r>
              <w:t>≥90%</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物价案件完成率</w:t>
            </w:r>
          </w:p>
        </w:tc>
        <w:tc>
          <w:tcPr>
            <w:tcW w:w="2891" w:type="dxa"/>
            <w:vAlign w:val="center"/>
          </w:tcPr>
          <w:p>
            <w:pPr>
              <w:pStyle w:val="17"/>
            </w:pPr>
            <w:r>
              <w:t>物价案件完成情况</w:t>
            </w:r>
          </w:p>
        </w:tc>
        <w:tc>
          <w:tcPr>
            <w:tcW w:w="1276" w:type="dxa"/>
            <w:vAlign w:val="center"/>
          </w:tcPr>
          <w:p>
            <w:pPr>
              <w:pStyle w:val="17"/>
            </w:pPr>
            <w:r>
              <w:t>≥90%</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控制在预算内</w:t>
            </w:r>
          </w:p>
        </w:tc>
        <w:tc>
          <w:tcPr>
            <w:tcW w:w="2891" w:type="dxa"/>
            <w:vAlign w:val="center"/>
          </w:tcPr>
          <w:p>
            <w:pPr>
              <w:pStyle w:val="17"/>
            </w:pPr>
            <w:r>
              <w:t>控制在预算内</w:t>
            </w:r>
          </w:p>
        </w:tc>
        <w:tc>
          <w:tcPr>
            <w:tcW w:w="1276" w:type="dxa"/>
            <w:vAlign w:val="center"/>
          </w:tcPr>
          <w:p>
            <w:pPr>
              <w:pStyle w:val="17"/>
            </w:pPr>
            <w:r>
              <w:t>按预算执行</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提高本单位工作人员的业务水平</w:t>
            </w:r>
          </w:p>
        </w:tc>
        <w:tc>
          <w:tcPr>
            <w:tcW w:w="2891" w:type="dxa"/>
            <w:vAlign w:val="center"/>
          </w:tcPr>
          <w:p>
            <w:pPr>
              <w:pStyle w:val="17"/>
            </w:pPr>
            <w:r>
              <w:t>通过出差培训等活动，提高工作人员相关业务素质</w:t>
            </w:r>
          </w:p>
        </w:tc>
        <w:tc>
          <w:tcPr>
            <w:tcW w:w="1276" w:type="dxa"/>
            <w:vAlign w:val="center"/>
          </w:tcPr>
          <w:p>
            <w:pPr>
              <w:pStyle w:val="17"/>
            </w:pPr>
            <w:r>
              <w:t>通过外出培训、网络培训提高工作人员业务能力</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群众满意度</w:t>
            </w:r>
          </w:p>
        </w:tc>
        <w:tc>
          <w:tcPr>
            <w:tcW w:w="1276" w:type="dxa"/>
            <w:vAlign w:val="center"/>
          </w:tcPr>
          <w:p>
            <w:pPr>
              <w:pStyle w:val="17"/>
            </w:pPr>
            <w:r>
              <w:t>≥90%</w:t>
            </w:r>
          </w:p>
        </w:tc>
        <w:tc>
          <w:tcPr>
            <w:tcW w:w="1843" w:type="dxa"/>
            <w:vAlign w:val="center"/>
          </w:tcPr>
          <w:p>
            <w:pPr>
              <w:pStyle w:val="17"/>
            </w:pPr>
            <w:r>
              <w:t>政府批示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6" w:name="_Toc_4_4_0000000024"/>
      <w:r>
        <w:rPr>
          <w:rFonts w:ascii="方正仿宋_GBK" w:hAnsi="方正仿宋_GBK" w:eastAsia="方正仿宋_GBK" w:cs="方正仿宋_GBK"/>
          <w:color w:val="000000"/>
          <w:sz w:val="28"/>
        </w:rPr>
        <w:t>21.2024年消费者权益保护工作专项经费绩效目标表</w:t>
      </w:r>
      <w:bookmarkEnd w:id="3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416001涞水县市场监督管理局本级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13062324P00799410003Y</w:t>
            </w:r>
          </w:p>
        </w:tc>
        <w:tc>
          <w:tcPr>
            <w:tcW w:w="1587" w:type="dxa"/>
            <w:vAlign w:val="center"/>
          </w:tcPr>
          <w:p>
            <w:pPr>
              <w:pStyle w:val="15"/>
            </w:pPr>
            <w:r>
              <w:t>项目名称</w:t>
            </w:r>
          </w:p>
        </w:tc>
        <w:tc>
          <w:tcPr>
            <w:tcW w:w="4422" w:type="dxa"/>
            <w:gridSpan w:val="3"/>
            <w:vAlign w:val="center"/>
          </w:tcPr>
          <w:p>
            <w:pPr>
              <w:pStyle w:val="17"/>
            </w:pPr>
            <w:r>
              <w:t>2024年消费者权益保护工作专项经费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5.00</w:t>
            </w:r>
          </w:p>
        </w:tc>
        <w:tc>
          <w:tcPr>
            <w:tcW w:w="1587" w:type="dxa"/>
            <w:vAlign w:val="center"/>
          </w:tcPr>
          <w:p>
            <w:pPr>
              <w:pStyle w:val="15"/>
            </w:pPr>
            <w:r>
              <w:t>其中：财政    资金</w:t>
            </w:r>
          </w:p>
        </w:tc>
        <w:tc>
          <w:tcPr>
            <w:tcW w:w="1304" w:type="dxa"/>
            <w:vAlign w:val="center"/>
          </w:tcPr>
          <w:p>
            <w:pPr>
              <w:pStyle w:val="17"/>
            </w:pPr>
            <w:r>
              <w:t>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消费者权益保护支出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3.00</w:t>
            </w:r>
          </w:p>
        </w:tc>
        <w:tc>
          <w:tcPr>
            <w:tcW w:w="1304" w:type="dxa"/>
            <w:vAlign w:val="center"/>
          </w:tcPr>
          <w:p>
            <w:pPr>
              <w:pStyle w:val="18"/>
            </w:pPr>
            <w:r>
              <w:t>5.00</w:t>
            </w:r>
          </w:p>
        </w:tc>
        <w:tc>
          <w:tcPr>
            <w:tcW w:w="3118"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1.通过12315热线电话，解决消费者投诉问题。</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开展执法检查次数</w:t>
            </w:r>
          </w:p>
        </w:tc>
        <w:tc>
          <w:tcPr>
            <w:tcW w:w="2891" w:type="dxa"/>
            <w:vAlign w:val="center"/>
          </w:tcPr>
          <w:p>
            <w:pPr>
              <w:pStyle w:val="17"/>
            </w:pPr>
            <w:r>
              <w:t>开展执法检查情况</w:t>
            </w:r>
          </w:p>
        </w:tc>
        <w:tc>
          <w:tcPr>
            <w:tcW w:w="1276" w:type="dxa"/>
            <w:vAlign w:val="center"/>
          </w:tcPr>
          <w:p>
            <w:pPr>
              <w:pStyle w:val="17"/>
            </w:pPr>
            <w:r>
              <w:t>≥30次</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办理侵害消费者案件数量</w:t>
            </w:r>
          </w:p>
        </w:tc>
        <w:tc>
          <w:tcPr>
            <w:tcW w:w="2891" w:type="dxa"/>
            <w:vAlign w:val="center"/>
          </w:tcPr>
          <w:p>
            <w:pPr>
              <w:pStyle w:val="17"/>
            </w:pPr>
            <w:r>
              <w:t>办理相关案件情况</w:t>
            </w:r>
          </w:p>
        </w:tc>
        <w:tc>
          <w:tcPr>
            <w:tcW w:w="1276" w:type="dxa"/>
            <w:vAlign w:val="center"/>
          </w:tcPr>
          <w:p>
            <w:pPr>
              <w:pStyle w:val="17"/>
            </w:pPr>
            <w:r>
              <w:t>≥90起</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资金支出率（%）</w:t>
            </w:r>
          </w:p>
        </w:tc>
        <w:tc>
          <w:tcPr>
            <w:tcW w:w="2891" w:type="dxa"/>
            <w:vAlign w:val="center"/>
          </w:tcPr>
          <w:p>
            <w:pPr>
              <w:pStyle w:val="17"/>
            </w:pPr>
            <w:r>
              <w:t>资金支出率（%）</w:t>
            </w:r>
          </w:p>
        </w:tc>
        <w:tc>
          <w:tcPr>
            <w:tcW w:w="1276" w:type="dxa"/>
            <w:vAlign w:val="center"/>
          </w:tcPr>
          <w:p>
            <w:pPr>
              <w:pStyle w:val="17"/>
            </w:pPr>
            <w:r>
              <w:t>≥95%</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严格预算支出</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调解、解决举报案件满意度</w:t>
            </w:r>
          </w:p>
        </w:tc>
        <w:tc>
          <w:tcPr>
            <w:tcW w:w="2891" w:type="dxa"/>
            <w:vAlign w:val="center"/>
          </w:tcPr>
          <w:p>
            <w:pPr>
              <w:pStyle w:val="17"/>
            </w:pPr>
            <w:r>
              <w:t>调解、解决举报案件满意度</w:t>
            </w:r>
          </w:p>
        </w:tc>
        <w:tc>
          <w:tcPr>
            <w:tcW w:w="1276" w:type="dxa"/>
            <w:vAlign w:val="center"/>
          </w:tcPr>
          <w:p>
            <w:pPr>
              <w:pStyle w:val="17"/>
            </w:pPr>
            <w:r>
              <w:t>≥90%</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≥90%</w:t>
            </w:r>
          </w:p>
        </w:tc>
        <w:tc>
          <w:tcPr>
            <w:tcW w:w="1843" w:type="dxa"/>
            <w:vAlign w:val="center"/>
          </w:tcPr>
          <w:p>
            <w:pPr>
              <w:pStyle w:val="17"/>
            </w:pPr>
            <w:r>
              <w:t>政府请示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7" w:name="_Toc_4_4_0000000025"/>
      <w:r>
        <w:rPr>
          <w:rFonts w:ascii="方正仿宋_GBK" w:hAnsi="方正仿宋_GBK" w:eastAsia="方正仿宋_GBK" w:cs="方正仿宋_GBK"/>
          <w:color w:val="000000"/>
          <w:sz w:val="28"/>
        </w:rPr>
        <w:t>22.2024年小微企业质量体系认证提升经费绩效目标表</w:t>
      </w:r>
      <w:bookmarkEnd w:id="3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416001涞水县市场监督管理局本级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13062324P00810110003H</w:t>
            </w:r>
          </w:p>
        </w:tc>
        <w:tc>
          <w:tcPr>
            <w:tcW w:w="1587" w:type="dxa"/>
            <w:vAlign w:val="center"/>
          </w:tcPr>
          <w:p>
            <w:pPr>
              <w:pStyle w:val="15"/>
            </w:pPr>
            <w:r>
              <w:t>项目名称</w:t>
            </w:r>
          </w:p>
        </w:tc>
        <w:tc>
          <w:tcPr>
            <w:tcW w:w="4422" w:type="dxa"/>
            <w:gridSpan w:val="3"/>
            <w:vAlign w:val="center"/>
          </w:tcPr>
          <w:p>
            <w:pPr>
              <w:pStyle w:val="17"/>
            </w:pPr>
            <w:r>
              <w:t>2024年小微企业质量体系认证提升经费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3.00</w:t>
            </w:r>
          </w:p>
        </w:tc>
        <w:tc>
          <w:tcPr>
            <w:tcW w:w="1587" w:type="dxa"/>
            <w:vAlign w:val="center"/>
          </w:tcPr>
          <w:p>
            <w:pPr>
              <w:pStyle w:val="15"/>
            </w:pPr>
            <w:r>
              <w:t>其中：财政    资金</w:t>
            </w:r>
          </w:p>
        </w:tc>
        <w:tc>
          <w:tcPr>
            <w:tcW w:w="1304" w:type="dxa"/>
            <w:vAlign w:val="center"/>
          </w:tcPr>
          <w:p>
            <w:pPr>
              <w:pStyle w:val="17"/>
            </w:pPr>
            <w:r>
              <w:t>3.00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小微企业提升支出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3.00</w:t>
            </w:r>
          </w:p>
        </w:tc>
        <w:tc>
          <w:tcPr>
            <w:tcW w:w="3118"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w:t>
            </w:r>
            <w:r>
              <w:tab/>
            </w:r>
            <w:r>
              <w:t>铜火锅企业质量体系认证提升，提升区域产品质量整体水平</w:t>
            </w:r>
            <w:r>
              <w:tab/>
            </w:r>
            <w:r>
              <w:tab/>
            </w:r>
            <w:r>
              <w:tab/>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选取企业个数</w:t>
            </w:r>
          </w:p>
        </w:tc>
        <w:tc>
          <w:tcPr>
            <w:tcW w:w="2891" w:type="dxa"/>
            <w:vAlign w:val="center"/>
          </w:tcPr>
          <w:p>
            <w:pPr>
              <w:pStyle w:val="17"/>
            </w:pPr>
            <w:r>
              <w:t>选取企业个数情况</w:t>
            </w:r>
          </w:p>
        </w:tc>
        <w:tc>
          <w:tcPr>
            <w:tcW w:w="1276" w:type="dxa"/>
            <w:vAlign w:val="center"/>
          </w:tcPr>
          <w:p>
            <w:pPr>
              <w:pStyle w:val="17"/>
            </w:pPr>
            <w:r>
              <w:t>≥3家</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业务工作完成率（%）</w:t>
            </w:r>
          </w:p>
        </w:tc>
        <w:tc>
          <w:tcPr>
            <w:tcW w:w="2891" w:type="dxa"/>
            <w:vAlign w:val="center"/>
          </w:tcPr>
          <w:p>
            <w:pPr>
              <w:pStyle w:val="17"/>
            </w:pPr>
            <w:r>
              <w:t>业务工作完成率（%）</w:t>
            </w:r>
          </w:p>
        </w:tc>
        <w:tc>
          <w:tcPr>
            <w:tcW w:w="1276" w:type="dxa"/>
            <w:vAlign w:val="center"/>
          </w:tcPr>
          <w:p>
            <w:pPr>
              <w:pStyle w:val="17"/>
            </w:pPr>
            <w:r>
              <w:t>≥90%</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项目按时完成率</w:t>
            </w:r>
          </w:p>
        </w:tc>
        <w:tc>
          <w:tcPr>
            <w:tcW w:w="2891" w:type="dxa"/>
            <w:vAlign w:val="center"/>
          </w:tcPr>
          <w:p>
            <w:pPr>
              <w:pStyle w:val="17"/>
            </w:pPr>
            <w:r>
              <w:t>项目按时完成率</w:t>
            </w:r>
          </w:p>
        </w:tc>
        <w:tc>
          <w:tcPr>
            <w:tcW w:w="1276" w:type="dxa"/>
            <w:vAlign w:val="center"/>
          </w:tcPr>
          <w:p>
            <w:pPr>
              <w:pStyle w:val="17"/>
            </w:pPr>
            <w:r>
              <w:t>≥90%</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严格控制预算</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社会影响力</w:t>
            </w:r>
          </w:p>
        </w:tc>
        <w:tc>
          <w:tcPr>
            <w:tcW w:w="2891" w:type="dxa"/>
            <w:vAlign w:val="center"/>
          </w:tcPr>
          <w:p>
            <w:pPr>
              <w:pStyle w:val="17"/>
            </w:pPr>
            <w:r>
              <w:t>社会影响力</w:t>
            </w:r>
          </w:p>
        </w:tc>
        <w:tc>
          <w:tcPr>
            <w:tcW w:w="1276" w:type="dxa"/>
            <w:vAlign w:val="center"/>
          </w:tcPr>
          <w:p>
            <w:pPr>
              <w:pStyle w:val="17"/>
            </w:pPr>
            <w:r>
              <w:t>开展质量体系认证提升，提高区域产品质量水平</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群众满意度</w:t>
            </w:r>
          </w:p>
        </w:tc>
        <w:tc>
          <w:tcPr>
            <w:tcW w:w="1276" w:type="dxa"/>
            <w:vAlign w:val="center"/>
          </w:tcPr>
          <w:p>
            <w:pPr>
              <w:pStyle w:val="17"/>
            </w:pPr>
            <w:r>
              <w:t>≥90%</w:t>
            </w:r>
          </w:p>
        </w:tc>
        <w:tc>
          <w:tcPr>
            <w:tcW w:w="1843" w:type="dxa"/>
            <w:vAlign w:val="center"/>
          </w:tcPr>
          <w:p>
            <w:pPr>
              <w:pStyle w:val="17"/>
            </w:pPr>
            <w:r>
              <w:t>政府请示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8" w:name="_Toc_4_4_0000000026"/>
      <w:r>
        <w:rPr>
          <w:rFonts w:ascii="方正仿宋_GBK" w:hAnsi="方正仿宋_GBK" w:eastAsia="方正仿宋_GBK" w:cs="方正仿宋_GBK"/>
          <w:color w:val="000000"/>
          <w:sz w:val="28"/>
        </w:rPr>
        <w:t>23.2024年药品检测监测经费绩效目标表</w:t>
      </w:r>
      <w:bookmarkEnd w:id="3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416001涞水县市场监督管理局本级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13062324P00800710003U</w:t>
            </w:r>
          </w:p>
        </w:tc>
        <w:tc>
          <w:tcPr>
            <w:tcW w:w="1587" w:type="dxa"/>
            <w:vAlign w:val="center"/>
          </w:tcPr>
          <w:p>
            <w:pPr>
              <w:pStyle w:val="15"/>
            </w:pPr>
            <w:r>
              <w:t>项目名称</w:t>
            </w:r>
          </w:p>
        </w:tc>
        <w:tc>
          <w:tcPr>
            <w:tcW w:w="4422" w:type="dxa"/>
            <w:gridSpan w:val="3"/>
            <w:vAlign w:val="center"/>
          </w:tcPr>
          <w:p>
            <w:pPr>
              <w:pStyle w:val="17"/>
            </w:pPr>
            <w:r>
              <w:t>2024年药品检测监测经费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5.00</w:t>
            </w:r>
          </w:p>
        </w:tc>
        <w:tc>
          <w:tcPr>
            <w:tcW w:w="1587" w:type="dxa"/>
            <w:vAlign w:val="center"/>
          </w:tcPr>
          <w:p>
            <w:pPr>
              <w:pStyle w:val="15"/>
            </w:pPr>
            <w:r>
              <w:t>其中：财政    资金</w:t>
            </w:r>
          </w:p>
        </w:tc>
        <w:tc>
          <w:tcPr>
            <w:tcW w:w="1304" w:type="dxa"/>
            <w:vAlign w:val="center"/>
          </w:tcPr>
          <w:p>
            <w:pPr>
              <w:pStyle w:val="17"/>
            </w:pPr>
            <w:r>
              <w:t>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药品检测监测支出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3.00</w:t>
            </w:r>
          </w:p>
        </w:tc>
        <w:tc>
          <w:tcPr>
            <w:tcW w:w="1304" w:type="dxa"/>
            <w:vAlign w:val="center"/>
          </w:tcPr>
          <w:p>
            <w:pPr>
              <w:pStyle w:val="18"/>
            </w:pPr>
            <w:r>
              <w:t>5.00</w:t>
            </w:r>
          </w:p>
        </w:tc>
        <w:tc>
          <w:tcPr>
            <w:tcW w:w="3118"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1.抽检药品，保证人民群众用药安全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抽检药品批次</w:t>
            </w:r>
          </w:p>
        </w:tc>
        <w:tc>
          <w:tcPr>
            <w:tcW w:w="2891" w:type="dxa"/>
            <w:vAlign w:val="center"/>
          </w:tcPr>
          <w:p>
            <w:pPr>
              <w:pStyle w:val="17"/>
            </w:pPr>
            <w:r>
              <w:t>抽检药品批次情况</w:t>
            </w:r>
          </w:p>
        </w:tc>
        <w:tc>
          <w:tcPr>
            <w:tcW w:w="1276" w:type="dxa"/>
            <w:vAlign w:val="center"/>
          </w:tcPr>
          <w:p>
            <w:pPr>
              <w:pStyle w:val="17"/>
            </w:pPr>
            <w:r>
              <w:t>≥20批次</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药品不良反应培训人数</w:t>
            </w:r>
          </w:p>
        </w:tc>
        <w:tc>
          <w:tcPr>
            <w:tcW w:w="2891" w:type="dxa"/>
            <w:vAlign w:val="center"/>
          </w:tcPr>
          <w:p>
            <w:pPr>
              <w:pStyle w:val="17"/>
            </w:pPr>
            <w:r>
              <w:t>药品不良反应培训情况</w:t>
            </w:r>
          </w:p>
        </w:tc>
        <w:tc>
          <w:tcPr>
            <w:tcW w:w="1276" w:type="dxa"/>
            <w:vAlign w:val="center"/>
          </w:tcPr>
          <w:p>
            <w:pPr>
              <w:pStyle w:val="17"/>
            </w:pPr>
            <w:r>
              <w:t>≥100人</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药品检验合格率</w:t>
            </w:r>
          </w:p>
        </w:tc>
        <w:tc>
          <w:tcPr>
            <w:tcW w:w="2891" w:type="dxa"/>
            <w:vAlign w:val="center"/>
          </w:tcPr>
          <w:p>
            <w:pPr>
              <w:pStyle w:val="17"/>
            </w:pPr>
            <w:r>
              <w:t>药品检验合格情况</w:t>
            </w:r>
          </w:p>
        </w:tc>
        <w:tc>
          <w:tcPr>
            <w:tcW w:w="1276" w:type="dxa"/>
            <w:vAlign w:val="center"/>
          </w:tcPr>
          <w:p>
            <w:pPr>
              <w:pStyle w:val="17"/>
            </w:pPr>
            <w:r>
              <w:t>≥90%</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严格预算支出</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安全运行</w:t>
            </w:r>
          </w:p>
        </w:tc>
        <w:tc>
          <w:tcPr>
            <w:tcW w:w="2891" w:type="dxa"/>
            <w:vAlign w:val="center"/>
          </w:tcPr>
          <w:p>
            <w:pPr>
              <w:pStyle w:val="17"/>
            </w:pPr>
            <w:r>
              <w:t>不发生重大事故</w:t>
            </w:r>
          </w:p>
        </w:tc>
        <w:tc>
          <w:tcPr>
            <w:tcW w:w="1276" w:type="dxa"/>
            <w:vAlign w:val="center"/>
          </w:tcPr>
          <w:p>
            <w:pPr>
              <w:pStyle w:val="17"/>
            </w:pPr>
            <w:r>
              <w:t>药品市场安全运行，不发生事故</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服务对象的满意度</w:t>
            </w:r>
          </w:p>
        </w:tc>
        <w:tc>
          <w:tcPr>
            <w:tcW w:w="2891" w:type="dxa"/>
            <w:vAlign w:val="center"/>
          </w:tcPr>
          <w:p>
            <w:pPr>
              <w:pStyle w:val="17"/>
            </w:pPr>
            <w:r>
              <w:t>服务对象的满意度</w:t>
            </w:r>
          </w:p>
        </w:tc>
        <w:tc>
          <w:tcPr>
            <w:tcW w:w="1276" w:type="dxa"/>
            <w:vAlign w:val="center"/>
          </w:tcPr>
          <w:p>
            <w:pPr>
              <w:pStyle w:val="17"/>
            </w:pPr>
            <w:r>
              <w:t>≥90%</w:t>
            </w:r>
          </w:p>
        </w:tc>
        <w:tc>
          <w:tcPr>
            <w:tcW w:w="1843" w:type="dxa"/>
            <w:vAlign w:val="center"/>
          </w:tcPr>
          <w:p>
            <w:pPr>
              <w:pStyle w:val="17"/>
            </w:pPr>
            <w:r>
              <w:t>政府批示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9" w:name="_Toc_4_4_0000000027"/>
      <w:r>
        <w:rPr>
          <w:rFonts w:ascii="方正仿宋_GBK" w:hAnsi="方正仿宋_GBK" w:eastAsia="方正仿宋_GBK" w:cs="方正仿宋_GBK"/>
          <w:color w:val="000000"/>
          <w:sz w:val="28"/>
        </w:rPr>
        <w:t>24.2024年政府质量奖工作经费绩效目标表</w:t>
      </w:r>
      <w:bookmarkEnd w:id="3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416001涞水县市场监督管理局本级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13062324P00870710004M</w:t>
            </w:r>
          </w:p>
        </w:tc>
        <w:tc>
          <w:tcPr>
            <w:tcW w:w="1587" w:type="dxa"/>
            <w:vAlign w:val="center"/>
          </w:tcPr>
          <w:p>
            <w:pPr>
              <w:pStyle w:val="15"/>
            </w:pPr>
            <w:r>
              <w:t>项目名称</w:t>
            </w:r>
          </w:p>
        </w:tc>
        <w:tc>
          <w:tcPr>
            <w:tcW w:w="4422" w:type="dxa"/>
            <w:gridSpan w:val="3"/>
            <w:vAlign w:val="center"/>
          </w:tcPr>
          <w:p>
            <w:pPr>
              <w:pStyle w:val="17"/>
            </w:pPr>
            <w:r>
              <w:t>2024年政府质量奖工作经费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5.00</w:t>
            </w:r>
          </w:p>
        </w:tc>
        <w:tc>
          <w:tcPr>
            <w:tcW w:w="1587" w:type="dxa"/>
            <w:vAlign w:val="center"/>
          </w:tcPr>
          <w:p>
            <w:pPr>
              <w:pStyle w:val="15"/>
            </w:pPr>
            <w:r>
              <w:t>其中：财政    资金</w:t>
            </w:r>
          </w:p>
        </w:tc>
        <w:tc>
          <w:tcPr>
            <w:tcW w:w="1304" w:type="dxa"/>
            <w:vAlign w:val="center"/>
          </w:tcPr>
          <w:p>
            <w:pPr>
              <w:pStyle w:val="17"/>
            </w:pPr>
            <w:r>
              <w:t>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政府质量奖评审支出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5.00</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1.确保质量奖评选正常进行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培训企业数量</w:t>
            </w:r>
          </w:p>
        </w:tc>
        <w:tc>
          <w:tcPr>
            <w:tcW w:w="2891" w:type="dxa"/>
            <w:vAlign w:val="center"/>
          </w:tcPr>
          <w:p>
            <w:pPr>
              <w:pStyle w:val="17"/>
            </w:pPr>
            <w:r>
              <w:t>培训企业数量情况</w:t>
            </w:r>
          </w:p>
        </w:tc>
        <w:tc>
          <w:tcPr>
            <w:tcW w:w="1276" w:type="dxa"/>
            <w:vAlign w:val="center"/>
          </w:tcPr>
          <w:p>
            <w:pPr>
              <w:pStyle w:val="17"/>
            </w:pPr>
            <w:r>
              <w:t>≥20家</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培训计划按期完成率</w:t>
            </w:r>
          </w:p>
        </w:tc>
        <w:tc>
          <w:tcPr>
            <w:tcW w:w="2891" w:type="dxa"/>
            <w:vAlign w:val="center"/>
          </w:tcPr>
          <w:p>
            <w:pPr>
              <w:pStyle w:val="17"/>
            </w:pPr>
            <w:r>
              <w:t>按期完成的培训计划占总培训计划的比率</w:t>
            </w:r>
          </w:p>
        </w:tc>
        <w:tc>
          <w:tcPr>
            <w:tcW w:w="1276" w:type="dxa"/>
            <w:vAlign w:val="center"/>
          </w:tcPr>
          <w:p>
            <w:pPr>
              <w:pStyle w:val="17"/>
            </w:pPr>
            <w:r>
              <w:t>≥90%</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项目按时完成率</w:t>
            </w:r>
          </w:p>
        </w:tc>
        <w:tc>
          <w:tcPr>
            <w:tcW w:w="2891" w:type="dxa"/>
            <w:vAlign w:val="center"/>
          </w:tcPr>
          <w:p>
            <w:pPr>
              <w:pStyle w:val="17"/>
            </w:pPr>
            <w:r>
              <w:t>项目按时完成率</w:t>
            </w:r>
          </w:p>
        </w:tc>
        <w:tc>
          <w:tcPr>
            <w:tcW w:w="1276" w:type="dxa"/>
            <w:vAlign w:val="center"/>
          </w:tcPr>
          <w:p>
            <w:pPr>
              <w:pStyle w:val="17"/>
            </w:pPr>
            <w:r>
              <w:t>≥90%</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严格预算支出</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社会影响力</w:t>
            </w:r>
          </w:p>
        </w:tc>
        <w:tc>
          <w:tcPr>
            <w:tcW w:w="2891" w:type="dxa"/>
            <w:vAlign w:val="center"/>
          </w:tcPr>
          <w:p>
            <w:pPr>
              <w:pStyle w:val="17"/>
            </w:pPr>
            <w:r>
              <w:t>社会影响力</w:t>
            </w:r>
          </w:p>
        </w:tc>
        <w:tc>
          <w:tcPr>
            <w:tcW w:w="1276" w:type="dxa"/>
            <w:vAlign w:val="center"/>
          </w:tcPr>
          <w:p>
            <w:pPr>
              <w:pStyle w:val="17"/>
            </w:pPr>
            <w:r>
              <w:t>确保政府质量奖评审顺利进行</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群众满意度</w:t>
            </w:r>
          </w:p>
        </w:tc>
        <w:tc>
          <w:tcPr>
            <w:tcW w:w="1276" w:type="dxa"/>
            <w:vAlign w:val="center"/>
          </w:tcPr>
          <w:p>
            <w:pPr>
              <w:pStyle w:val="17"/>
            </w:pPr>
            <w:r>
              <w:t>≥90%</w:t>
            </w:r>
          </w:p>
        </w:tc>
        <w:tc>
          <w:tcPr>
            <w:tcW w:w="1843" w:type="dxa"/>
            <w:vAlign w:val="center"/>
          </w:tcPr>
          <w:p>
            <w:pPr>
              <w:pStyle w:val="17"/>
            </w:pPr>
            <w:r>
              <w:t>政府请示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0" w:name="_Toc_4_4_0000000028"/>
      <w:r>
        <w:rPr>
          <w:rFonts w:ascii="方正仿宋_GBK" w:hAnsi="方正仿宋_GBK" w:eastAsia="方正仿宋_GBK" w:cs="方正仿宋_GBK"/>
          <w:color w:val="000000"/>
          <w:sz w:val="28"/>
        </w:rPr>
        <w:t>25.2024年政府质量奖奖励经费绩效目标表</w:t>
      </w:r>
      <w:bookmarkEnd w:id="4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416001涞水县市场监督管理局本级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13062324P00870810004B</w:t>
            </w:r>
          </w:p>
        </w:tc>
        <w:tc>
          <w:tcPr>
            <w:tcW w:w="1587" w:type="dxa"/>
            <w:vAlign w:val="center"/>
          </w:tcPr>
          <w:p>
            <w:pPr>
              <w:pStyle w:val="15"/>
            </w:pPr>
            <w:r>
              <w:t>项目名称</w:t>
            </w:r>
          </w:p>
        </w:tc>
        <w:tc>
          <w:tcPr>
            <w:tcW w:w="4422" w:type="dxa"/>
            <w:gridSpan w:val="3"/>
            <w:vAlign w:val="center"/>
          </w:tcPr>
          <w:p>
            <w:pPr>
              <w:pStyle w:val="17"/>
            </w:pPr>
            <w:r>
              <w:t>2024年政府质量奖奖励经费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54.00</w:t>
            </w:r>
          </w:p>
        </w:tc>
        <w:tc>
          <w:tcPr>
            <w:tcW w:w="1587" w:type="dxa"/>
            <w:vAlign w:val="center"/>
          </w:tcPr>
          <w:p>
            <w:pPr>
              <w:pStyle w:val="15"/>
            </w:pPr>
            <w:r>
              <w:t>其中：财政    资金</w:t>
            </w:r>
          </w:p>
        </w:tc>
        <w:tc>
          <w:tcPr>
            <w:tcW w:w="1304" w:type="dxa"/>
            <w:vAlign w:val="center"/>
          </w:tcPr>
          <w:p>
            <w:pPr>
              <w:pStyle w:val="17"/>
            </w:pPr>
            <w:r>
              <w:t>54.00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政府质量奖奖金支出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54.00</w:t>
            </w:r>
          </w:p>
        </w:tc>
        <w:tc>
          <w:tcPr>
            <w:tcW w:w="1304" w:type="dxa"/>
            <w:vAlign w:val="center"/>
          </w:tcPr>
          <w:p>
            <w:pPr>
              <w:pStyle w:val="18"/>
            </w:pPr>
            <w:r>
              <w:t xml:space="preserve"> </w:t>
            </w:r>
          </w:p>
        </w:tc>
        <w:tc>
          <w:tcPr>
            <w:tcW w:w="3118"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1.奖励获奖企业和个人，做好我县质量强县工作</w:t>
            </w:r>
            <w:r>
              <w:tab/>
            </w:r>
            <w:r>
              <w:tab/>
            </w:r>
            <w:r>
              <w:tab/>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获奖企业数量</w:t>
            </w:r>
          </w:p>
        </w:tc>
        <w:tc>
          <w:tcPr>
            <w:tcW w:w="2891" w:type="dxa"/>
            <w:vAlign w:val="center"/>
          </w:tcPr>
          <w:p>
            <w:pPr>
              <w:pStyle w:val="17"/>
            </w:pPr>
            <w:r>
              <w:t>获奖企业数量情况</w:t>
            </w:r>
          </w:p>
        </w:tc>
        <w:tc>
          <w:tcPr>
            <w:tcW w:w="1276" w:type="dxa"/>
            <w:vAlign w:val="center"/>
          </w:tcPr>
          <w:p>
            <w:pPr>
              <w:pStyle w:val="17"/>
            </w:pPr>
            <w:r>
              <w:t>5家</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奖金足额发放率</w:t>
            </w:r>
          </w:p>
        </w:tc>
        <w:tc>
          <w:tcPr>
            <w:tcW w:w="2891" w:type="dxa"/>
            <w:vAlign w:val="center"/>
          </w:tcPr>
          <w:p>
            <w:pPr>
              <w:pStyle w:val="17"/>
            </w:pPr>
            <w:r>
              <w:t>奖金足额发放率</w:t>
            </w:r>
          </w:p>
        </w:tc>
        <w:tc>
          <w:tcPr>
            <w:tcW w:w="1276" w:type="dxa"/>
            <w:vAlign w:val="center"/>
          </w:tcPr>
          <w:p>
            <w:pPr>
              <w:pStyle w:val="17"/>
            </w:pPr>
            <w:r>
              <w:t>100%</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奖金发放时间</w:t>
            </w:r>
          </w:p>
        </w:tc>
        <w:tc>
          <w:tcPr>
            <w:tcW w:w="2891" w:type="dxa"/>
            <w:vAlign w:val="center"/>
          </w:tcPr>
          <w:p>
            <w:pPr>
              <w:pStyle w:val="17"/>
            </w:pPr>
            <w:r>
              <w:t>奖金发放时间情况</w:t>
            </w:r>
          </w:p>
        </w:tc>
        <w:tc>
          <w:tcPr>
            <w:tcW w:w="1276" w:type="dxa"/>
            <w:vAlign w:val="center"/>
          </w:tcPr>
          <w:p>
            <w:pPr>
              <w:pStyle w:val="17"/>
            </w:pPr>
            <w:r>
              <w:t>≤10月</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严格预算支出</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品牌形象</w:t>
            </w:r>
          </w:p>
        </w:tc>
        <w:tc>
          <w:tcPr>
            <w:tcW w:w="2891" w:type="dxa"/>
            <w:vAlign w:val="center"/>
          </w:tcPr>
          <w:p>
            <w:pPr>
              <w:pStyle w:val="17"/>
            </w:pPr>
            <w:r>
              <w:t>品牌形象</w:t>
            </w:r>
          </w:p>
        </w:tc>
        <w:tc>
          <w:tcPr>
            <w:tcW w:w="1276" w:type="dxa"/>
            <w:vAlign w:val="center"/>
          </w:tcPr>
          <w:p>
            <w:pPr>
              <w:pStyle w:val="17"/>
            </w:pPr>
            <w:r>
              <w:t>获奖后提高企业品牌形象</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群众满意度</w:t>
            </w:r>
          </w:p>
        </w:tc>
        <w:tc>
          <w:tcPr>
            <w:tcW w:w="1276" w:type="dxa"/>
            <w:vAlign w:val="center"/>
          </w:tcPr>
          <w:p>
            <w:pPr>
              <w:pStyle w:val="17"/>
            </w:pPr>
            <w:r>
              <w:t>≥90%</w:t>
            </w:r>
          </w:p>
        </w:tc>
        <w:tc>
          <w:tcPr>
            <w:tcW w:w="1843" w:type="dxa"/>
            <w:vAlign w:val="center"/>
          </w:tcPr>
          <w:p>
            <w:pPr>
              <w:pStyle w:val="17"/>
            </w:pPr>
            <w:r>
              <w:t>政府请示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1" w:name="_Toc_4_4_0000000029"/>
      <w:r>
        <w:rPr>
          <w:rFonts w:ascii="方正仿宋_GBK" w:hAnsi="方正仿宋_GBK" w:eastAsia="方正仿宋_GBK" w:cs="方正仿宋_GBK"/>
          <w:color w:val="000000"/>
          <w:sz w:val="28"/>
        </w:rPr>
        <w:t>26.2024年知识产权保护工作专项经费绩效目标表</w:t>
      </w:r>
      <w:bookmarkEnd w:id="4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416001涞水县市场监督管理局本级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13062324P00799510003L</w:t>
            </w:r>
          </w:p>
        </w:tc>
        <w:tc>
          <w:tcPr>
            <w:tcW w:w="1587" w:type="dxa"/>
            <w:vAlign w:val="center"/>
          </w:tcPr>
          <w:p>
            <w:pPr>
              <w:pStyle w:val="15"/>
            </w:pPr>
            <w:r>
              <w:t>项目名称</w:t>
            </w:r>
          </w:p>
        </w:tc>
        <w:tc>
          <w:tcPr>
            <w:tcW w:w="4422" w:type="dxa"/>
            <w:gridSpan w:val="3"/>
            <w:vAlign w:val="center"/>
          </w:tcPr>
          <w:p>
            <w:pPr>
              <w:pStyle w:val="17"/>
            </w:pPr>
            <w:r>
              <w:t>2024年知识产权保护工作专项经费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5.00</w:t>
            </w:r>
          </w:p>
        </w:tc>
        <w:tc>
          <w:tcPr>
            <w:tcW w:w="1587" w:type="dxa"/>
            <w:vAlign w:val="center"/>
          </w:tcPr>
          <w:p>
            <w:pPr>
              <w:pStyle w:val="15"/>
            </w:pPr>
            <w:r>
              <w:t>其中：财政    资金</w:t>
            </w:r>
          </w:p>
        </w:tc>
        <w:tc>
          <w:tcPr>
            <w:tcW w:w="1304" w:type="dxa"/>
            <w:vAlign w:val="center"/>
          </w:tcPr>
          <w:p>
            <w:pPr>
              <w:pStyle w:val="17"/>
            </w:pPr>
            <w:r>
              <w:t>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知识产权保护支出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2.00</w:t>
            </w:r>
          </w:p>
        </w:tc>
        <w:tc>
          <w:tcPr>
            <w:tcW w:w="1587" w:type="dxa"/>
            <w:vAlign w:val="center"/>
          </w:tcPr>
          <w:p>
            <w:pPr>
              <w:pStyle w:val="18"/>
            </w:pPr>
            <w:r>
              <w:t>3.00</w:t>
            </w:r>
          </w:p>
        </w:tc>
        <w:tc>
          <w:tcPr>
            <w:tcW w:w="1304" w:type="dxa"/>
            <w:vAlign w:val="center"/>
          </w:tcPr>
          <w:p>
            <w:pPr>
              <w:pStyle w:val="18"/>
            </w:pPr>
            <w:r>
              <w:t>5.00</w:t>
            </w:r>
          </w:p>
        </w:tc>
        <w:tc>
          <w:tcPr>
            <w:tcW w:w="3118"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1.加大原产地地理标志商标、专利等工作的申报工作，为县域经济发展提供支持。</w:t>
            </w:r>
            <w:r>
              <w:tab/>
            </w:r>
            <w:r>
              <w:tab/>
            </w:r>
            <w:r>
              <w:tab/>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开展培训次数</w:t>
            </w:r>
          </w:p>
        </w:tc>
        <w:tc>
          <w:tcPr>
            <w:tcW w:w="2891" w:type="dxa"/>
            <w:vAlign w:val="center"/>
          </w:tcPr>
          <w:p>
            <w:pPr>
              <w:pStyle w:val="17"/>
            </w:pPr>
            <w:r>
              <w:t>知识产权培训情况</w:t>
            </w:r>
          </w:p>
        </w:tc>
        <w:tc>
          <w:tcPr>
            <w:tcW w:w="1276" w:type="dxa"/>
            <w:vAlign w:val="center"/>
          </w:tcPr>
          <w:p>
            <w:pPr>
              <w:pStyle w:val="17"/>
            </w:pPr>
            <w:r>
              <w:t>≥2次</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专利、地理商标申办率</w:t>
            </w:r>
          </w:p>
        </w:tc>
        <w:tc>
          <w:tcPr>
            <w:tcW w:w="2891" w:type="dxa"/>
            <w:vAlign w:val="center"/>
          </w:tcPr>
          <w:p>
            <w:pPr>
              <w:pStyle w:val="17"/>
            </w:pPr>
            <w:r>
              <w:t>专利地理商标申办情况</w:t>
            </w:r>
          </w:p>
        </w:tc>
        <w:tc>
          <w:tcPr>
            <w:tcW w:w="1276" w:type="dxa"/>
            <w:vAlign w:val="center"/>
          </w:tcPr>
          <w:p>
            <w:pPr>
              <w:pStyle w:val="17"/>
            </w:pPr>
            <w:r>
              <w:t>≥90%</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申请使用地理标志专用标识时效</w:t>
            </w:r>
          </w:p>
        </w:tc>
        <w:tc>
          <w:tcPr>
            <w:tcW w:w="2891" w:type="dxa"/>
            <w:vAlign w:val="center"/>
          </w:tcPr>
          <w:p>
            <w:pPr>
              <w:pStyle w:val="17"/>
            </w:pPr>
            <w:r>
              <w:t>申请使用地理标志专用标识时效情况</w:t>
            </w:r>
          </w:p>
        </w:tc>
        <w:tc>
          <w:tcPr>
            <w:tcW w:w="1276" w:type="dxa"/>
            <w:vAlign w:val="center"/>
          </w:tcPr>
          <w:p>
            <w:pPr>
              <w:pStyle w:val="17"/>
            </w:pPr>
            <w:r>
              <w:t>≤20工作日</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控制在预算内</w:t>
            </w:r>
          </w:p>
        </w:tc>
        <w:tc>
          <w:tcPr>
            <w:tcW w:w="2891" w:type="dxa"/>
            <w:vAlign w:val="center"/>
          </w:tcPr>
          <w:p>
            <w:pPr>
              <w:pStyle w:val="17"/>
            </w:pPr>
            <w:r>
              <w:t>控制在预算内</w:t>
            </w:r>
          </w:p>
        </w:tc>
        <w:tc>
          <w:tcPr>
            <w:tcW w:w="1276" w:type="dxa"/>
            <w:vAlign w:val="center"/>
          </w:tcPr>
          <w:p>
            <w:pPr>
              <w:pStyle w:val="17"/>
            </w:pPr>
            <w:r>
              <w:t>按预算执行</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提高本单位工作人员的业务水平</w:t>
            </w:r>
          </w:p>
        </w:tc>
        <w:tc>
          <w:tcPr>
            <w:tcW w:w="2891" w:type="dxa"/>
            <w:vAlign w:val="center"/>
          </w:tcPr>
          <w:p>
            <w:pPr>
              <w:pStyle w:val="17"/>
            </w:pPr>
            <w:r>
              <w:t>通过出差培训等活动，提高工作人员相关业务素质</w:t>
            </w:r>
          </w:p>
        </w:tc>
        <w:tc>
          <w:tcPr>
            <w:tcW w:w="1276" w:type="dxa"/>
            <w:vAlign w:val="center"/>
          </w:tcPr>
          <w:p>
            <w:pPr>
              <w:pStyle w:val="17"/>
            </w:pPr>
            <w:r>
              <w:t>外出培训、网络培训提高工作人员业务水平</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群众满意度</w:t>
            </w:r>
          </w:p>
        </w:tc>
        <w:tc>
          <w:tcPr>
            <w:tcW w:w="1276" w:type="dxa"/>
            <w:vAlign w:val="center"/>
          </w:tcPr>
          <w:p>
            <w:pPr>
              <w:pStyle w:val="17"/>
            </w:pPr>
            <w:r>
              <w:t>≥90%</w:t>
            </w:r>
          </w:p>
        </w:tc>
        <w:tc>
          <w:tcPr>
            <w:tcW w:w="1843" w:type="dxa"/>
            <w:vAlign w:val="center"/>
          </w:tcPr>
          <w:p>
            <w:pPr>
              <w:pStyle w:val="17"/>
            </w:pPr>
            <w:r>
              <w:t>政府批示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2" w:name="_Toc_4_4_0000000030"/>
      <w:r>
        <w:rPr>
          <w:rFonts w:ascii="方正仿宋_GBK" w:hAnsi="方正仿宋_GBK" w:eastAsia="方正仿宋_GBK" w:cs="方正仿宋_GBK"/>
          <w:color w:val="000000"/>
          <w:sz w:val="28"/>
        </w:rPr>
        <w:t>27.2024年执法办案专项经费绩效目标表</w:t>
      </w:r>
      <w:bookmarkEnd w:id="4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416001涞水县市场监督管理局本级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13062324P00799610003A</w:t>
            </w:r>
          </w:p>
        </w:tc>
        <w:tc>
          <w:tcPr>
            <w:tcW w:w="1587" w:type="dxa"/>
            <w:vAlign w:val="center"/>
          </w:tcPr>
          <w:p>
            <w:pPr>
              <w:pStyle w:val="15"/>
            </w:pPr>
            <w:r>
              <w:t>项目名称</w:t>
            </w:r>
          </w:p>
        </w:tc>
        <w:tc>
          <w:tcPr>
            <w:tcW w:w="4422" w:type="dxa"/>
            <w:gridSpan w:val="3"/>
            <w:vAlign w:val="center"/>
          </w:tcPr>
          <w:p>
            <w:pPr>
              <w:pStyle w:val="17"/>
            </w:pPr>
            <w:r>
              <w:t>2024年执法办案专项经费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20.00</w:t>
            </w:r>
          </w:p>
        </w:tc>
        <w:tc>
          <w:tcPr>
            <w:tcW w:w="1587" w:type="dxa"/>
            <w:vAlign w:val="center"/>
          </w:tcPr>
          <w:p>
            <w:pPr>
              <w:pStyle w:val="15"/>
            </w:pPr>
            <w:r>
              <w:t>其中：财政    资金</w:t>
            </w:r>
          </w:p>
        </w:tc>
        <w:tc>
          <w:tcPr>
            <w:tcW w:w="1304" w:type="dxa"/>
            <w:vAlign w:val="center"/>
          </w:tcPr>
          <w:p>
            <w:pPr>
              <w:pStyle w:val="17"/>
            </w:pPr>
            <w:r>
              <w:t>20.00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执法办案支出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5.00</w:t>
            </w:r>
          </w:p>
        </w:tc>
        <w:tc>
          <w:tcPr>
            <w:tcW w:w="1304" w:type="dxa"/>
            <w:vAlign w:val="center"/>
          </w:tcPr>
          <w:p>
            <w:pPr>
              <w:pStyle w:val="18"/>
            </w:pPr>
            <w:r>
              <w:t>15.00</w:t>
            </w:r>
          </w:p>
        </w:tc>
        <w:tc>
          <w:tcPr>
            <w:tcW w:w="3118" w:type="dxa"/>
            <w:gridSpan w:val="2"/>
            <w:vAlign w:val="center"/>
          </w:tcPr>
          <w:p>
            <w:pPr>
              <w:pStyle w:val="18"/>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1.对违法市场监管相关法律法规行为进行查处，维护消费者权益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监督检查次数</w:t>
            </w:r>
          </w:p>
        </w:tc>
        <w:tc>
          <w:tcPr>
            <w:tcW w:w="2891" w:type="dxa"/>
            <w:vAlign w:val="center"/>
          </w:tcPr>
          <w:p>
            <w:pPr>
              <w:pStyle w:val="17"/>
            </w:pPr>
            <w:r>
              <w:t>监督检查次数</w:t>
            </w:r>
          </w:p>
        </w:tc>
        <w:tc>
          <w:tcPr>
            <w:tcW w:w="1276" w:type="dxa"/>
            <w:vAlign w:val="center"/>
          </w:tcPr>
          <w:p>
            <w:pPr>
              <w:pStyle w:val="17"/>
            </w:pPr>
            <w:r>
              <w:t>≥80次</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大案要案查处率</w:t>
            </w:r>
          </w:p>
        </w:tc>
        <w:tc>
          <w:tcPr>
            <w:tcW w:w="2891" w:type="dxa"/>
            <w:vAlign w:val="center"/>
          </w:tcPr>
          <w:p>
            <w:pPr>
              <w:pStyle w:val="17"/>
            </w:pPr>
            <w:r>
              <w:t>大案要案查处率</w:t>
            </w:r>
          </w:p>
        </w:tc>
        <w:tc>
          <w:tcPr>
            <w:tcW w:w="1276" w:type="dxa"/>
            <w:vAlign w:val="center"/>
          </w:tcPr>
          <w:p>
            <w:pPr>
              <w:pStyle w:val="17"/>
            </w:pPr>
            <w:r>
              <w:t>≥90%</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案件、资料上报及时率</w:t>
            </w:r>
          </w:p>
        </w:tc>
        <w:tc>
          <w:tcPr>
            <w:tcW w:w="2891" w:type="dxa"/>
            <w:vAlign w:val="center"/>
          </w:tcPr>
          <w:p>
            <w:pPr>
              <w:pStyle w:val="17"/>
            </w:pPr>
            <w:r>
              <w:t>案件、资料上报及时率</w:t>
            </w:r>
          </w:p>
        </w:tc>
        <w:tc>
          <w:tcPr>
            <w:tcW w:w="1276" w:type="dxa"/>
            <w:vAlign w:val="center"/>
          </w:tcPr>
          <w:p>
            <w:pPr>
              <w:pStyle w:val="17"/>
            </w:pPr>
            <w:r>
              <w:t>≥90%</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严格预算支出</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社会影响力</w:t>
            </w:r>
          </w:p>
        </w:tc>
        <w:tc>
          <w:tcPr>
            <w:tcW w:w="2891" w:type="dxa"/>
            <w:vAlign w:val="center"/>
          </w:tcPr>
          <w:p>
            <w:pPr>
              <w:pStyle w:val="17"/>
            </w:pPr>
            <w:r>
              <w:t>社会影响力</w:t>
            </w:r>
          </w:p>
        </w:tc>
        <w:tc>
          <w:tcPr>
            <w:tcW w:w="1276" w:type="dxa"/>
            <w:vAlign w:val="center"/>
          </w:tcPr>
          <w:p>
            <w:pPr>
              <w:pStyle w:val="17"/>
            </w:pPr>
            <w:r>
              <w:t>严格执法，保护消费者权益。</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≥90%</w:t>
            </w:r>
          </w:p>
        </w:tc>
        <w:tc>
          <w:tcPr>
            <w:tcW w:w="1843" w:type="dxa"/>
            <w:vAlign w:val="center"/>
          </w:tcPr>
          <w:p>
            <w:pPr>
              <w:pStyle w:val="17"/>
            </w:pPr>
            <w:r>
              <w:t>政府请示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3" w:name="_Toc_4_4_0000000031"/>
      <w:r>
        <w:rPr>
          <w:rFonts w:ascii="方正仿宋_GBK" w:hAnsi="方正仿宋_GBK" w:eastAsia="方正仿宋_GBK" w:cs="方正仿宋_GBK"/>
          <w:color w:val="000000"/>
          <w:sz w:val="28"/>
        </w:rPr>
        <w:t>28.2024年专用仪器设备购置经费绩效目标表</w:t>
      </w:r>
      <w:bookmarkEnd w:id="4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416001涞水县市场监督管理局本级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13062324P008011100031</w:t>
            </w:r>
          </w:p>
        </w:tc>
        <w:tc>
          <w:tcPr>
            <w:tcW w:w="1587" w:type="dxa"/>
            <w:vAlign w:val="center"/>
          </w:tcPr>
          <w:p>
            <w:pPr>
              <w:pStyle w:val="15"/>
            </w:pPr>
            <w:r>
              <w:t>项目名称</w:t>
            </w:r>
          </w:p>
        </w:tc>
        <w:tc>
          <w:tcPr>
            <w:tcW w:w="4422" w:type="dxa"/>
            <w:gridSpan w:val="3"/>
            <w:vAlign w:val="center"/>
          </w:tcPr>
          <w:p>
            <w:pPr>
              <w:pStyle w:val="17"/>
            </w:pPr>
            <w:r>
              <w:t>2024年专用仪器设备购置经费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30.00</w:t>
            </w:r>
          </w:p>
        </w:tc>
        <w:tc>
          <w:tcPr>
            <w:tcW w:w="1587" w:type="dxa"/>
            <w:vAlign w:val="center"/>
          </w:tcPr>
          <w:p>
            <w:pPr>
              <w:pStyle w:val="15"/>
            </w:pPr>
            <w:r>
              <w:t>其中：财政    资金</w:t>
            </w:r>
          </w:p>
        </w:tc>
        <w:tc>
          <w:tcPr>
            <w:tcW w:w="1304" w:type="dxa"/>
            <w:vAlign w:val="center"/>
          </w:tcPr>
          <w:p>
            <w:pPr>
              <w:pStyle w:val="17"/>
            </w:pPr>
            <w:r>
              <w:t>30.00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采购计量设备支出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30.00</w:t>
            </w:r>
          </w:p>
        </w:tc>
        <w:tc>
          <w:tcPr>
            <w:tcW w:w="3118"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w:t>
            </w:r>
            <w:r>
              <w:tab/>
            </w:r>
            <w:r>
              <w:t>更新购置计量设备，保障计量计量检定工作正常开展</w:t>
            </w:r>
            <w:r>
              <w:tab/>
            </w:r>
            <w:r>
              <w:tab/>
            </w:r>
            <w:r>
              <w:tab/>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购置计量设备数量</w:t>
            </w:r>
          </w:p>
        </w:tc>
        <w:tc>
          <w:tcPr>
            <w:tcW w:w="2891" w:type="dxa"/>
            <w:vAlign w:val="center"/>
          </w:tcPr>
          <w:p>
            <w:pPr>
              <w:pStyle w:val="17"/>
            </w:pPr>
            <w:r>
              <w:t>购置计量设备数量情况</w:t>
            </w:r>
          </w:p>
        </w:tc>
        <w:tc>
          <w:tcPr>
            <w:tcW w:w="1276" w:type="dxa"/>
            <w:vAlign w:val="center"/>
          </w:tcPr>
          <w:p>
            <w:pPr>
              <w:pStyle w:val="17"/>
            </w:pPr>
            <w:r>
              <w:t>≥3件</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财政拨款保障率</w:t>
            </w:r>
          </w:p>
          <w:p>
            <w:pPr>
              <w:pStyle w:val="17"/>
            </w:pPr>
          </w:p>
        </w:tc>
        <w:tc>
          <w:tcPr>
            <w:tcW w:w="2891" w:type="dxa"/>
            <w:vAlign w:val="center"/>
          </w:tcPr>
          <w:p>
            <w:pPr>
              <w:pStyle w:val="17"/>
            </w:pPr>
            <w:r>
              <w:t>财政拨款保障率</w:t>
            </w:r>
          </w:p>
          <w:p>
            <w:pPr>
              <w:pStyle w:val="17"/>
            </w:pPr>
          </w:p>
          <w:p>
            <w:pPr>
              <w:pStyle w:val="17"/>
            </w:pPr>
          </w:p>
        </w:tc>
        <w:tc>
          <w:tcPr>
            <w:tcW w:w="1276" w:type="dxa"/>
            <w:vAlign w:val="center"/>
          </w:tcPr>
          <w:p>
            <w:pPr>
              <w:pStyle w:val="17"/>
            </w:pPr>
            <w:r>
              <w:t>≥90%</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完成采购时限</w:t>
            </w:r>
          </w:p>
        </w:tc>
        <w:tc>
          <w:tcPr>
            <w:tcW w:w="2891" w:type="dxa"/>
            <w:vAlign w:val="center"/>
          </w:tcPr>
          <w:p>
            <w:pPr>
              <w:pStyle w:val="17"/>
            </w:pPr>
            <w:r>
              <w:t>完成采购时限情况</w:t>
            </w:r>
          </w:p>
        </w:tc>
        <w:tc>
          <w:tcPr>
            <w:tcW w:w="1276" w:type="dxa"/>
            <w:vAlign w:val="center"/>
          </w:tcPr>
          <w:p>
            <w:pPr>
              <w:pStyle w:val="17"/>
            </w:pPr>
            <w:r>
              <w:t>12月底前完成</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严格控制预算</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提供优质服务</w:t>
            </w:r>
          </w:p>
        </w:tc>
        <w:tc>
          <w:tcPr>
            <w:tcW w:w="2891" w:type="dxa"/>
            <w:vAlign w:val="center"/>
          </w:tcPr>
          <w:p>
            <w:pPr>
              <w:pStyle w:val="17"/>
            </w:pPr>
            <w:r>
              <w:t>提供优质服务</w:t>
            </w:r>
          </w:p>
        </w:tc>
        <w:tc>
          <w:tcPr>
            <w:tcW w:w="1276" w:type="dxa"/>
            <w:vAlign w:val="center"/>
          </w:tcPr>
          <w:p>
            <w:pPr>
              <w:pStyle w:val="17"/>
            </w:pPr>
            <w:r>
              <w:t>完成购置后，可提供优质检测服务</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群众满意度</w:t>
            </w:r>
          </w:p>
        </w:tc>
        <w:tc>
          <w:tcPr>
            <w:tcW w:w="1276" w:type="dxa"/>
            <w:vAlign w:val="center"/>
          </w:tcPr>
          <w:p>
            <w:pPr>
              <w:pStyle w:val="17"/>
            </w:pPr>
            <w:r>
              <w:t>≥90%</w:t>
            </w:r>
          </w:p>
        </w:tc>
        <w:tc>
          <w:tcPr>
            <w:tcW w:w="1843" w:type="dxa"/>
            <w:vAlign w:val="center"/>
          </w:tcPr>
          <w:p>
            <w:pPr>
              <w:pStyle w:val="17"/>
            </w:pPr>
            <w:r>
              <w:t>政府请示</w:t>
            </w:r>
          </w:p>
        </w:tc>
      </w:tr>
    </w:tbl>
    <w:p/>
    <w:p>
      <w:pPr>
        <w:spacing w:line="520" w:lineRule="exact"/>
        <w:ind w:firstLine="640" w:firstLineChars="200"/>
        <w:rPr>
          <w:rFonts w:hint="eastAsia" w:ascii="黑体" w:hAnsi="黑体" w:eastAsia="黑体" w:cs="黑体"/>
          <w:sz w:val="32"/>
          <w:szCs w:val="32"/>
        </w:rPr>
      </w:pPr>
    </w:p>
    <w:p>
      <w:pPr>
        <w:spacing w:line="52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六、政府采购预算情况</w:t>
      </w:r>
    </w:p>
    <w:p>
      <w:pPr>
        <w:spacing w:line="52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年我</w:t>
      </w:r>
      <w:r>
        <w:rPr>
          <w:rFonts w:hint="eastAsia" w:ascii="仿宋" w:hAnsi="仿宋" w:eastAsia="仿宋" w:cs="仿宋"/>
          <w:sz w:val="32"/>
          <w:szCs w:val="32"/>
          <w:lang w:eastAsia="zh-CN"/>
        </w:rPr>
        <w:t>单位</w:t>
      </w:r>
      <w:r>
        <w:rPr>
          <w:rFonts w:hint="eastAsia" w:ascii="仿宋" w:hAnsi="仿宋" w:eastAsia="仿宋" w:cs="仿宋"/>
          <w:sz w:val="32"/>
          <w:szCs w:val="32"/>
        </w:rPr>
        <w:t>安排政府采购预算</w:t>
      </w:r>
      <w:r>
        <w:rPr>
          <w:rFonts w:hint="eastAsia" w:ascii="仿宋" w:hAnsi="仿宋" w:eastAsia="仿宋" w:cs="仿宋"/>
          <w:sz w:val="32"/>
          <w:szCs w:val="32"/>
          <w:lang w:val="en-US" w:eastAsia="zh-CN"/>
        </w:rPr>
        <w:t>170.95</w:t>
      </w:r>
      <w:r>
        <w:rPr>
          <w:rFonts w:hint="eastAsia" w:ascii="仿宋" w:hAnsi="仿宋" w:eastAsia="仿宋" w:cs="仿宋"/>
          <w:sz w:val="32"/>
          <w:szCs w:val="32"/>
        </w:rPr>
        <w:t>万元</w:t>
      </w:r>
      <w:r>
        <w:rPr>
          <w:rFonts w:hint="eastAsia" w:ascii="仿宋" w:hAnsi="仿宋" w:eastAsia="仿宋" w:cs="仿宋"/>
          <w:sz w:val="32"/>
          <w:szCs w:val="32"/>
          <w:lang w:eastAsia="zh-CN"/>
        </w:rPr>
        <w:t>，其中</w:t>
      </w:r>
      <w:r>
        <w:rPr>
          <w:rFonts w:hint="eastAsia" w:ascii="仿宋" w:hAnsi="仿宋" w:eastAsia="仿宋" w:cs="仿宋"/>
          <w:sz w:val="32"/>
          <w:szCs w:val="32"/>
        </w:rPr>
        <w:t>服务类</w:t>
      </w:r>
      <w:r>
        <w:rPr>
          <w:rFonts w:hint="eastAsia" w:ascii="仿宋" w:hAnsi="仿宋" w:eastAsia="仿宋" w:cs="仿宋"/>
          <w:sz w:val="32"/>
          <w:szCs w:val="32"/>
          <w:lang w:val="en-US" w:eastAsia="zh-CN"/>
        </w:rPr>
        <w:t>2</w:t>
      </w:r>
      <w:r>
        <w:rPr>
          <w:rFonts w:hint="eastAsia" w:ascii="仿宋" w:hAnsi="仿宋" w:eastAsia="仿宋" w:cs="仿宋"/>
          <w:sz w:val="32"/>
          <w:szCs w:val="32"/>
        </w:rPr>
        <w:t>个，</w:t>
      </w:r>
      <w:r>
        <w:rPr>
          <w:rFonts w:hint="eastAsia" w:ascii="仿宋" w:hAnsi="仿宋" w:eastAsia="仿宋" w:cs="仿宋"/>
          <w:sz w:val="32"/>
          <w:szCs w:val="32"/>
          <w:lang w:eastAsia="zh-CN"/>
        </w:rPr>
        <w:t>为食品、流通商品检测；设备购置采购类</w:t>
      </w:r>
      <w:r>
        <w:rPr>
          <w:rFonts w:hint="eastAsia" w:ascii="仿宋" w:hAnsi="仿宋" w:eastAsia="仿宋" w:cs="仿宋"/>
          <w:sz w:val="32"/>
          <w:szCs w:val="32"/>
          <w:lang w:val="en-US" w:eastAsia="zh-CN"/>
        </w:rPr>
        <w:t>1个，为计量设备购置。</w:t>
      </w:r>
    </w:p>
    <w:p>
      <w:pPr>
        <w:spacing w:before="0" w:after="0" w:line="240" w:lineRule="auto"/>
        <w:ind w:firstLine="0"/>
        <w:jc w:val="center"/>
        <w:outlineLvl w:val="1"/>
      </w:pPr>
      <w:r>
        <w:rPr>
          <w:rFonts w:ascii="方正小标宋_GBK" w:hAnsi="方正小标宋_GBK" w:eastAsia="方正小标宋_GBK" w:cs="方正小标宋_GBK"/>
          <w:color w:val="000000"/>
          <w:sz w:val="32"/>
        </w:rPr>
        <w:t>部门政府采购预算</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21"/>
        <w:gridCol w:w="980"/>
        <w:gridCol w:w="1687"/>
        <w:gridCol w:w="611"/>
        <w:gridCol w:w="611"/>
        <w:gridCol w:w="611"/>
        <w:gridCol w:w="780"/>
        <w:gridCol w:w="1220"/>
        <w:gridCol w:w="1160"/>
        <w:gridCol w:w="700"/>
        <w:gridCol w:w="740"/>
        <w:gridCol w:w="860"/>
        <w:gridCol w:w="640"/>
        <w:gridCol w:w="760"/>
        <w:gridCol w:w="12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901" w:type="dxa"/>
            <w:gridSpan w:val="7"/>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t>416</w:t>
            </w:r>
            <w:r>
              <w:rPr>
                <w:rFonts w:hint="eastAsia"/>
                <w:lang w:val="en-US" w:eastAsia="zh-CN"/>
              </w:rPr>
              <w:t>001</w:t>
            </w:r>
            <w:r>
              <w:t>涞水县市场监督管理局</w:t>
            </w:r>
            <w:r>
              <w:rPr>
                <w:rFonts w:hint="eastAsia"/>
                <w:lang w:val="en-US" w:eastAsia="zh-CN"/>
              </w:rPr>
              <w:t>本级</w:t>
            </w:r>
          </w:p>
        </w:tc>
        <w:tc>
          <w:tcPr>
            <w:tcW w:w="7318" w:type="dxa"/>
            <w:gridSpan w:val="8"/>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601" w:type="dxa"/>
            <w:gridSpan w:val="2"/>
            <w:vAlign w:val="center"/>
          </w:tcPr>
          <w:p>
            <w:pPr>
              <w:pStyle w:val="15"/>
            </w:pPr>
            <w:r>
              <w:t>政府采购项目来源</w:t>
            </w:r>
          </w:p>
        </w:tc>
        <w:tc>
          <w:tcPr>
            <w:tcW w:w="1687" w:type="dxa"/>
            <w:vMerge w:val="restart"/>
            <w:vAlign w:val="center"/>
          </w:tcPr>
          <w:p>
            <w:pPr>
              <w:pStyle w:val="15"/>
            </w:pPr>
            <w:r>
              <w:t>采购物品名称</w:t>
            </w:r>
          </w:p>
        </w:tc>
        <w:tc>
          <w:tcPr>
            <w:tcW w:w="611" w:type="dxa"/>
            <w:vMerge w:val="restart"/>
            <w:vAlign w:val="center"/>
          </w:tcPr>
          <w:p>
            <w:pPr>
              <w:pStyle w:val="15"/>
            </w:pPr>
            <w:r>
              <w:t>政府采购目录序号</w:t>
            </w:r>
          </w:p>
        </w:tc>
        <w:tc>
          <w:tcPr>
            <w:tcW w:w="611" w:type="dxa"/>
            <w:vMerge w:val="restart"/>
            <w:vAlign w:val="center"/>
          </w:tcPr>
          <w:p>
            <w:pPr>
              <w:pStyle w:val="15"/>
            </w:pPr>
            <w:r>
              <w:t>计量  单位</w:t>
            </w:r>
          </w:p>
        </w:tc>
        <w:tc>
          <w:tcPr>
            <w:tcW w:w="611" w:type="dxa"/>
            <w:vMerge w:val="restart"/>
            <w:vAlign w:val="center"/>
          </w:tcPr>
          <w:p>
            <w:pPr>
              <w:pStyle w:val="15"/>
            </w:pPr>
            <w:r>
              <w:t>数量</w:t>
            </w:r>
          </w:p>
        </w:tc>
        <w:tc>
          <w:tcPr>
            <w:tcW w:w="780" w:type="dxa"/>
            <w:vMerge w:val="restart"/>
            <w:vAlign w:val="center"/>
          </w:tcPr>
          <w:p>
            <w:pPr>
              <w:pStyle w:val="15"/>
            </w:pPr>
            <w:r>
              <w:t>单价</w:t>
            </w:r>
          </w:p>
        </w:tc>
        <w:tc>
          <w:tcPr>
            <w:tcW w:w="6080" w:type="dxa"/>
            <w:gridSpan w:val="7"/>
            <w:vAlign w:val="center"/>
          </w:tcPr>
          <w:p>
            <w:pPr>
              <w:pStyle w:val="15"/>
            </w:pPr>
            <w:r>
              <w:t>政府采购金额（当年部门预算安排资金）</w:t>
            </w:r>
          </w:p>
        </w:tc>
        <w:tc>
          <w:tcPr>
            <w:tcW w:w="1238" w:type="dxa"/>
            <w:vMerge w:val="restart"/>
            <w:vAlign w:val="center"/>
          </w:tcPr>
          <w:p>
            <w:pPr>
              <w:pStyle w:val="15"/>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21" w:type="dxa"/>
            <w:vAlign w:val="center"/>
          </w:tcPr>
          <w:p>
            <w:pPr>
              <w:pStyle w:val="15"/>
            </w:pPr>
            <w:r>
              <w:t>项目名称</w:t>
            </w:r>
          </w:p>
        </w:tc>
        <w:tc>
          <w:tcPr>
            <w:tcW w:w="980" w:type="dxa"/>
            <w:vAlign w:val="center"/>
          </w:tcPr>
          <w:p>
            <w:pPr>
              <w:pStyle w:val="15"/>
            </w:pPr>
            <w:r>
              <w:t>预算    资金</w:t>
            </w:r>
          </w:p>
        </w:tc>
        <w:tc>
          <w:tcPr>
            <w:tcW w:w="1687" w:type="dxa"/>
            <w:vMerge w:val="continue"/>
          </w:tcPr>
          <w:p/>
        </w:tc>
        <w:tc>
          <w:tcPr>
            <w:tcW w:w="611" w:type="dxa"/>
            <w:vMerge w:val="continue"/>
          </w:tcPr>
          <w:p/>
        </w:tc>
        <w:tc>
          <w:tcPr>
            <w:tcW w:w="611" w:type="dxa"/>
            <w:vMerge w:val="continue"/>
          </w:tcPr>
          <w:p/>
        </w:tc>
        <w:tc>
          <w:tcPr>
            <w:tcW w:w="611" w:type="dxa"/>
            <w:vMerge w:val="continue"/>
          </w:tcPr>
          <w:p/>
        </w:tc>
        <w:tc>
          <w:tcPr>
            <w:tcW w:w="780" w:type="dxa"/>
            <w:vMerge w:val="continue"/>
          </w:tcPr>
          <w:p/>
        </w:tc>
        <w:tc>
          <w:tcPr>
            <w:tcW w:w="1220" w:type="dxa"/>
            <w:vAlign w:val="center"/>
          </w:tcPr>
          <w:p>
            <w:pPr>
              <w:pStyle w:val="15"/>
            </w:pPr>
            <w:r>
              <w:t>合计</w:t>
            </w:r>
          </w:p>
        </w:tc>
        <w:tc>
          <w:tcPr>
            <w:tcW w:w="1160" w:type="dxa"/>
            <w:vAlign w:val="center"/>
          </w:tcPr>
          <w:p>
            <w:pPr>
              <w:pStyle w:val="15"/>
            </w:pPr>
            <w:r>
              <w:t>一般公共预算拨款</w:t>
            </w:r>
          </w:p>
        </w:tc>
        <w:tc>
          <w:tcPr>
            <w:tcW w:w="700" w:type="dxa"/>
            <w:vAlign w:val="center"/>
          </w:tcPr>
          <w:p>
            <w:pPr>
              <w:pStyle w:val="15"/>
            </w:pPr>
            <w:r>
              <w:t>基金预算拨款</w:t>
            </w:r>
          </w:p>
        </w:tc>
        <w:tc>
          <w:tcPr>
            <w:tcW w:w="740" w:type="dxa"/>
            <w:vAlign w:val="center"/>
          </w:tcPr>
          <w:p>
            <w:pPr>
              <w:pStyle w:val="15"/>
            </w:pPr>
            <w:r>
              <w:t>国有资本经营预算拨款</w:t>
            </w:r>
          </w:p>
        </w:tc>
        <w:tc>
          <w:tcPr>
            <w:tcW w:w="860" w:type="dxa"/>
            <w:vAlign w:val="center"/>
          </w:tcPr>
          <w:p>
            <w:pPr>
              <w:pStyle w:val="15"/>
            </w:pPr>
            <w:r>
              <w:t>财政专户核拨</w:t>
            </w:r>
          </w:p>
        </w:tc>
        <w:tc>
          <w:tcPr>
            <w:tcW w:w="640" w:type="dxa"/>
            <w:vAlign w:val="center"/>
          </w:tcPr>
          <w:p>
            <w:pPr>
              <w:pStyle w:val="15"/>
            </w:pPr>
            <w:r>
              <w:t>单位    资金</w:t>
            </w:r>
          </w:p>
        </w:tc>
        <w:tc>
          <w:tcPr>
            <w:tcW w:w="760" w:type="dxa"/>
            <w:vAlign w:val="center"/>
          </w:tcPr>
          <w:p>
            <w:pPr>
              <w:pStyle w:val="15"/>
            </w:pPr>
            <w:r>
              <w:t>上年结转结余</w:t>
            </w:r>
          </w:p>
        </w:tc>
        <w:tc>
          <w:tcPr>
            <w:tcW w:w="123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621" w:type="dxa"/>
            <w:vAlign w:val="center"/>
          </w:tcPr>
          <w:p>
            <w:pPr>
              <w:pStyle w:val="19"/>
            </w:pPr>
            <w:r>
              <w:t>合  计</w:t>
            </w:r>
          </w:p>
        </w:tc>
        <w:tc>
          <w:tcPr>
            <w:tcW w:w="980" w:type="dxa"/>
            <w:vAlign w:val="center"/>
          </w:tcPr>
          <w:p>
            <w:pPr>
              <w:pStyle w:val="20"/>
            </w:pPr>
          </w:p>
        </w:tc>
        <w:tc>
          <w:tcPr>
            <w:tcW w:w="1687" w:type="dxa"/>
            <w:vAlign w:val="center"/>
          </w:tcPr>
          <w:p>
            <w:pPr>
              <w:pStyle w:val="21"/>
            </w:pPr>
          </w:p>
        </w:tc>
        <w:tc>
          <w:tcPr>
            <w:tcW w:w="611" w:type="dxa"/>
            <w:vAlign w:val="center"/>
          </w:tcPr>
          <w:p>
            <w:pPr>
              <w:pStyle w:val="21"/>
            </w:pPr>
          </w:p>
        </w:tc>
        <w:tc>
          <w:tcPr>
            <w:tcW w:w="611" w:type="dxa"/>
            <w:vAlign w:val="center"/>
          </w:tcPr>
          <w:p>
            <w:pPr>
              <w:pStyle w:val="19"/>
            </w:pPr>
          </w:p>
        </w:tc>
        <w:tc>
          <w:tcPr>
            <w:tcW w:w="611" w:type="dxa"/>
            <w:vAlign w:val="center"/>
          </w:tcPr>
          <w:p>
            <w:pPr>
              <w:pStyle w:val="20"/>
            </w:pPr>
          </w:p>
        </w:tc>
        <w:tc>
          <w:tcPr>
            <w:tcW w:w="780" w:type="dxa"/>
            <w:vAlign w:val="center"/>
          </w:tcPr>
          <w:p>
            <w:pPr>
              <w:pStyle w:val="20"/>
              <w:jc w:val="center"/>
            </w:pPr>
          </w:p>
        </w:tc>
        <w:tc>
          <w:tcPr>
            <w:tcW w:w="1220" w:type="dxa"/>
            <w:vAlign w:val="center"/>
          </w:tcPr>
          <w:p>
            <w:pPr>
              <w:pStyle w:val="20"/>
              <w:jc w:val="center"/>
            </w:pPr>
            <w:r>
              <w:t>170.95</w:t>
            </w:r>
          </w:p>
        </w:tc>
        <w:tc>
          <w:tcPr>
            <w:tcW w:w="1160" w:type="dxa"/>
            <w:vAlign w:val="center"/>
          </w:tcPr>
          <w:p>
            <w:pPr>
              <w:pStyle w:val="20"/>
              <w:jc w:val="center"/>
            </w:pPr>
            <w:r>
              <w:t>170.95</w:t>
            </w:r>
          </w:p>
        </w:tc>
        <w:tc>
          <w:tcPr>
            <w:tcW w:w="700" w:type="dxa"/>
            <w:vAlign w:val="center"/>
          </w:tcPr>
          <w:p>
            <w:pPr>
              <w:pStyle w:val="20"/>
              <w:jc w:val="center"/>
            </w:pPr>
          </w:p>
        </w:tc>
        <w:tc>
          <w:tcPr>
            <w:tcW w:w="740" w:type="dxa"/>
            <w:vAlign w:val="center"/>
          </w:tcPr>
          <w:p>
            <w:pPr>
              <w:pStyle w:val="20"/>
              <w:jc w:val="center"/>
            </w:pPr>
          </w:p>
        </w:tc>
        <w:tc>
          <w:tcPr>
            <w:tcW w:w="860" w:type="dxa"/>
            <w:vAlign w:val="center"/>
          </w:tcPr>
          <w:p>
            <w:pPr>
              <w:pStyle w:val="20"/>
              <w:jc w:val="center"/>
            </w:pPr>
          </w:p>
        </w:tc>
        <w:tc>
          <w:tcPr>
            <w:tcW w:w="640" w:type="dxa"/>
            <w:vAlign w:val="center"/>
          </w:tcPr>
          <w:p>
            <w:pPr>
              <w:pStyle w:val="20"/>
              <w:jc w:val="center"/>
            </w:pPr>
          </w:p>
        </w:tc>
        <w:tc>
          <w:tcPr>
            <w:tcW w:w="760" w:type="dxa"/>
            <w:vAlign w:val="center"/>
          </w:tcPr>
          <w:p>
            <w:pPr>
              <w:pStyle w:val="20"/>
              <w:jc w:val="center"/>
            </w:pPr>
          </w:p>
        </w:tc>
        <w:tc>
          <w:tcPr>
            <w:tcW w:w="1238" w:type="dxa"/>
            <w:vAlign w:val="center"/>
          </w:tcPr>
          <w:p>
            <w:pPr>
              <w:pStyle w:val="20"/>
              <w:jc w:val="center"/>
            </w:pPr>
            <w:r>
              <w:t>170.95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621" w:type="dxa"/>
            <w:vAlign w:val="center"/>
          </w:tcPr>
          <w:p>
            <w:pPr>
              <w:pStyle w:val="19"/>
            </w:pPr>
            <w:r>
              <w:t>涞水县市场监督管理局本级小计</w:t>
            </w:r>
          </w:p>
        </w:tc>
        <w:tc>
          <w:tcPr>
            <w:tcW w:w="980" w:type="dxa"/>
            <w:vAlign w:val="center"/>
          </w:tcPr>
          <w:p>
            <w:pPr>
              <w:pStyle w:val="20"/>
            </w:pPr>
          </w:p>
        </w:tc>
        <w:tc>
          <w:tcPr>
            <w:tcW w:w="1687" w:type="dxa"/>
            <w:vAlign w:val="center"/>
          </w:tcPr>
          <w:p>
            <w:pPr>
              <w:pStyle w:val="21"/>
            </w:pPr>
          </w:p>
        </w:tc>
        <w:tc>
          <w:tcPr>
            <w:tcW w:w="611" w:type="dxa"/>
            <w:vAlign w:val="center"/>
          </w:tcPr>
          <w:p>
            <w:pPr>
              <w:pStyle w:val="21"/>
            </w:pPr>
          </w:p>
        </w:tc>
        <w:tc>
          <w:tcPr>
            <w:tcW w:w="611" w:type="dxa"/>
            <w:vAlign w:val="center"/>
          </w:tcPr>
          <w:p>
            <w:pPr>
              <w:pStyle w:val="19"/>
            </w:pPr>
          </w:p>
        </w:tc>
        <w:tc>
          <w:tcPr>
            <w:tcW w:w="611" w:type="dxa"/>
            <w:vAlign w:val="center"/>
          </w:tcPr>
          <w:p>
            <w:pPr>
              <w:pStyle w:val="20"/>
            </w:pPr>
          </w:p>
        </w:tc>
        <w:tc>
          <w:tcPr>
            <w:tcW w:w="780" w:type="dxa"/>
            <w:vAlign w:val="center"/>
          </w:tcPr>
          <w:p>
            <w:pPr>
              <w:pStyle w:val="20"/>
              <w:jc w:val="center"/>
            </w:pPr>
          </w:p>
        </w:tc>
        <w:tc>
          <w:tcPr>
            <w:tcW w:w="1220" w:type="dxa"/>
            <w:vAlign w:val="center"/>
          </w:tcPr>
          <w:p>
            <w:pPr>
              <w:pStyle w:val="20"/>
              <w:jc w:val="center"/>
            </w:pPr>
            <w:r>
              <w:t>170.95</w:t>
            </w:r>
          </w:p>
        </w:tc>
        <w:tc>
          <w:tcPr>
            <w:tcW w:w="1160" w:type="dxa"/>
            <w:vAlign w:val="center"/>
          </w:tcPr>
          <w:p>
            <w:pPr>
              <w:pStyle w:val="20"/>
              <w:jc w:val="center"/>
            </w:pPr>
            <w:r>
              <w:t>170.95</w:t>
            </w:r>
          </w:p>
        </w:tc>
        <w:tc>
          <w:tcPr>
            <w:tcW w:w="700" w:type="dxa"/>
            <w:vAlign w:val="center"/>
          </w:tcPr>
          <w:p>
            <w:pPr>
              <w:pStyle w:val="20"/>
              <w:jc w:val="center"/>
            </w:pPr>
          </w:p>
        </w:tc>
        <w:tc>
          <w:tcPr>
            <w:tcW w:w="740" w:type="dxa"/>
            <w:vAlign w:val="center"/>
          </w:tcPr>
          <w:p>
            <w:pPr>
              <w:pStyle w:val="20"/>
              <w:jc w:val="center"/>
            </w:pPr>
          </w:p>
        </w:tc>
        <w:tc>
          <w:tcPr>
            <w:tcW w:w="860" w:type="dxa"/>
            <w:vAlign w:val="center"/>
          </w:tcPr>
          <w:p>
            <w:pPr>
              <w:pStyle w:val="20"/>
              <w:jc w:val="center"/>
            </w:pPr>
          </w:p>
        </w:tc>
        <w:tc>
          <w:tcPr>
            <w:tcW w:w="640" w:type="dxa"/>
            <w:vAlign w:val="center"/>
          </w:tcPr>
          <w:p>
            <w:pPr>
              <w:pStyle w:val="20"/>
              <w:jc w:val="center"/>
            </w:pPr>
          </w:p>
        </w:tc>
        <w:tc>
          <w:tcPr>
            <w:tcW w:w="760" w:type="dxa"/>
            <w:vAlign w:val="center"/>
          </w:tcPr>
          <w:p>
            <w:pPr>
              <w:pStyle w:val="20"/>
              <w:jc w:val="center"/>
            </w:pPr>
          </w:p>
        </w:tc>
        <w:tc>
          <w:tcPr>
            <w:tcW w:w="1238" w:type="dxa"/>
            <w:vAlign w:val="center"/>
          </w:tcPr>
          <w:p>
            <w:pPr>
              <w:pStyle w:val="20"/>
              <w:jc w:val="center"/>
            </w:pPr>
            <w:r>
              <w:t>170.95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621" w:type="dxa"/>
            <w:vAlign w:val="center"/>
          </w:tcPr>
          <w:p>
            <w:pPr>
              <w:pStyle w:val="17"/>
            </w:pPr>
            <w:r>
              <w:t>2024年流通领域商品抽检经费</w:t>
            </w:r>
          </w:p>
        </w:tc>
        <w:tc>
          <w:tcPr>
            <w:tcW w:w="980" w:type="dxa"/>
            <w:vAlign w:val="center"/>
          </w:tcPr>
          <w:p>
            <w:pPr>
              <w:pStyle w:val="16"/>
            </w:pPr>
            <w:r>
              <w:t>43.95</w:t>
            </w:r>
          </w:p>
        </w:tc>
        <w:tc>
          <w:tcPr>
            <w:tcW w:w="1687" w:type="dxa"/>
            <w:vAlign w:val="center"/>
          </w:tcPr>
          <w:p>
            <w:pPr>
              <w:pStyle w:val="17"/>
            </w:pPr>
            <w:r>
              <w:t>技术测试和分析服务</w:t>
            </w:r>
          </w:p>
        </w:tc>
        <w:tc>
          <w:tcPr>
            <w:tcW w:w="611" w:type="dxa"/>
            <w:vAlign w:val="center"/>
          </w:tcPr>
          <w:p>
            <w:pPr>
              <w:pStyle w:val="17"/>
            </w:pPr>
            <w:r>
              <w:t>C19010000</w:t>
            </w:r>
          </w:p>
        </w:tc>
        <w:tc>
          <w:tcPr>
            <w:tcW w:w="611" w:type="dxa"/>
            <w:vAlign w:val="center"/>
          </w:tcPr>
          <w:p>
            <w:pPr>
              <w:pStyle w:val="18"/>
            </w:pPr>
            <w:r>
              <w:t>批</w:t>
            </w:r>
          </w:p>
        </w:tc>
        <w:tc>
          <w:tcPr>
            <w:tcW w:w="611" w:type="dxa"/>
            <w:vAlign w:val="center"/>
          </w:tcPr>
          <w:p>
            <w:pPr>
              <w:pStyle w:val="18"/>
            </w:pPr>
            <w:r>
              <w:t>1</w:t>
            </w:r>
          </w:p>
        </w:tc>
        <w:tc>
          <w:tcPr>
            <w:tcW w:w="780" w:type="dxa"/>
            <w:vAlign w:val="center"/>
          </w:tcPr>
          <w:p>
            <w:pPr>
              <w:pStyle w:val="16"/>
              <w:jc w:val="center"/>
            </w:pPr>
            <w:r>
              <w:t>43.95</w:t>
            </w:r>
          </w:p>
        </w:tc>
        <w:tc>
          <w:tcPr>
            <w:tcW w:w="1220" w:type="dxa"/>
            <w:vAlign w:val="center"/>
          </w:tcPr>
          <w:p>
            <w:pPr>
              <w:pStyle w:val="16"/>
              <w:jc w:val="center"/>
            </w:pPr>
            <w:r>
              <w:t>43.95</w:t>
            </w:r>
          </w:p>
        </w:tc>
        <w:tc>
          <w:tcPr>
            <w:tcW w:w="1160" w:type="dxa"/>
            <w:vAlign w:val="center"/>
          </w:tcPr>
          <w:p>
            <w:pPr>
              <w:pStyle w:val="16"/>
              <w:jc w:val="center"/>
            </w:pPr>
            <w:r>
              <w:t>43.95</w:t>
            </w:r>
          </w:p>
        </w:tc>
        <w:tc>
          <w:tcPr>
            <w:tcW w:w="700" w:type="dxa"/>
            <w:vAlign w:val="center"/>
          </w:tcPr>
          <w:p>
            <w:pPr>
              <w:pStyle w:val="16"/>
              <w:jc w:val="center"/>
            </w:pPr>
          </w:p>
        </w:tc>
        <w:tc>
          <w:tcPr>
            <w:tcW w:w="740" w:type="dxa"/>
            <w:vAlign w:val="center"/>
          </w:tcPr>
          <w:p>
            <w:pPr>
              <w:pStyle w:val="16"/>
              <w:jc w:val="center"/>
            </w:pPr>
          </w:p>
        </w:tc>
        <w:tc>
          <w:tcPr>
            <w:tcW w:w="860" w:type="dxa"/>
            <w:vAlign w:val="center"/>
          </w:tcPr>
          <w:p>
            <w:pPr>
              <w:pStyle w:val="16"/>
              <w:jc w:val="center"/>
            </w:pPr>
          </w:p>
        </w:tc>
        <w:tc>
          <w:tcPr>
            <w:tcW w:w="640" w:type="dxa"/>
            <w:vAlign w:val="center"/>
          </w:tcPr>
          <w:p>
            <w:pPr>
              <w:pStyle w:val="16"/>
              <w:jc w:val="center"/>
            </w:pPr>
          </w:p>
        </w:tc>
        <w:tc>
          <w:tcPr>
            <w:tcW w:w="760" w:type="dxa"/>
            <w:vAlign w:val="center"/>
          </w:tcPr>
          <w:p>
            <w:pPr>
              <w:pStyle w:val="16"/>
              <w:jc w:val="center"/>
            </w:pPr>
          </w:p>
        </w:tc>
        <w:tc>
          <w:tcPr>
            <w:tcW w:w="1238" w:type="dxa"/>
            <w:vAlign w:val="center"/>
          </w:tcPr>
          <w:p>
            <w:pPr>
              <w:pStyle w:val="16"/>
              <w:jc w:val="center"/>
            </w:pPr>
            <w:r>
              <w:t>43.95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621" w:type="dxa"/>
            <w:vAlign w:val="center"/>
          </w:tcPr>
          <w:p>
            <w:pPr>
              <w:pStyle w:val="17"/>
            </w:pPr>
            <w:r>
              <w:t>2024年食品安全抽检经费</w:t>
            </w:r>
          </w:p>
        </w:tc>
        <w:tc>
          <w:tcPr>
            <w:tcW w:w="980" w:type="dxa"/>
            <w:vAlign w:val="center"/>
          </w:tcPr>
          <w:p>
            <w:pPr>
              <w:pStyle w:val="16"/>
            </w:pPr>
            <w:r>
              <w:t>97.00</w:t>
            </w:r>
          </w:p>
        </w:tc>
        <w:tc>
          <w:tcPr>
            <w:tcW w:w="1687" w:type="dxa"/>
            <w:vAlign w:val="center"/>
          </w:tcPr>
          <w:p>
            <w:pPr>
              <w:pStyle w:val="17"/>
            </w:pPr>
            <w:r>
              <w:t>技术测试和分析服务</w:t>
            </w:r>
          </w:p>
        </w:tc>
        <w:tc>
          <w:tcPr>
            <w:tcW w:w="611" w:type="dxa"/>
            <w:vAlign w:val="center"/>
          </w:tcPr>
          <w:p>
            <w:pPr>
              <w:pStyle w:val="17"/>
            </w:pPr>
            <w:r>
              <w:t>C19010000</w:t>
            </w:r>
          </w:p>
        </w:tc>
        <w:tc>
          <w:tcPr>
            <w:tcW w:w="611" w:type="dxa"/>
            <w:vAlign w:val="center"/>
          </w:tcPr>
          <w:p>
            <w:pPr>
              <w:pStyle w:val="18"/>
            </w:pPr>
            <w:r>
              <w:t>批</w:t>
            </w:r>
          </w:p>
        </w:tc>
        <w:tc>
          <w:tcPr>
            <w:tcW w:w="611" w:type="dxa"/>
            <w:vAlign w:val="center"/>
          </w:tcPr>
          <w:p>
            <w:pPr>
              <w:pStyle w:val="18"/>
            </w:pPr>
            <w:r>
              <w:t>1</w:t>
            </w:r>
          </w:p>
        </w:tc>
        <w:tc>
          <w:tcPr>
            <w:tcW w:w="780" w:type="dxa"/>
            <w:vAlign w:val="center"/>
          </w:tcPr>
          <w:p>
            <w:pPr>
              <w:pStyle w:val="16"/>
              <w:jc w:val="center"/>
            </w:pPr>
            <w:r>
              <w:t>97.00</w:t>
            </w:r>
          </w:p>
        </w:tc>
        <w:tc>
          <w:tcPr>
            <w:tcW w:w="1220" w:type="dxa"/>
            <w:vAlign w:val="center"/>
          </w:tcPr>
          <w:p>
            <w:pPr>
              <w:pStyle w:val="16"/>
              <w:jc w:val="center"/>
            </w:pPr>
            <w:r>
              <w:t>97.00</w:t>
            </w:r>
          </w:p>
        </w:tc>
        <w:tc>
          <w:tcPr>
            <w:tcW w:w="1160" w:type="dxa"/>
            <w:vAlign w:val="center"/>
          </w:tcPr>
          <w:p>
            <w:pPr>
              <w:pStyle w:val="16"/>
              <w:jc w:val="center"/>
            </w:pPr>
            <w:r>
              <w:t>97.00</w:t>
            </w:r>
          </w:p>
        </w:tc>
        <w:tc>
          <w:tcPr>
            <w:tcW w:w="700" w:type="dxa"/>
            <w:vAlign w:val="center"/>
          </w:tcPr>
          <w:p>
            <w:pPr>
              <w:pStyle w:val="16"/>
              <w:jc w:val="center"/>
            </w:pPr>
          </w:p>
        </w:tc>
        <w:tc>
          <w:tcPr>
            <w:tcW w:w="740" w:type="dxa"/>
            <w:vAlign w:val="center"/>
          </w:tcPr>
          <w:p>
            <w:pPr>
              <w:pStyle w:val="16"/>
              <w:jc w:val="center"/>
            </w:pPr>
          </w:p>
        </w:tc>
        <w:tc>
          <w:tcPr>
            <w:tcW w:w="860" w:type="dxa"/>
            <w:vAlign w:val="center"/>
          </w:tcPr>
          <w:p>
            <w:pPr>
              <w:pStyle w:val="16"/>
              <w:jc w:val="center"/>
            </w:pPr>
          </w:p>
        </w:tc>
        <w:tc>
          <w:tcPr>
            <w:tcW w:w="640" w:type="dxa"/>
            <w:vAlign w:val="center"/>
          </w:tcPr>
          <w:p>
            <w:pPr>
              <w:pStyle w:val="16"/>
              <w:jc w:val="center"/>
            </w:pPr>
          </w:p>
        </w:tc>
        <w:tc>
          <w:tcPr>
            <w:tcW w:w="760" w:type="dxa"/>
            <w:vAlign w:val="center"/>
          </w:tcPr>
          <w:p>
            <w:pPr>
              <w:pStyle w:val="16"/>
              <w:jc w:val="center"/>
            </w:pPr>
          </w:p>
        </w:tc>
        <w:tc>
          <w:tcPr>
            <w:tcW w:w="1238" w:type="dxa"/>
            <w:vAlign w:val="center"/>
          </w:tcPr>
          <w:p>
            <w:pPr>
              <w:pStyle w:val="16"/>
              <w:jc w:val="center"/>
            </w:pPr>
            <w:r>
              <w:t>97.00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621" w:type="dxa"/>
            <w:vAlign w:val="center"/>
          </w:tcPr>
          <w:p>
            <w:pPr>
              <w:pStyle w:val="17"/>
            </w:pPr>
            <w:r>
              <w:t>2024年专用仪器设备购置经费</w:t>
            </w:r>
          </w:p>
        </w:tc>
        <w:tc>
          <w:tcPr>
            <w:tcW w:w="980" w:type="dxa"/>
            <w:vAlign w:val="center"/>
          </w:tcPr>
          <w:p>
            <w:pPr>
              <w:pStyle w:val="16"/>
            </w:pPr>
            <w:r>
              <w:t>30.00</w:t>
            </w:r>
          </w:p>
        </w:tc>
        <w:tc>
          <w:tcPr>
            <w:tcW w:w="1687" w:type="dxa"/>
            <w:vAlign w:val="center"/>
          </w:tcPr>
          <w:p>
            <w:pPr>
              <w:pStyle w:val="17"/>
            </w:pPr>
            <w:r>
              <w:t>其他计量标准器具</w:t>
            </w:r>
          </w:p>
        </w:tc>
        <w:tc>
          <w:tcPr>
            <w:tcW w:w="611" w:type="dxa"/>
            <w:vAlign w:val="center"/>
          </w:tcPr>
          <w:p>
            <w:pPr>
              <w:pStyle w:val="17"/>
            </w:pPr>
            <w:r>
              <w:t>A02129900</w:t>
            </w:r>
          </w:p>
        </w:tc>
        <w:tc>
          <w:tcPr>
            <w:tcW w:w="611" w:type="dxa"/>
            <w:vAlign w:val="center"/>
          </w:tcPr>
          <w:p>
            <w:pPr>
              <w:pStyle w:val="18"/>
            </w:pPr>
            <w:r>
              <w:t>台</w:t>
            </w:r>
          </w:p>
        </w:tc>
        <w:tc>
          <w:tcPr>
            <w:tcW w:w="611" w:type="dxa"/>
            <w:vAlign w:val="center"/>
          </w:tcPr>
          <w:p>
            <w:pPr>
              <w:pStyle w:val="18"/>
            </w:pPr>
            <w:r>
              <w:t>1</w:t>
            </w:r>
          </w:p>
        </w:tc>
        <w:tc>
          <w:tcPr>
            <w:tcW w:w="780" w:type="dxa"/>
            <w:vAlign w:val="center"/>
          </w:tcPr>
          <w:p>
            <w:pPr>
              <w:pStyle w:val="16"/>
              <w:jc w:val="center"/>
            </w:pPr>
            <w:r>
              <w:t>30.00</w:t>
            </w:r>
          </w:p>
        </w:tc>
        <w:tc>
          <w:tcPr>
            <w:tcW w:w="1220" w:type="dxa"/>
            <w:vAlign w:val="center"/>
          </w:tcPr>
          <w:p>
            <w:pPr>
              <w:pStyle w:val="16"/>
              <w:jc w:val="center"/>
            </w:pPr>
            <w:r>
              <w:t>30.00</w:t>
            </w:r>
          </w:p>
        </w:tc>
        <w:tc>
          <w:tcPr>
            <w:tcW w:w="1160" w:type="dxa"/>
            <w:vAlign w:val="center"/>
          </w:tcPr>
          <w:p>
            <w:pPr>
              <w:pStyle w:val="16"/>
              <w:jc w:val="center"/>
            </w:pPr>
            <w:r>
              <w:t>30.00</w:t>
            </w:r>
          </w:p>
        </w:tc>
        <w:tc>
          <w:tcPr>
            <w:tcW w:w="700" w:type="dxa"/>
            <w:vAlign w:val="center"/>
          </w:tcPr>
          <w:p>
            <w:pPr>
              <w:pStyle w:val="16"/>
              <w:jc w:val="center"/>
            </w:pPr>
          </w:p>
        </w:tc>
        <w:tc>
          <w:tcPr>
            <w:tcW w:w="740" w:type="dxa"/>
            <w:vAlign w:val="center"/>
          </w:tcPr>
          <w:p>
            <w:pPr>
              <w:pStyle w:val="16"/>
              <w:jc w:val="center"/>
            </w:pPr>
          </w:p>
        </w:tc>
        <w:tc>
          <w:tcPr>
            <w:tcW w:w="860" w:type="dxa"/>
            <w:vAlign w:val="center"/>
          </w:tcPr>
          <w:p>
            <w:pPr>
              <w:pStyle w:val="16"/>
              <w:jc w:val="center"/>
            </w:pPr>
          </w:p>
        </w:tc>
        <w:tc>
          <w:tcPr>
            <w:tcW w:w="640" w:type="dxa"/>
            <w:vAlign w:val="center"/>
          </w:tcPr>
          <w:p>
            <w:pPr>
              <w:pStyle w:val="16"/>
              <w:jc w:val="center"/>
            </w:pPr>
          </w:p>
        </w:tc>
        <w:tc>
          <w:tcPr>
            <w:tcW w:w="760" w:type="dxa"/>
            <w:vAlign w:val="center"/>
          </w:tcPr>
          <w:p>
            <w:pPr>
              <w:pStyle w:val="16"/>
              <w:jc w:val="center"/>
            </w:pPr>
          </w:p>
        </w:tc>
        <w:tc>
          <w:tcPr>
            <w:tcW w:w="1238" w:type="dxa"/>
            <w:vAlign w:val="center"/>
          </w:tcPr>
          <w:p>
            <w:pPr>
              <w:pStyle w:val="16"/>
              <w:jc w:val="center"/>
            </w:pPr>
            <w:r>
              <w:t>30.00</w:t>
            </w:r>
          </w:p>
        </w:tc>
      </w:tr>
    </w:tbl>
    <w:p>
      <w:pPr>
        <w:spacing w:before="0" w:after="0" w:line="500" w:lineRule="exact"/>
        <w:ind w:firstLine="420"/>
        <w:jc w:val="left"/>
        <w:outlineLvl w:val="9"/>
        <w:sectPr>
          <w:pgSz w:w="16840" w:h="11900" w:orient="landscape"/>
          <w:pgMar w:top="1020" w:right="1361" w:bottom="1020" w:left="1361" w:header="720" w:footer="720" w:gutter="0"/>
          <w:cols w:space="720" w:num="1"/>
        </w:sectPr>
      </w:pPr>
      <w:r>
        <w:rPr>
          <w:rFonts w:ascii="方正仿宋_GBK" w:hAnsi="方正仿宋_GBK" w:eastAsia="方正仿宋_GBK" w:cs="方正仿宋_GBK"/>
          <w:color w:val="000000"/>
          <w:sz w:val="21"/>
        </w:rPr>
        <w:t>注：同一采购目录序号的物品，其单价会因配置规格不同而变动，均符合资产配置标准。涉密采购事项按照相关规定执行。</w:t>
      </w:r>
    </w:p>
    <w:p>
      <w:pPr>
        <w:jc w:val="center"/>
        <w:outlineLvl w:val="1"/>
        <w:rPr>
          <w:rFonts w:hint="eastAsia" w:ascii="仿宋" w:hAnsi="仿宋" w:eastAsia="仿宋" w:cs="仿宋"/>
          <w:color w:val="000000"/>
          <w:sz w:val="32"/>
        </w:rPr>
      </w:pPr>
    </w:p>
    <w:p>
      <w:pPr>
        <w:spacing w:before="10" w:after="1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bookmarkEnd w:id="16"/>
    <w:p>
      <w:pPr>
        <w:spacing w:line="52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七、国有资产信息情况</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截止到202</w:t>
      </w:r>
      <w:r>
        <w:rPr>
          <w:rFonts w:hint="eastAsia" w:ascii="仿宋" w:hAnsi="仿宋" w:eastAsia="仿宋" w:cs="仿宋"/>
          <w:sz w:val="32"/>
          <w:szCs w:val="32"/>
          <w:lang w:val="en-US" w:eastAsia="zh-CN"/>
        </w:rPr>
        <w:t>3</w:t>
      </w:r>
      <w:r>
        <w:rPr>
          <w:rFonts w:hint="eastAsia" w:ascii="仿宋" w:hAnsi="仿宋" w:eastAsia="仿宋" w:cs="仿宋"/>
          <w:sz w:val="32"/>
          <w:szCs w:val="32"/>
        </w:rPr>
        <w:t>年年底我</w:t>
      </w:r>
      <w:r>
        <w:rPr>
          <w:rFonts w:hint="eastAsia" w:ascii="仿宋" w:hAnsi="仿宋" w:eastAsia="仿宋" w:cs="仿宋"/>
          <w:sz w:val="32"/>
          <w:szCs w:val="32"/>
          <w:lang w:eastAsia="zh-CN"/>
        </w:rPr>
        <w:t>局</w:t>
      </w:r>
      <w:r>
        <w:rPr>
          <w:rFonts w:hint="eastAsia" w:ascii="仿宋" w:hAnsi="仿宋" w:eastAsia="仿宋" w:cs="仿宋"/>
          <w:sz w:val="32"/>
          <w:szCs w:val="32"/>
        </w:rPr>
        <w:t>国有资产总额</w:t>
      </w:r>
      <w:r>
        <w:rPr>
          <w:rFonts w:hint="eastAsia" w:ascii="仿宋" w:hAnsi="仿宋" w:eastAsia="仿宋" w:cs="仿宋"/>
          <w:sz w:val="32"/>
          <w:szCs w:val="32"/>
          <w:lang w:val="en-US" w:eastAsia="zh-CN"/>
        </w:rPr>
        <w:t>2133.36</w:t>
      </w:r>
      <w:r>
        <w:rPr>
          <w:rFonts w:hint="eastAsia" w:ascii="仿宋" w:hAnsi="仿宋" w:eastAsia="仿宋" w:cs="仿宋"/>
          <w:sz w:val="32"/>
          <w:szCs w:val="32"/>
        </w:rPr>
        <w:t>万元，其中业务用房共计</w:t>
      </w:r>
      <w:r>
        <w:rPr>
          <w:rFonts w:hint="eastAsia" w:ascii="仿宋" w:hAnsi="仿宋" w:eastAsia="仿宋" w:cs="仿宋"/>
          <w:sz w:val="32"/>
          <w:szCs w:val="32"/>
          <w:lang w:val="en-US" w:eastAsia="zh-CN"/>
        </w:rPr>
        <w:t>8370.2</w:t>
      </w:r>
      <w:r>
        <w:rPr>
          <w:rFonts w:hint="eastAsia" w:ascii="仿宋" w:hAnsi="仿宋" w:eastAsia="仿宋" w:cs="仿宋"/>
          <w:sz w:val="32"/>
          <w:szCs w:val="32"/>
        </w:rPr>
        <w:t>平米，价值</w:t>
      </w:r>
      <w:r>
        <w:rPr>
          <w:rFonts w:hint="eastAsia" w:ascii="仿宋" w:hAnsi="仿宋" w:eastAsia="仿宋" w:cs="仿宋"/>
          <w:sz w:val="32"/>
          <w:szCs w:val="32"/>
          <w:lang w:val="en-US" w:eastAsia="zh-CN"/>
        </w:rPr>
        <w:t>752.94</w:t>
      </w:r>
      <w:r>
        <w:rPr>
          <w:rFonts w:hint="eastAsia" w:ascii="仿宋" w:hAnsi="仿宋" w:eastAsia="仿宋" w:cs="仿宋"/>
          <w:sz w:val="32"/>
          <w:szCs w:val="32"/>
        </w:rPr>
        <w:t>万元；车辆共计</w:t>
      </w:r>
      <w:r>
        <w:rPr>
          <w:rFonts w:hint="eastAsia" w:ascii="仿宋" w:hAnsi="仿宋" w:eastAsia="仿宋" w:cs="仿宋"/>
          <w:sz w:val="32"/>
          <w:szCs w:val="32"/>
          <w:lang w:val="en-US" w:eastAsia="zh-CN"/>
        </w:rPr>
        <w:t>18</w:t>
      </w:r>
      <w:r>
        <w:rPr>
          <w:rFonts w:hint="eastAsia" w:ascii="仿宋" w:hAnsi="仿宋" w:eastAsia="仿宋" w:cs="仿宋"/>
          <w:sz w:val="32"/>
          <w:szCs w:val="32"/>
        </w:rPr>
        <w:t>辆，价值</w:t>
      </w:r>
      <w:r>
        <w:rPr>
          <w:rFonts w:hint="eastAsia" w:ascii="仿宋" w:hAnsi="仿宋" w:eastAsia="仿宋" w:cs="仿宋"/>
          <w:sz w:val="32"/>
          <w:szCs w:val="32"/>
          <w:lang w:val="en-US" w:eastAsia="zh-CN"/>
        </w:rPr>
        <w:t>217.58</w:t>
      </w:r>
      <w:r>
        <w:rPr>
          <w:rFonts w:hint="eastAsia" w:ascii="仿宋" w:hAnsi="仿宋" w:eastAsia="仿宋" w:cs="仿宋"/>
          <w:sz w:val="32"/>
          <w:szCs w:val="32"/>
        </w:rPr>
        <w:t>万元，其他资产</w:t>
      </w:r>
      <w:r>
        <w:rPr>
          <w:rFonts w:hint="eastAsia" w:ascii="仿宋" w:hAnsi="仿宋" w:eastAsia="仿宋" w:cs="仿宋"/>
          <w:sz w:val="32"/>
          <w:szCs w:val="32"/>
          <w:lang w:val="en-US" w:eastAsia="zh-CN"/>
        </w:rPr>
        <w:t>1162.84</w:t>
      </w:r>
      <w:r>
        <w:rPr>
          <w:rFonts w:hint="eastAsia" w:ascii="仿宋" w:hAnsi="仿宋" w:eastAsia="仿宋" w:cs="仿宋"/>
          <w:sz w:val="32"/>
          <w:szCs w:val="32"/>
        </w:rPr>
        <w:t>万元。202</w:t>
      </w:r>
      <w:r>
        <w:rPr>
          <w:rFonts w:hint="eastAsia" w:ascii="仿宋" w:hAnsi="仿宋" w:eastAsia="仿宋" w:cs="仿宋"/>
          <w:sz w:val="32"/>
          <w:szCs w:val="32"/>
          <w:lang w:val="en-US" w:eastAsia="zh-CN"/>
        </w:rPr>
        <w:t>4</w:t>
      </w:r>
      <w:r>
        <w:rPr>
          <w:rFonts w:hint="eastAsia" w:ascii="仿宋" w:hAnsi="仿宋" w:eastAsia="仿宋" w:cs="仿宋"/>
          <w:sz w:val="32"/>
          <w:szCs w:val="32"/>
        </w:rPr>
        <w:t>年我</w:t>
      </w:r>
      <w:r>
        <w:rPr>
          <w:rFonts w:hint="eastAsia" w:ascii="仿宋" w:hAnsi="仿宋" w:eastAsia="仿宋" w:cs="仿宋"/>
          <w:sz w:val="32"/>
          <w:szCs w:val="32"/>
          <w:lang w:eastAsia="zh-CN"/>
        </w:rPr>
        <w:t>部门</w:t>
      </w:r>
      <w:r>
        <w:rPr>
          <w:rFonts w:hint="eastAsia" w:ascii="仿宋" w:hAnsi="仿宋" w:eastAsia="仿宋" w:cs="仿宋"/>
          <w:sz w:val="32"/>
          <w:szCs w:val="32"/>
        </w:rPr>
        <w:t>拟增固定资产</w:t>
      </w:r>
      <w:r>
        <w:rPr>
          <w:rFonts w:hint="eastAsia" w:ascii="仿宋" w:hAnsi="仿宋" w:eastAsia="仿宋" w:cs="仿宋"/>
          <w:sz w:val="32"/>
          <w:szCs w:val="32"/>
          <w:lang w:val="en-US" w:eastAsia="zh-CN"/>
        </w:rPr>
        <w:t>44</w:t>
      </w:r>
      <w:r>
        <w:rPr>
          <w:rFonts w:hint="eastAsia" w:ascii="仿宋" w:hAnsi="仿宋" w:eastAsia="仿宋" w:cs="仿宋"/>
          <w:sz w:val="32"/>
          <w:szCs w:val="32"/>
        </w:rPr>
        <w:t>万元，</w:t>
      </w:r>
      <w:r>
        <w:rPr>
          <w:rFonts w:hint="eastAsia" w:ascii="仿宋" w:hAnsi="仿宋" w:eastAsia="仿宋" w:cs="仿宋"/>
          <w:sz w:val="32"/>
          <w:szCs w:val="32"/>
          <w:lang w:eastAsia="zh-CN"/>
        </w:rPr>
        <w:t>具体为购置公务用车一辆、</w:t>
      </w:r>
      <w:r>
        <w:rPr>
          <w:rFonts w:hint="eastAsia" w:ascii="仿宋" w:hAnsi="仿宋" w:eastAsia="仿宋" w:cs="仿宋"/>
          <w:sz w:val="32"/>
          <w:szCs w:val="32"/>
          <w:lang w:val="en-US" w:eastAsia="zh-CN"/>
        </w:rPr>
        <w:t>计量检测</w:t>
      </w:r>
      <w:r>
        <w:rPr>
          <w:rFonts w:hint="eastAsia" w:ascii="仿宋" w:hAnsi="仿宋" w:eastAsia="仿宋" w:cs="仿宋"/>
          <w:sz w:val="32"/>
          <w:szCs w:val="32"/>
          <w:lang w:eastAsia="zh-CN"/>
        </w:rPr>
        <w:t>设备</w:t>
      </w:r>
      <w:r>
        <w:rPr>
          <w:rFonts w:hint="eastAsia" w:ascii="仿宋" w:hAnsi="仿宋" w:eastAsia="仿宋" w:cs="仿宋"/>
          <w:sz w:val="32"/>
          <w:szCs w:val="32"/>
        </w:rPr>
        <w:t>。</w:t>
      </w:r>
    </w:p>
    <w:p>
      <w:pPr>
        <w:pStyle w:val="8"/>
        <w:shd w:val="clear" w:color="auto" w:fill="FFFFFF"/>
        <w:spacing w:before="0" w:beforeAutospacing="0" w:after="0" w:afterAutospacing="0" w:line="520" w:lineRule="exact"/>
        <w:ind w:firstLine="640"/>
        <w:jc w:val="center"/>
        <w:rPr>
          <w:rFonts w:hint="eastAsia" w:ascii="仿宋" w:hAnsi="仿宋" w:eastAsia="仿宋" w:cs="仿宋"/>
          <w:sz w:val="32"/>
          <w:szCs w:val="32"/>
        </w:rPr>
      </w:pPr>
      <w:r>
        <w:rPr>
          <w:rFonts w:hint="eastAsia" w:ascii="仿宋" w:hAnsi="仿宋" w:eastAsia="仿宋" w:cs="仿宋"/>
          <w:sz w:val="32"/>
          <w:szCs w:val="32"/>
        </w:rPr>
        <w:t>固定资产占用情况表</w:t>
      </w:r>
    </w:p>
    <w:p>
      <w:pPr>
        <w:pStyle w:val="8"/>
        <w:shd w:val="clear" w:color="auto" w:fill="FFFFFF"/>
        <w:spacing w:before="0" w:beforeAutospacing="0" w:after="0" w:afterAutospacing="0" w:line="520" w:lineRule="exact"/>
        <w:ind w:firstLine="64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Cs/>
          <w:color w:val="000000"/>
          <w:sz w:val="32"/>
          <w:szCs w:val="32"/>
        </w:rPr>
        <w:t>截止时间：20</w:t>
      </w:r>
      <w:r>
        <w:rPr>
          <w:rFonts w:hint="eastAsia" w:ascii="仿宋" w:hAnsi="仿宋" w:eastAsia="仿宋" w:cs="仿宋"/>
          <w:bCs/>
          <w:color w:val="000000"/>
          <w:sz w:val="32"/>
          <w:szCs w:val="32"/>
          <w:lang w:val="en-US" w:eastAsia="zh-CN"/>
        </w:rPr>
        <w:t>23</w:t>
      </w:r>
      <w:r>
        <w:rPr>
          <w:rFonts w:hint="eastAsia" w:ascii="仿宋" w:hAnsi="仿宋" w:eastAsia="仿宋" w:cs="仿宋"/>
          <w:bCs/>
          <w:color w:val="000000"/>
          <w:sz w:val="32"/>
          <w:szCs w:val="32"/>
        </w:rPr>
        <w:t>年12月31日</w:t>
      </w:r>
      <w:r>
        <w:rPr>
          <w:rFonts w:hint="eastAsia" w:ascii="仿宋" w:hAnsi="仿宋" w:eastAsia="仿宋" w:cs="仿宋"/>
          <w:sz w:val="32"/>
          <w:szCs w:val="32"/>
        </w:rPr>
        <w:t xml:space="preserve">   </w:t>
      </w:r>
    </w:p>
    <w:tbl>
      <w:tblPr>
        <w:tblStyle w:val="9"/>
        <w:tblW w:w="10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7"/>
        <w:gridCol w:w="1656"/>
        <w:gridCol w:w="4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7" w:type="dxa"/>
            <w:noWrap w:val="0"/>
            <w:vAlign w:val="center"/>
          </w:tcPr>
          <w:p>
            <w:pPr>
              <w:widowControl/>
              <w:jc w:val="center"/>
              <w:rPr>
                <w:rFonts w:hint="eastAsia" w:ascii="仿宋" w:hAnsi="仿宋" w:eastAsia="仿宋" w:cs="仿宋"/>
                <w:sz w:val="32"/>
                <w:szCs w:val="32"/>
              </w:rPr>
            </w:pPr>
            <w:r>
              <w:rPr>
                <w:rFonts w:hint="eastAsia" w:ascii="仿宋" w:hAnsi="仿宋" w:eastAsia="仿宋" w:cs="仿宋"/>
                <w:b/>
                <w:bCs/>
                <w:color w:val="000000"/>
                <w:kern w:val="0"/>
                <w:sz w:val="32"/>
                <w:szCs w:val="32"/>
              </w:rPr>
              <w:t>项　　目</w:t>
            </w:r>
          </w:p>
        </w:tc>
        <w:tc>
          <w:tcPr>
            <w:tcW w:w="1656" w:type="dxa"/>
            <w:noWrap w:val="0"/>
            <w:vAlign w:val="center"/>
          </w:tcPr>
          <w:p>
            <w:pPr>
              <w:widowControl/>
              <w:jc w:val="center"/>
              <w:rPr>
                <w:rFonts w:hint="eastAsia" w:ascii="仿宋" w:hAnsi="仿宋" w:eastAsia="仿宋" w:cs="仿宋"/>
                <w:sz w:val="32"/>
                <w:szCs w:val="32"/>
              </w:rPr>
            </w:pPr>
            <w:r>
              <w:rPr>
                <w:rFonts w:hint="eastAsia" w:ascii="仿宋" w:hAnsi="仿宋" w:eastAsia="仿宋" w:cs="仿宋"/>
                <w:b/>
                <w:bCs/>
                <w:color w:val="000000"/>
                <w:kern w:val="0"/>
                <w:sz w:val="32"/>
                <w:szCs w:val="32"/>
              </w:rPr>
              <w:t>数量</w:t>
            </w:r>
          </w:p>
        </w:tc>
        <w:tc>
          <w:tcPr>
            <w:tcW w:w="4426" w:type="dxa"/>
            <w:noWrap w:val="0"/>
            <w:vAlign w:val="center"/>
          </w:tcPr>
          <w:p>
            <w:pPr>
              <w:widowControl/>
              <w:jc w:val="center"/>
              <w:rPr>
                <w:rFonts w:hint="eastAsia" w:ascii="仿宋" w:hAnsi="仿宋" w:eastAsia="仿宋" w:cs="仿宋"/>
                <w:sz w:val="32"/>
                <w:szCs w:val="32"/>
              </w:rPr>
            </w:pPr>
            <w:r>
              <w:rPr>
                <w:rFonts w:hint="eastAsia" w:ascii="仿宋" w:hAnsi="仿宋" w:eastAsia="仿宋" w:cs="仿宋"/>
                <w:b/>
                <w:bCs/>
                <w:color w:val="000000"/>
                <w:kern w:val="0"/>
                <w:sz w:val="32"/>
                <w:szCs w:val="32"/>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7" w:type="dxa"/>
            <w:noWrap w:val="0"/>
            <w:vAlign w:val="center"/>
          </w:tcPr>
          <w:p>
            <w:pPr>
              <w:widowControl/>
              <w:jc w:val="center"/>
              <w:rPr>
                <w:rFonts w:hint="eastAsia" w:ascii="仿宋" w:hAnsi="仿宋" w:eastAsia="仿宋" w:cs="仿宋"/>
                <w:sz w:val="32"/>
                <w:szCs w:val="32"/>
              </w:rPr>
            </w:pPr>
            <w:r>
              <w:rPr>
                <w:rFonts w:hint="eastAsia" w:ascii="仿宋" w:hAnsi="仿宋" w:eastAsia="仿宋" w:cs="仿宋"/>
                <w:b/>
                <w:bCs/>
                <w:color w:val="000000"/>
                <w:kern w:val="0"/>
                <w:sz w:val="32"/>
                <w:szCs w:val="32"/>
              </w:rPr>
              <w:t>固定资产总额</w:t>
            </w:r>
          </w:p>
        </w:tc>
        <w:tc>
          <w:tcPr>
            <w:tcW w:w="1656" w:type="dxa"/>
            <w:noWrap w:val="0"/>
            <w:vAlign w:val="center"/>
          </w:tcPr>
          <w:p>
            <w:pPr>
              <w:widowControl/>
              <w:jc w:val="center"/>
              <w:rPr>
                <w:rFonts w:hint="eastAsia" w:ascii="仿宋" w:hAnsi="仿宋" w:eastAsia="仿宋" w:cs="仿宋"/>
                <w:sz w:val="32"/>
                <w:szCs w:val="32"/>
              </w:rPr>
            </w:pPr>
            <w:r>
              <w:rPr>
                <w:rFonts w:hint="eastAsia" w:ascii="仿宋" w:hAnsi="仿宋" w:eastAsia="仿宋" w:cs="仿宋"/>
                <w:color w:val="000000"/>
                <w:kern w:val="0"/>
                <w:sz w:val="32"/>
                <w:szCs w:val="32"/>
              </w:rPr>
              <w:t>—</w:t>
            </w:r>
          </w:p>
        </w:tc>
        <w:tc>
          <w:tcPr>
            <w:tcW w:w="4426" w:type="dxa"/>
            <w:noWrap w:val="0"/>
            <w:vAlign w:val="center"/>
          </w:tcPr>
          <w:p>
            <w:pPr>
              <w:widowControl/>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2133.36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7" w:type="dxa"/>
            <w:noWrap w:val="0"/>
            <w:vAlign w:val="center"/>
          </w:tcPr>
          <w:p>
            <w:pPr>
              <w:widowControl/>
              <w:jc w:val="left"/>
              <w:rPr>
                <w:rFonts w:hint="eastAsia" w:ascii="仿宋" w:hAnsi="仿宋" w:eastAsia="仿宋" w:cs="仿宋"/>
                <w:sz w:val="32"/>
                <w:szCs w:val="32"/>
              </w:rPr>
            </w:pPr>
            <w:r>
              <w:rPr>
                <w:rFonts w:hint="eastAsia" w:ascii="仿宋" w:hAnsi="仿宋" w:eastAsia="仿宋" w:cs="仿宋"/>
                <w:color w:val="000000"/>
                <w:kern w:val="0"/>
                <w:sz w:val="32"/>
                <w:szCs w:val="32"/>
              </w:rPr>
              <w:t xml:space="preserve">  1、房屋（平方米）</w:t>
            </w:r>
          </w:p>
        </w:tc>
        <w:tc>
          <w:tcPr>
            <w:tcW w:w="1656" w:type="dxa"/>
            <w:noWrap w:val="0"/>
            <w:vAlign w:val="center"/>
          </w:tcPr>
          <w:p>
            <w:pPr>
              <w:widowControl/>
              <w:jc w:val="center"/>
              <w:rPr>
                <w:rFonts w:hint="eastAsia" w:ascii="仿宋" w:hAnsi="仿宋" w:eastAsia="仿宋" w:cs="仿宋"/>
                <w:sz w:val="32"/>
                <w:szCs w:val="32"/>
              </w:rPr>
            </w:pPr>
            <w:r>
              <w:rPr>
                <w:rFonts w:hint="eastAsia" w:ascii="仿宋" w:hAnsi="仿宋" w:eastAsia="仿宋" w:cs="仿宋"/>
                <w:sz w:val="32"/>
                <w:szCs w:val="32"/>
                <w:lang w:val="en-US" w:eastAsia="zh-CN"/>
              </w:rPr>
              <w:t>8370.2</w:t>
            </w:r>
          </w:p>
        </w:tc>
        <w:tc>
          <w:tcPr>
            <w:tcW w:w="4426" w:type="dxa"/>
            <w:noWrap w:val="0"/>
            <w:vAlign w:val="center"/>
          </w:tcPr>
          <w:p>
            <w:pPr>
              <w:widowControl/>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752.94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7" w:type="dxa"/>
            <w:noWrap w:val="0"/>
            <w:vAlign w:val="center"/>
          </w:tcPr>
          <w:p>
            <w:pPr>
              <w:jc w:val="left"/>
              <w:rPr>
                <w:rFonts w:hint="eastAsia" w:ascii="仿宋" w:hAnsi="仿宋" w:eastAsia="仿宋" w:cs="仿宋"/>
                <w:sz w:val="32"/>
                <w:szCs w:val="32"/>
              </w:rPr>
            </w:pPr>
            <w:r>
              <w:rPr>
                <w:rFonts w:hint="eastAsia" w:ascii="仿宋" w:hAnsi="仿宋" w:eastAsia="仿宋" w:cs="仿宋"/>
                <w:color w:val="000000"/>
                <w:kern w:val="0"/>
                <w:sz w:val="32"/>
                <w:szCs w:val="32"/>
              </w:rPr>
              <w:t xml:space="preserve">   其中：办公用房（平方米）</w:t>
            </w:r>
          </w:p>
        </w:tc>
        <w:tc>
          <w:tcPr>
            <w:tcW w:w="1656" w:type="dxa"/>
            <w:noWrap w:val="0"/>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8370.2</w:t>
            </w:r>
          </w:p>
        </w:tc>
        <w:tc>
          <w:tcPr>
            <w:tcW w:w="4426" w:type="dxa"/>
            <w:noWrap w:val="0"/>
            <w:vAlign w:val="center"/>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752.94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7" w:type="dxa"/>
            <w:noWrap w:val="0"/>
            <w:vAlign w:val="center"/>
          </w:tcPr>
          <w:p>
            <w:pPr>
              <w:widowControl/>
              <w:jc w:val="left"/>
              <w:rPr>
                <w:rFonts w:hint="eastAsia" w:ascii="仿宋" w:hAnsi="仿宋" w:eastAsia="仿宋" w:cs="仿宋"/>
                <w:sz w:val="32"/>
                <w:szCs w:val="32"/>
              </w:rPr>
            </w:pPr>
            <w:r>
              <w:rPr>
                <w:rFonts w:hint="eastAsia" w:ascii="仿宋" w:hAnsi="仿宋" w:eastAsia="仿宋" w:cs="仿宋"/>
                <w:color w:val="000000"/>
                <w:kern w:val="0"/>
                <w:sz w:val="32"/>
                <w:szCs w:val="32"/>
              </w:rPr>
              <w:t xml:space="preserve">  2、车辆（台、辆）</w:t>
            </w:r>
          </w:p>
        </w:tc>
        <w:tc>
          <w:tcPr>
            <w:tcW w:w="1656" w:type="dxa"/>
            <w:noWrap w:val="0"/>
            <w:vAlign w:val="center"/>
          </w:tcPr>
          <w:p>
            <w:pPr>
              <w:widowControl/>
              <w:jc w:val="center"/>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rPr>
              <w:t>18</w:t>
            </w:r>
          </w:p>
        </w:tc>
        <w:tc>
          <w:tcPr>
            <w:tcW w:w="4426" w:type="dxa"/>
            <w:noWrap w:val="0"/>
            <w:vAlign w:val="center"/>
          </w:tcPr>
          <w:p>
            <w:pPr>
              <w:widowControl/>
              <w:jc w:val="center"/>
              <w:rPr>
                <w:rFonts w:hint="default"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rPr>
              <w:t>217.58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7" w:type="dxa"/>
            <w:noWrap w:val="0"/>
            <w:vAlign w:val="center"/>
          </w:tcPr>
          <w:p>
            <w:pPr>
              <w:widowControl/>
              <w:jc w:val="left"/>
              <w:rPr>
                <w:rFonts w:hint="eastAsia" w:ascii="仿宋" w:hAnsi="仿宋" w:eastAsia="仿宋" w:cs="仿宋"/>
                <w:sz w:val="32"/>
                <w:szCs w:val="32"/>
              </w:rPr>
            </w:pPr>
            <w:r>
              <w:rPr>
                <w:rFonts w:hint="eastAsia" w:ascii="仿宋" w:hAnsi="仿宋" w:eastAsia="仿宋" w:cs="仿宋"/>
                <w:color w:val="000000"/>
                <w:kern w:val="0"/>
                <w:sz w:val="32"/>
                <w:szCs w:val="32"/>
              </w:rPr>
              <w:t xml:space="preserve">  3、单价在20万元以上的设备</w:t>
            </w:r>
          </w:p>
        </w:tc>
        <w:tc>
          <w:tcPr>
            <w:tcW w:w="1656" w:type="dxa"/>
            <w:noWrap w:val="0"/>
            <w:vAlign w:val="center"/>
          </w:tcPr>
          <w:p>
            <w:pPr>
              <w:widowControl/>
              <w:jc w:val="center"/>
              <w:rPr>
                <w:rFonts w:hint="eastAsia" w:ascii="仿宋" w:hAnsi="仿宋" w:eastAsia="仿宋" w:cs="仿宋"/>
                <w:sz w:val="32"/>
                <w:szCs w:val="32"/>
              </w:rPr>
            </w:pPr>
            <w:r>
              <w:rPr>
                <w:rFonts w:hint="eastAsia" w:ascii="仿宋" w:hAnsi="仿宋" w:eastAsia="仿宋" w:cs="仿宋"/>
                <w:color w:val="000000"/>
                <w:kern w:val="0"/>
                <w:sz w:val="32"/>
                <w:szCs w:val="32"/>
              </w:rPr>
              <w:t>—</w:t>
            </w:r>
          </w:p>
        </w:tc>
        <w:tc>
          <w:tcPr>
            <w:tcW w:w="4426" w:type="dxa"/>
            <w:noWrap w:val="0"/>
            <w:vAlign w:val="center"/>
          </w:tcPr>
          <w:p>
            <w:pPr>
              <w:widowControl/>
              <w:jc w:val="center"/>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rPr>
              <w:t>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7" w:type="dxa"/>
            <w:noWrap w:val="0"/>
            <w:vAlign w:val="center"/>
          </w:tcPr>
          <w:p>
            <w:pPr>
              <w:jc w:val="left"/>
              <w:rPr>
                <w:rFonts w:hint="eastAsia" w:ascii="仿宋" w:hAnsi="仿宋" w:eastAsia="仿宋" w:cs="仿宋"/>
                <w:sz w:val="32"/>
                <w:szCs w:val="32"/>
              </w:rPr>
            </w:pPr>
            <w:r>
              <w:rPr>
                <w:rFonts w:hint="eastAsia" w:ascii="仿宋" w:hAnsi="仿宋" w:eastAsia="仿宋" w:cs="仿宋"/>
                <w:color w:val="000000"/>
                <w:kern w:val="0"/>
                <w:sz w:val="32"/>
                <w:szCs w:val="32"/>
              </w:rPr>
              <w:t xml:space="preserve">  4、其他固定资产</w:t>
            </w:r>
          </w:p>
        </w:tc>
        <w:tc>
          <w:tcPr>
            <w:tcW w:w="1656" w:type="dxa"/>
            <w:noWrap w:val="0"/>
            <w:vAlign w:val="center"/>
          </w:tcPr>
          <w:p>
            <w:pPr>
              <w:jc w:val="center"/>
              <w:rPr>
                <w:rFonts w:hint="eastAsia" w:ascii="仿宋" w:hAnsi="仿宋" w:eastAsia="仿宋" w:cs="仿宋"/>
                <w:sz w:val="32"/>
                <w:szCs w:val="32"/>
              </w:rPr>
            </w:pPr>
            <w:r>
              <w:rPr>
                <w:rFonts w:hint="eastAsia" w:ascii="仿宋" w:hAnsi="仿宋" w:eastAsia="仿宋" w:cs="仿宋"/>
                <w:color w:val="000000"/>
                <w:kern w:val="0"/>
                <w:sz w:val="32"/>
                <w:szCs w:val="32"/>
              </w:rPr>
              <w:t>—</w:t>
            </w:r>
          </w:p>
        </w:tc>
        <w:tc>
          <w:tcPr>
            <w:tcW w:w="4426" w:type="dxa"/>
            <w:noWrap w:val="0"/>
            <w:vAlign w:val="center"/>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1081.94</w:t>
            </w:r>
          </w:p>
        </w:tc>
      </w:tr>
    </w:tbl>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bookmarkStart w:id="44" w:name="_Toc_3_3_0000000017"/>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八、名词解释</w:t>
      </w:r>
      <w:bookmarkEnd w:id="44"/>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县（区）</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县（区）</w:t>
      </w:r>
      <w:r>
        <w:rPr>
          <w:rFonts w:eastAsia="方正仿宋_GBK"/>
          <w:color w:val="000000"/>
          <w:sz w:val="28"/>
        </w:rPr>
        <w:t>级财政预算管理的“三公”经费，是指</w:t>
      </w:r>
      <w:r>
        <w:rPr>
          <w:rFonts w:hint="eastAsia" w:eastAsia="方正仿宋_GBK"/>
          <w:color w:val="000000"/>
          <w:sz w:val="28"/>
          <w:lang w:eastAsia="zh-CN"/>
        </w:rPr>
        <w:t>县（区）</w:t>
      </w:r>
      <w:r>
        <w:rPr>
          <w:rFonts w:eastAsia="方正仿宋_GBK"/>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45" w:name="_Toc_3_3_0000000018"/>
      <w:r>
        <w:rPr>
          <w:rFonts w:ascii="黑体" w:hAnsi="黑体" w:eastAsia="黑体" w:cs="黑体"/>
          <w:color w:val="000000"/>
          <w:sz w:val="32"/>
        </w:rPr>
        <w:t>九、其他需要说明的事项</w:t>
      </w:r>
      <w:bookmarkEnd w:id="45"/>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jc w:val="right"/>
                          </w:pPr>
                          <w:r>
                            <w:fldChar w:fldCharType="begin"/>
                          </w:r>
                          <w:r>
                            <w:instrText xml:space="preserve">PAGE "page number"</w:instrText>
                          </w:r>
                          <w:r>
                            <w:fldChar w:fldCharType="separate"/>
                          </w:r>
                          <w:r>
                            <w:t>23</w:t>
                          </w:r>
                          <w: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WH/vPLAQAAnAMAAA4AAAAAAAAAAQAgAAAAHgEAAGRycy9lMm9E&#10;b2MueG1sUEsFBgAAAAAGAAYAWQEAAFsFAAAAAA==&#10;">
              <v:fill on="f" focussize="0,0"/>
              <v:stroke on="f"/>
              <v:imagedata o:title=""/>
              <o:lock v:ext="edit" aspectratio="f"/>
              <v:textbox inset="0mm,0mm,0mm,0mm" style="mso-fit-shape-to-text:t;">
                <w:txbxContent>
                  <w:p>
                    <w:pPr>
                      <w:jc w:val="right"/>
                    </w:pPr>
                    <w:r>
                      <w:fldChar w:fldCharType="begin"/>
                    </w:r>
                    <w:r>
                      <w:instrText xml:space="preserve">PAGE "page number"</w:instrText>
                    </w:r>
                    <w:r>
                      <w:fldChar w:fldCharType="separate"/>
                    </w:r>
                    <w:r>
                      <w:t>23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
                            <w:fldChar w:fldCharType="begin"/>
                          </w:r>
                          <w:r>
                            <w:instrText xml:space="preserve">PAGE "page number"</w:instrText>
                          </w:r>
                          <w:r>
                            <w:fldChar w:fldCharType="separate"/>
                          </w:r>
                          <w:r>
                            <w:t>22</w:t>
                          </w:r>
                          <w:r>
                            <w:fldChar w:fldCharType="end"/>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4plRcoBAACcAwAADgAAAGRycy9lMm9Eb2MueG1srVPNjtMwEL4j8Q6W&#10;79RpkaCK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vqTEcYsDv3z/dvnx6/LzK1lW&#10;q9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n4plRcoBAACcAwAADgAAAAAAAAABACAAAAAeAQAAZHJzL2Uyb0Rv&#10;Yy54bWxQSwUGAAAAAAYABgBZAQAAWgUAAAAA&#10;">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BEA6C0"/>
    <w:multiLevelType w:val="singleLevel"/>
    <w:tmpl w:val="6BBEA6C0"/>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8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hdrShapeDefaults>
    <o:shapelayout v:ext="edit">
      <o:idmap v:ext="edit" data="3,4"/>
    </o:shapelayout>
  </w:hdrShapeDefault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U0NDM5MWFkMmY4ZmZmZjJjODBjMzI2N2ZmYWUifQ=="/>
  </w:docVars>
  <w:rsids>
    <w:rsidRoot w:val="00781D3A"/>
    <w:rsid w:val="001C0AE6"/>
    <w:rsid w:val="001D7814"/>
    <w:rsid w:val="001F099C"/>
    <w:rsid w:val="00472F0F"/>
    <w:rsid w:val="006B610F"/>
    <w:rsid w:val="00781D3A"/>
    <w:rsid w:val="00791CF2"/>
    <w:rsid w:val="00821C63"/>
    <w:rsid w:val="008236D4"/>
    <w:rsid w:val="009C206B"/>
    <w:rsid w:val="00A560CA"/>
    <w:rsid w:val="00BC0518"/>
    <w:rsid w:val="00C551BF"/>
    <w:rsid w:val="00C84C2E"/>
    <w:rsid w:val="00C92AE3"/>
    <w:rsid w:val="00CA59D1"/>
    <w:rsid w:val="00CB6BE0"/>
    <w:rsid w:val="00CF6148"/>
    <w:rsid w:val="00D42B1A"/>
    <w:rsid w:val="00DC041D"/>
    <w:rsid w:val="00DE32C6"/>
    <w:rsid w:val="00DF7C5F"/>
    <w:rsid w:val="00E6241B"/>
    <w:rsid w:val="00ED2EDE"/>
    <w:rsid w:val="00F37B70"/>
    <w:rsid w:val="019310CE"/>
    <w:rsid w:val="04031EE2"/>
    <w:rsid w:val="04897678"/>
    <w:rsid w:val="054B4674"/>
    <w:rsid w:val="05D53406"/>
    <w:rsid w:val="064855C4"/>
    <w:rsid w:val="06975E16"/>
    <w:rsid w:val="089F5554"/>
    <w:rsid w:val="08F95CCF"/>
    <w:rsid w:val="091D7025"/>
    <w:rsid w:val="0DCD1FE2"/>
    <w:rsid w:val="0E55670F"/>
    <w:rsid w:val="0EC8744E"/>
    <w:rsid w:val="0FC51778"/>
    <w:rsid w:val="11075201"/>
    <w:rsid w:val="1177286C"/>
    <w:rsid w:val="11EF5B1C"/>
    <w:rsid w:val="127326BC"/>
    <w:rsid w:val="136E4E2F"/>
    <w:rsid w:val="138A5BB2"/>
    <w:rsid w:val="14DF6353"/>
    <w:rsid w:val="15A33AED"/>
    <w:rsid w:val="171F7A69"/>
    <w:rsid w:val="194859F8"/>
    <w:rsid w:val="1A0F3873"/>
    <w:rsid w:val="1CEB6AD7"/>
    <w:rsid w:val="1E8578BB"/>
    <w:rsid w:val="1F001077"/>
    <w:rsid w:val="1F4625A8"/>
    <w:rsid w:val="20657CB4"/>
    <w:rsid w:val="23B819CC"/>
    <w:rsid w:val="254D3E5C"/>
    <w:rsid w:val="2A7A79DB"/>
    <w:rsid w:val="2B3F3AB0"/>
    <w:rsid w:val="2B4232DC"/>
    <w:rsid w:val="2B9D038F"/>
    <w:rsid w:val="2D5853DA"/>
    <w:rsid w:val="2DB00F5D"/>
    <w:rsid w:val="2ED25B02"/>
    <w:rsid w:val="30065364"/>
    <w:rsid w:val="30C46FCC"/>
    <w:rsid w:val="34FB6B39"/>
    <w:rsid w:val="36922AB2"/>
    <w:rsid w:val="37807356"/>
    <w:rsid w:val="37CF26CA"/>
    <w:rsid w:val="398776C4"/>
    <w:rsid w:val="39E735CE"/>
    <w:rsid w:val="3D342FD7"/>
    <w:rsid w:val="3D846190"/>
    <w:rsid w:val="3FFD5AEB"/>
    <w:rsid w:val="42F35674"/>
    <w:rsid w:val="43AB107C"/>
    <w:rsid w:val="446744D2"/>
    <w:rsid w:val="44E7639D"/>
    <w:rsid w:val="465D62BB"/>
    <w:rsid w:val="48BA73C9"/>
    <w:rsid w:val="4A6E08DD"/>
    <w:rsid w:val="4D687DB6"/>
    <w:rsid w:val="4ED44BAB"/>
    <w:rsid w:val="4FCF09F7"/>
    <w:rsid w:val="4FE93DFA"/>
    <w:rsid w:val="50F95972"/>
    <w:rsid w:val="52436BCC"/>
    <w:rsid w:val="5381548E"/>
    <w:rsid w:val="545E5C23"/>
    <w:rsid w:val="572B1A69"/>
    <w:rsid w:val="58615D26"/>
    <w:rsid w:val="5B01542B"/>
    <w:rsid w:val="5DD50705"/>
    <w:rsid w:val="5FD75F93"/>
    <w:rsid w:val="618868A7"/>
    <w:rsid w:val="61CB14A9"/>
    <w:rsid w:val="62400B49"/>
    <w:rsid w:val="636A6D42"/>
    <w:rsid w:val="64242071"/>
    <w:rsid w:val="672B2528"/>
    <w:rsid w:val="67897A30"/>
    <w:rsid w:val="6A7A48BA"/>
    <w:rsid w:val="6B721A2E"/>
    <w:rsid w:val="6CC21679"/>
    <w:rsid w:val="6D9B1C9B"/>
    <w:rsid w:val="6E551484"/>
    <w:rsid w:val="6EC453A0"/>
    <w:rsid w:val="70D17199"/>
    <w:rsid w:val="72C54208"/>
    <w:rsid w:val="733726AC"/>
    <w:rsid w:val="739526B7"/>
    <w:rsid w:val="74AF7FFB"/>
    <w:rsid w:val="76383E61"/>
    <w:rsid w:val="7730111A"/>
    <w:rsid w:val="79034249"/>
    <w:rsid w:val="799C75D7"/>
    <w:rsid w:val="799E44FB"/>
    <w:rsid w:val="7A1D3303"/>
    <w:rsid w:val="7B5A2338"/>
    <w:rsid w:val="7C3C57B0"/>
    <w:rsid w:val="7E264AD0"/>
    <w:rsid w:val="7F5F52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0"/>
    <w:pPr>
      <w:ind w:left="480"/>
    </w:pPr>
  </w:style>
  <w:style w:type="paragraph" w:styleId="3">
    <w:name w:val="footer"/>
    <w:basedOn w:val="1"/>
    <w:link w:val="35"/>
    <w:autoRedefine/>
    <w:unhideWhenUsed/>
    <w:qFormat/>
    <w:uiPriority w:val="99"/>
    <w:pPr>
      <w:tabs>
        <w:tab w:val="center" w:pos="4153"/>
        <w:tab w:val="right" w:pos="8306"/>
      </w:tabs>
      <w:snapToGrid w:val="0"/>
    </w:pPr>
    <w:rPr>
      <w:sz w:val="18"/>
      <w:szCs w:val="18"/>
    </w:rPr>
  </w:style>
  <w:style w:type="paragraph" w:styleId="4">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qFormat/>
    <w:uiPriority w:val="0"/>
    <w:pPr>
      <w:spacing w:before="120"/>
      <w:ind w:firstLine="560"/>
    </w:pPr>
    <w:rPr>
      <w:rFonts w:eastAsia="方正仿宋_GBK"/>
      <w:color w:val="000000"/>
      <w:sz w:val="28"/>
    </w:rPr>
  </w:style>
  <w:style w:type="paragraph" w:styleId="6">
    <w:name w:val="toc 4"/>
    <w:basedOn w:val="1"/>
    <w:next w:val="1"/>
    <w:autoRedefine/>
    <w:qFormat/>
    <w:uiPriority w:val="0"/>
    <w:pPr>
      <w:ind w:left="720"/>
    </w:pPr>
  </w:style>
  <w:style w:type="paragraph" w:styleId="7">
    <w:name w:val="toc 2"/>
    <w:basedOn w:val="1"/>
    <w:next w:val="1"/>
    <w:autoRedefine/>
    <w:qFormat/>
    <w:uiPriority w:val="0"/>
    <w:pPr>
      <w:ind w:left="240"/>
    </w:pPr>
  </w:style>
  <w:style w:type="paragraph" w:styleId="8">
    <w:name w:val="Normal (Web)"/>
    <w:basedOn w:val="1"/>
    <w:autoRedefine/>
    <w:qFormat/>
    <w:uiPriority w:val="0"/>
    <w:pPr>
      <w:widowControl/>
      <w:spacing w:before="100" w:beforeAutospacing="1" w:after="100" w:afterAutospacing="1"/>
      <w:jc w:val="left"/>
    </w:pPr>
    <w:rPr>
      <w:rFonts w:ascii="宋体" w:hAnsi="宋体" w:cs="宋体"/>
      <w:kern w:val="0"/>
      <w:sz w:val="24"/>
      <w:szCs w:val="24"/>
    </w:rPr>
  </w:style>
  <w:style w:type="table" w:styleId="10">
    <w:name w:val="Table Grid"/>
    <w:basedOn w:val="9"/>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4">
    <w:name w:val="单元格样式20"/>
    <w:basedOn w:val="1"/>
    <w:autoRedefine/>
    <w:qFormat/>
    <w:uiPriority w:val="0"/>
    <w:rPr>
      <w:rFonts w:ascii="方正小标宋_GBK" w:hAnsi="方正小标宋_GBK" w:eastAsia="方正小标宋_GBK" w:cs="方正小标宋_GBK"/>
    </w:rPr>
  </w:style>
  <w:style w:type="paragraph" w:customStyle="1" w:styleId="15">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6">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7">
    <w:name w:val="单元格样式2"/>
    <w:basedOn w:val="1"/>
    <w:autoRedefine/>
    <w:qFormat/>
    <w:uiPriority w:val="0"/>
    <w:rPr>
      <w:rFonts w:ascii="方正书宋_GBK" w:hAnsi="方正书宋_GBK" w:eastAsia="方正书宋_GBK" w:cs="方正书宋_GBK"/>
      <w:sz w:val="21"/>
    </w:rPr>
  </w:style>
  <w:style w:type="paragraph" w:customStyle="1" w:styleId="18">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9">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20">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21">
    <w:name w:val="单元格样式5"/>
    <w:basedOn w:val="1"/>
    <w:autoRedefine/>
    <w:qFormat/>
    <w:uiPriority w:val="0"/>
    <w:rPr>
      <w:rFonts w:ascii="方正书宋_GBK" w:hAnsi="方正书宋_GBK" w:eastAsia="方正书宋_GBK" w:cs="方正书宋_GBK"/>
      <w:b/>
      <w:sz w:val="21"/>
    </w:rPr>
  </w:style>
  <w:style w:type="paragraph" w:customStyle="1" w:styleId="22">
    <w:name w:val="插入文本样式-插入部门职责文件"/>
    <w:basedOn w:val="1"/>
    <w:autoRedefine/>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6">
    <w:name w:val="插入文本样式-插入总体目标文件"/>
    <w:basedOn w:val="1"/>
    <w:autoRedefine/>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29">
    <w:name w:val="单元格样式23"/>
    <w:basedOn w:val="1"/>
    <w:autoRedefine/>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autoRedefine/>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character" w:customStyle="1" w:styleId="34">
    <w:name w:val="页眉 Char"/>
    <w:basedOn w:val="11"/>
    <w:link w:val="4"/>
    <w:autoRedefine/>
    <w:qFormat/>
    <w:uiPriority w:val="99"/>
    <w:rPr>
      <w:rFonts w:eastAsia="Times New Roman"/>
      <w:sz w:val="18"/>
      <w:szCs w:val="18"/>
      <w:lang w:eastAsia="uk-UA"/>
    </w:rPr>
  </w:style>
  <w:style w:type="character" w:customStyle="1" w:styleId="35">
    <w:name w:val="页脚 Char"/>
    <w:basedOn w:val="11"/>
    <w:link w:val="3"/>
    <w:autoRedefine/>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8" Type="http://schemas.openxmlformats.org/officeDocument/2006/relationships/fontTable" Target="fontTable.xml"/><Relationship Id="rId47" Type="http://schemas.openxmlformats.org/officeDocument/2006/relationships/customXml" Target="../customXml/item40.xml"/><Relationship Id="rId46" Type="http://schemas.openxmlformats.org/officeDocument/2006/relationships/customXml" Target="../customXml/item39.xml"/><Relationship Id="rId45" Type="http://schemas.openxmlformats.org/officeDocument/2006/relationships/customXml" Target="../customXml/item38.xml"/><Relationship Id="rId44" Type="http://schemas.openxmlformats.org/officeDocument/2006/relationships/customXml" Target="../customXml/item37.xml"/><Relationship Id="rId43" Type="http://schemas.openxmlformats.org/officeDocument/2006/relationships/customXml" Target="../customXml/item36.xml"/><Relationship Id="rId42" Type="http://schemas.openxmlformats.org/officeDocument/2006/relationships/customXml" Target="../customXml/item35.xml"/><Relationship Id="rId41" Type="http://schemas.openxmlformats.org/officeDocument/2006/relationships/customXml" Target="../customXml/item34.xml"/><Relationship Id="rId40" Type="http://schemas.openxmlformats.org/officeDocument/2006/relationships/customXml" Target="../customXml/item33.xml"/><Relationship Id="rId4" Type="http://schemas.openxmlformats.org/officeDocument/2006/relationships/footer" Target="footer2.xml"/><Relationship Id="rId39" Type="http://schemas.openxmlformats.org/officeDocument/2006/relationships/customXml" Target="../customXml/item32.xml"/><Relationship Id="rId38" Type="http://schemas.openxmlformats.org/officeDocument/2006/relationships/customXml" Target="../customXml/item31.xml"/><Relationship Id="rId37" Type="http://schemas.openxmlformats.org/officeDocument/2006/relationships/customXml" Target="../customXml/item30.xml"/><Relationship Id="rId36" Type="http://schemas.openxmlformats.org/officeDocument/2006/relationships/customXml" Target="../customXml/item29.xml"/><Relationship Id="rId35" Type="http://schemas.openxmlformats.org/officeDocument/2006/relationships/customXml" Target="../customXml/item28.xml"/><Relationship Id="rId34" Type="http://schemas.openxmlformats.org/officeDocument/2006/relationships/customXml" Target="../customXml/item27.xml"/><Relationship Id="rId33" Type="http://schemas.openxmlformats.org/officeDocument/2006/relationships/customXml" Target="../customXml/item26.xml"/><Relationship Id="rId32" Type="http://schemas.openxmlformats.org/officeDocument/2006/relationships/customXml" Target="../customXml/item25.xml"/><Relationship Id="rId31" Type="http://schemas.openxmlformats.org/officeDocument/2006/relationships/customXml" Target="../customXml/item24.xml"/><Relationship Id="rId30" Type="http://schemas.openxmlformats.org/officeDocument/2006/relationships/customXml" Target="../customXml/item23.xml"/><Relationship Id="rId3" Type="http://schemas.openxmlformats.org/officeDocument/2006/relationships/footer" Target="footer1.xml"/><Relationship Id="rId29" Type="http://schemas.openxmlformats.org/officeDocument/2006/relationships/customXml" Target="../customXml/item22.xml"/><Relationship Id="rId28" Type="http://schemas.openxmlformats.org/officeDocument/2006/relationships/customXml" Target="../customXml/item21.xml"/><Relationship Id="rId27" Type="http://schemas.openxmlformats.org/officeDocument/2006/relationships/customXml" Target="../customXml/item20.xml"/><Relationship Id="rId26" Type="http://schemas.openxmlformats.org/officeDocument/2006/relationships/customXml" Target="../customXml/item19.xml"/><Relationship Id="rId25" Type="http://schemas.openxmlformats.org/officeDocument/2006/relationships/customXml" Target="../customXml/item18.xml"/><Relationship Id="rId24" Type="http://schemas.openxmlformats.org/officeDocument/2006/relationships/customXml" Target="../customXml/item17.xml"/><Relationship Id="rId23" Type="http://schemas.openxmlformats.org/officeDocument/2006/relationships/customXml" Target="../customXml/item16.xml"/><Relationship Id="rId22" Type="http://schemas.openxmlformats.org/officeDocument/2006/relationships/customXml" Target="../customXml/item15.xml"/><Relationship Id="rId21" Type="http://schemas.openxmlformats.org/officeDocument/2006/relationships/customXml" Target="../customXml/item14.xml"/><Relationship Id="rId20" Type="http://schemas.openxmlformats.org/officeDocument/2006/relationships/customXml" Target="../customXml/item13.xml"/><Relationship Id="rId2" Type="http://schemas.openxmlformats.org/officeDocument/2006/relationships/settings" Target="settings.xml"/><Relationship Id="rId19" Type="http://schemas.openxmlformats.org/officeDocument/2006/relationships/customXml" Target="../customXml/item12.xml"/><Relationship Id="rId18" Type="http://schemas.openxmlformats.org/officeDocument/2006/relationships/customXml" Target="../customXml/item11.xml"/><Relationship Id="rId17" Type="http://schemas.openxmlformats.org/officeDocument/2006/relationships/customXml" Target="../customXml/item10.xml"/><Relationship Id="rId16" Type="http://schemas.openxmlformats.org/officeDocument/2006/relationships/customXml" Target="../customXml/item9.xml"/><Relationship Id="rId15" Type="http://schemas.openxmlformats.org/officeDocument/2006/relationships/customXml" Target="../customXml/item8.xml"/><Relationship Id="rId14" Type="http://schemas.openxmlformats.org/officeDocument/2006/relationships/customXml" Target="../customXml/item7.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1C4E702D-2594-4689-8404-84AFD7E73E52}">
  <ds:schemaRefs/>
</ds:datastoreItem>
</file>

<file path=customXml/itemProps11.xml><?xml version="1.0" encoding="utf-8"?>
<ds:datastoreItem xmlns:ds="http://schemas.openxmlformats.org/officeDocument/2006/customXml" ds:itemID="{C593EC27-B89C-46A8-9CF9-3B5AE2B23C20}">
  <ds:schemaRefs/>
</ds:datastoreItem>
</file>

<file path=customXml/itemProps12.xml><?xml version="1.0" encoding="utf-8"?>
<ds:datastoreItem xmlns:ds="http://schemas.openxmlformats.org/officeDocument/2006/customXml" ds:itemID="{BC8B0B68-B399-4D6D-AE2B-284CCF1A5CB6}">
  <ds:schemaRefs/>
</ds:datastoreItem>
</file>

<file path=customXml/itemProps13.xml><?xml version="1.0" encoding="utf-8"?>
<ds:datastoreItem xmlns:ds="http://schemas.openxmlformats.org/officeDocument/2006/customXml" ds:itemID="{C486A553-0F69-4945-B340-E49BCA32411A}">
  <ds:schemaRefs/>
</ds:datastoreItem>
</file>

<file path=customXml/itemProps14.xml><?xml version="1.0" encoding="utf-8"?>
<ds:datastoreItem xmlns:ds="http://schemas.openxmlformats.org/officeDocument/2006/customXml" ds:itemID="{C66F43F9-0AB8-4241-BA67-D8AE60CF6C21}">
  <ds:schemaRefs/>
</ds:datastoreItem>
</file>

<file path=customXml/itemProps15.xml><?xml version="1.0" encoding="utf-8"?>
<ds:datastoreItem xmlns:ds="http://schemas.openxmlformats.org/officeDocument/2006/customXml" ds:itemID="{989DA21E-0CDF-4E3D-84F6-1D172BF7F4B9}">
  <ds:schemaRefs/>
</ds:datastoreItem>
</file>

<file path=customXml/itemProps16.xml><?xml version="1.0" encoding="utf-8"?>
<ds:datastoreItem xmlns:ds="http://schemas.openxmlformats.org/officeDocument/2006/customXml" ds:itemID="{4074F53B-6AA8-493B-96FF-0D7EB858216C}">
  <ds:schemaRefs/>
</ds:datastoreItem>
</file>

<file path=customXml/itemProps17.xml><?xml version="1.0" encoding="utf-8"?>
<ds:datastoreItem xmlns:ds="http://schemas.openxmlformats.org/officeDocument/2006/customXml" ds:itemID="{5EFC46A3-03BA-4ECF-B65E-51918400F753}">
  <ds:schemaRefs/>
</ds:datastoreItem>
</file>

<file path=customXml/itemProps18.xml><?xml version="1.0" encoding="utf-8"?>
<ds:datastoreItem xmlns:ds="http://schemas.openxmlformats.org/officeDocument/2006/customXml" ds:itemID="{CB6B8C05-D526-4E72-8AB4-B1FB0F487636}">
  <ds:schemaRefs/>
</ds:datastoreItem>
</file>

<file path=customXml/itemProps19.xml><?xml version="1.0" encoding="utf-8"?>
<ds:datastoreItem xmlns:ds="http://schemas.openxmlformats.org/officeDocument/2006/customXml" ds:itemID="{6A6DB8E6-5EDD-4508-B255-AD07BCA264C9}">
  <ds:schemaRefs/>
</ds:datastoreItem>
</file>

<file path=customXml/itemProps2.xml><?xml version="1.0" encoding="utf-8"?>
<ds:datastoreItem xmlns:ds="http://schemas.openxmlformats.org/officeDocument/2006/customXml" ds:itemID="{8807E301-CE3E-48B0-8F1B-BE48F29E1736}">
  <ds:schemaRefs/>
</ds:datastoreItem>
</file>

<file path=customXml/itemProps20.xml><?xml version="1.0" encoding="utf-8"?>
<ds:datastoreItem xmlns:ds="http://schemas.openxmlformats.org/officeDocument/2006/customXml" ds:itemID="{9B2DCA2B-261B-4FC5-92E2-74D6E9C53092}">
  <ds:schemaRefs/>
</ds:datastoreItem>
</file>

<file path=customXml/itemProps21.xml><?xml version="1.0" encoding="utf-8"?>
<ds:datastoreItem xmlns:ds="http://schemas.openxmlformats.org/officeDocument/2006/customXml" ds:itemID="{927546BB-28A9-4183-9889-130B2B46E760}">
  <ds:schemaRefs/>
</ds:datastoreItem>
</file>

<file path=customXml/itemProps22.xml><?xml version="1.0" encoding="utf-8"?>
<ds:datastoreItem xmlns:ds="http://schemas.openxmlformats.org/officeDocument/2006/customXml" ds:itemID="{328F8FAA-F9B6-48DE-ABD9-772610F9386F}">
  <ds:schemaRefs/>
</ds:datastoreItem>
</file>

<file path=customXml/itemProps23.xml><?xml version="1.0" encoding="utf-8"?>
<ds:datastoreItem xmlns:ds="http://schemas.openxmlformats.org/officeDocument/2006/customXml" ds:itemID="{127F30A9-AC64-4000-970B-04BBBAF6782F}">
  <ds:schemaRefs/>
</ds:datastoreItem>
</file>

<file path=customXml/itemProps24.xml><?xml version="1.0" encoding="utf-8"?>
<ds:datastoreItem xmlns:ds="http://schemas.openxmlformats.org/officeDocument/2006/customXml" ds:itemID="{9E39FA8A-0D5E-4C72-88C2-A4A5C9D016A3}">
  <ds:schemaRefs/>
</ds:datastoreItem>
</file>

<file path=customXml/itemProps25.xml><?xml version="1.0" encoding="utf-8"?>
<ds:datastoreItem xmlns:ds="http://schemas.openxmlformats.org/officeDocument/2006/customXml" ds:itemID="{BAA19A8D-5B92-489B-B169-BAD91A103344}">
  <ds:schemaRefs/>
</ds:datastoreItem>
</file>

<file path=customXml/itemProps26.xml><?xml version="1.0" encoding="utf-8"?>
<ds:datastoreItem xmlns:ds="http://schemas.openxmlformats.org/officeDocument/2006/customXml" ds:itemID="{6C8F0DDD-DA95-49D7-BEC9-54BED6023821}">
  <ds:schemaRefs/>
</ds:datastoreItem>
</file>

<file path=customXml/itemProps27.xml><?xml version="1.0" encoding="utf-8"?>
<ds:datastoreItem xmlns:ds="http://schemas.openxmlformats.org/officeDocument/2006/customXml" ds:itemID="{DD8D39B1-E032-4B64-9020-66CD65ABCD3B}">
  <ds:schemaRefs/>
</ds:datastoreItem>
</file>

<file path=customXml/itemProps28.xml><?xml version="1.0" encoding="utf-8"?>
<ds:datastoreItem xmlns:ds="http://schemas.openxmlformats.org/officeDocument/2006/customXml" ds:itemID="{DFFE41CD-7795-417D-8B3D-7B7E92ADCE28}">
  <ds:schemaRefs/>
</ds:datastoreItem>
</file>

<file path=customXml/itemProps29.xml><?xml version="1.0" encoding="utf-8"?>
<ds:datastoreItem xmlns:ds="http://schemas.openxmlformats.org/officeDocument/2006/customXml" ds:itemID="{240D75C0-5405-407A-9D88-451A6C53325C}">
  <ds:schemaRefs/>
</ds:datastoreItem>
</file>

<file path=customXml/itemProps3.xml><?xml version="1.0" encoding="utf-8"?>
<ds:datastoreItem xmlns:ds="http://schemas.openxmlformats.org/officeDocument/2006/customXml" ds:itemID="{D5DDAF8B-C90E-40EE-B940-CCD547411B81}">
  <ds:schemaRefs/>
</ds:datastoreItem>
</file>

<file path=customXml/itemProps30.xml><?xml version="1.0" encoding="utf-8"?>
<ds:datastoreItem xmlns:ds="http://schemas.openxmlformats.org/officeDocument/2006/customXml" ds:itemID="{7DA1E944-597F-4D9A-ADC8-E3A5D62388E9}">
  <ds:schemaRefs/>
</ds:datastoreItem>
</file>

<file path=customXml/itemProps31.xml><?xml version="1.0" encoding="utf-8"?>
<ds:datastoreItem xmlns:ds="http://schemas.openxmlformats.org/officeDocument/2006/customXml" ds:itemID="{82063DCE-E0D9-4D45-94AB-06A5849F123C}">
  <ds:schemaRefs/>
</ds:datastoreItem>
</file>

<file path=customXml/itemProps32.xml><?xml version="1.0" encoding="utf-8"?>
<ds:datastoreItem xmlns:ds="http://schemas.openxmlformats.org/officeDocument/2006/customXml" ds:itemID="{B8034E79-3EC9-4FB4-8900-8DB566ED87F2}">
  <ds:schemaRefs/>
</ds:datastoreItem>
</file>

<file path=customXml/itemProps33.xml><?xml version="1.0" encoding="utf-8"?>
<ds:datastoreItem xmlns:ds="http://schemas.openxmlformats.org/officeDocument/2006/customXml" ds:itemID="{4D21B174-EFD5-481F-8023-ECD2C99EA6A5}">
  <ds:schemaRefs/>
</ds:datastoreItem>
</file>

<file path=customXml/itemProps34.xml><?xml version="1.0" encoding="utf-8"?>
<ds:datastoreItem xmlns:ds="http://schemas.openxmlformats.org/officeDocument/2006/customXml" ds:itemID="{907DF196-29BA-4F64-A2E6-9B891D8DA970}">
  <ds:schemaRefs/>
</ds:datastoreItem>
</file>

<file path=customXml/itemProps35.xml><?xml version="1.0" encoding="utf-8"?>
<ds:datastoreItem xmlns:ds="http://schemas.openxmlformats.org/officeDocument/2006/customXml" ds:itemID="{BF249A3C-5046-4792-B1C7-86A45BD0F7B3}">
  <ds:schemaRefs/>
</ds:datastoreItem>
</file>

<file path=customXml/itemProps36.xml><?xml version="1.0" encoding="utf-8"?>
<ds:datastoreItem xmlns:ds="http://schemas.openxmlformats.org/officeDocument/2006/customXml" ds:itemID="{F2B0114A-1BF3-408C-A937-DBD594359DD7}">
  <ds:schemaRefs/>
</ds:datastoreItem>
</file>

<file path=customXml/itemProps37.xml><?xml version="1.0" encoding="utf-8"?>
<ds:datastoreItem xmlns:ds="http://schemas.openxmlformats.org/officeDocument/2006/customXml" ds:itemID="{FF40C868-CD10-4565-BD6F-28B55B247751}">
  <ds:schemaRefs/>
</ds:datastoreItem>
</file>

<file path=customXml/itemProps38.xml><?xml version="1.0" encoding="utf-8"?>
<ds:datastoreItem xmlns:ds="http://schemas.openxmlformats.org/officeDocument/2006/customXml" ds:itemID="{55A60376-5F1A-4B58-BE70-A0B8CD8AC393}">
  <ds:schemaRefs/>
</ds:datastoreItem>
</file>

<file path=customXml/itemProps39.xml><?xml version="1.0" encoding="utf-8"?>
<ds:datastoreItem xmlns:ds="http://schemas.openxmlformats.org/officeDocument/2006/customXml" ds:itemID="{E56AD1C2-FB4D-4572-86C7-2470DBB3943B}">
  <ds:schemaRefs/>
</ds:datastoreItem>
</file>

<file path=customXml/itemProps4.xml><?xml version="1.0" encoding="utf-8"?>
<ds:datastoreItem xmlns:ds="http://schemas.openxmlformats.org/officeDocument/2006/customXml" ds:itemID="{B52E45D6-0F3C-4B21-B161-FA591631F8EB}">
  <ds:schemaRefs/>
</ds:datastoreItem>
</file>

<file path=customXml/itemProps40.xml><?xml version="1.0" encoding="utf-8"?>
<ds:datastoreItem xmlns:ds="http://schemas.openxmlformats.org/officeDocument/2006/customXml" ds:itemID="{C864F1CC-9C8C-41E6-8FD8-C85E12A44050}">
  <ds:schemaRefs/>
</ds:datastoreItem>
</file>

<file path=customXml/itemProps5.xml><?xml version="1.0" encoding="utf-8"?>
<ds:datastoreItem xmlns:ds="http://schemas.openxmlformats.org/officeDocument/2006/customXml" ds:itemID="{335668B4-649C-41E0-BC80-7D94ABF681A2}">
  <ds:schemaRefs/>
</ds:datastoreItem>
</file>

<file path=customXml/itemProps6.xml><?xml version="1.0" encoding="utf-8"?>
<ds:datastoreItem xmlns:ds="http://schemas.openxmlformats.org/officeDocument/2006/customXml" ds:itemID="{66CC41B6-D28D-4EED-B564-F0D3D013B8B1}">
  <ds:schemaRefs/>
</ds:datastoreItem>
</file>

<file path=customXml/itemProps7.xml><?xml version="1.0" encoding="utf-8"?>
<ds:datastoreItem xmlns:ds="http://schemas.openxmlformats.org/officeDocument/2006/customXml" ds:itemID="{B9E9C162-3959-4E09-8552-3788A3BCB94D}">
  <ds:schemaRefs/>
</ds:datastoreItem>
</file>

<file path=customXml/itemProps8.xml><?xml version="1.0" encoding="utf-8"?>
<ds:datastoreItem xmlns:ds="http://schemas.openxmlformats.org/officeDocument/2006/customXml" ds:itemID="{526561F4-D429-4474-A75E-30A59CF88000}">
  <ds:schemaRefs/>
</ds:datastoreItem>
</file>

<file path=customXml/itemProps9.xml><?xml version="1.0" encoding="utf-8"?>
<ds:datastoreItem xmlns:ds="http://schemas.openxmlformats.org/officeDocument/2006/customXml" ds:itemID="{3300B263-A8B2-4577-A8B1-07D060066AC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55</Pages>
  <Words>18112</Words>
  <Characters>21727</Characters>
  <Lines>1</Lines>
  <Paragraphs>1</Paragraphs>
  <TotalTime>3</TotalTime>
  <ScaleCrop>false</ScaleCrop>
  <LinksUpToDate>false</LinksUpToDate>
  <CharactersWithSpaces>22165</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八爪小鱼</cp:lastModifiedBy>
  <cp:lastPrinted>2024-01-30T08:06:00Z</cp:lastPrinted>
  <dcterms:modified xsi:type="dcterms:W3CDTF">2024-03-12T08:30:22Z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9B151F6477724FB1ACC0852E82E28869_13</vt:lpwstr>
  </property>
</Properties>
</file>