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涞水县涞水镇人民政府</w:t>
      </w:r>
      <w:r>
        <w:rPr>
          <w:rFonts w:ascii="黑体" w:hAnsi="黑体" w:eastAsia="黑体" w:cs="黑体"/>
          <w:b/>
          <w:color w:val="000000"/>
          <w:sz w:val="44"/>
        </w:rPr>
        <w:t>部门预算信息公开</w:t>
      </w:r>
    </w:p>
    <w:p>
      <w:pPr>
        <w:jc w:val="center"/>
      </w:pP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7</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8</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0</w:t>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1</w:t>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13</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6</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eastAsia="zh-CN"/>
        </w:rPr>
        <w:t>8</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9</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6"/>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0</w:t>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3</w:t>
      </w:r>
      <w:r>
        <w:fldChar w:fldCharType="end"/>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4</w:t>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4</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5</w:t>
      </w:r>
      <w:r>
        <w:fldChar w:fldCharType="end"/>
      </w:r>
      <w:r>
        <w:fldChar w:fldCharType="end"/>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center"/>
        <w:outlineLvl w:val="1"/>
        <w:rPr>
          <w:rFonts w:ascii="方正小标宋_GBK" w:hAnsi="方正小标宋_GBK" w:cs="方正小标宋_GBK" w:eastAsiaTheme="minorEastAsia"/>
          <w:color w:val="000000"/>
          <w:sz w:val="36"/>
          <w:lang w:eastAsia="zh-CN"/>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802涞水县涞水镇人民政府</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rPr>
                <w:lang w:eastAsia="zh-CN"/>
              </w:rPr>
            </w:pPr>
            <w:r>
              <w:rPr>
                <w:rFonts w:hint="eastAsia"/>
                <w:lang w:eastAsia="zh-CN"/>
              </w:rPr>
              <w:t>860.85</w:t>
            </w:r>
          </w:p>
        </w:tc>
        <w:tc>
          <w:tcPr>
            <w:tcW w:w="4535" w:type="dxa"/>
            <w:vAlign w:val="center"/>
          </w:tcPr>
          <w:p>
            <w:pPr>
              <w:pStyle w:val="17"/>
            </w:pPr>
            <w:r>
              <w:t>一、一般公共服务支出</w:t>
            </w:r>
          </w:p>
        </w:tc>
        <w:tc>
          <w:tcPr>
            <w:tcW w:w="2126" w:type="dxa"/>
            <w:vAlign w:val="top"/>
          </w:tcPr>
          <w:p>
            <w:pPr>
              <w:keepNext w:val="0"/>
              <w:keepLines w:val="0"/>
              <w:widowControl/>
              <w:suppressLineNumbers w:val="0"/>
              <w:jc w:val="right"/>
              <w:textAlignment w:val="top"/>
              <w:rPr>
                <w:lang w:eastAsia="zh-CN"/>
              </w:rPr>
            </w:pPr>
            <w:r>
              <w:rPr>
                <w:rFonts w:hint="default" w:ascii="方正书宋_GBK" w:hAnsi="方正书宋_GBK" w:eastAsia="方正书宋_GBK" w:cs="方正书宋_GBK"/>
                <w:sz w:val="21"/>
                <w:szCs w:val="24"/>
                <w:lang w:val="en-US" w:eastAsia="zh-CN" w:bidi="ar-SA"/>
              </w:rPr>
              <w:t>718.29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top"/>
          </w:tcPr>
          <w:p>
            <w:pPr>
              <w:keepNext w:val="0"/>
              <w:keepLines w:val="0"/>
              <w:widowControl/>
              <w:suppressLineNumbers w:val="0"/>
              <w:jc w:val="right"/>
              <w:textAlignment w:val="top"/>
              <w:rPr>
                <w:lang w:eastAsia="zh-CN"/>
              </w:rPr>
            </w:pPr>
            <w:r>
              <w:rPr>
                <w:rFonts w:hint="default" w:ascii="方正书宋_GBK" w:hAnsi="方正书宋_GBK" w:eastAsia="方正书宋_GBK" w:cs="方正书宋_GBK"/>
                <w:sz w:val="21"/>
                <w:szCs w:val="24"/>
                <w:lang w:val="en-US" w:eastAsia="zh-CN" w:bidi="ar-SA"/>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top"/>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top"/>
          </w:tcPr>
          <w:p>
            <w:pPr>
              <w:keepNext w:val="0"/>
              <w:keepLines w:val="0"/>
              <w:widowControl/>
              <w:suppressLineNumbers w:val="0"/>
              <w:jc w:val="right"/>
              <w:textAlignment w:val="top"/>
              <w:rPr>
                <w:lang w:eastAsia="zh-CN"/>
              </w:rPr>
            </w:pPr>
            <w:r>
              <w:rPr>
                <w:rFonts w:hint="default" w:ascii="方正书宋_GBK" w:hAnsi="方正书宋_GBK" w:eastAsia="方正书宋_GBK" w:cs="方正书宋_GBK"/>
                <w:sz w:val="21"/>
                <w:szCs w:val="24"/>
                <w:lang w:val="en-US" w:eastAsia="zh-CN" w:bidi="ar-SA"/>
              </w:rPr>
              <w:t>36.37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bl>
    <w:p>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bookmarkStart w:id="17" w:name="_GoBack"/>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default"/>
                <w:lang w:val="en-US" w:eastAsia="zh-CN"/>
              </w:rPr>
            </w:pPr>
            <w:r>
              <w:rPr>
                <w:rFonts w:hint="eastAsia"/>
                <w:lang w:val="en-US" w:eastAsia="zh-CN"/>
              </w:rPr>
              <w:t>41.76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t>本年收入合计</w:t>
            </w:r>
          </w:p>
        </w:tc>
        <w:tc>
          <w:tcPr>
            <w:tcW w:w="2126" w:type="dxa"/>
            <w:vAlign w:val="center"/>
          </w:tcPr>
          <w:p>
            <w:pPr>
              <w:pStyle w:val="20"/>
              <w:rPr>
                <w:lang w:eastAsia="zh-CN"/>
              </w:rPr>
            </w:pPr>
            <w:r>
              <w:rPr>
                <w:rFonts w:hint="eastAsia"/>
                <w:lang w:eastAsia="zh-CN"/>
              </w:rPr>
              <w:t>860.85</w:t>
            </w:r>
          </w:p>
        </w:tc>
        <w:tc>
          <w:tcPr>
            <w:tcW w:w="4535" w:type="dxa"/>
            <w:vAlign w:val="center"/>
          </w:tcPr>
          <w:p>
            <w:pPr>
              <w:pStyle w:val="19"/>
            </w:pPr>
            <w:r>
              <w:t>本年支出合计</w:t>
            </w:r>
          </w:p>
        </w:tc>
        <w:tc>
          <w:tcPr>
            <w:tcW w:w="2126" w:type="dxa"/>
            <w:vAlign w:val="center"/>
          </w:tcPr>
          <w:p>
            <w:pPr>
              <w:pStyle w:val="20"/>
              <w:rPr>
                <w:lang w:eastAsia="zh-CN"/>
              </w:rPr>
            </w:pPr>
            <w:r>
              <w:rPr>
                <w:rFonts w:hint="eastAsia"/>
                <w:lang w:eastAsia="zh-CN"/>
              </w:rPr>
              <w:t>860.85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t>收入总计</w:t>
            </w:r>
          </w:p>
        </w:tc>
        <w:tc>
          <w:tcPr>
            <w:tcW w:w="2126" w:type="dxa"/>
            <w:vAlign w:val="center"/>
          </w:tcPr>
          <w:p>
            <w:pPr>
              <w:pStyle w:val="20"/>
              <w:rPr>
                <w:lang w:eastAsia="zh-CN"/>
              </w:rPr>
            </w:pPr>
            <w:r>
              <w:rPr>
                <w:rFonts w:hint="eastAsia"/>
                <w:lang w:eastAsia="zh-CN"/>
              </w:rPr>
              <w:t>860.85</w:t>
            </w:r>
          </w:p>
        </w:tc>
        <w:tc>
          <w:tcPr>
            <w:tcW w:w="4535" w:type="dxa"/>
            <w:vAlign w:val="center"/>
          </w:tcPr>
          <w:p>
            <w:pPr>
              <w:pStyle w:val="19"/>
            </w:pPr>
            <w:r>
              <w:t>支出总计</w:t>
            </w:r>
          </w:p>
        </w:tc>
        <w:tc>
          <w:tcPr>
            <w:tcW w:w="2126" w:type="dxa"/>
            <w:vAlign w:val="center"/>
          </w:tcPr>
          <w:p>
            <w:pPr>
              <w:pStyle w:val="20"/>
              <w:rPr>
                <w:lang w:eastAsia="zh-CN"/>
              </w:rPr>
            </w:pPr>
            <w:r>
              <w:rPr>
                <w:rFonts w:hint="eastAsia"/>
                <w:lang w:eastAsia="zh-CN"/>
              </w:rPr>
              <w:t>860.85</w:t>
            </w:r>
          </w:p>
        </w:tc>
      </w:tr>
      <w:bookmarkEnd w:id="17"/>
    </w:tbl>
    <w:p>
      <w:pPr>
        <w:sectPr>
          <w:pgSz w:w="16840" w:h="11900" w:orient="landscape"/>
          <w:pgMar w:top="1361" w:right="1020" w:bottom="1134" w:left="1020" w:header="720" w:footer="720" w:gutter="0"/>
          <w:cols w:space="720" w:num="1"/>
        </w:sectPr>
      </w:pPr>
    </w:p>
    <w:p>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9"/>
        <w:gridCol w:w="1352"/>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802涞水县涞水镇人民政府</w:t>
            </w:r>
          </w:p>
        </w:tc>
        <w:tc>
          <w:tcPr>
            <w:tcW w:w="3402"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4</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99" w:type="dxa"/>
            <w:vAlign w:val="center"/>
          </w:tcPr>
          <w:p>
            <w:pPr>
              <w:pStyle w:val="15"/>
            </w:pPr>
            <w:r>
              <w:t>科目    编码</w:t>
            </w:r>
          </w:p>
        </w:tc>
        <w:tc>
          <w:tcPr>
            <w:tcW w:w="1352"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199" w:type="dxa"/>
            <w:vAlign w:val="center"/>
          </w:tcPr>
          <w:p>
            <w:pPr>
              <w:pStyle w:val="15"/>
            </w:pPr>
            <w:r>
              <w:t>1</w:t>
            </w:r>
          </w:p>
        </w:tc>
        <w:tc>
          <w:tcPr>
            <w:tcW w:w="1352"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1199" w:type="dxa"/>
            <w:vAlign w:val="center"/>
          </w:tcPr>
          <w:p>
            <w:pPr>
              <w:pStyle w:val="21"/>
            </w:pPr>
          </w:p>
        </w:tc>
        <w:tc>
          <w:tcPr>
            <w:tcW w:w="1352" w:type="dxa"/>
            <w:vAlign w:val="center"/>
          </w:tcPr>
          <w:p>
            <w:pPr>
              <w:pStyle w:val="19"/>
            </w:pPr>
            <w:r>
              <w:t>合计</w:t>
            </w:r>
          </w:p>
        </w:tc>
        <w:tc>
          <w:tcPr>
            <w:tcW w:w="1134" w:type="dxa"/>
            <w:vAlign w:val="center"/>
          </w:tcPr>
          <w:p>
            <w:pPr>
              <w:keepNext w:val="0"/>
              <w:keepLines w:val="0"/>
              <w:widowControl/>
              <w:suppressLineNumbers w:val="0"/>
              <w:jc w:val="right"/>
              <w:textAlignment w:val="center"/>
              <w:rPr>
                <w:lang w:eastAsia="zh-CN"/>
              </w:rPr>
            </w:pPr>
            <w:r>
              <w:rPr>
                <w:rFonts w:hint="eastAsia" w:ascii="方正书宋_GBK" w:hAnsi="方正书宋_GBK" w:eastAsia="方正书宋_GBK" w:cs="方正书宋_GBK"/>
                <w:b/>
                <w:bCs/>
                <w:i w:val="0"/>
                <w:iCs w:val="0"/>
                <w:color w:val="000000"/>
                <w:kern w:val="0"/>
                <w:sz w:val="21"/>
                <w:szCs w:val="21"/>
                <w:u w:val="none"/>
                <w:lang w:val="en-US" w:eastAsia="zh-CN" w:bidi="ar"/>
              </w:rPr>
              <w:t>860.85</w:t>
            </w:r>
          </w:p>
        </w:tc>
        <w:tc>
          <w:tcPr>
            <w:tcW w:w="1134" w:type="dxa"/>
            <w:vAlign w:val="center"/>
          </w:tcPr>
          <w:p>
            <w:pPr>
              <w:keepNext w:val="0"/>
              <w:keepLines w:val="0"/>
              <w:widowControl/>
              <w:suppressLineNumbers w:val="0"/>
              <w:jc w:val="right"/>
              <w:textAlignment w:val="center"/>
              <w:rPr>
                <w:rFonts w:hint="default"/>
                <w:lang w:val="en-US" w:eastAsia="zh-CN"/>
              </w:rPr>
            </w:pPr>
            <w:r>
              <w:rPr>
                <w:rFonts w:hint="eastAsia" w:ascii="方正书宋_GBK" w:hAnsi="方正书宋_GBK" w:eastAsia="方正书宋_GBK" w:cs="方正书宋_GBK"/>
                <w:b/>
                <w:bCs/>
                <w:i w:val="0"/>
                <w:iCs w:val="0"/>
                <w:color w:val="000000"/>
                <w:kern w:val="0"/>
                <w:sz w:val="21"/>
                <w:szCs w:val="21"/>
                <w:u w:val="none"/>
                <w:lang w:val="en-US" w:eastAsia="zh-CN" w:bidi="ar"/>
              </w:rPr>
              <w:t>860.85</w:t>
            </w:r>
          </w:p>
        </w:tc>
        <w:tc>
          <w:tcPr>
            <w:tcW w:w="1134" w:type="dxa"/>
            <w:vAlign w:val="center"/>
          </w:tcPr>
          <w:p>
            <w:pPr>
              <w:keepNext w:val="0"/>
              <w:keepLines w:val="0"/>
              <w:widowControl/>
              <w:suppressLineNumbers w:val="0"/>
              <w:jc w:val="right"/>
              <w:textAlignment w:val="center"/>
              <w:rPr>
                <w:rFonts w:hint="default"/>
                <w:lang w:val="en-US" w:eastAsia="zh-CN"/>
              </w:rPr>
            </w:pPr>
            <w:r>
              <w:rPr>
                <w:rFonts w:hint="eastAsia" w:ascii="方正书宋_GBK" w:hAnsi="方正书宋_GBK" w:eastAsia="方正书宋_GBK" w:cs="方正书宋_GBK"/>
                <w:b/>
                <w:bCs/>
                <w:i w:val="0"/>
                <w:iCs w:val="0"/>
                <w:color w:val="000000"/>
                <w:kern w:val="0"/>
                <w:sz w:val="21"/>
                <w:szCs w:val="21"/>
                <w:u w:val="none"/>
                <w:lang w:val="en-US" w:eastAsia="zh-CN" w:bidi="ar"/>
              </w:rPr>
              <w:t>860.85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201</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718.29</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718.29</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718.29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8"/>
            </w:pPr>
            <w:r>
              <w:t>3</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20103</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718.29</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718.29</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718.29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2010301</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675.04</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675.04</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675.04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2010302</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43.25</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43.25</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43.25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207</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文化旅游体育与传媒支出</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20701</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文化和旅游</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2070199</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其他文化和旅游支出</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208</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20805</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2080505</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210</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卫生健康支出</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36.37</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36.37</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1199" w:type="dxa"/>
            <w:vAlign w:val="top"/>
          </w:tcPr>
          <w:p>
            <w:pPr>
              <w:keepNext w:val="0"/>
              <w:keepLines w:val="0"/>
              <w:widowControl/>
              <w:suppressLineNumbers w:val="0"/>
              <w:jc w:val="left"/>
              <w:textAlignment w:val="top"/>
              <w:rPr>
                <w:rFonts w:ascii="Calibri" w:hAnsi="Calibri" w:eastAsia="宋体" w:cs="Calibri"/>
                <w:color w:val="000000"/>
                <w:sz w:val="20"/>
                <w:szCs w:val="20"/>
                <w:lang w:eastAsia="zh-CN"/>
              </w:rPr>
            </w:pPr>
            <w:r>
              <w:rPr>
                <w:rFonts w:hint="default" w:ascii="Calibri" w:hAnsi="Calibri" w:eastAsia="宋体" w:cs="Calibri"/>
                <w:i w:val="0"/>
                <w:iCs w:val="0"/>
                <w:color w:val="000000"/>
                <w:kern w:val="0"/>
                <w:sz w:val="22"/>
                <w:szCs w:val="22"/>
                <w:u w:val="none"/>
                <w:lang w:val="en-US" w:eastAsia="zh-CN" w:bidi="ar"/>
              </w:rPr>
              <w:t>21011</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36.37</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36.37</w:t>
            </w:r>
          </w:p>
        </w:tc>
        <w:tc>
          <w:tcPr>
            <w:tcW w:w="1134" w:type="dxa"/>
            <w:vAlign w:val="top"/>
          </w:tcPr>
          <w:p>
            <w:pPr>
              <w:keepNext w:val="0"/>
              <w:keepLines w:val="0"/>
              <w:widowControl/>
              <w:suppressLineNumbers w:val="0"/>
              <w:jc w:val="right"/>
              <w:textAlignment w:val="top"/>
              <w:rPr>
                <w:rFonts w:ascii="Calibri" w:hAnsi="Calibri" w:eastAsia="宋体" w:cs="Calibri"/>
                <w:color w:val="000000"/>
                <w:sz w:val="20"/>
                <w:szCs w:val="20"/>
                <w:lang w:eastAsia="zh-CN"/>
              </w:rPr>
            </w:pPr>
            <w:r>
              <w:rPr>
                <w:rFonts w:hint="default" w:ascii="Calibri" w:hAnsi="Calibri" w:eastAsia="宋体" w:cs="Calibri"/>
                <w:i w:val="0"/>
                <w:iCs w:val="0"/>
                <w:color w:val="000000"/>
                <w:kern w:val="0"/>
                <w:sz w:val="22"/>
                <w:szCs w:val="22"/>
                <w:u w:val="none"/>
                <w:lang w:val="en-US" w:eastAsia="zh-CN" w:bidi="ar"/>
              </w:rPr>
              <w:t>36.37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lang w:eastAsia="zh-CN"/>
              </w:rPr>
              <w:t>14</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2101101</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行政单位医疗</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27.71</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27.71</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27.71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lang w:eastAsia="zh-CN"/>
              </w:rPr>
              <w:t>15</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2101103</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公务员医疗补助</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8.66</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8.66</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8.66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lang w:eastAsia="zh-CN"/>
              </w:rPr>
              <w:t>16</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221</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住房保障支出</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lang w:eastAsia="zh-CN"/>
              </w:rPr>
              <w:t>17</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22102</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住房改革支出</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lang w:eastAsia="zh-CN"/>
              </w:rPr>
              <w:t>18</w:t>
            </w:r>
          </w:p>
        </w:tc>
        <w:tc>
          <w:tcPr>
            <w:tcW w:w="1199"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2210201</w:t>
            </w:r>
          </w:p>
        </w:tc>
        <w:tc>
          <w:tcPr>
            <w:tcW w:w="1352"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住房公积金</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134"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10"/>
        <w:gridCol w:w="4318"/>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802涞水县涞水镇人民政府</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4</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210" w:type="dxa"/>
            <w:vAlign w:val="center"/>
          </w:tcPr>
          <w:p>
            <w:pPr>
              <w:pStyle w:val="15"/>
            </w:pPr>
            <w:r>
              <w:t>科目    编码</w:t>
            </w:r>
          </w:p>
        </w:tc>
        <w:tc>
          <w:tcPr>
            <w:tcW w:w="4318"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210" w:type="dxa"/>
            <w:vAlign w:val="center"/>
          </w:tcPr>
          <w:p>
            <w:pPr>
              <w:pStyle w:val="15"/>
            </w:pPr>
            <w:r>
              <w:t>1</w:t>
            </w:r>
          </w:p>
        </w:tc>
        <w:tc>
          <w:tcPr>
            <w:tcW w:w="4318"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210" w:type="dxa"/>
            <w:vAlign w:val="center"/>
          </w:tcPr>
          <w:p>
            <w:pPr>
              <w:pStyle w:val="21"/>
            </w:pPr>
          </w:p>
        </w:tc>
        <w:tc>
          <w:tcPr>
            <w:tcW w:w="4318" w:type="dxa"/>
            <w:vAlign w:val="center"/>
          </w:tcPr>
          <w:p>
            <w:pPr>
              <w:pStyle w:val="19"/>
            </w:pPr>
            <w:r>
              <w:t>合计</w:t>
            </w:r>
          </w:p>
        </w:tc>
        <w:tc>
          <w:tcPr>
            <w:tcW w:w="1361" w:type="dxa"/>
            <w:vAlign w:val="center"/>
          </w:tcPr>
          <w:p>
            <w:pPr>
              <w:keepNext w:val="0"/>
              <w:keepLines w:val="0"/>
              <w:widowControl/>
              <w:suppressLineNumbers w:val="0"/>
              <w:jc w:val="right"/>
              <w:textAlignment w:val="center"/>
              <w:rPr>
                <w:rFonts w:hint="default"/>
                <w:lang w:val="en-US"/>
              </w:rPr>
            </w:pPr>
            <w:r>
              <w:rPr>
                <w:rFonts w:hint="eastAsia" w:ascii="方正书宋_GBK" w:hAnsi="方正书宋_GBK" w:eastAsia="方正书宋_GBK" w:cs="方正书宋_GBK"/>
                <w:b/>
                <w:bCs/>
                <w:i w:val="0"/>
                <w:iCs w:val="0"/>
                <w:color w:val="000000"/>
                <w:kern w:val="0"/>
                <w:sz w:val="21"/>
                <w:szCs w:val="21"/>
                <w:u w:val="none"/>
                <w:lang w:val="en-US" w:eastAsia="zh-CN" w:bidi="ar"/>
              </w:rPr>
              <w:t>860.85</w:t>
            </w:r>
          </w:p>
        </w:tc>
        <w:tc>
          <w:tcPr>
            <w:tcW w:w="1361" w:type="dxa"/>
            <w:vAlign w:val="center"/>
          </w:tcPr>
          <w:p>
            <w:pPr>
              <w:keepNext w:val="0"/>
              <w:keepLines w:val="0"/>
              <w:widowControl/>
              <w:suppressLineNumbers w:val="0"/>
              <w:jc w:val="right"/>
              <w:textAlignment w:val="center"/>
              <w:rPr>
                <w:rFonts w:hint="default"/>
                <w:lang w:val="en-US"/>
              </w:rPr>
            </w:pPr>
            <w:r>
              <w:rPr>
                <w:rFonts w:hint="eastAsia" w:ascii="方正书宋_GBK" w:hAnsi="方正书宋_GBK" w:eastAsia="方正书宋_GBK" w:cs="方正书宋_GBK"/>
                <w:b/>
                <w:bCs/>
                <w:i w:val="0"/>
                <w:iCs w:val="0"/>
                <w:color w:val="000000"/>
                <w:kern w:val="0"/>
                <w:sz w:val="21"/>
                <w:szCs w:val="21"/>
                <w:u w:val="none"/>
                <w:lang w:val="en-US" w:eastAsia="zh-CN" w:bidi="ar"/>
              </w:rPr>
              <w:t>815.85</w:t>
            </w:r>
          </w:p>
        </w:tc>
        <w:tc>
          <w:tcPr>
            <w:tcW w:w="1361" w:type="dxa"/>
            <w:vAlign w:val="center"/>
          </w:tcPr>
          <w:p>
            <w:pPr>
              <w:keepNext w:val="0"/>
              <w:keepLines w:val="0"/>
              <w:widowControl/>
              <w:suppressLineNumbers w:val="0"/>
              <w:jc w:val="right"/>
              <w:textAlignment w:val="center"/>
              <w:rPr>
                <w:rFonts w:hint="default"/>
                <w:lang w:val="en-US"/>
              </w:rPr>
            </w:pPr>
            <w:r>
              <w:rPr>
                <w:rFonts w:hint="eastAsia" w:ascii="方正书宋_GBK" w:hAnsi="方正书宋_GBK" w:eastAsia="方正书宋_GBK" w:cs="方正书宋_GBK"/>
                <w:b/>
                <w:bCs/>
                <w:i w:val="0"/>
                <w:iCs w:val="0"/>
                <w:color w:val="000000"/>
                <w:kern w:val="0"/>
                <w:sz w:val="21"/>
                <w:szCs w:val="21"/>
                <w:u w:val="none"/>
                <w:lang w:val="en-US" w:eastAsia="zh-CN" w:bidi="ar"/>
              </w:rPr>
              <w:t>45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201</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718.29</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675.04</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43.25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20103</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718.29</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675.04</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43.25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2010301</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675.04</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675.04</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2010302</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43.25</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43.25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207</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文化旅游体育与传媒支出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20701</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文化和旅游</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2070199</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其他文化和旅游支出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1.75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208</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20805</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2080505</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62.68</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210</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36.37</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36.37</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8"/>
            </w:pPr>
            <w:r>
              <w:t>13</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21011</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36.37</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36.37</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2101101</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行政单位医疗</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27.71</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27.71</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2101103</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公务员医疗补助</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8.66</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8.66</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221</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22102</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210"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2210201</w:t>
            </w:r>
          </w:p>
        </w:tc>
        <w:tc>
          <w:tcPr>
            <w:tcW w:w="4318"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41.76</w:t>
            </w:r>
          </w:p>
        </w:tc>
        <w:tc>
          <w:tcPr>
            <w:tcW w:w="1361" w:type="dxa"/>
            <w:vAlign w:val="top"/>
          </w:tcPr>
          <w:p>
            <w:pPr>
              <w:jc w:val="right"/>
              <w:rPr>
                <w:rFonts w:ascii="方正书宋_GBK" w:hAnsi="方正书宋_GBK" w:eastAsia="方正书宋_GBK" w:cs="方正书宋_GBK"/>
                <w:sz w:val="21"/>
                <w:lang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802涞水县涞水镇人民政府</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rFonts w:hint="default"/>
                <w:lang w:val="en-US" w:eastAsia="zh-CN"/>
              </w:rPr>
            </w:pPr>
            <w:r>
              <w:rPr>
                <w:rFonts w:hint="eastAsia"/>
                <w:lang w:val="en-US" w:eastAsia="zh-CN"/>
              </w:rPr>
              <w:t>860.85</w:t>
            </w:r>
          </w:p>
        </w:tc>
        <w:tc>
          <w:tcPr>
            <w:tcW w:w="3402" w:type="dxa"/>
            <w:vAlign w:val="center"/>
          </w:tcPr>
          <w:p>
            <w:pPr>
              <w:pStyle w:val="17"/>
            </w:pPr>
            <w:r>
              <w:t>一、一般公共服务支出</w:t>
            </w:r>
          </w:p>
        </w:tc>
        <w:tc>
          <w:tcPr>
            <w:tcW w:w="1474" w:type="dxa"/>
            <w:vAlign w:val="top"/>
          </w:tcPr>
          <w:p>
            <w:pPr>
              <w:keepNext w:val="0"/>
              <w:keepLines w:val="0"/>
              <w:widowControl/>
              <w:suppressLineNumbers w:val="0"/>
              <w:jc w:val="righ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718.29</w:t>
            </w:r>
          </w:p>
        </w:tc>
        <w:tc>
          <w:tcPr>
            <w:tcW w:w="1474" w:type="dxa"/>
            <w:vAlign w:val="top"/>
          </w:tcPr>
          <w:p>
            <w:pPr>
              <w:keepNext w:val="0"/>
              <w:keepLines w:val="0"/>
              <w:widowControl/>
              <w:suppressLineNumbers w:val="0"/>
              <w:jc w:val="righ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718.29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top"/>
          </w:tcPr>
          <w:p>
            <w:pPr>
              <w:keepNext w:val="0"/>
              <w:keepLines w:val="0"/>
              <w:widowControl/>
              <w:suppressLineNumbers w:val="0"/>
              <w:jc w:val="right"/>
              <w:textAlignment w:val="top"/>
              <w:rPr>
                <w:lang w:eastAsia="zh-CN"/>
              </w:rPr>
            </w:pPr>
            <w:r>
              <w:rPr>
                <w:rFonts w:hint="default" w:ascii="Calibri" w:hAnsi="Calibri" w:eastAsia="宋体" w:cs="Calibri"/>
                <w:i w:val="0"/>
                <w:iCs w:val="0"/>
                <w:color w:val="000000"/>
                <w:kern w:val="0"/>
                <w:sz w:val="22"/>
                <w:szCs w:val="22"/>
                <w:u w:val="none"/>
                <w:lang w:val="en-US" w:eastAsia="zh-CN" w:bidi="ar"/>
              </w:rPr>
              <w:t>1.75</w:t>
            </w:r>
          </w:p>
        </w:tc>
        <w:tc>
          <w:tcPr>
            <w:tcW w:w="1474" w:type="dxa"/>
            <w:vAlign w:val="top"/>
          </w:tcPr>
          <w:p>
            <w:pPr>
              <w:keepNext w:val="0"/>
              <w:keepLines w:val="0"/>
              <w:widowControl/>
              <w:suppressLineNumbers w:val="0"/>
              <w:jc w:val="right"/>
              <w:textAlignment w:val="top"/>
              <w:rPr>
                <w:lang w:eastAsia="zh-CN"/>
              </w:rPr>
            </w:pPr>
            <w:r>
              <w:rPr>
                <w:rFonts w:hint="default" w:ascii="Calibri" w:hAnsi="Calibri" w:eastAsia="宋体" w:cs="Calibri"/>
                <w:i w:val="0"/>
                <w:iCs w:val="0"/>
                <w:color w:val="000000"/>
                <w:kern w:val="0"/>
                <w:sz w:val="22"/>
                <w:szCs w:val="22"/>
                <w:u w:val="none"/>
                <w:lang w:val="en-US" w:eastAsia="zh-CN" w:bidi="ar"/>
              </w:rPr>
              <w:t>1.75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top"/>
          </w:tcPr>
          <w:p>
            <w:pPr>
              <w:keepNext w:val="0"/>
              <w:keepLines w:val="0"/>
              <w:widowControl/>
              <w:suppressLineNumbers w:val="0"/>
              <w:jc w:val="righ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62.68</w:t>
            </w:r>
          </w:p>
        </w:tc>
        <w:tc>
          <w:tcPr>
            <w:tcW w:w="1474" w:type="dxa"/>
            <w:vAlign w:val="top"/>
          </w:tcPr>
          <w:p>
            <w:pPr>
              <w:keepNext w:val="0"/>
              <w:keepLines w:val="0"/>
              <w:widowControl/>
              <w:suppressLineNumbers w:val="0"/>
              <w:jc w:val="righ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62.68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top"/>
          </w:tcPr>
          <w:p>
            <w:pPr>
              <w:keepNext w:val="0"/>
              <w:keepLines w:val="0"/>
              <w:widowControl/>
              <w:suppressLineNumbers w:val="0"/>
              <w:jc w:val="righ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36.37</w:t>
            </w:r>
          </w:p>
        </w:tc>
        <w:tc>
          <w:tcPr>
            <w:tcW w:w="1474" w:type="dxa"/>
            <w:vAlign w:val="top"/>
          </w:tcPr>
          <w:p>
            <w:pPr>
              <w:keepNext w:val="0"/>
              <w:keepLines w:val="0"/>
              <w:widowControl/>
              <w:suppressLineNumbers w:val="0"/>
              <w:jc w:val="righ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36.37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top"/>
          </w:tcPr>
          <w:p>
            <w:pPr>
              <w:keepNext w:val="0"/>
              <w:keepLines w:val="0"/>
              <w:widowControl/>
              <w:suppressLineNumbers w:val="0"/>
              <w:jc w:val="righ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41.76</w:t>
            </w:r>
          </w:p>
        </w:tc>
        <w:tc>
          <w:tcPr>
            <w:tcW w:w="1474" w:type="dxa"/>
            <w:vAlign w:val="top"/>
          </w:tcPr>
          <w:p>
            <w:pPr>
              <w:keepNext w:val="0"/>
              <w:keepLines w:val="0"/>
              <w:widowControl/>
              <w:suppressLineNumbers w:val="0"/>
              <w:jc w:val="righ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41.76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rPr>
                <w:rFonts w:hint="default" w:eastAsia="方正书宋_GBK"/>
                <w:lang w:val="en-US" w:eastAsia="zh-CN"/>
              </w:rPr>
            </w:pPr>
            <w:r>
              <w:rPr>
                <w:rFonts w:hint="eastAsia"/>
                <w:lang w:val="en-US" w:eastAsia="zh-CN"/>
              </w:rPr>
              <w:t>860.85</w:t>
            </w:r>
          </w:p>
        </w:tc>
        <w:tc>
          <w:tcPr>
            <w:tcW w:w="3402" w:type="dxa"/>
            <w:vAlign w:val="center"/>
          </w:tcPr>
          <w:p>
            <w:pPr>
              <w:pStyle w:val="19"/>
            </w:pPr>
            <w:r>
              <w:t>本年支出合计</w:t>
            </w:r>
          </w:p>
        </w:tc>
        <w:tc>
          <w:tcPr>
            <w:tcW w:w="1474" w:type="dxa"/>
            <w:vAlign w:val="center"/>
          </w:tcPr>
          <w:p>
            <w:pPr>
              <w:pStyle w:val="20"/>
              <w:rPr>
                <w:lang w:eastAsia="zh-CN"/>
              </w:rPr>
            </w:pPr>
            <w:r>
              <w:rPr>
                <w:rFonts w:hint="eastAsia"/>
                <w:lang w:val="en-US" w:eastAsia="zh-CN"/>
              </w:rPr>
              <w:t>860.85</w:t>
            </w:r>
          </w:p>
        </w:tc>
        <w:tc>
          <w:tcPr>
            <w:tcW w:w="1474" w:type="dxa"/>
            <w:vAlign w:val="center"/>
          </w:tcPr>
          <w:p>
            <w:pPr>
              <w:pStyle w:val="20"/>
              <w:rPr>
                <w:lang w:eastAsia="zh-CN"/>
              </w:rPr>
            </w:pPr>
            <w:r>
              <w:rPr>
                <w:rFonts w:hint="eastAsia"/>
                <w:lang w:val="en-US" w:eastAsia="zh-CN"/>
              </w:rPr>
              <w:t>860.85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pPr>
            <w:r>
              <w:rPr>
                <w:rFonts w:hint="eastAsia"/>
                <w:lang w:val="en-US" w:eastAsia="zh-CN"/>
              </w:rPr>
              <w:t>860.85</w:t>
            </w:r>
          </w:p>
        </w:tc>
        <w:tc>
          <w:tcPr>
            <w:tcW w:w="3402" w:type="dxa"/>
            <w:vAlign w:val="center"/>
          </w:tcPr>
          <w:p>
            <w:pPr>
              <w:pStyle w:val="19"/>
            </w:pPr>
            <w:r>
              <w:t>支出总计</w:t>
            </w:r>
          </w:p>
        </w:tc>
        <w:tc>
          <w:tcPr>
            <w:tcW w:w="1474" w:type="dxa"/>
            <w:vAlign w:val="center"/>
          </w:tcPr>
          <w:p>
            <w:pPr>
              <w:pStyle w:val="20"/>
              <w:rPr>
                <w:rFonts w:hint="default"/>
                <w:lang w:val="en-US" w:eastAsia="zh-CN"/>
              </w:rPr>
            </w:pPr>
            <w:r>
              <w:rPr>
                <w:rFonts w:hint="eastAsia"/>
                <w:lang w:val="en-US" w:eastAsia="zh-CN"/>
              </w:rPr>
              <w:t>860.85</w:t>
            </w:r>
          </w:p>
        </w:tc>
        <w:tc>
          <w:tcPr>
            <w:tcW w:w="1474" w:type="dxa"/>
            <w:vAlign w:val="center"/>
          </w:tcPr>
          <w:p>
            <w:pPr>
              <w:pStyle w:val="20"/>
              <w:rPr>
                <w:rFonts w:hint="default"/>
                <w:lang w:val="en-US" w:eastAsia="zh-CN"/>
              </w:rPr>
            </w:pPr>
            <w:r>
              <w:rPr>
                <w:rFonts w:hint="eastAsia"/>
                <w:lang w:val="en-US" w:eastAsia="zh-CN"/>
              </w:rPr>
              <w:t>860.85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802涞水县涞水镇人民政府</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keepNext w:val="0"/>
              <w:keepLines w:val="0"/>
              <w:widowControl/>
              <w:suppressLineNumbers w:val="0"/>
              <w:jc w:val="right"/>
              <w:textAlignment w:val="center"/>
              <w:rPr>
                <w:rFonts w:hint="default"/>
                <w:lang w:val="en-US" w:eastAsia="zh-CN"/>
              </w:rPr>
            </w:pPr>
            <w:r>
              <w:rPr>
                <w:rFonts w:hint="eastAsia" w:ascii="方正书宋_GBK" w:hAnsi="方正书宋_GBK" w:eastAsia="方正书宋_GBK" w:cs="方正书宋_GBK"/>
                <w:b/>
                <w:bCs/>
                <w:i w:val="0"/>
                <w:iCs w:val="0"/>
                <w:color w:val="000000"/>
                <w:kern w:val="0"/>
                <w:sz w:val="21"/>
                <w:szCs w:val="21"/>
                <w:u w:val="none"/>
                <w:lang w:val="en-US" w:eastAsia="zh-CN" w:bidi="ar"/>
              </w:rPr>
              <w:t>860.85</w:t>
            </w:r>
          </w:p>
        </w:tc>
        <w:tc>
          <w:tcPr>
            <w:tcW w:w="2551" w:type="dxa"/>
            <w:vAlign w:val="center"/>
          </w:tcPr>
          <w:p>
            <w:pPr>
              <w:keepNext w:val="0"/>
              <w:keepLines w:val="0"/>
              <w:widowControl/>
              <w:suppressLineNumbers w:val="0"/>
              <w:jc w:val="right"/>
              <w:textAlignment w:val="center"/>
              <w:rPr>
                <w:rFonts w:hint="default"/>
                <w:lang w:val="en-US" w:eastAsia="zh-CN"/>
              </w:rPr>
            </w:pPr>
            <w:r>
              <w:rPr>
                <w:rFonts w:hint="eastAsia" w:ascii="方正书宋_GBK" w:hAnsi="方正书宋_GBK" w:eastAsia="方正书宋_GBK" w:cs="方正书宋_GBK"/>
                <w:b/>
                <w:bCs/>
                <w:i w:val="0"/>
                <w:iCs w:val="0"/>
                <w:color w:val="000000"/>
                <w:kern w:val="0"/>
                <w:sz w:val="21"/>
                <w:szCs w:val="21"/>
                <w:u w:val="none"/>
                <w:lang w:val="en-US" w:eastAsia="zh-CN" w:bidi="ar"/>
              </w:rPr>
              <w:t>815.85</w:t>
            </w:r>
          </w:p>
        </w:tc>
        <w:tc>
          <w:tcPr>
            <w:tcW w:w="2551" w:type="dxa"/>
            <w:vAlign w:val="center"/>
          </w:tcPr>
          <w:p>
            <w:pPr>
              <w:keepNext w:val="0"/>
              <w:keepLines w:val="0"/>
              <w:widowControl/>
              <w:suppressLineNumbers w:val="0"/>
              <w:jc w:val="right"/>
              <w:textAlignment w:val="center"/>
              <w:rPr>
                <w:rFonts w:hint="default"/>
                <w:lang w:val="en-US" w:eastAsia="zh-CN"/>
              </w:rPr>
            </w:pPr>
            <w:r>
              <w:rPr>
                <w:rFonts w:hint="eastAsia" w:ascii="方正书宋_GBK" w:hAnsi="方正书宋_GBK" w:eastAsia="方正书宋_GBK" w:cs="方正书宋_GBK"/>
                <w:b/>
                <w:bCs/>
                <w:i w:val="0"/>
                <w:iCs w:val="0"/>
                <w:color w:val="000000"/>
                <w:kern w:val="0"/>
                <w:sz w:val="21"/>
                <w:szCs w:val="21"/>
                <w:u w:val="none"/>
                <w:lang w:val="en-US" w:eastAsia="zh-CN" w:bidi="ar"/>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718.29</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675.04</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43.25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20103</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718.29</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675.04</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43.25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2010301</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675.04</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675.04</w:t>
            </w:r>
          </w:p>
        </w:tc>
        <w:tc>
          <w:tcPr>
            <w:tcW w:w="2551" w:type="dxa"/>
            <w:vAlign w:val="top"/>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2010302</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一般行政管理事务</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43.25</w:t>
            </w:r>
          </w:p>
        </w:tc>
        <w:tc>
          <w:tcPr>
            <w:tcW w:w="2551" w:type="dxa"/>
            <w:vAlign w:val="top"/>
          </w:tcPr>
          <w:p>
            <w:pPr>
              <w:jc w:val="right"/>
              <w:rPr>
                <w:rFonts w:ascii="方正书宋_GBK" w:hAnsi="方正书宋_GBK" w:eastAsia="方正书宋_GBK" w:cs="方正书宋_GBK"/>
                <w:sz w:val="21"/>
              </w:rPr>
            </w:pP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43.25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207</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文化旅游体育与传媒支出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1.75</w:t>
            </w:r>
          </w:p>
        </w:tc>
        <w:tc>
          <w:tcPr>
            <w:tcW w:w="2551" w:type="dxa"/>
            <w:vAlign w:val="top"/>
          </w:tcPr>
          <w:p>
            <w:pPr>
              <w:jc w:val="right"/>
              <w:rPr>
                <w:rFonts w:ascii="方正书宋_GBK" w:hAnsi="方正书宋_GBK" w:eastAsia="方正书宋_GBK" w:cs="方正书宋_GBK"/>
                <w:sz w:val="21"/>
              </w:rPr>
            </w:pP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20701</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文化和旅游</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1.75</w:t>
            </w:r>
          </w:p>
        </w:tc>
        <w:tc>
          <w:tcPr>
            <w:tcW w:w="2551" w:type="dxa"/>
            <w:vAlign w:val="top"/>
          </w:tcPr>
          <w:p>
            <w:pPr>
              <w:jc w:val="right"/>
              <w:rPr>
                <w:rFonts w:ascii="方正书宋_GBK" w:hAnsi="方正书宋_GBK" w:eastAsia="方正书宋_GBK" w:cs="方正书宋_GBK"/>
                <w:sz w:val="21"/>
              </w:rPr>
            </w:pP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2070199</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其他文化和旅游支出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1.75</w:t>
            </w:r>
          </w:p>
        </w:tc>
        <w:tc>
          <w:tcPr>
            <w:tcW w:w="2551" w:type="dxa"/>
            <w:vAlign w:val="top"/>
          </w:tcPr>
          <w:p>
            <w:pPr>
              <w:jc w:val="right"/>
              <w:rPr>
                <w:rFonts w:ascii="方正书宋_GBK" w:hAnsi="方正书宋_GBK" w:eastAsia="方正书宋_GBK" w:cs="方正书宋_GBK"/>
                <w:sz w:val="21"/>
              </w:rPr>
            </w:pP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62.68</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62.68</w:t>
            </w:r>
          </w:p>
        </w:tc>
        <w:tc>
          <w:tcPr>
            <w:tcW w:w="2551" w:type="dxa"/>
            <w:vAlign w:val="top"/>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62.68</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62.68</w:t>
            </w:r>
          </w:p>
        </w:tc>
        <w:tc>
          <w:tcPr>
            <w:tcW w:w="2551" w:type="dxa"/>
            <w:vAlign w:val="top"/>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62.68</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62.68</w:t>
            </w:r>
          </w:p>
        </w:tc>
        <w:tc>
          <w:tcPr>
            <w:tcW w:w="2551" w:type="dxa"/>
            <w:vAlign w:val="top"/>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36.37</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36.37</w:t>
            </w:r>
          </w:p>
        </w:tc>
        <w:tc>
          <w:tcPr>
            <w:tcW w:w="2551" w:type="dxa"/>
            <w:vAlign w:val="top"/>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36.37</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36.37</w:t>
            </w:r>
          </w:p>
        </w:tc>
        <w:tc>
          <w:tcPr>
            <w:tcW w:w="2551" w:type="dxa"/>
            <w:vAlign w:val="top"/>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2101101</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27.71</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27.71</w:t>
            </w:r>
          </w:p>
        </w:tc>
        <w:tc>
          <w:tcPr>
            <w:tcW w:w="2551" w:type="dxa"/>
            <w:vAlign w:val="top"/>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lang w:val="en-US"/>
              </w:rPr>
            </w:pPr>
            <w:r>
              <w:rPr>
                <w:rFonts w:hint="default" w:ascii="Calibri" w:hAnsi="Calibri" w:eastAsia="宋体" w:cs="Calibri"/>
                <w:i w:val="0"/>
                <w:iCs w:val="0"/>
                <w:color w:val="000000"/>
                <w:kern w:val="0"/>
                <w:sz w:val="22"/>
                <w:szCs w:val="22"/>
                <w:u w:val="none"/>
                <w:lang w:val="en-US" w:eastAsia="zh-CN" w:bidi="ar"/>
              </w:rPr>
              <w:t>2101103</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公务员医疗补助</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8.66</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8.66</w:t>
            </w:r>
          </w:p>
        </w:tc>
        <w:tc>
          <w:tcPr>
            <w:tcW w:w="2551" w:type="dxa"/>
            <w:vAlign w:val="top"/>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41.76</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41.76</w:t>
            </w:r>
          </w:p>
        </w:tc>
        <w:tc>
          <w:tcPr>
            <w:tcW w:w="2551" w:type="dxa"/>
            <w:vAlign w:val="top"/>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41.76</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41.76</w:t>
            </w:r>
          </w:p>
        </w:tc>
        <w:tc>
          <w:tcPr>
            <w:tcW w:w="2551" w:type="dxa"/>
            <w:vAlign w:val="top"/>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41.76</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default" w:ascii="Calibri" w:hAnsi="Calibri" w:eastAsia="宋体" w:cs="Calibri"/>
                <w:i w:val="0"/>
                <w:iCs w:val="0"/>
                <w:color w:val="000000"/>
                <w:kern w:val="0"/>
                <w:sz w:val="22"/>
                <w:szCs w:val="22"/>
                <w:u w:val="none"/>
                <w:lang w:val="en-US" w:eastAsia="zh-CN" w:bidi="ar"/>
              </w:rPr>
              <w:t>41.76</w:t>
            </w:r>
          </w:p>
        </w:tc>
        <w:tc>
          <w:tcPr>
            <w:tcW w:w="2551" w:type="dxa"/>
            <w:vAlign w:val="top"/>
          </w:tcPr>
          <w:p>
            <w:pPr>
              <w:jc w:val="right"/>
              <w:rPr>
                <w:rFonts w:ascii="方正书宋_GBK" w:hAnsi="方正书宋_GBK" w:eastAsia="方正书宋_GBK" w:cs="方正书宋_GBK"/>
                <w:sz w:val="21"/>
              </w:rPr>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rPr>
              <w:t>802涞水县涞水镇人民政府</w:t>
            </w:r>
          </w:p>
        </w:tc>
        <w:tc>
          <w:tcPr>
            <w:tcW w:w="2551" w:type="dxa"/>
            <w:tcBorders>
              <w:top w:val="single" w:color="FFFFFF" w:sz="6" w:space="0"/>
              <w:left w:val="single" w:color="FFFFFF" w:sz="6" w:space="0"/>
              <w:right w:val="single" w:color="FFFFFF" w:sz="6" w:space="0"/>
            </w:tcBorders>
            <w:vAlign w:val="center"/>
          </w:tcPr>
          <w:p>
            <w:pPr>
              <w:pStyle w:val="13"/>
              <w:rPr>
                <w:rFonts w:hint="eastAsia"/>
                <w:lang w:eastAsia="zh-CN"/>
              </w:rPr>
            </w:pPr>
            <w:r>
              <w:t>预算年度：202</w:t>
            </w:r>
            <w:r>
              <w:rPr>
                <w:rFonts w:hint="eastAsia"/>
                <w:lang w:val="en-US" w:eastAsia="zh-CN"/>
              </w:rPr>
              <w:t>4</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jc w:val="right"/>
              <w:rPr>
                <w:rFonts w:hint="default" w:ascii="方正书宋_GBK" w:hAnsi="宋体" w:eastAsia="方正书宋_GBK" w:cs="宋体"/>
                <w:b/>
                <w:bCs/>
                <w:sz w:val="21"/>
                <w:szCs w:val="21"/>
                <w:lang w:val="en-US" w:eastAsia="zh-CN"/>
              </w:rPr>
            </w:pPr>
            <w:r>
              <w:rPr>
                <w:rFonts w:hint="eastAsia" w:ascii="方正书宋_GBK" w:eastAsia="方正书宋_GBK"/>
                <w:b/>
                <w:bCs/>
                <w:sz w:val="21"/>
                <w:szCs w:val="21"/>
                <w:lang w:val="en-US" w:eastAsia="zh-CN"/>
              </w:rPr>
              <w:t>815.85</w:t>
            </w:r>
          </w:p>
        </w:tc>
        <w:tc>
          <w:tcPr>
            <w:tcW w:w="2551" w:type="dxa"/>
            <w:vAlign w:val="center"/>
          </w:tcPr>
          <w:p>
            <w:pPr>
              <w:jc w:val="right"/>
              <w:rPr>
                <w:rFonts w:hint="default" w:ascii="方正书宋_GBK" w:hAnsi="宋体" w:eastAsia="方正书宋_GBK" w:cs="宋体"/>
                <w:b/>
                <w:bCs/>
                <w:sz w:val="21"/>
                <w:szCs w:val="21"/>
                <w:lang w:val="en-US" w:eastAsia="zh-CN"/>
              </w:rPr>
            </w:pPr>
            <w:r>
              <w:rPr>
                <w:rFonts w:hint="eastAsia" w:ascii="方正书宋_GBK" w:eastAsia="方正书宋_GBK"/>
                <w:b/>
                <w:bCs/>
                <w:sz w:val="21"/>
                <w:szCs w:val="21"/>
                <w:lang w:val="en-US" w:eastAsia="zh-CN"/>
              </w:rPr>
              <w:t>751.86</w:t>
            </w:r>
          </w:p>
        </w:tc>
        <w:tc>
          <w:tcPr>
            <w:tcW w:w="2552" w:type="dxa"/>
            <w:vAlign w:val="center"/>
          </w:tcPr>
          <w:p>
            <w:pPr>
              <w:jc w:val="right"/>
              <w:rPr>
                <w:rFonts w:hint="default" w:ascii="方正书宋_GBK" w:hAnsi="宋体" w:eastAsia="方正书宋_GBK" w:cs="宋体"/>
                <w:b/>
                <w:bCs/>
                <w:sz w:val="21"/>
                <w:szCs w:val="21"/>
                <w:lang w:val="en-US" w:eastAsia="zh-CN"/>
              </w:rPr>
            </w:pPr>
            <w:r>
              <w:rPr>
                <w:rFonts w:hint="eastAsia" w:ascii="方正书宋_GBK" w:eastAsia="方正书宋_GBK"/>
                <w:b/>
                <w:bCs/>
                <w:sz w:val="21"/>
                <w:szCs w:val="21"/>
                <w:lang w:val="en-US" w:eastAsia="zh-CN"/>
              </w:rPr>
              <w:t>63.99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747.50</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747.50</w:t>
            </w:r>
          </w:p>
        </w:tc>
        <w:tc>
          <w:tcPr>
            <w:tcW w:w="2552" w:type="dxa"/>
            <w:vAlign w:val="top"/>
          </w:tcPr>
          <w:p>
            <w:pPr>
              <w:jc w:val="right"/>
              <w:rPr>
                <w:rFonts w:ascii="方正书宋_GBK" w:hAnsi="宋体" w:eastAsia="方正书宋_GBK"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336.25</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336.25</w:t>
            </w:r>
          </w:p>
        </w:tc>
        <w:tc>
          <w:tcPr>
            <w:tcW w:w="2552" w:type="dxa"/>
            <w:vAlign w:val="top"/>
          </w:tcPr>
          <w:p>
            <w:pPr>
              <w:jc w:val="right"/>
              <w:rPr>
                <w:rFonts w:ascii="方正书宋_GBK" w:hAnsi="宋体" w:eastAsia="方正书宋_GBK"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139.79</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139.79</w:t>
            </w:r>
          </w:p>
        </w:tc>
        <w:tc>
          <w:tcPr>
            <w:tcW w:w="2552" w:type="dxa"/>
            <w:vAlign w:val="top"/>
          </w:tcPr>
          <w:p>
            <w:pPr>
              <w:jc w:val="right"/>
              <w:rPr>
                <w:rFonts w:ascii="方正书宋_GBK" w:hAnsi="宋体" w:eastAsia="方正书宋_GBK"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38.79</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38.79</w:t>
            </w:r>
          </w:p>
        </w:tc>
        <w:tc>
          <w:tcPr>
            <w:tcW w:w="2552" w:type="dxa"/>
            <w:vAlign w:val="top"/>
          </w:tcPr>
          <w:p>
            <w:pPr>
              <w:jc w:val="right"/>
              <w:rPr>
                <w:rFonts w:ascii="方正书宋_GBK" w:hAnsi="宋体" w:eastAsia="方正书宋_GBK"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30107</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绩效工资</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88.51</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88.51</w:t>
            </w:r>
          </w:p>
        </w:tc>
        <w:tc>
          <w:tcPr>
            <w:tcW w:w="2552" w:type="dxa"/>
            <w:vAlign w:val="top"/>
          </w:tcPr>
          <w:p>
            <w:pPr>
              <w:jc w:val="right"/>
              <w:rPr>
                <w:rFonts w:ascii="方正书宋_GBK" w:hAnsi="宋体" w:eastAsia="方正书宋_GBK"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62.68</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62.68</w:t>
            </w:r>
          </w:p>
        </w:tc>
        <w:tc>
          <w:tcPr>
            <w:tcW w:w="2552" w:type="dxa"/>
            <w:vAlign w:val="top"/>
          </w:tcPr>
          <w:p>
            <w:pPr>
              <w:jc w:val="right"/>
              <w:rPr>
                <w:rFonts w:ascii="方正书宋_GBK" w:hAnsi="宋体" w:eastAsia="方正书宋_GBK"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27.71</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27.71</w:t>
            </w:r>
          </w:p>
        </w:tc>
        <w:tc>
          <w:tcPr>
            <w:tcW w:w="2552" w:type="dxa"/>
            <w:vAlign w:val="top"/>
          </w:tcPr>
          <w:p>
            <w:pPr>
              <w:jc w:val="right"/>
              <w:rPr>
                <w:rFonts w:ascii="方正书宋_GBK" w:hAnsi="宋体" w:eastAsia="方正书宋_GBK"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asciiTheme="minorEastAsia" w:hAnsiTheme="minorEastAsia" w:eastAsiaTheme="minorEastAsia"/>
                <w:lang w:eastAsia="zh-CN"/>
              </w:rPr>
              <w:t>9</w:t>
            </w:r>
          </w:p>
        </w:tc>
        <w:tc>
          <w:tcPr>
            <w:tcW w:w="1191"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30111</w:t>
            </w:r>
          </w:p>
        </w:tc>
        <w:tc>
          <w:tcPr>
            <w:tcW w:w="4535" w:type="dxa"/>
            <w:vAlign w:val="top"/>
          </w:tcPr>
          <w:p>
            <w:pPr>
              <w:keepNext w:val="0"/>
              <w:keepLines w:val="0"/>
              <w:widowControl/>
              <w:suppressLineNumbers w:val="0"/>
              <w:jc w:val="left"/>
              <w:textAlignment w:val="top"/>
              <w:rPr>
                <w:rFonts w:hint="eastAsia" w:ascii="方正书宋_GBK" w:hAnsi="方正书宋_GBK" w:cs="方正书宋_GBK" w:eastAsiaTheme="minorEastAsia"/>
                <w:sz w:val="21"/>
                <w:lang w:eastAsia="zh-CN"/>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8.66</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8.66</w:t>
            </w:r>
          </w:p>
        </w:tc>
        <w:tc>
          <w:tcPr>
            <w:tcW w:w="2552" w:type="dxa"/>
            <w:vAlign w:val="top"/>
          </w:tcPr>
          <w:p>
            <w:pPr>
              <w:jc w:val="right"/>
              <w:rPr>
                <w:rFonts w:ascii="方正书宋_GBK" w:hAnsi="宋体" w:eastAsia="方正书宋_GBK"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10</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pPr>
              <w:keepNext w:val="0"/>
              <w:keepLines w:val="0"/>
              <w:widowControl/>
              <w:suppressLineNumbers w:val="0"/>
              <w:jc w:val="right"/>
              <w:textAlignment w:val="top"/>
              <w:rPr>
                <w:rFonts w:hint="eastAsia" w:ascii="方正书宋_GBK" w:hAnsi="宋体" w:eastAsia="方正书宋_GBK" w:cs="宋体"/>
                <w:sz w:val="21"/>
                <w:szCs w:val="21"/>
                <w:lang w:val="en-US" w:eastAsia="zh-CN"/>
              </w:rPr>
            </w:pPr>
            <w:r>
              <w:rPr>
                <w:rFonts w:hint="default" w:ascii="Calibri" w:hAnsi="Calibri" w:eastAsia="宋体" w:cs="Calibri"/>
                <w:i w:val="0"/>
                <w:iCs w:val="0"/>
                <w:color w:val="000000"/>
                <w:kern w:val="0"/>
                <w:sz w:val="22"/>
                <w:szCs w:val="22"/>
                <w:u w:val="none"/>
                <w:lang w:val="en-US" w:eastAsia="zh-CN" w:bidi="ar"/>
              </w:rPr>
              <w:t>3.35</w:t>
            </w:r>
          </w:p>
        </w:tc>
        <w:tc>
          <w:tcPr>
            <w:tcW w:w="2551" w:type="dxa"/>
            <w:vAlign w:val="top"/>
          </w:tcPr>
          <w:p>
            <w:pPr>
              <w:keepNext w:val="0"/>
              <w:keepLines w:val="0"/>
              <w:widowControl/>
              <w:suppressLineNumbers w:val="0"/>
              <w:jc w:val="right"/>
              <w:textAlignment w:val="top"/>
              <w:rPr>
                <w:rFonts w:hint="eastAsia" w:ascii="方正书宋_GBK" w:hAnsi="宋体" w:eastAsia="方正书宋_GBK" w:cs="宋体"/>
                <w:sz w:val="21"/>
                <w:szCs w:val="21"/>
                <w:lang w:val="en-US" w:eastAsia="zh-CN"/>
              </w:rPr>
            </w:pPr>
            <w:r>
              <w:rPr>
                <w:rFonts w:hint="default" w:ascii="Calibri" w:hAnsi="Calibri" w:eastAsia="宋体" w:cs="Calibri"/>
                <w:i w:val="0"/>
                <w:iCs w:val="0"/>
                <w:color w:val="000000"/>
                <w:kern w:val="0"/>
                <w:sz w:val="22"/>
                <w:szCs w:val="22"/>
                <w:u w:val="none"/>
                <w:lang w:val="en-US" w:eastAsia="zh-CN" w:bidi="ar"/>
              </w:rPr>
              <w:t>3.35</w:t>
            </w:r>
          </w:p>
        </w:tc>
        <w:tc>
          <w:tcPr>
            <w:tcW w:w="2552" w:type="dxa"/>
            <w:vAlign w:val="top"/>
          </w:tcPr>
          <w:p>
            <w:pPr>
              <w:jc w:val="right"/>
              <w:rPr>
                <w:rFonts w:ascii="方正书宋_GBK" w:hAnsi="宋体" w:eastAsia="方正书宋_GBK"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11</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41.76</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41.76</w:t>
            </w:r>
          </w:p>
        </w:tc>
        <w:tc>
          <w:tcPr>
            <w:tcW w:w="2552" w:type="dxa"/>
            <w:vAlign w:val="top"/>
          </w:tcPr>
          <w:p>
            <w:pPr>
              <w:jc w:val="right"/>
              <w:rPr>
                <w:rFonts w:ascii="方正书宋_GBK" w:hAnsi="宋体" w:eastAsia="方正书宋_GBK"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12</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63.99</w:t>
            </w:r>
          </w:p>
        </w:tc>
        <w:tc>
          <w:tcPr>
            <w:tcW w:w="2551" w:type="dxa"/>
            <w:vAlign w:val="top"/>
          </w:tcPr>
          <w:p>
            <w:pPr>
              <w:jc w:val="right"/>
              <w:rPr>
                <w:rFonts w:ascii="方正书宋_GBK" w:hAnsi="宋体" w:eastAsia="方正书宋_GBK" w:cs="宋体"/>
                <w:sz w:val="21"/>
                <w:szCs w:val="21"/>
              </w:rPr>
            </w:pPr>
          </w:p>
        </w:tc>
        <w:tc>
          <w:tcPr>
            <w:tcW w:w="2552"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63.99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13</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15.05</w:t>
            </w:r>
          </w:p>
        </w:tc>
        <w:tc>
          <w:tcPr>
            <w:tcW w:w="2551" w:type="dxa"/>
            <w:vAlign w:val="top"/>
          </w:tcPr>
          <w:p>
            <w:pPr>
              <w:jc w:val="right"/>
              <w:rPr>
                <w:rFonts w:ascii="方正书宋_GBK" w:hAnsi="宋体" w:eastAsia="方正书宋_GBK" w:cs="宋体"/>
                <w:sz w:val="21"/>
                <w:szCs w:val="21"/>
              </w:rPr>
            </w:pPr>
          </w:p>
        </w:tc>
        <w:tc>
          <w:tcPr>
            <w:tcW w:w="2552"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14</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0.36</w:t>
            </w:r>
          </w:p>
        </w:tc>
        <w:tc>
          <w:tcPr>
            <w:tcW w:w="2551" w:type="dxa"/>
            <w:vAlign w:val="top"/>
          </w:tcPr>
          <w:p>
            <w:pPr>
              <w:jc w:val="right"/>
              <w:rPr>
                <w:rFonts w:ascii="方正书宋_GBK" w:hAnsi="宋体" w:eastAsia="方正书宋_GBK" w:cs="宋体"/>
                <w:sz w:val="21"/>
                <w:szCs w:val="21"/>
              </w:rPr>
            </w:pPr>
          </w:p>
        </w:tc>
        <w:tc>
          <w:tcPr>
            <w:tcW w:w="2552"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15</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30208</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取暖费</w:t>
            </w:r>
          </w:p>
        </w:tc>
        <w:tc>
          <w:tcPr>
            <w:tcW w:w="2551" w:type="dxa"/>
            <w:vAlign w:val="top"/>
          </w:tcPr>
          <w:p>
            <w:pPr>
              <w:keepNext w:val="0"/>
              <w:keepLines w:val="0"/>
              <w:widowControl/>
              <w:suppressLineNumbers w:val="0"/>
              <w:jc w:val="right"/>
              <w:textAlignment w:val="top"/>
              <w:rPr>
                <w:rFonts w:hint="default" w:ascii="方正书宋_GBK" w:hAnsi="宋体" w:eastAsia="方正书宋_GBK" w:cs="宋体"/>
                <w:sz w:val="21"/>
                <w:szCs w:val="21"/>
                <w:lang w:val="en-US" w:eastAsia="zh-CN"/>
              </w:rPr>
            </w:pPr>
            <w:r>
              <w:rPr>
                <w:rFonts w:hint="default" w:ascii="Calibri" w:hAnsi="Calibri" w:eastAsia="宋体" w:cs="Calibri"/>
                <w:i w:val="0"/>
                <w:iCs w:val="0"/>
                <w:color w:val="000000"/>
                <w:kern w:val="0"/>
                <w:sz w:val="22"/>
                <w:szCs w:val="22"/>
                <w:u w:val="none"/>
                <w:lang w:val="en-US" w:eastAsia="zh-CN" w:bidi="ar"/>
              </w:rPr>
              <w:t>5.00</w:t>
            </w:r>
          </w:p>
        </w:tc>
        <w:tc>
          <w:tcPr>
            <w:tcW w:w="2551" w:type="dxa"/>
            <w:vAlign w:val="top"/>
          </w:tcPr>
          <w:p>
            <w:pPr>
              <w:jc w:val="right"/>
              <w:rPr>
                <w:rFonts w:ascii="方正书宋_GBK" w:hAnsi="宋体" w:eastAsia="方正书宋_GBK" w:cs="宋体"/>
                <w:sz w:val="21"/>
                <w:szCs w:val="21"/>
              </w:rPr>
            </w:pPr>
          </w:p>
        </w:tc>
        <w:tc>
          <w:tcPr>
            <w:tcW w:w="2552" w:type="dxa"/>
            <w:vAlign w:val="top"/>
          </w:tcPr>
          <w:p>
            <w:pPr>
              <w:keepNext w:val="0"/>
              <w:keepLines w:val="0"/>
              <w:widowControl/>
              <w:suppressLineNumbers w:val="0"/>
              <w:jc w:val="right"/>
              <w:textAlignment w:val="top"/>
              <w:rPr>
                <w:rFonts w:hint="default" w:ascii="方正书宋_GBK" w:hAnsi="宋体" w:eastAsia="方正书宋_GBK" w:cs="宋体"/>
                <w:sz w:val="21"/>
                <w:szCs w:val="21"/>
                <w:lang w:val="en-US" w:eastAsia="zh-CN"/>
              </w:rPr>
            </w:pPr>
            <w:r>
              <w:rPr>
                <w:rFonts w:hint="default" w:ascii="Calibri" w:hAnsi="Calibri" w:eastAsia="宋体" w:cs="Calibri"/>
                <w:i w:val="0"/>
                <w:iCs w:val="0"/>
                <w:color w:val="000000"/>
                <w:kern w:val="0"/>
                <w:sz w:val="22"/>
                <w:szCs w:val="22"/>
                <w:u w:val="none"/>
                <w:lang w:val="en-US" w:eastAsia="zh-CN" w:bidi="ar"/>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16</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pPr>
              <w:keepNext w:val="0"/>
              <w:keepLines w:val="0"/>
              <w:widowControl/>
              <w:suppressLineNumbers w:val="0"/>
              <w:jc w:val="right"/>
              <w:textAlignment w:val="top"/>
              <w:rPr>
                <w:rFonts w:hint="eastAsia" w:ascii="方正书宋_GBK" w:hAnsi="宋体" w:eastAsia="方正书宋_GBK" w:cs="宋体"/>
                <w:sz w:val="21"/>
                <w:szCs w:val="21"/>
                <w:lang w:val="en-US" w:eastAsia="zh-CN"/>
              </w:rPr>
            </w:pPr>
            <w:r>
              <w:rPr>
                <w:rFonts w:hint="default" w:ascii="Calibri" w:hAnsi="Calibri" w:eastAsia="宋体" w:cs="Calibri"/>
                <w:i w:val="0"/>
                <w:iCs w:val="0"/>
                <w:color w:val="000000"/>
                <w:kern w:val="0"/>
                <w:sz w:val="22"/>
                <w:szCs w:val="22"/>
                <w:u w:val="none"/>
                <w:lang w:val="en-US" w:eastAsia="zh-CN" w:bidi="ar"/>
              </w:rPr>
              <w:t>1.50</w:t>
            </w:r>
          </w:p>
        </w:tc>
        <w:tc>
          <w:tcPr>
            <w:tcW w:w="2551" w:type="dxa"/>
            <w:vAlign w:val="top"/>
          </w:tcPr>
          <w:p>
            <w:pPr>
              <w:jc w:val="right"/>
              <w:rPr>
                <w:rFonts w:ascii="方正书宋_GBK" w:hAnsi="宋体" w:eastAsia="方正书宋_GBK" w:cs="宋体"/>
                <w:sz w:val="21"/>
                <w:szCs w:val="21"/>
              </w:rPr>
            </w:pPr>
          </w:p>
        </w:tc>
        <w:tc>
          <w:tcPr>
            <w:tcW w:w="2552" w:type="dxa"/>
            <w:vAlign w:val="top"/>
          </w:tcPr>
          <w:p>
            <w:pPr>
              <w:keepNext w:val="0"/>
              <w:keepLines w:val="0"/>
              <w:widowControl/>
              <w:suppressLineNumbers w:val="0"/>
              <w:jc w:val="right"/>
              <w:textAlignment w:val="top"/>
              <w:rPr>
                <w:rFonts w:hint="default" w:ascii="方正书宋_GBK" w:hAnsi="宋体" w:eastAsia="方正书宋_GBK" w:cs="宋体"/>
                <w:sz w:val="21"/>
                <w:szCs w:val="21"/>
                <w:lang w:val="en-US" w:eastAsia="zh-CN"/>
              </w:rPr>
            </w:pPr>
            <w:r>
              <w:rPr>
                <w:rFonts w:hint="default" w:ascii="Calibri" w:hAnsi="Calibri" w:eastAsia="宋体" w:cs="Calibri"/>
                <w:i w:val="0"/>
                <w:iCs w:val="0"/>
                <w:color w:val="000000"/>
                <w:kern w:val="0"/>
                <w:sz w:val="22"/>
                <w:szCs w:val="22"/>
                <w:u w:val="none"/>
                <w:lang w:val="en-US" w:eastAsia="zh-CN" w:bidi="ar"/>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17</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30226</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劳务费</w:t>
            </w:r>
          </w:p>
        </w:tc>
        <w:tc>
          <w:tcPr>
            <w:tcW w:w="2551" w:type="dxa"/>
            <w:vAlign w:val="top"/>
          </w:tcPr>
          <w:p>
            <w:pPr>
              <w:keepNext w:val="0"/>
              <w:keepLines w:val="0"/>
              <w:widowControl/>
              <w:suppressLineNumbers w:val="0"/>
              <w:jc w:val="right"/>
              <w:textAlignment w:val="top"/>
              <w:rPr>
                <w:rFonts w:hint="eastAsia" w:ascii="方正书宋_GBK" w:hAnsi="宋体" w:eastAsia="方正书宋_GBK" w:cs="宋体"/>
                <w:sz w:val="21"/>
                <w:szCs w:val="21"/>
                <w:lang w:val="en-US" w:eastAsia="zh-CN"/>
              </w:rPr>
            </w:pPr>
            <w:r>
              <w:rPr>
                <w:rFonts w:hint="default" w:ascii="Calibri" w:hAnsi="Calibri" w:eastAsia="宋体" w:cs="Calibri"/>
                <w:i w:val="0"/>
                <w:iCs w:val="0"/>
                <w:color w:val="000000"/>
                <w:kern w:val="0"/>
                <w:sz w:val="22"/>
                <w:szCs w:val="22"/>
                <w:u w:val="none"/>
                <w:lang w:val="en-US" w:eastAsia="zh-CN" w:bidi="ar"/>
              </w:rPr>
              <w:t>3.49</w:t>
            </w:r>
          </w:p>
        </w:tc>
        <w:tc>
          <w:tcPr>
            <w:tcW w:w="2551" w:type="dxa"/>
            <w:vAlign w:val="top"/>
          </w:tcPr>
          <w:p>
            <w:pPr>
              <w:jc w:val="right"/>
              <w:rPr>
                <w:rFonts w:ascii="方正书宋_GBK" w:hAnsi="宋体" w:eastAsia="方正书宋_GBK" w:cs="宋体"/>
                <w:sz w:val="21"/>
                <w:szCs w:val="21"/>
              </w:rPr>
            </w:pPr>
          </w:p>
        </w:tc>
        <w:tc>
          <w:tcPr>
            <w:tcW w:w="2552" w:type="dxa"/>
            <w:vAlign w:val="top"/>
          </w:tcPr>
          <w:p>
            <w:pPr>
              <w:keepNext w:val="0"/>
              <w:keepLines w:val="0"/>
              <w:widowControl/>
              <w:suppressLineNumbers w:val="0"/>
              <w:jc w:val="right"/>
              <w:textAlignment w:val="top"/>
              <w:rPr>
                <w:rFonts w:hint="eastAsia" w:ascii="方正书宋_GBK" w:hAnsi="宋体" w:eastAsia="方正书宋_GBK" w:cs="宋体"/>
                <w:sz w:val="21"/>
                <w:szCs w:val="21"/>
                <w:lang w:val="en-US" w:eastAsia="zh-CN"/>
              </w:rPr>
            </w:pPr>
            <w:r>
              <w:rPr>
                <w:rFonts w:hint="default" w:ascii="Calibri" w:hAnsi="Calibri" w:eastAsia="宋体" w:cs="Calibri"/>
                <w:i w:val="0"/>
                <w:iCs w:val="0"/>
                <w:color w:val="000000"/>
                <w:kern w:val="0"/>
                <w:sz w:val="22"/>
                <w:szCs w:val="22"/>
                <w:u w:val="none"/>
                <w:lang w:val="en-US" w:eastAsia="zh-CN" w:bidi="ar"/>
              </w:rP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18</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pPr>
              <w:keepNext w:val="0"/>
              <w:keepLines w:val="0"/>
              <w:widowControl/>
              <w:suppressLineNumbers w:val="0"/>
              <w:jc w:val="right"/>
              <w:textAlignment w:val="top"/>
              <w:rPr>
                <w:rFonts w:hint="default" w:ascii="方正书宋_GBK" w:hAnsi="宋体" w:eastAsia="方正书宋_GBK" w:cs="宋体"/>
                <w:sz w:val="21"/>
                <w:szCs w:val="21"/>
                <w:lang w:val="en-US" w:eastAsia="zh-CN"/>
              </w:rPr>
            </w:pPr>
            <w:r>
              <w:rPr>
                <w:rFonts w:hint="default" w:ascii="Calibri" w:hAnsi="Calibri" w:eastAsia="宋体" w:cs="Calibri"/>
                <w:i w:val="0"/>
                <w:iCs w:val="0"/>
                <w:color w:val="000000"/>
                <w:kern w:val="0"/>
                <w:sz w:val="22"/>
                <w:szCs w:val="22"/>
                <w:u w:val="none"/>
                <w:lang w:val="en-US" w:eastAsia="zh-CN" w:bidi="ar"/>
              </w:rPr>
              <w:t>6.47</w:t>
            </w:r>
          </w:p>
        </w:tc>
        <w:tc>
          <w:tcPr>
            <w:tcW w:w="2551" w:type="dxa"/>
            <w:vAlign w:val="top"/>
          </w:tcPr>
          <w:p>
            <w:pPr>
              <w:jc w:val="right"/>
              <w:rPr>
                <w:rFonts w:ascii="方正书宋_GBK" w:hAnsi="宋体" w:eastAsia="方正书宋_GBK" w:cs="宋体"/>
                <w:sz w:val="21"/>
                <w:szCs w:val="21"/>
              </w:rPr>
            </w:pPr>
          </w:p>
        </w:tc>
        <w:tc>
          <w:tcPr>
            <w:tcW w:w="2552" w:type="dxa"/>
            <w:vAlign w:val="top"/>
          </w:tcPr>
          <w:p>
            <w:pPr>
              <w:keepNext w:val="0"/>
              <w:keepLines w:val="0"/>
              <w:widowControl/>
              <w:suppressLineNumbers w:val="0"/>
              <w:jc w:val="right"/>
              <w:textAlignment w:val="top"/>
              <w:rPr>
                <w:rFonts w:hint="default" w:ascii="方正书宋_GBK" w:hAnsi="宋体" w:eastAsia="方正书宋_GBK" w:cs="宋体"/>
                <w:sz w:val="21"/>
                <w:szCs w:val="21"/>
                <w:lang w:val="en-US" w:eastAsia="zh-CN"/>
              </w:rPr>
            </w:pPr>
            <w:r>
              <w:rPr>
                <w:rFonts w:hint="default" w:ascii="Calibri" w:hAnsi="Calibri" w:eastAsia="宋体" w:cs="Calibri"/>
                <w:i w:val="0"/>
                <w:iCs w:val="0"/>
                <w:color w:val="000000"/>
                <w:kern w:val="0"/>
                <w:sz w:val="22"/>
                <w:szCs w:val="22"/>
                <w:u w:val="none"/>
                <w:lang w:val="en-US" w:eastAsia="zh-CN" w:bidi="ar"/>
              </w:rP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19</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9.54</w:t>
            </w:r>
          </w:p>
        </w:tc>
        <w:tc>
          <w:tcPr>
            <w:tcW w:w="2551" w:type="dxa"/>
            <w:vAlign w:val="top"/>
          </w:tcPr>
          <w:p>
            <w:pPr>
              <w:jc w:val="right"/>
              <w:rPr>
                <w:rFonts w:ascii="方正书宋_GBK" w:hAnsi="宋体" w:eastAsia="方正书宋_GBK" w:cs="宋体"/>
                <w:sz w:val="21"/>
                <w:szCs w:val="21"/>
              </w:rPr>
            </w:pPr>
          </w:p>
        </w:tc>
        <w:tc>
          <w:tcPr>
            <w:tcW w:w="2552"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20</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30231</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3.50</w:t>
            </w:r>
          </w:p>
        </w:tc>
        <w:tc>
          <w:tcPr>
            <w:tcW w:w="2551" w:type="dxa"/>
            <w:vAlign w:val="top"/>
          </w:tcPr>
          <w:p>
            <w:pPr>
              <w:jc w:val="right"/>
              <w:rPr>
                <w:rFonts w:ascii="方正书宋_GBK" w:hAnsi="宋体" w:eastAsia="方正书宋_GBK" w:cs="宋体"/>
                <w:sz w:val="21"/>
                <w:szCs w:val="21"/>
              </w:rPr>
            </w:pPr>
          </w:p>
        </w:tc>
        <w:tc>
          <w:tcPr>
            <w:tcW w:w="2552"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21</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pPr>
              <w:keepNext w:val="0"/>
              <w:keepLines w:val="0"/>
              <w:widowControl/>
              <w:suppressLineNumbers w:val="0"/>
              <w:jc w:val="right"/>
              <w:textAlignment w:val="top"/>
              <w:rPr>
                <w:rFonts w:hint="eastAsia" w:ascii="方正书宋_GBK" w:hAnsi="宋体" w:eastAsia="方正书宋_GBK" w:cs="宋体"/>
                <w:sz w:val="21"/>
                <w:szCs w:val="21"/>
                <w:lang w:val="en-US" w:eastAsia="zh-CN"/>
              </w:rPr>
            </w:pPr>
            <w:r>
              <w:rPr>
                <w:rFonts w:hint="default" w:ascii="Calibri" w:hAnsi="Calibri" w:eastAsia="宋体" w:cs="Calibri"/>
                <w:i w:val="0"/>
                <w:iCs w:val="0"/>
                <w:color w:val="000000"/>
                <w:kern w:val="0"/>
                <w:sz w:val="22"/>
                <w:szCs w:val="22"/>
                <w:u w:val="none"/>
                <w:lang w:val="en-US" w:eastAsia="zh-CN" w:bidi="ar"/>
              </w:rPr>
              <w:t>18.12</w:t>
            </w:r>
          </w:p>
        </w:tc>
        <w:tc>
          <w:tcPr>
            <w:tcW w:w="2551" w:type="dxa"/>
            <w:vAlign w:val="top"/>
          </w:tcPr>
          <w:p>
            <w:pPr>
              <w:jc w:val="right"/>
              <w:rPr>
                <w:rFonts w:ascii="方正书宋_GBK" w:hAnsi="宋体" w:eastAsia="方正书宋_GBK" w:cs="宋体"/>
                <w:sz w:val="21"/>
                <w:szCs w:val="21"/>
              </w:rPr>
            </w:pPr>
          </w:p>
        </w:tc>
        <w:tc>
          <w:tcPr>
            <w:tcW w:w="2552" w:type="dxa"/>
            <w:vAlign w:val="top"/>
          </w:tcPr>
          <w:p>
            <w:pPr>
              <w:keepNext w:val="0"/>
              <w:keepLines w:val="0"/>
              <w:widowControl/>
              <w:suppressLineNumbers w:val="0"/>
              <w:jc w:val="right"/>
              <w:textAlignment w:val="top"/>
              <w:rPr>
                <w:rFonts w:hint="eastAsia" w:ascii="方正书宋_GBK" w:hAnsi="宋体" w:eastAsia="方正书宋_GBK" w:cs="宋体"/>
                <w:sz w:val="21"/>
                <w:szCs w:val="21"/>
                <w:lang w:val="en-US" w:eastAsia="zh-CN"/>
              </w:rPr>
            </w:pPr>
            <w:r>
              <w:rPr>
                <w:rFonts w:hint="default" w:ascii="Calibri" w:hAnsi="Calibri" w:eastAsia="宋体" w:cs="Calibri"/>
                <w:i w:val="0"/>
                <w:iCs w:val="0"/>
                <w:color w:val="000000"/>
                <w:kern w:val="0"/>
                <w:sz w:val="22"/>
                <w:szCs w:val="22"/>
                <w:u w:val="none"/>
                <w:lang w:val="en-US" w:eastAsia="zh-CN" w:bidi="ar"/>
              </w:rP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22</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30299</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0.96</w:t>
            </w:r>
          </w:p>
        </w:tc>
        <w:tc>
          <w:tcPr>
            <w:tcW w:w="2551" w:type="dxa"/>
            <w:vAlign w:val="top"/>
          </w:tcPr>
          <w:p>
            <w:pPr>
              <w:jc w:val="right"/>
              <w:rPr>
                <w:rFonts w:ascii="方正书宋_GBK" w:hAnsi="宋体" w:eastAsia="方正书宋_GBK" w:cs="宋体"/>
                <w:sz w:val="21"/>
                <w:szCs w:val="21"/>
              </w:rPr>
            </w:pPr>
          </w:p>
        </w:tc>
        <w:tc>
          <w:tcPr>
            <w:tcW w:w="2552"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23</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303</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4.36</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4.36</w:t>
            </w:r>
          </w:p>
        </w:tc>
        <w:tc>
          <w:tcPr>
            <w:tcW w:w="2552" w:type="dxa"/>
            <w:vAlign w:val="top"/>
          </w:tcPr>
          <w:p>
            <w:pPr>
              <w:jc w:val="right"/>
              <w:rPr>
                <w:rFonts w:ascii="方正书宋_GBK" w:hAnsi="宋体" w:eastAsia="方正书宋_GBK"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24</w:t>
            </w:r>
          </w:p>
        </w:tc>
        <w:tc>
          <w:tcPr>
            <w:tcW w:w="1191"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30305</w:t>
            </w:r>
          </w:p>
        </w:tc>
        <w:tc>
          <w:tcPr>
            <w:tcW w:w="4535" w:type="dxa"/>
            <w:vAlign w:val="top"/>
          </w:tcPr>
          <w:p>
            <w:pPr>
              <w:keepNext w:val="0"/>
              <w:keepLines w:val="0"/>
              <w:widowControl/>
              <w:suppressLineNumbers w:val="0"/>
              <w:jc w:val="left"/>
              <w:textAlignment w:val="top"/>
              <w:rPr>
                <w:rFonts w:ascii="方正书宋_GBK" w:hAnsi="方正书宋_GBK" w:eastAsia="方正书宋_GBK" w:cs="方正书宋_GBK"/>
                <w:sz w:val="21"/>
                <w:lang w:eastAsia="zh-CN"/>
              </w:rPr>
            </w:pPr>
            <w:r>
              <w:rPr>
                <w:rFonts w:hint="default" w:ascii="Calibri" w:hAnsi="Calibri" w:eastAsia="宋体" w:cs="Calibri"/>
                <w:i w:val="0"/>
                <w:iCs w:val="0"/>
                <w:color w:val="000000"/>
                <w:kern w:val="0"/>
                <w:sz w:val="22"/>
                <w:szCs w:val="22"/>
                <w:u w:val="none"/>
                <w:lang w:val="en-US" w:eastAsia="zh-CN" w:bidi="ar"/>
              </w:rPr>
              <w:t>生活补助</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4.36</w:t>
            </w:r>
          </w:p>
        </w:tc>
        <w:tc>
          <w:tcPr>
            <w:tcW w:w="2551" w:type="dxa"/>
            <w:vAlign w:val="top"/>
          </w:tcPr>
          <w:p>
            <w:pPr>
              <w:keepNext w:val="0"/>
              <w:keepLines w:val="0"/>
              <w:widowControl/>
              <w:suppressLineNumbers w:val="0"/>
              <w:jc w:val="right"/>
              <w:textAlignment w:val="top"/>
              <w:rPr>
                <w:rFonts w:ascii="方正书宋_GBK" w:hAnsi="宋体" w:eastAsia="方正书宋_GBK" w:cs="宋体"/>
                <w:sz w:val="21"/>
                <w:szCs w:val="21"/>
              </w:rPr>
            </w:pPr>
            <w:r>
              <w:rPr>
                <w:rFonts w:hint="default" w:ascii="Calibri" w:hAnsi="Calibri" w:eastAsia="宋体" w:cs="Calibri"/>
                <w:i w:val="0"/>
                <w:iCs w:val="0"/>
                <w:color w:val="000000"/>
                <w:kern w:val="0"/>
                <w:sz w:val="22"/>
                <w:szCs w:val="22"/>
                <w:u w:val="none"/>
                <w:lang w:val="en-US" w:eastAsia="zh-CN" w:bidi="ar"/>
              </w:rPr>
              <w:t>4.36</w:t>
            </w:r>
          </w:p>
        </w:tc>
        <w:tc>
          <w:tcPr>
            <w:tcW w:w="2552" w:type="dxa"/>
            <w:vAlign w:val="top"/>
          </w:tcPr>
          <w:p>
            <w:pPr>
              <w:jc w:val="right"/>
              <w:rPr>
                <w:rFonts w:ascii="方正书宋_GBK" w:hAnsi="宋体" w:eastAsia="方正书宋_GBK" w:cs="宋体"/>
                <w:sz w:val="21"/>
                <w:szCs w:val="21"/>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802涞水县涞水镇人民政府</w:t>
            </w:r>
          </w:p>
        </w:tc>
        <w:tc>
          <w:tcPr>
            <w:tcW w:w="2551" w:type="dxa"/>
            <w:tcBorders>
              <w:top w:val="single" w:color="FFFFFF" w:sz="6" w:space="0"/>
              <w:left w:val="single" w:color="FFFFFF" w:sz="6" w:space="0"/>
              <w:right w:val="single" w:color="FFFFFF" w:sz="6" w:space="0"/>
            </w:tcBorders>
            <w:vAlign w:val="center"/>
          </w:tcPr>
          <w:p>
            <w:pPr>
              <w:pStyle w:val="13"/>
              <w:rPr>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802涞水县涞水镇人民政府</w:t>
            </w:r>
          </w:p>
        </w:tc>
        <w:tc>
          <w:tcPr>
            <w:tcW w:w="2551" w:type="dxa"/>
            <w:tcBorders>
              <w:top w:val="single" w:color="FFFFFF" w:sz="6" w:space="0"/>
              <w:left w:val="single" w:color="FFFFFF" w:sz="6" w:space="0"/>
              <w:right w:val="single" w:color="FFFFFF" w:sz="6" w:space="0"/>
            </w:tcBorders>
            <w:vAlign w:val="center"/>
          </w:tcPr>
          <w:p>
            <w:pPr>
              <w:pStyle w:val="13"/>
              <w:rPr>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802涞水县涞水镇人民政府</w:t>
            </w:r>
          </w:p>
        </w:tc>
        <w:tc>
          <w:tcPr>
            <w:tcW w:w="2381" w:type="dxa"/>
            <w:tcBorders>
              <w:top w:val="single" w:color="FFFFFF" w:sz="6" w:space="0"/>
              <w:left w:val="single" w:color="FFFFFF" w:sz="6" w:space="0"/>
              <w:right w:val="single" w:color="FFFFFF" w:sz="6" w:space="0"/>
            </w:tcBorders>
            <w:vAlign w:val="center"/>
          </w:tcPr>
          <w:p>
            <w:pPr>
              <w:pStyle w:val="13"/>
              <w:rPr>
                <w:lang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rPr>
                <w:rFonts w:hint="default"/>
                <w:lang w:val="en-US" w:eastAsia="zh-CN"/>
              </w:rPr>
            </w:pPr>
            <w:r>
              <w:rPr>
                <w:rFonts w:hint="eastAsia"/>
                <w:lang w:val="en-US" w:eastAsia="zh-CN"/>
              </w:rPr>
              <w:t>3.50</w:t>
            </w:r>
          </w:p>
        </w:tc>
        <w:tc>
          <w:tcPr>
            <w:tcW w:w="2381" w:type="dxa"/>
            <w:vAlign w:val="center"/>
          </w:tcPr>
          <w:p>
            <w:pPr>
              <w:pStyle w:val="20"/>
              <w:rPr>
                <w:lang w:eastAsia="zh-CN"/>
              </w:rPr>
            </w:pPr>
            <w:r>
              <w:rPr>
                <w:rFonts w:hint="eastAsia"/>
                <w:lang w:val="en-US" w:eastAsia="zh-CN"/>
              </w:rPr>
              <w:t>3.5</w:t>
            </w:r>
            <w:r>
              <w:rPr>
                <w:rFonts w:hint="eastAsia"/>
                <w:lang w:eastAsia="zh-CN"/>
              </w:rPr>
              <w:t>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pStyle w:val="16"/>
              <w:rPr>
                <w:rFonts w:hint="default"/>
                <w:lang w:val="en-US" w:eastAsia="zh-CN"/>
              </w:rPr>
            </w:pPr>
            <w:r>
              <w:rPr>
                <w:rFonts w:hint="eastAsia"/>
                <w:lang w:val="en-US" w:eastAsia="zh-CN"/>
              </w:rPr>
              <w:t>3.50</w:t>
            </w:r>
          </w:p>
        </w:tc>
        <w:tc>
          <w:tcPr>
            <w:tcW w:w="2381" w:type="dxa"/>
            <w:vAlign w:val="center"/>
          </w:tcPr>
          <w:p>
            <w:pPr>
              <w:pStyle w:val="16"/>
              <w:rPr>
                <w:lang w:eastAsia="zh-CN"/>
              </w:rPr>
            </w:pPr>
            <w:r>
              <w:rPr>
                <w:rFonts w:hint="eastAsia"/>
                <w:lang w:val="en-US" w:eastAsia="zh-CN"/>
              </w:rPr>
              <w:t>3.5</w:t>
            </w:r>
            <w:r>
              <w:rPr>
                <w:rFonts w:hint="eastAsia"/>
                <w:lang w:eastAsia="zh-CN"/>
              </w:rPr>
              <w:t>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rPr>
                <w:lang w:eastAsia="zh-CN"/>
              </w:rPr>
            </w:pPr>
            <w:r>
              <w:rPr>
                <w:rFonts w:hint="eastAsia"/>
                <w:lang w:eastAsia="zh-CN"/>
              </w:rPr>
              <w:t>3.50</w:t>
            </w:r>
          </w:p>
        </w:tc>
        <w:tc>
          <w:tcPr>
            <w:tcW w:w="2381" w:type="dxa"/>
            <w:vAlign w:val="center"/>
          </w:tcPr>
          <w:p>
            <w:pPr>
              <w:pStyle w:val="16"/>
              <w:rPr>
                <w:lang w:eastAsia="zh-CN"/>
              </w:rPr>
            </w:pPr>
            <w:r>
              <w:rPr>
                <w:rFonts w:hint="eastAsia"/>
                <w:lang w:eastAsia="zh-CN"/>
              </w:rPr>
              <w:t>3.50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rPr>
                <w:lang w:eastAsia="zh-CN"/>
              </w:rPr>
            </w:pPr>
            <w:r>
              <w:rPr>
                <w:rFonts w:hint="eastAsia"/>
                <w:lang w:eastAsia="zh-CN"/>
              </w:rPr>
              <w:t>3.50</w:t>
            </w:r>
          </w:p>
        </w:tc>
        <w:tc>
          <w:tcPr>
            <w:tcW w:w="2381" w:type="dxa"/>
            <w:vAlign w:val="center"/>
          </w:tcPr>
          <w:p>
            <w:pPr>
              <w:pStyle w:val="16"/>
            </w:pPr>
            <w:r>
              <w:rPr>
                <w:rFonts w:hint="eastAsia"/>
                <w:lang w:eastAsia="zh-CN"/>
              </w:rPr>
              <w:t>3.50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rPr>
                <w:lang w:eastAsia="zh-CN"/>
              </w:rPr>
            </w:pPr>
          </w:p>
        </w:tc>
        <w:tc>
          <w:tcPr>
            <w:tcW w:w="2381" w:type="dxa"/>
            <w:vAlign w:val="center"/>
          </w:tcPr>
          <w:p>
            <w:pPr>
              <w:pStyle w:val="16"/>
              <w:rPr>
                <w:lang w:eastAsia="zh-CN"/>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pPr>
        <w:jc w:val="center"/>
      </w:pPr>
      <w:r>
        <w:rPr>
          <w:rFonts w:hint="eastAsia" w:ascii="方正小标宋_GBK" w:hAnsi="方正小标宋_GBK" w:eastAsia="方正小标宋_GBK" w:cs="方正小标宋_GBK"/>
          <w:color w:val="000000"/>
          <w:sz w:val="44"/>
          <w:lang w:eastAsia="zh-CN"/>
        </w:rPr>
        <w:t>涞水县涞水镇人民政府</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涞水县涞水镇人民政府</w:t>
      </w: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年部门预算公开如下：</w:t>
      </w:r>
    </w:p>
    <w:p>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pPr>
        <w:ind w:firstLine="640"/>
      </w:pPr>
      <w:r>
        <w:rPr>
          <w:rFonts w:ascii="方正楷体_GBK" w:hAnsi="方正楷体_GBK" w:eastAsia="方正楷体_GBK" w:cs="方正楷体_GBK"/>
          <w:b/>
          <w:color w:val="000000"/>
          <w:sz w:val="32"/>
        </w:rPr>
        <w:t>部门职责：</w:t>
      </w:r>
    </w:p>
    <w:p>
      <w:pPr>
        <w:pStyle w:val="22"/>
      </w:pPr>
      <w:r>
        <w:rPr>
          <w:rFonts w:hint="eastAsia"/>
          <w:lang w:eastAsia="zh-CN"/>
        </w:rPr>
        <w:t>涞水县涞水镇人民政府</w:t>
      </w:r>
      <w:r>
        <w:t>部门职责</w:t>
      </w:r>
    </w:p>
    <w:p>
      <w:pPr>
        <w:pStyle w:val="22"/>
        <w:rPr>
          <w:lang w:eastAsia="zh-CN"/>
        </w:rPr>
      </w:pPr>
      <w:r>
        <w:rPr>
          <w:rFonts w:hint="eastAsia"/>
          <w:lang w:eastAsia="zh-CN"/>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2"/>
        <w:rPr>
          <w:lang w:eastAsia="zh-CN"/>
        </w:rPr>
      </w:pPr>
      <w:r>
        <w:rPr>
          <w:rFonts w:hint="eastAsia"/>
          <w:lang w:eastAsia="zh-CN"/>
        </w:rPr>
        <w:t>（二）加强党对基层治理的全面领导，统筹抓好基层党建工作和基层党组织建设各项制度。推进全面从严治党，强化“两个责任”， 确保党的路线方针政策在基层得到全面贯彻落实。</w:t>
      </w:r>
    </w:p>
    <w:p>
      <w:pPr>
        <w:pStyle w:val="22"/>
        <w:rPr>
          <w:lang w:eastAsia="zh-CN"/>
        </w:rPr>
      </w:pPr>
      <w:r>
        <w:rPr>
          <w:rFonts w:hint="eastAsia"/>
          <w:lang w:eastAsia="zh-CN"/>
        </w:rPr>
        <w:t>（三）讨论和决定本镇经济建设、政治建设、文化建设、社会建设、生态文明建设和党的建设以及乡村振兴中的重大问题。</w:t>
      </w:r>
    </w:p>
    <w:p>
      <w:pPr>
        <w:pStyle w:val="22"/>
        <w:rPr>
          <w:lang w:eastAsia="zh-CN"/>
        </w:rPr>
      </w:pPr>
      <w:r>
        <w:rPr>
          <w:rFonts w:hint="eastAsia"/>
          <w:lang w:eastAsia="zh-CN"/>
        </w:rPr>
        <w:t>（四）组织召开本级人民代表大会，充分行使重大事项决定权、监督权和任免权，做好人大代表工作，联系选民、反映群众意见和要求。</w:t>
      </w:r>
    </w:p>
    <w:p>
      <w:pPr>
        <w:pStyle w:val="22"/>
        <w:rPr>
          <w:lang w:eastAsia="zh-CN"/>
        </w:rPr>
      </w:pPr>
      <w:r>
        <w:rPr>
          <w:rFonts w:hint="eastAsia"/>
          <w:lang w:eastAsia="zh-CN"/>
        </w:rPr>
        <w:t>（五）组织实施与群众生活密切相关的各项公共服务，落实基层“最多跑一次”改革工作，拓宽服务渠道，改进服务方式，建立健全群众办事一次办结机制，推进镇便民服务平台标准化建设，实行“一站式服务”“一枚印章管审批（服务）”， 提升群众获得感和幸福感。</w:t>
      </w:r>
    </w:p>
    <w:p>
      <w:pPr>
        <w:pStyle w:val="22"/>
        <w:rPr>
          <w:lang w:eastAsia="zh-CN"/>
        </w:rPr>
      </w:pPr>
      <w:r>
        <w:rPr>
          <w:rFonts w:hint="eastAsia"/>
          <w:lang w:eastAsia="zh-CN"/>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2"/>
        <w:rPr>
          <w:lang w:eastAsia="zh-CN"/>
        </w:rPr>
      </w:pPr>
      <w:r>
        <w:rPr>
          <w:rFonts w:hint="eastAsia"/>
          <w:lang w:eastAsia="zh-CN"/>
        </w:rPr>
        <w:t>（七）镇党委领导镇政权机关、群团组织和其他各类组织，</w:t>
      </w:r>
    </w:p>
    <w:p>
      <w:pPr>
        <w:pStyle w:val="22"/>
        <w:rPr>
          <w:lang w:eastAsia="zh-CN"/>
        </w:rPr>
      </w:pPr>
      <w:r>
        <w:rPr>
          <w:rFonts w:hint="eastAsia"/>
          <w:lang w:eastAsia="zh-CN"/>
        </w:rPr>
        <w:t>加强指导和规范，支持和保证这些机关和组织依照国家法律法规以及各自章程履行职责。坚持党管武装的根本原则和制度，协调各方力量，对镇人民武装工作实行统一领导。</w:t>
      </w:r>
    </w:p>
    <w:p>
      <w:pPr>
        <w:pStyle w:val="22"/>
        <w:rPr>
          <w:lang w:eastAsia="zh-CN"/>
        </w:rPr>
      </w:pPr>
      <w:r>
        <w:rPr>
          <w:rFonts w:hint="eastAsia"/>
          <w:lang w:eastAsia="zh-CN"/>
        </w:rPr>
        <w:t>（八）加强镇党委自身建设和村党组织建设，以及其他隶属镇党委的党组织建设，抓好发展党员工作，加强党员队伍建设。维护和执行党的纪律，监督党员干部和其他任何工作人员严格遵守国家法律法规。</w:t>
      </w:r>
    </w:p>
    <w:p>
      <w:pPr>
        <w:pStyle w:val="22"/>
        <w:rPr>
          <w:lang w:eastAsia="zh-CN"/>
        </w:rPr>
      </w:pPr>
      <w:r>
        <w:rPr>
          <w:rFonts w:hint="eastAsia"/>
          <w:lang w:eastAsia="zh-CN"/>
        </w:rPr>
        <w:t>（九）按照干部管理权限，负责对干部的教育、培训、选拔、考核和监督工作。协助管理上级有关部门驻本镇的干部。做好人才服务工作。</w:t>
      </w:r>
    </w:p>
    <w:p>
      <w:pPr>
        <w:pStyle w:val="22"/>
        <w:rPr>
          <w:lang w:eastAsia="zh-CN"/>
        </w:rPr>
      </w:pPr>
      <w:r>
        <w:rPr>
          <w:rFonts w:hint="eastAsia"/>
          <w:lang w:eastAsia="zh-CN"/>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2"/>
        <w:rPr>
          <w:lang w:eastAsia="zh-CN"/>
        </w:rPr>
      </w:pPr>
      <w:r>
        <w:rPr>
          <w:rFonts w:hint="eastAsia"/>
          <w:lang w:eastAsia="zh-CN"/>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2"/>
      </w:pPr>
      <w:r>
        <w:rPr>
          <w:rFonts w:hint="eastAsia"/>
          <w:lang w:eastAsia="zh-CN"/>
        </w:rPr>
        <w:t>（十二）承办上级党委、人大、政府交办的其他事项。</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涞水县涞水镇人民政府</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涞水县涞水镇人民政府本级</w:t>
            </w:r>
          </w:p>
        </w:tc>
        <w:tc>
          <w:tcPr>
            <w:tcW w:w="1843" w:type="dxa"/>
            <w:vAlign w:val="center"/>
          </w:tcPr>
          <w:p>
            <w:pPr>
              <w:pStyle w:val="18"/>
              <w:rPr>
                <w:lang w:eastAsia="zh-CN"/>
              </w:rPr>
            </w:pPr>
            <w:r>
              <w:rPr>
                <w:rFonts w:hint="eastAsia"/>
                <w:lang w:eastAsia="zh-CN"/>
              </w:rP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9"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9"/>
    </w:p>
    <w:p>
      <w:pPr>
        <w:spacing w:line="500" w:lineRule="exact"/>
        <w:ind w:firstLine="560"/>
        <w:rPr>
          <w:rFonts w:eastAsia="方正仿宋_GBK"/>
          <w:color w:val="000000"/>
          <w:sz w:val="28"/>
          <w:lang w:val="uk-UA" w:eastAsia="zh-CN"/>
        </w:rPr>
      </w:pPr>
      <w:r>
        <w:rPr>
          <w:rFonts w:hint="eastAsia" w:eastAsia="方正仿宋_GBK"/>
          <w:color w:val="000000"/>
          <w:sz w:val="28"/>
          <w:lang w:val="uk-UA" w:eastAsia="zh-CN"/>
        </w:rPr>
        <w:t>1、收入情况</w:t>
      </w:r>
    </w:p>
    <w:p>
      <w:pPr>
        <w:spacing w:line="500" w:lineRule="exact"/>
        <w:ind w:firstLine="56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年我部门预算总收入</w:t>
      </w:r>
      <w:r>
        <w:rPr>
          <w:rFonts w:hint="eastAsia" w:eastAsia="方正仿宋_GBK"/>
          <w:color w:val="000000"/>
          <w:sz w:val="28"/>
          <w:lang w:val="en-US" w:eastAsia="zh-CN"/>
        </w:rPr>
        <w:t>860.85</w:t>
      </w:r>
      <w:r>
        <w:rPr>
          <w:rFonts w:hint="eastAsia" w:eastAsia="方正仿宋_GBK"/>
          <w:color w:val="000000"/>
          <w:sz w:val="28"/>
        </w:rPr>
        <w:t>万元。其中:一般公共预算拨款收入</w:t>
      </w:r>
      <w:r>
        <w:rPr>
          <w:rFonts w:hint="eastAsia" w:eastAsia="方正仿宋_GBK"/>
          <w:color w:val="000000"/>
          <w:sz w:val="28"/>
          <w:lang w:val="en-US" w:eastAsia="zh-CN"/>
        </w:rPr>
        <w:t>860.85</w:t>
      </w:r>
      <w:r>
        <w:rPr>
          <w:rFonts w:hint="eastAsia" w:eastAsia="方正仿宋_GBK"/>
          <w:color w:val="000000"/>
          <w:sz w:val="28"/>
        </w:rPr>
        <w:t>万元，政府性基金预算拨款收入0万元，国有资本经营预算收入0万元。</w:t>
      </w:r>
    </w:p>
    <w:p>
      <w:pPr>
        <w:spacing w:line="500" w:lineRule="exact"/>
        <w:ind w:firstLine="560"/>
        <w:rPr>
          <w:rFonts w:eastAsia="方正仿宋_GBK"/>
          <w:color w:val="000000"/>
          <w:sz w:val="28"/>
          <w:lang w:val="uk-UA" w:eastAsia="zh-CN"/>
        </w:rPr>
      </w:pPr>
      <w:r>
        <w:rPr>
          <w:rFonts w:hint="eastAsia" w:eastAsia="方正仿宋_GBK"/>
          <w:color w:val="000000"/>
          <w:sz w:val="28"/>
          <w:lang w:val="uk-UA" w:eastAsia="zh-CN"/>
        </w:rPr>
        <w:t>2、支出情况</w:t>
      </w:r>
    </w:p>
    <w:p>
      <w:pPr>
        <w:spacing w:line="500" w:lineRule="exact"/>
        <w:ind w:firstLine="56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年我部门年初预算拨款支出</w:t>
      </w:r>
      <w:r>
        <w:rPr>
          <w:rFonts w:hint="eastAsia" w:eastAsia="方正仿宋_GBK"/>
          <w:color w:val="000000"/>
          <w:sz w:val="28"/>
          <w:lang w:val="en-US" w:eastAsia="zh-CN"/>
        </w:rPr>
        <w:t>860.85</w:t>
      </w:r>
      <w:r>
        <w:rPr>
          <w:rFonts w:hint="eastAsia" w:eastAsia="方正仿宋_GBK"/>
          <w:color w:val="000000"/>
          <w:sz w:val="28"/>
        </w:rPr>
        <w:t>万元。其中：基本支出</w:t>
      </w:r>
      <w:r>
        <w:rPr>
          <w:rFonts w:hint="eastAsia" w:eastAsia="方正仿宋_GBK"/>
          <w:color w:val="000000"/>
          <w:sz w:val="28"/>
          <w:lang w:val="en-US" w:eastAsia="zh-CN"/>
        </w:rPr>
        <w:t>815.85</w:t>
      </w:r>
      <w:r>
        <w:rPr>
          <w:rFonts w:hint="eastAsia" w:eastAsia="方正仿宋_GBK"/>
          <w:color w:val="000000"/>
          <w:sz w:val="28"/>
        </w:rPr>
        <w:t>万元，包含:人员经费预算</w:t>
      </w:r>
      <w:r>
        <w:rPr>
          <w:rFonts w:hint="eastAsia" w:eastAsia="方正仿宋_GBK"/>
          <w:color w:val="000000"/>
          <w:sz w:val="28"/>
          <w:lang w:val="en-US" w:eastAsia="zh-CN"/>
        </w:rPr>
        <w:t>751.86</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公用经费</w:t>
      </w:r>
      <w:r>
        <w:rPr>
          <w:rFonts w:hint="eastAsia" w:eastAsia="方正仿宋_GBK"/>
          <w:color w:val="000000"/>
          <w:sz w:val="28"/>
          <w:lang w:val="en-US" w:eastAsia="zh-CN"/>
        </w:rPr>
        <w:t>63.99</w:t>
      </w:r>
      <w:r>
        <w:rPr>
          <w:rFonts w:hint="eastAsia" w:eastAsia="方正仿宋_GBK"/>
          <w:color w:val="000000"/>
          <w:sz w:val="28"/>
        </w:rPr>
        <w:t>万元；项目支出</w:t>
      </w:r>
      <w:r>
        <w:rPr>
          <w:rFonts w:hint="eastAsia" w:eastAsia="方正仿宋_GBK"/>
          <w:color w:val="000000"/>
          <w:sz w:val="28"/>
          <w:lang w:val="en-US" w:eastAsia="zh-CN"/>
        </w:rPr>
        <w:t>45</w:t>
      </w:r>
      <w:r>
        <w:rPr>
          <w:rFonts w:hint="eastAsia" w:eastAsia="方正仿宋_GBK"/>
          <w:color w:val="000000"/>
          <w:sz w:val="28"/>
        </w:rPr>
        <w:t>万元。</w:t>
      </w:r>
    </w:p>
    <w:p>
      <w:pPr>
        <w:spacing w:line="500" w:lineRule="exact"/>
        <w:ind w:firstLine="560"/>
        <w:rPr>
          <w:rFonts w:eastAsia="方正仿宋_GBK"/>
          <w:color w:val="000000"/>
          <w:sz w:val="28"/>
          <w:lang w:eastAsia="zh-CN"/>
        </w:rPr>
      </w:pPr>
      <w:r>
        <w:rPr>
          <w:rFonts w:hint="eastAsia" w:eastAsia="方正仿宋_GBK"/>
          <w:color w:val="000000"/>
          <w:sz w:val="28"/>
          <w:lang w:val="uk-UA" w:eastAsia="zh-CN"/>
        </w:rPr>
        <w:t>3、比上年增减情况</w:t>
      </w:r>
    </w:p>
    <w:p>
      <w:pPr>
        <w:spacing w:line="500" w:lineRule="exact"/>
        <w:ind w:firstLine="560"/>
      </w:pPr>
      <w:r>
        <w:rPr>
          <w:rFonts w:hint="eastAsia" w:eastAsia="方正仿宋_GBK"/>
          <w:color w:val="000000"/>
          <w:sz w:val="28"/>
          <w:lang w:eastAsia="zh-CN"/>
        </w:rPr>
        <w:t>本年度预算收支安排</w:t>
      </w:r>
      <w:r>
        <w:rPr>
          <w:rFonts w:hint="eastAsia" w:eastAsia="方正仿宋_GBK"/>
          <w:color w:val="000000"/>
          <w:sz w:val="28"/>
          <w:lang w:val="en-US" w:eastAsia="zh-CN"/>
        </w:rPr>
        <w:t>860.85</w:t>
      </w:r>
      <w:r>
        <w:rPr>
          <w:rFonts w:hint="eastAsia" w:eastAsia="方正仿宋_GBK"/>
          <w:color w:val="000000"/>
          <w:sz w:val="28"/>
          <w:lang w:eastAsia="zh-CN"/>
        </w:rPr>
        <w:t>万元，较上年增加</w:t>
      </w:r>
      <w:r>
        <w:rPr>
          <w:rFonts w:hint="eastAsia" w:eastAsia="方正仿宋_GBK"/>
          <w:color w:val="000000"/>
          <w:sz w:val="28"/>
          <w:lang w:val="en-US" w:eastAsia="zh-CN"/>
        </w:rPr>
        <w:t>97.08</w:t>
      </w:r>
      <w:r>
        <w:rPr>
          <w:rFonts w:hint="eastAsia" w:eastAsia="方正仿宋_GBK"/>
          <w:color w:val="000000"/>
          <w:sz w:val="28"/>
          <w:lang w:eastAsia="zh-CN"/>
        </w:rPr>
        <w:t>万元，</w:t>
      </w:r>
      <w:r>
        <w:rPr>
          <w:rFonts w:hint="eastAsia" w:eastAsia="方正仿宋_GBK"/>
          <w:color w:val="000000"/>
          <w:sz w:val="28"/>
          <w:lang w:val="en-US" w:eastAsia="zh-CN"/>
        </w:rPr>
        <w:t>其中基本</w:t>
      </w:r>
      <w:r>
        <w:rPr>
          <w:rFonts w:hint="eastAsia" w:eastAsia="方正仿宋_GBK"/>
          <w:color w:val="000000"/>
          <w:sz w:val="28"/>
          <w:lang w:eastAsia="zh-CN"/>
        </w:rPr>
        <w:t>支出</w:t>
      </w:r>
      <w:r>
        <w:rPr>
          <w:rFonts w:hint="eastAsia" w:eastAsia="方正仿宋_GBK"/>
          <w:color w:val="000000"/>
          <w:sz w:val="28"/>
          <w:lang w:val="en-US" w:eastAsia="zh-CN"/>
        </w:rPr>
        <w:t>较上年增加87.08万元，</w:t>
      </w:r>
      <w:r>
        <w:rPr>
          <w:rFonts w:hint="eastAsia" w:eastAsia="方正仿宋_GBK"/>
          <w:color w:val="000000"/>
          <w:sz w:val="28"/>
          <w:lang w:eastAsia="zh-CN"/>
        </w:rPr>
        <w:t>主要原因是</w:t>
      </w:r>
      <w:r>
        <w:rPr>
          <w:rFonts w:hint="eastAsia" w:eastAsia="方正仿宋_GBK"/>
          <w:color w:val="000000"/>
          <w:sz w:val="28"/>
          <w:lang w:val="en-US" w:eastAsia="zh-CN"/>
        </w:rPr>
        <w:t>人员增加，工资保险提高，支出增加</w:t>
      </w:r>
      <w:r>
        <w:rPr>
          <w:rFonts w:hint="eastAsia" w:eastAsia="方正仿宋_GBK"/>
          <w:color w:val="000000"/>
          <w:sz w:val="28"/>
          <w:lang w:eastAsia="zh-CN"/>
        </w:rPr>
        <w:t>；项目支出增加</w:t>
      </w:r>
      <w:r>
        <w:rPr>
          <w:rFonts w:hint="eastAsia" w:eastAsia="方正仿宋_GBK"/>
          <w:color w:val="000000"/>
          <w:sz w:val="28"/>
          <w:lang w:val="en-US" w:eastAsia="zh-CN"/>
        </w:rPr>
        <w:t>10万元</w:t>
      </w:r>
      <w:r>
        <w:rPr>
          <w:rFonts w:hint="eastAsia" w:eastAsia="方正仿宋_GBK"/>
          <w:color w:val="000000"/>
          <w:sz w:val="28"/>
          <w:lang w:eastAsia="zh-CN"/>
        </w:rPr>
        <w:t>，</w:t>
      </w:r>
      <w:r>
        <w:rPr>
          <w:rFonts w:hint="eastAsia" w:eastAsia="方正仿宋_GBK"/>
          <w:color w:val="000000"/>
          <w:sz w:val="28"/>
          <w:lang w:val="en-US" w:eastAsia="zh-CN"/>
        </w:rPr>
        <w:t>原因是</w:t>
      </w:r>
      <w:r>
        <w:rPr>
          <w:rFonts w:hint="eastAsia" w:eastAsia="方正仿宋_GBK"/>
          <w:color w:val="000000"/>
          <w:sz w:val="28"/>
          <w:lang w:eastAsia="zh-CN"/>
        </w:rPr>
        <w:t>中</w:t>
      </w:r>
      <w:r>
        <w:rPr>
          <w:rFonts w:hint="eastAsia" w:eastAsia="方正仿宋_GBK"/>
          <w:color w:val="000000"/>
          <w:sz w:val="28"/>
          <w:lang w:val="en-US" w:eastAsia="zh-CN"/>
        </w:rPr>
        <w:t>乡镇行政执法经费项目增加了10万元</w:t>
      </w:r>
      <w:r>
        <w:rPr>
          <w:rFonts w:hint="eastAsia" w:eastAsia="方正仿宋_GBK"/>
          <w:color w:val="000000"/>
          <w:sz w:val="28"/>
          <w:lang w:eastAsia="zh-CN"/>
        </w:rPr>
        <w:t>。</w:t>
      </w:r>
    </w:p>
    <w:p>
      <w:pPr>
        <w:spacing w:before="10" w:after="10" w:line="360" w:lineRule="auto"/>
        <w:ind w:firstLine="640"/>
        <w:outlineLvl w:val="2"/>
        <w:rPr>
          <w:rFonts w:ascii="黑体" w:hAnsi="黑体" w:eastAsia="黑体" w:cs="黑体"/>
          <w:color w:val="000000"/>
          <w:sz w:val="32"/>
        </w:rPr>
      </w:pPr>
      <w:bookmarkStart w:id="10" w:name="_Toc_3_3_0000000012"/>
    </w:p>
    <w:p>
      <w:pPr>
        <w:spacing w:before="10" w:after="10" w:line="360" w:lineRule="auto"/>
        <w:ind w:firstLine="640"/>
        <w:outlineLvl w:val="2"/>
      </w:pPr>
      <w:r>
        <w:rPr>
          <w:rFonts w:ascii="黑体" w:hAnsi="黑体" w:eastAsia="黑体" w:cs="黑体"/>
          <w:color w:val="000000"/>
          <w:sz w:val="32"/>
        </w:rPr>
        <w:t>三、机关运行经费安排情况</w:t>
      </w:r>
      <w:bookmarkEnd w:id="10"/>
    </w:p>
    <w:p>
      <w:pPr>
        <w:spacing w:line="500" w:lineRule="exact"/>
        <w:ind w:firstLine="56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涞水县涞水镇人民政府</w:t>
      </w:r>
      <w:r>
        <w:rPr>
          <w:rFonts w:hint="eastAsia" w:eastAsia="方正仿宋_GBK"/>
          <w:color w:val="000000"/>
          <w:sz w:val="28"/>
        </w:rPr>
        <w:t>部门预算安排机关运行经费支出</w:t>
      </w:r>
      <w:r>
        <w:rPr>
          <w:rFonts w:hint="eastAsia" w:eastAsia="方正仿宋_GBK"/>
          <w:color w:val="000000"/>
          <w:sz w:val="28"/>
          <w:lang w:val="en-US" w:eastAsia="zh-CN"/>
        </w:rPr>
        <w:t>63.99</w:t>
      </w:r>
      <w:r>
        <w:rPr>
          <w:rFonts w:hint="eastAsia" w:eastAsia="方正仿宋_GBK"/>
          <w:color w:val="000000"/>
          <w:sz w:val="28"/>
        </w:rPr>
        <w:t>万元，其中包括办公费</w:t>
      </w:r>
      <w:r>
        <w:rPr>
          <w:rFonts w:hint="eastAsia" w:eastAsia="方正仿宋_GBK"/>
          <w:color w:val="000000"/>
          <w:sz w:val="28"/>
          <w:lang w:val="en-US" w:eastAsia="zh-CN"/>
        </w:rPr>
        <w:t>15.05</w:t>
      </w:r>
      <w:r>
        <w:rPr>
          <w:rFonts w:hint="eastAsia" w:eastAsia="方正仿宋_GBK"/>
          <w:color w:val="000000"/>
          <w:sz w:val="28"/>
        </w:rPr>
        <w:t>万元、邮电费</w:t>
      </w:r>
      <w:r>
        <w:rPr>
          <w:rFonts w:hint="eastAsia" w:eastAsia="方正仿宋_GBK"/>
          <w:color w:val="000000"/>
          <w:sz w:val="28"/>
          <w:lang w:eastAsia="zh-CN"/>
        </w:rPr>
        <w:t>0.36</w:t>
      </w:r>
      <w:r>
        <w:rPr>
          <w:rFonts w:hint="eastAsia" w:eastAsia="方正仿宋_GBK"/>
          <w:color w:val="000000"/>
          <w:sz w:val="28"/>
        </w:rPr>
        <w:t>万元、</w:t>
      </w:r>
      <w:r>
        <w:rPr>
          <w:rFonts w:hint="eastAsia" w:eastAsia="方正仿宋_GBK"/>
          <w:color w:val="000000"/>
          <w:sz w:val="28"/>
          <w:lang w:eastAsia="zh-CN"/>
        </w:rPr>
        <w:t>取暖费5万元、差旅费</w:t>
      </w:r>
      <w:r>
        <w:rPr>
          <w:rFonts w:hint="eastAsia" w:eastAsia="方正仿宋_GBK"/>
          <w:color w:val="000000"/>
          <w:sz w:val="28"/>
          <w:lang w:val="en-US" w:eastAsia="zh-CN"/>
        </w:rPr>
        <w:t>1.5</w:t>
      </w:r>
      <w:r>
        <w:rPr>
          <w:rFonts w:hint="eastAsia" w:eastAsia="方正仿宋_GBK"/>
          <w:color w:val="000000"/>
          <w:sz w:val="28"/>
          <w:lang w:eastAsia="zh-CN"/>
        </w:rPr>
        <w:t>万元、劳务费</w:t>
      </w:r>
      <w:r>
        <w:rPr>
          <w:rFonts w:hint="eastAsia" w:eastAsia="方正仿宋_GBK"/>
          <w:color w:val="000000"/>
          <w:sz w:val="28"/>
          <w:lang w:val="en-US" w:eastAsia="zh-CN"/>
        </w:rPr>
        <w:t>3.49</w:t>
      </w:r>
      <w:r>
        <w:rPr>
          <w:rFonts w:hint="eastAsia" w:eastAsia="方正仿宋_GBK"/>
          <w:color w:val="000000"/>
          <w:sz w:val="28"/>
          <w:lang w:eastAsia="zh-CN"/>
        </w:rPr>
        <w:t>万元、</w:t>
      </w:r>
      <w:r>
        <w:rPr>
          <w:rFonts w:hint="eastAsia" w:eastAsia="方正仿宋_GBK"/>
          <w:color w:val="000000"/>
          <w:sz w:val="28"/>
        </w:rPr>
        <w:t>工会经费</w:t>
      </w:r>
      <w:r>
        <w:rPr>
          <w:rFonts w:hint="eastAsia" w:eastAsia="方正仿宋_GBK"/>
          <w:color w:val="000000"/>
          <w:sz w:val="28"/>
          <w:lang w:val="en-US" w:eastAsia="zh-CN"/>
        </w:rPr>
        <w:t>6.47</w:t>
      </w:r>
      <w:r>
        <w:rPr>
          <w:rFonts w:hint="eastAsia" w:eastAsia="方正仿宋_GBK"/>
          <w:color w:val="000000"/>
          <w:sz w:val="28"/>
        </w:rPr>
        <w:t>万元、在职人员及退休人员福利费</w:t>
      </w:r>
      <w:r>
        <w:rPr>
          <w:rFonts w:hint="eastAsia" w:eastAsia="方正仿宋_GBK"/>
          <w:color w:val="000000"/>
          <w:sz w:val="28"/>
          <w:lang w:val="en-US" w:eastAsia="zh-CN"/>
        </w:rPr>
        <w:t>9.54</w:t>
      </w:r>
      <w:r>
        <w:rPr>
          <w:rFonts w:hint="eastAsia" w:eastAsia="方正仿宋_GBK"/>
          <w:color w:val="000000"/>
          <w:sz w:val="28"/>
        </w:rPr>
        <w:t>万元</w:t>
      </w:r>
      <w:r>
        <w:rPr>
          <w:rFonts w:hint="eastAsia" w:eastAsia="方正仿宋_GBK"/>
          <w:color w:val="000000"/>
          <w:sz w:val="28"/>
          <w:lang w:eastAsia="zh-CN"/>
        </w:rPr>
        <w:t>、公务车运行维护费3.5万元、公务交通补贴</w:t>
      </w:r>
      <w:r>
        <w:rPr>
          <w:rFonts w:hint="eastAsia" w:eastAsia="方正仿宋_GBK"/>
          <w:color w:val="000000"/>
          <w:sz w:val="28"/>
          <w:lang w:val="en-US" w:eastAsia="zh-CN"/>
        </w:rPr>
        <w:t>18.12</w:t>
      </w:r>
      <w:r>
        <w:rPr>
          <w:rFonts w:hint="eastAsia" w:eastAsia="方正仿宋_GBK"/>
          <w:color w:val="000000"/>
          <w:sz w:val="28"/>
          <w:lang w:eastAsia="zh-CN"/>
        </w:rPr>
        <w:t>万元、退休人员公用经费0.96万元</w:t>
      </w:r>
      <w:r>
        <w:rPr>
          <w:rFonts w:hint="eastAsia" w:eastAsia="方正仿宋_GBK"/>
          <w:color w:val="000000"/>
          <w:sz w:val="28"/>
        </w:rPr>
        <w:t>。</w:t>
      </w:r>
    </w:p>
    <w:p>
      <w:pPr>
        <w:pStyle w:val="24"/>
        <w:ind w:firstLine="0"/>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财政拨款“三公”经费预算情况及增减变化原因</w:t>
      </w:r>
      <w:bookmarkEnd w:id="11"/>
    </w:p>
    <w:p>
      <w:pPr>
        <w:spacing w:line="500" w:lineRule="exact"/>
        <w:ind w:firstLine="560"/>
        <w:rPr>
          <w:rFonts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w:t>
      </w:r>
      <w:r>
        <w:rPr>
          <w:rFonts w:hint="eastAsia" w:eastAsia="方正仿宋_GBK"/>
          <w:sz w:val="28"/>
          <w:lang w:eastAsia="zh-CN"/>
        </w:rPr>
        <w:t>涞水县涞水镇人民政府部门</w:t>
      </w:r>
      <w:r>
        <w:rPr>
          <w:rFonts w:hint="eastAsia" w:eastAsia="方正仿宋_GBK"/>
          <w:sz w:val="28"/>
        </w:rPr>
        <w:t>安排“三公经费”预算</w:t>
      </w:r>
      <w:r>
        <w:rPr>
          <w:rFonts w:hint="eastAsia" w:eastAsia="方正仿宋_GBK"/>
          <w:sz w:val="28"/>
          <w:lang w:val="en-US" w:eastAsia="zh-CN"/>
        </w:rPr>
        <w:t>3.5</w:t>
      </w:r>
      <w:r>
        <w:rPr>
          <w:rFonts w:hint="eastAsia" w:eastAsia="方正仿宋_GBK"/>
          <w:sz w:val="28"/>
        </w:rPr>
        <w:t>万元，与202</w:t>
      </w:r>
      <w:r>
        <w:rPr>
          <w:rFonts w:hint="eastAsia" w:eastAsia="方正仿宋_GBK"/>
          <w:sz w:val="28"/>
          <w:lang w:val="en-US" w:eastAsia="zh-CN"/>
        </w:rPr>
        <w:t>3</w:t>
      </w:r>
      <w:r>
        <w:rPr>
          <w:rFonts w:hint="eastAsia" w:eastAsia="方正仿宋_GBK"/>
          <w:sz w:val="28"/>
        </w:rPr>
        <w:t>年相比</w:t>
      </w:r>
      <w:r>
        <w:rPr>
          <w:rFonts w:hint="eastAsia" w:eastAsia="方正仿宋_GBK"/>
          <w:sz w:val="28"/>
          <w:lang w:val="en-US" w:eastAsia="zh-CN"/>
        </w:rPr>
        <w:t>减少0.5</w:t>
      </w:r>
      <w:r>
        <w:rPr>
          <w:rFonts w:hint="eastAsia" w:eastAsia="方正仿宋_GBK"/>
          <w:sz w:val="28"/>
        </w:rPr>
        <w:t>万元。其中，公务用车运行维护费3.5万元，与202</w:t>
      </w:r>
      <w:r>
        <w:rPr>
          <w:rFonts w:hint="eastAsia" w:eastAsia="方正仿宋_GBK"/>
          <w:sz w:val="28"/>
          <w:lang w:val="en-US" w:eastAsia="zh-CN"/>
        </w:rPr>
        <w:t>3</w:t>
      </w:r>
      <w:r>
        <w:rPr>
          <w:rFonts w:hint="eastAsia" w:eastAsia="方正仿宋_GBK"/>
          <w:sz w:val="28"/>
        </w:rPr>
        <w:t>年相比预算</w:t>
      </w:r>
      <w:r>
        <w:rPr>
          <w:rFonts w:hint="eastAsia" w:eastAsia="方正仿宋_GBK"/>
          <w:sz w:val="28"/>
          <w:lang w:val="en-US" w:eastAsia="zh-CN"/>
        </w:rPr>
        <w:t>持平</w:t>
      </w:r>
      <w:r>
        <w:rPr>
          <w:rFonts w:hint="eastAsia" w:eastAsia="方正仿宋_GBK"/>
          <w:sz w:val="28"/>
        </w:rPr>
        <w:t>；公务接待费</w:t>
      </w:r>
      <w:r>
        <w:rPr>
          <w:rFonts w:hint="eastAsia" w:eastAsia="方正仿宋_GBK"/>
          <w:sz w:val="28"/>
          <w:lang w:val="en-US" w:eastAsia="zh-CN"/>
        </w:rPr>
        <w:t>0</w:t>
      </w:r>
      <w:r>
        <w:rPr>
          <w:rFonts w:hint="eastAsia" w:eastAsia="方正仿宋_GBK"/>
          <w:sz w:val="28"/>
        </w:rPr>
        <w:t>万元（</w:t>
      </w:r>
      <w:r>
        <w:rPr>
          <w:rFonts w:hint="eastAsia" w:eastAsia="方正仿宋_GBK"/>
          <w:sz w:val="28"/>
          <w:lang w:val="en-US" w:eastAsia="zh-CN"/>
        </w:rPr>
        <w:t>0</w:t>
      </w:r>
      <w:r>
        <w:rPr>
          <w:rFonts w:hint="eastAsia" w:eastAsia="方正仿宋_GBK"/>
          <w:sz w:val="28"/>
        </w:rPr>
        <w:t>批次，</w:t>
      </w:r>
      <w:r>
        <w:rPr>
          <w:rFonts w:hint="eastAsia" w:eastAsia="方正仿宋_GBK"/>
          <w:sz w:val="28"/>
          <w:lang w:val="en-US" w:eastAsia="zh-CN"/>
        </w:rPr>
        <w:t>0</w:t>
      </w:r>
      <w:r>
        <w:rPr>
          <w:rFonts w:hint="eastAsia" w:eastAsia="方正仿宋_GBK"/>
          <w:sz w:val="28"/>
        </w:rPr>
        <w:t>人），</w:t>
      </w:r>
      <w:r>
        <w:rPr>
          <w:rFonts w:hint="eastAsia" w:eastAsia="方正仿宋_GBK"/>
          <w:sz w:val="28"/>
          <w:lang w:val="en-US" w:eastAsia="zh-CN"/>
        </w:rPr>
        <w:t>比2023年预算减少0.5万元，严格落实政府过“紧日子”要求，压减“三公”经费</w:t>
      </w:r>
      <w:r>
        <w:rPr>
          <w:rFonts w:hint="eastAsia" w:eastAsia="方正仿宋_GBK"/>
          <w:sz w:val="28"/>
        </w:rPr>
        <w:t>；因公出国经费无；公务用车购置经费无。</w:t>
      </w:r>
    </w:p>
    <w:p>
      <w:pPr>
        <w:spacing w:before="10" w:after="10" w:line="360" w:lineRule="auto"/>
        <w:outlineLvl w:val="2"/>
        <w:rPr>
          <w:rFonts w:ascii="黑体" w:hAnsi="黑体" w:eastAsia="黑体" w:cs="黑体"/>
          <w:color w:val="000000"/>
          <w:sz w:val="32"/>
        </w:rPr>
      </w:pPr>
    </w:p>
    <w:p>
      <w:pPr>
        <w:spacing w:before="10" w:after="10" w:line="360" w:lineRule="auto"/>
        <w:outlineLvl w:val="2"/>
        <w:rPr>
          <w:rFonts w:ascii="黑体" w:hAnsi="黑体" w:eastAsia="黑体" w:cs="黑体"/>
          <w:color w:val="000000"/>
          <w:sz w:val="32"/>
        </w:rPr>
      </w:pPr>
    </w:p>
    <w:p>
      <w:pPr>
        <w:spacing w:before="10" w:after="10" w:line="360" w:lineRule="auto"/>
        <w:outlineLvl w:val="2"/>
        <w:rPr>
          <w:rFonts w:ascii="黑体" w:hAnsi="黑体" w:eastAsia="黑体" w:cs="黑体"/>
          <w:color w:val="000000"/>
          <w:sz w:val="32"/>
        </w:rPr>
      </w:pPr>
    </w:p>
    <w:p>
      <w:pPr>
        <w:spacing w:before="10" w:after="10" w:line="360" w:lineRule="auto"/>
        <w:outlineLvl w:val="2"/>
        <w:rPr>
          <w:rFonts w:ascii="黑体" w:hAnsi="黑体" w:eastAsia="黑体" w:cs="黑体"/>
          <w:color w:val="000000"/>
          <w:sz w:val="32"/>
        </w:rPr>
      </w:pPr>
    </w:p>
    <w:p>
      <w:pPr>
        <w:spacing w:before="10" w:after="10" w:line="360" w:lineRule="auto"/>
        <w:outlineLvl w:val="2"/>
        <w:rPr>
          <w:rFonts w:ascii="黑体" w:hAnsi="黑体" w:eastAsia="黑体" w:cs="黑体"/>
          <w:color w:val="000000"/>
          <w:sz w:val="32"/>
        </w:rPr>
      </w:pPr>
    </w:p>
    <w:p>
      <w:pPr>
        <w:spacing w:before="10" w:after="10" w:line="360" w:lineRule="auto"/>
        <w:outlineLvl w:val="2"/>
        <w:rPr>
          <w:rFonts w:ascii="黑体" w:hAnsi="黑体" w:eastAsia="黑体" w:cs="黑体"/>
          <w:color w:val="000000"/>
          <w:sz w:val="32"/>
        </w:rPr>
      </w:pPr>
    </w:p>
    <w:p>
      <w:pPr>
        <w:spacing w:before="10" w:after="10" w:line="360" w:lineRule="auto"/>
        <w:outlineLvl w:val="2"/>
        <w:rPr>
          <w:rFonts w:ascii="黑体" w:hAnsi="黑体" w:eastAsia="黑体" w:cs="黑体"/>
          <w:color w:val="000000"/>
          <w:sz w:val="32"/>
        </w:rPr>
      </w:pPr>
    </w:p>
    <w:tbl>
      <w:tblPr>
        <w:tblStyle w:val="9"/>
        <w:tblW w:w="0" w:type="auto"/>
        <w:tblInd w:w="721" w:type="dxa"/>
        <w:tblLayout w:type="fixed"/>
        <w:tblCellMar>
          <w:top w:w="0" w:type="dxa"/>
          <w:left w:w="108" w:type="dxa"/>
          <w:bottom w:w="0" w:type="dxa"/>
          <w:right w:w="108" w:type="dxa"/>
        </w:tblCellMar>
      </w:tblPr>
      <w:tblGrid>
        <w:gridCol w:w="1980"/>
        <w:gridCol w:w="1152"/>
        <w:gridCol w:w="1717"/>
        <w:gridCol w:w="1177"/>
        <w:gridCol w:w="4099"/>
      </w:tblGrid>
      <w:tr>
        <w:tblPrEx>
          <w:tblCellMar>
            <w:top w:w="0" w:type="dxa"/>
            <w:left w:w="108" w:type="dxa"/>
            <w:bottom w:w="0" w:type="dxa"/>
            <w:right w:w="108" w:type="dxa"/>
          </w:tblCellMar>
        </w:tblPrEx>
        <w:trPr>
          <w:trHeight w:val="221" w:hRule="atLeast"/>
        </w:trPr>
        <w:tc>
          <w:tcPr>
            <w:tcW w:w="1980" w:type="dxa"/>
            <w:tcBorders>
              <w:top w:val="nil"/>
              <w:left w:val="nil"/>
              <w:bottom w:val="nil"/>
              <w:right w:val="nil"/>
            </w:tcBorders>
            <w:vAlign w:val="center"/>
          </w:tcPr>
          <w:p>
            <w:pPr>
              <w:rPr>
                <w:rFonts w:ascii="宋体" w:hAnsi="宋体" w:eastAsia="宋体" w:cs="宋体"/>
              </w:rPr>
            </w:pPr>
          </w:p>
        </w:tc>
        <w:tc>
          <w:tcPr>
            <w:tcW w:w="1152"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177" w:type="dxa"/>
            <w:tcBorders>
              <w:top w:val="nil"/>
              <w:left w:val="nil"/>
              <w:bottom w:val="nil"/>
              <w:right w:val="nil"/>
            </w:tcBorders>
            <w:vAlign w:val="center"/>
          </w:tcPr>
          <w:p>
            <w:pPr>
              <w:rPr>
                <w:rFonts w:ascii="宋体" w:hAnsi="宋体" w:eastAsia="宋体" w:cs="宋体"/>
              </w:rPr>
            </w:pPr>
          </w:p>
        </w:tc>
        <w:tc>
          <w:tcPr>
            <w:tcW w:w="4099"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15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4</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409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285" w:hRule="atLeast"/>
        </w:trPr>
        <w:tc>
          <w:tcPr>
            <w:tcW w:w="19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152"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4099"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285" w:hRule="atLeast"/>
        </w:trPr>
        <w:tc>
          <w:tcPr>
            <w:tcW w:w="19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152"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4099"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trPr>
        <w:tc>
          <w:tcPr>
            <w:tcW w:w="19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15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3.5</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3.5</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4099"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855" w:hRule="atLeast"/>
        </w:trPr>
        <w:tc>
          <w:tcPr>
            <w:tcW w:w="19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15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0.5</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0.5</w:t>
            </w:r>
          </w:p>
        </w:tc>
        <w:tc>
          <w:tcPr>
            <w:tcW w:w="4099"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严格落实政府过“紧日子”要求</w:t>
            </w:r>
            <w:r>
              <w:rPr>
                <w:rFonts w:hint="eastAsia" w:ascii="仿宋_GB2312" w:hAnsi="宋体" w:eastAsia="仿宋_GB2312"/>
                <w:lang w:eastAsia="zh-CN"/>
              </w:rPr>
              <w:t>，</w:t>
            </w:r>
            <w:r>
              <w:rPr>
                <w:rFonts w:hint="eastAsia" w:ascii="仿宋_GB2312" w:hAnsi="宋体" w:eastAsia="仿宋_GB2312"/>
              </w:rPr>
              <w:t>压减“三公”经费</w:t>
            </w:r>
          </w:p>
        </w:tc>
      </w:tr>
      <w:tr>
        <w:tblPrEx>
          <w:tblCellMar>
            <w:top w:w="0" w:type="dxa"/>
            <w:left w:w="108" w:type="dxa"/>
            <w:bottom w:w="0" w:type="dxa"/>
            <w:right w:w="108" w:type="dxa"/>
          </w:tblCellMar>
        </w:tblPrEx>
        <w:trPr>
          <w:trHeight w:val="1140" w:hRule="atLeast"/>
        </w:trPr>
        <w:tc>
          <w:tcPr>
            <w:tcW w:w="19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152"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4</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3.5</w:t>
            </w: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0.5</w:t>
            </w:r>
          </w:p>
        </w:tc>
        <w:tc>
          <w:tcPr>
            <w:tcW w:w="4099"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严格落实政府过“紧日子”要求</w:t>
            </w:r>
            <w:r>
              <w:rPr>
                <w:rFonts w:hint="eastAsia" w:ascii="仿宋_GB2312" w:hAnsi="宋体" w:eastAsia="仿宋_GB2312"/>
                <w:lang w:eastAsia="zh-CN"/>
              </w:rPr>
              <w:t>，</w:t>
            </w:r>
            <w:r>
              <w:rPr>
                <w:rFonts w:hint="eastAsia" w:ascii="仿宋_GB2312" w:hAnsi="宋体" w:eastAsia="仿宋_GB2312"/>
              </w:rPr>
              <w:t>压减“三公”经费</w:t>
            </w:r>
          </w:p>
        </w:tc>
      </w:tr>
    </w:tbl>
    <w:p>
      <w:pPr>
        <w:pStyle w:val="25"/>
      </w:pPr>
    </w:p>
    <w:p>
      <w:pPr>
        <w:pStyle w:val="25"/>
      </w:pPr>
    </w:p>
    <w:p>
      <w:pPr>
        <w:spacing w:before="10" w:after="10" w:line="360" w:lineRule="auto"/>
        <w:ind w:firstLine="640"/>
        <w:outlineLvl w:val="2"/>
        <w:rPr>
          <w:rFonts w:hint="eastAsia" w:ascii="方正楷体_GBK" w:hAnsi="方正楷体_GBK" w:cs="方正楷体_GBK" w:eastAsiaTheme="minorEastAsia"/>
          <w:b/>
          <w:color w:val="000000"/>
          <w:sz w:val="32"/>
          <w:lang w:eastAsia="zh-CN"/>
        </w:rPr>
      </w:pPr>
      <w:bookmarkStart w:id="12" w:name="_Toc_3_3_0000000014"/>
      <w:r>
        <w:rPr>
          <w:rFonts w:ascii="黑体" w:hAnsi="黑体" w:eastAsia="黑体" w:cs="黑体"/>
          <w:color w:val="000000"/>
          <w:sz w:val="32"/>
        </w:rPr>
        <w:t>五、预算绩效信息</w:t>
      </w:r>
      <w:bookmarkEnd w:id="12"/>
    </w:p>
    <w:p>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00" w:lineRule="exact"/>
        <w:ind w:firstLine="560"/>
        <w:rPr>
          <w:rFonts w:eastAsia="方正仿宋_GBK"/>
          <w:sz w:val="28"/>
        </w:rPr>
      </w:pPr>
      <w:r>
        <w:rPr>
          <w:rFonts w:eastAsia="方正仿宋_GBK"/>
          <w:sz w:val="28"/>
        </w:rPr>
        <w:t>坚持以习近平新时代中国特色社会主义思想为指导，深入贯彻党的十九大和十九届历次全会精神及党的二十大精神，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谐文明。</w:t>
      </w:r>
    </w:p>
    <w:p>
      <w:pPr>
        <w:spacing w:line="500" w:lineRule="exact"/>
        <w:ind w:firstLine="560"/>
      </w:pPr>
      <w:r>
        <w:rPr>
          <w:rFonts w:eastAsia="方正仿宋_GBK"/>
          <w:color w:val="000000"/>
          <w:sz w:val="28"/>
        </w:rPr>
        <w:t>（二）分项绩效目标</w:t>
      </w:r>
    </w:p>
    <w:p>
      <w:pPr>
        <w:spacing w:line="500" w:lineRule="exact"/>
        <w:ind w:firstLine="560"/>
        <w:rPr>
          <w:rFonts w:eastAsia="方正仿宋_GBK"/>
          <w:sz w:val="28"/>
          <w:lang w:eastAsia="zh-CN"/>
        </w:rPr>
      </w:pPr>
      <w:r>
        <w:rPr>
          <w:rFonts w:hint="eastAsia" w:eastAsia="方正仿宋_GBK"/>
          <w:sz w:val="28"/>
          <w:lang w:eastAsia="zh-CN"/>
        </w:rPr>
        <w:t>1、党的基层组织建设</w:t>
      </w:r>
    </w:p>
    <w:p>
      <w:pPr>
        <w:spacing w:line="500" w:lineRule="exact"/>
        <w:ind w:firstLine="560"/>
        <w:rPr>
          <w:rFonts w:eastAsia="方正仿宋_GBK"/>
          <w:sz w:val="28"/>
          <w:lang w:eastAsia="zh-CN"/>
        </w:rPr>
      </w:pPr>
      <w:r>
        <w:rPr>
          <w:rFonts w:hint="eastAsia" w:eastAsia="方正仿宋_GBK"/>
          <w:sz w:val="28"/>
          <w:lang w:eastAsia="zh-CN"/>
        </w:rPr>
        <w:t>做好党的基层组织建设、党的纪律检查工作；机关日常党务、政务协调管理；人大、群团、武装等相关工作。落实村级补助专项资金，确保农村党的基层组织正常运转。</w:t>
      </w:r>
    </w:p>
    <w:p>
      <w:pPr>
        <w:spacing w:line="500" w:lineRule="exact"/>
        <w:ind w:firstLine="560"/>
        <w:rPr>
          <w:rFonts w:eastAsia="方正仿宋_GBK"/>
          <w:sz w:val="28"/>
          <w:lang w:eastAsia="zh-CN"/>
        </w:rPr>
      </w:pPr>
      <w:r>
        <w:rPr>
          <w:rFonts w:hint="eastAsia" w:eastAsia="方正仿宋_GBK"/>
          <w:sz w:val="28"/>
          <w:lang w:eastAsia="zh-CN"/>
        </w:rPr>
        <w:t>2、食品安全工作</w:t>
      </w:r>
    </w:p>
    <w:p>
      <w:pPr>
        <w:spacing w:line="500" w:lineRule="exact"/>
        <w:ind w:firstLine="560"/>
        <w:rPr>
          <w:rFonts w:eastAsia="方正仿宋_GBK"/>
          <w:sz w:val="28"/>
          <w:lang w:eastAsia="zh-CN"/>
        </w:rPr>
      </w:pPr>
      <w:r>
        <w:rPr>
          <w:rFonts w:hint="eastAsia" w:eastAsia="方正仿宋_GBK"/>
          <w:sz w:val="28"/>
          <w:lang w:eastAsia="zh-CN"/>
        </w:rPr>
        <w:t>落实食品生产经营者主体责任，严格监管食品生产经营活动，严厉惩处涉及食品安全的违法犯罪行为。</w:t>
      </w:r>
    </w:p>
    <w:p>
      <w:pPr>
        <w:spacing w:line="500" w:lineRule="exact"/>
        <w:ind w:firstLine="560"/>
        <w:rPr>
          <w:rFonts w:eastAsia="方正仿宋_GBK"/>
          <w:sz w:val="28"/>
          <w:lang w:eastAsia="zh-CN"/>
        </w:rPr>
      </w:pPr>
      <w:r>
        <w:rPr>
          <w:rFonts w:hint="eastAsia" w:eastAsia="方正仿宋_GBK"/>
          <w:sz w:val="28"/>
          <w:lang w:eastAsia="zh-CN"/>
        </w:rPr>
        <w:t>3、农村文化建设</w:t>
      </w:r>
    </w:p>
    <w:p>
      <w:pPr>
        <w:spacing w:line="500" w:lineRule="exact"/>
        <w:ind w:firstLine="560"/>
        <w:rPr>
          <w:rFonts w:eastAsia="方正仿宋_GBK"/>
          <w:sz w:val="28"/>
          <w:lang w:eastAsia="zh-CN"/>
        </w:rPr>
      </w:pPr>
      <w:r>
        <w:rPr>
          <w:rFonts w:hint="eastAsia" w:eastAsia="方正仿宋_GBK"/>
          <w:sz w:val="28"/>
          <w:lang w:eastAsia="zh-CN"/>
        </w:rPr>
        <w:t>坚持先进文化前进方向，全面广泛地开展群众文化活动，繁荣农民群众精神文化生活，规范管理文化活动专项资金确保专款专用，最大限度发挥和提高资金的使用效益。</w:t>
      </w:r>
    </w:p>
    <w:p>
      <w:pPr>
        <w:spacing w:line="500" w:lineRule="exact"/>
        <w:ind w:firstLine="560"/>
        <w:rPr>
          <w:rFonts w:eastAsia="方正仿宋_GBK"/>
          <w:sz w:val="28"/>
          <w:lang w:eastAsia="zh-CN"/>
        </w:rPr>
      </w:pPr>
      <w:r>
        <w:rPr>
          <w:rFonts w:hint="eastAsia" w:eastAsia="方正仿宋_GBK"/>
          <w:sz w:val="28"/>
          <w:lang w:eastAsia="zh-CN"/>
        </w:rPr>
        <w:t>4、乡镇纪律检查</w:t>
      </w:r>
    </w:p>
    <w:p>
      <w:pPr>
        <w:spacing w:line="500" w:lineRule="exact"/>
        <w:ind w:firstLine="560"/>
        <w:rPr>
          <w:rFonts w:eastAsia="方正仿宋_GBK"/>
          <w:sz w:val="28"/>
          <w:lang w:eastAsia="zh-CN"/>
        </w:rPr>
      </w:pPr>
      <w:r>
        <w:rPr>
          <w:rFonts w:hint="eastAsia" w:eastAsia="方正仿宋_GBK"/>
          <w:sz w:val="28"/>
          <w:lang w:eastAsia="zh-CN"/>
        </w:rPr>
        <w:t>认真落实纪检部门各项任务，加强监督检查，促进党风廉政建设。</w:t>
      </w:r>
    </w:p>
    <w:p>
      <w:pPr>
        <w:spacing w:line="500" w:lineRule="exact"/>
        <w:ind w:firstLine="560"/>
        <w:rPr>
          <w:rFonts w:eastAsia="方正仿宋_GBK"/>
          <w:sz w:val="28"/>
          <w:lang w:eastAsia="zh-CN"/>
        </w:rPr>
      </w:pPr>
      <w:r>
        <w:rPr>
          <w:rFonts w:hint="eastAsia" w:eastAsia="方正仿宋_GBK"/>
          <w:sz w:val="28"/>
          <w:lang w:eastAsia="zh-CN"/>
        </w:rPr>
        <w:t>5、综合治理及信访稳定</w:t>
      </w:r>
    </w:p>
    <w:p>
      <w:pPr>
        <w:spacing w:line="500" w:lineRule="exact"/>
        <w:ind w:firstLine="560"/>
        <w:rPr>
          <w:rFonts w:eastAsia="方正仿宋_GBK"/>
          <w:sz w:val="28"/>
          <w:lang w:eastAsia="zh-CN"/>
        </w:rPr>
      </w:pPr>
      <w:r>
        <w:rPr>
          <w:rFonts w:hint="eastAsia" w:eastAsia="方正仿宋_GBK"/>
          <w:sz w:val="28"/>
          <w:lang w:eastAsia="zh-CN"/>
        </w:rPr>
        <w:t>加强综合治理，妥善处理突发性、群体性事件，调节和处理好各种利益矛盾和纠纷；落实各项管理措施，维护农村社会稳定；负责本乡镇的普法宣传教育及法律服务；负责信访稳定工作。</w:t>
      </w:r>
    </w:p>
    <w:p>
      <w:pPr>
        <w:spacing w:line="500" w:lineRule="exact"/>
        <w:ind w:firstLine="560"/>
        <w:rPr>
          <w:rFonts w:eastAsia="方正仿宋_GBK"/>
          <w:sz w:val="28"/>
          <w:lang w:eastAsia="zh-CN"/>
        </w:rPr>
      </w:pPr>
      <w:r>
        <w:rPr>
          <w:rFonts w:hint="eastAsia" w:eastAsia="方正仿宋_GBK"/>
          <w:sz w:val="28"/>
          <w:lang w:eastAsia="zh-CN"/>
        </w:rPr>
        <w:t>6、乡镇办公用房修缮</w:t>
      </w:r>
    </w:p>
    <w:p>
      <w:pPr>
        <w:spacing w:line="500" w:lineRule="exact"/>
        <w:ind w:firstLine="560"/>
        <w:rPr>
          <w:rFonts w:eastAsia="方正仿宋_GBK"/>
          <w:sz w:val="28"/>
          <w:lang w:eastAsia="zh-CN"/>
        </w:rPr>
      </w:pPr>
      <w:r>
        <w:rPr>
          <w:rFonts w:hint="eastAsia" w:eastAsia="方正仿宋_GBK"/>
          <w:sz w:val="28"/>
          <w:lang w:eastAsia="zh-CN"/>
        </w:rPr>
        <w:t>按照乡镇办公需求实施办公用房修缮工作，提供安全、必要的办公条件。</w:t>
      </w:r>
    </w:p>
    <w:p>
      <w:pPr>
        <w:spacing w:line="500" w:lineRule="exact"/>
        <w:ind w:firstLine="560"/>
        <w:rPr>
          <w:rFonts w:eastAsia="方正仿宋_GBK"/>
          <w:sz w:val="28"/>
          <w:lang w:eastAsia="zh-CN"/>
        </w:rPr>
      </w:pPr>
      <w:r>
        <w:rPr>
          <w:rFonts w:hint="eastAsia" w:eastAsia="方正仿宋_GBK"/>
          <w:sz w:val="28"/>
          <w:lang w:eastAsia="zh-CN"/>
        </w:rPr>
        <w:t>7、财政工作</w:t>
      </w:r>
    </w:p>
    <w:p>
      <w:pPr>
        <w:spacing w:line="500" w:lineRule="exact"/>
        <w:ind w:firstLine="560"/>
        <w:rPr>
          <w:rFonts w:eastAsia="方正仿宋_GBK"/>
          <w:sz w:val="28"/>
          <w:lang w:eastAsia="zh-CN"/>
        </w:rPr>
      </w:pPr>
      <w:r>
        <w:rPr>
          <w:rFonts w:hint="eastAsia" w:eastAsia="方正仿宋_GBK"/>
          <w:sz w:val="28"/>
          <w:lang w:eastAsia="zh-CN"/>
        </w:rPr>
        <w:t>配合乡镇完成各项上级财政拨款，落实到位，保障惠民政策落实到位，做好财政国库支付电子化工作。</w:t>
      </w:r>
      <w:r>
        <w:rPr>
          <w:rFonts w:hint="eastAsia" w:eastAsia="方正仿宋_GBK"/>
          <w:sz w:val="28"/>
          <w:lang w:eastAsia="zh-CN"/>
        </w:rPr>
        <w:tab/>
      </w:r>
    </w:p>
    <w:p>
      <w:pPr>
        <w:spacing w:line="500" w:lineRule="exact"/>
        <w:ind w:firstLine="560"/>
        <w:rPr>
          <w:rFonts w:eastAsia="方正仿宋_GBK"/>
          <w:sz w:val="28"/>
          <w:lang w:eastAsia="zh-CN"/>
        </w:rPr>
      </w:pPr>
      <w:r>
        <w:rPr>
          <w:rFonts w:hint="eastAsia" w:eastAsia="方正仿宋_GBK"/>
          <w:sz w:val="28"/>
          <w:lang w:eastAsia="zh-CN"/>
        </w:rPr>
        <w:t>8、团委工作</w:t>
      </w:r>
    </w:p>
    <w:p>
      <w:pPr>
        <w:spacing w:line="500" w:lineRule="exact"/>
        <w:ind w:firstLine="560"/>
        <w:rPr>
          <w:rFonts w:eastAsia="方正仿宋_GBK"/>
          <w:sz w:val="28"/>
          <w:lang w:eastAsia="zh-CN"/>
        </w:rPr>
      </w:pPr>
      <w:r>
        <w:rPr>
          <w:rFonts w:hint="eastAsia" w:eastAsia="方正仿宋_GBK"/>
          <w:sz w:val="28"/>
          <w:lang w:eastAsia="zh-CN"/>
        </w:rPr>
        <w:t>科学地继承和发扬共青团的优良传统，创新团的工作，找准新时代的中心定位，把各项改革措施不折不扣落实到位。</w:t>
      </w:r>
      <w:r>
        <w:rPr>
          <w:rFonts w:hint="eastAsia" w:eastAsia="方正仿宋_GBK"/>
          <w:sz w:val="28"/>
          <w:lang w:eastAsia="zh-CN"/>
        </w:rPr>
        <w:tab/>
      </w:r>
      <w:r>
        <w:rPr>
          <w:rFonts w:hint="eastAsia" w:eastAsia="方正仿宋_GBK"/>
          <w:sz w:val="28"/>
          <w:lang w:eastAsia="zh-CN"/>
        </w:rPr>
        <w:tab/>
      </w:r>
    </w:p>
    <w:p>
      <w:pPr>
        <w:spacing w:line="500" w:lineRule="exact"/>
        <w:ind w:firstLine="560"/>
        <w:rPr>
          <w:rFonts w:eastAsia="方正仿宋_GBK"/>
          <w:sz w:val="28"/>
          <w:lang w:eastAsia="zh-CN"/>
        </w:rPr>
      </w:pPr>
      <w:r>
        <w:rPr>
          <w:rFonts w:hint="eastAsia" w:eastAsia="方正仿宋_GBK"/>
          <w:sz w:val="28"/>
          <w:lang w:eastAsia="zh-CN"/>
        </w:rPr>
        <w:t>9、人大主席团活动</w:t>
      </w:r>
    </w:p>
    <w:p>
      <w:pPr>
        <w:spacing w:line="500" w:lineRule="exact"/>
        <w:ind w:firstLine="560"/>
        <w:rPr>
          <w:rFonts w:eastAsia="方正仿宋_GBK"/>
          <w:sz w:val="28"/>
          <w:lang w:eastAsia="zh-CN"/>
        </w:rPr>
      </w:pPr>
      <w:r>
        <w:rPr>
          <w:rFonts w:hint="eastAsia" w:eastAsia="方正仿宋_GBK"/>
          <w:sz w:val="28"/>
          <w:lang w:eastAsia="zh-CN"/>
        </w:rPr>
        <w:t>为了更好落实中央2015（18）号文件精神和省委市委落实中央18号文件的意见，切实加强基层人大建设，保障镇人大主席团的正常运转。</w:t>
      </w:r>
    </w:p>
    <w:p>
      <w:pPr>
        <w:spacing w:line="500" w:lineRule="exact"/>
        <w:ind w:firstLine="560"/>
        <w:rPr>
          <w:rFonts w:eastAsia="方正仿宋_GBK"/>
          <w:sz w:val="28"/>
          <w:lang w:eastAsia="zh-CN"/>
        </w:rPr>
      </w:pPr>
      <w:r>
        <w:rPr>
          <w:rFonts w:hint="eastAsia" w:eastAsia="方正仿宋_GBK"/>
          <w:sz w:val="28"/>
          <w:lang w:eastAsia="zh-CN"/>
        </w:rPr>
        <w:t>10、乡镇其他相关工作</w:t>
      </w:r>
    </w:p>
    <w:p>
      <w:pPr>
        <w:spacing w:line="500" w:lineRule="exact"/>
        <w:ind w:firstLine="560"/>
        <w:rPr>
          <w:rFonts w:eastAsia="方正仿宋_GBK"/>
          <w:sz w:val="28"/>
          <w:lang w:eastAsia="zh-CN"/>
        </w:rPr>
      </w:pPr>
      <w:r>
        <w:rPr>
          <w:rFonts w:hint="eastAsia" w:eastAsia="方正仿宋_GBK"/>
          <w:sz w:val="28"/>
          <w:lang w:eastAsia="zh-CN"/>
        </w:rPr>
        <w:t>按照县委、县政府统一部署，圆满完成上级交办的乡镇其他相关工作。卫生和计划生育工作保持全县先进水平。推动社会共治，劳动力资源有效开发，社会保障服务水平持续提高。村镇规划编制有效监管实施。丰富群众文体娱乐活动，优化服务群众水平。村级财务委托管理规范运行。统计任务高质高效完成。</w:t>
      </w:r>
    </w:p>
    <w:p>
      <w:pPr>
        <w:spacing w:line="500" w:lineRule="exact"/>
        <w:ind w:firstLine="560"/>
      </w:pPr>
      <w:r>
        <w:rPr>
          <w:rFonts w:eastAsia="方正仿宋_GBK"/>
          <w:color w:val="000000"/>
          <w:sz w:val="28"/>
        </w:rPr>
        <w:t>（三）工作保障措施</w:t>
      </w:r>
    </w:p>
    <w:p>
      <w:pPr>
        <w:pStyle w:val="28"/>
      </w:pPr>
      <w:r>
        <w:t>为保证年度发展规划目标的实现，特制定以下保障措施：</w:t>
      </w:r>
    </w:p>
    <w:p>
      <w:pPr>
        <w:pStyle w:val="28"/>
        <w:numPr>
          <w:ilvl w:val="0"/>
          <w:numId w:val="2"/>
        </w:numPr>
        <w:rPr>
          <w:lang w:eastAsia="zh-CN"/>
        </w:rPr>
      </w:pPr>
      <w:r>
        <w:rPr>
          <w:rFonts w:hint="eastAsia"/>
          <w:lang w:eastAsia="zh-CN"/>
        </w:rPr>
        <w:t>完善制度建设。</w:t>
      </w:r>
    </w:p>
    <w:p>
      <w:pPr>
        <w:pStyle w:val="28"/>
        <w:ind w:firstLineChars="200"/>
        <w:rPr>
          <w:lang w:eastAsia="zh-CN"/>
        </w:rPr>
      </w:pPr>
      <w:r>
        <w:rPr>
          <w:rFonts w:hint="eastAsia"/>
          <w:lang w:eastAsia="zh-CN"/>
        </w:rPr>
        <w:t>制定完善本乡镇预算绩效管理制度、资金管理办法、工作保障制度等，为本乡镇全年预算绩效目标的实现奠定制度基础。</w:t>
      </w:r>
    </w:p>
    <w:p>
      <w:pPr>
        <w:pStyle w:val="28"/>
        <w:numPr>
          <w:ilvl w:val="0"/>
          <w:numId w:val="2"/>
        </w:numPr>
        <w:rPr>
          <w:lang w:eastAsia="zh-CN"/>
        </w:rPr>
      </w:pPr>
      <w:r>
        <w:rPr>
          <w:rFonts w:hint="eastAsia"/>
          <w:lang w:eastAsia="zh-CN"/>
        </w:rPr>
        <w:t>加强支出管理。</w:t>
      </w:r>
    </w:p>
    <w:p>
      <w:pPr>
        <w:pStyle w:val="28"/>
        <w:ind w:firstLineChars="200"/>
        <w:rPr>
          <w:lang w:eastAsia="zh-CN"/>
        </w:rPr>
      </w:pPr>
      <w:r>
        <w:rPr>
          <w:rFonts w:hint="eastAsia"/>
          <w:lang w:eastAsia="zh-CN"/>
        </w:rPr>
        <w:t>通过优化支出结构、编细编实预算、加快履行政府采购手续、尽快启动项目、及时支付资金、6月底前细化代编预算、按规定及时下达资金等多种措施，确保支出进度达标。</w:t>
      </w:r>
    </w:p>
    <w:p>
      <w:pPr>
        <w:pStyle w:val="28"/>
        <w:numPr>
          <w:ilvl w:val="0"/>
          <w:numId w:val="2"/>
        </w:numPr>
        <w:rPr>
          <w:lang w:eastAsia="zh-CN"/>
        </w:rPr>
      </w:pPr>
      <w:r>
        <w:rPr>
          <w:rFonts w:hint="eastAsia"/>
          <w:lang w:eastAsia="zh-CN"/>
        </w:rPr>
        <w:t>加强绩效运行监控。</w:t>
      </w:r>
    </w:p>
    <w:p>
      <w:pPr>
        <w:pStyle w:val="28"/>
        <w:ind w:firstLineChars="200"/>
        <w:rPr>
          <w:lang w:eastAsia="zh-CN"/>
        </w:rPr>
      </w:pPr>
      <w:r>
        <w:rPr>
          <w:rFonts w:hint="eastAsia"/>
          <w:lang w:eastAsia="zh-CN"/>
        </w:rPr>
        <w:t>按要求开展绩效运行监控，发现问题及时采取措施，确保绩效目标如期保质实现。</w:t>
      </w:r>
    </w:p>
    <w:p>
      <w:pPr>
        <w:pStyle w:val="28"/>
        <w:numPr>
          <w:ilvl w:val="0"/>
          <w:numId w:val="2"/>
        </w:numPr>
        <w:rPr>
          <w:lang w:eastAsia="zh-CN"/>
        </w:rPr>
      </w:pPr>
      <w:r>
        <w:rPr>
          <w:rFonts w:hint="eastAsia"/>
          <w:lang w:eastAsia="zh-CN"/>
        </w:rPr>
        <w:t>做好绩效自评。</w:t>
      </w:r>
    </w:p>
    <w:p>
      <w:pPr>
        <w:pStyle w:val="28"/>
        <w:ind w:firstLineChars="200"/>
        <w:rPr>
          <w:lang w:eastAsia="zh-CN"/>
        </w:rPr>
      </w:pPr>
      <w:r>
        <w:rPr>
          <w:rFonts w:hint="eastAsia"/>
          <w:lang w:eastAsia="zh-CN"/>
        </w:rPr>
        <w:t>按要求开展上年度部门预算绩效自评和重点评价工作，对评价中发现的问题及时整改，调整优化支出结构，提高财政资金使用效益。</w:t>
      </w:r>
    </w:p>
    <w:p>
      <w:pPr>
        <w:pStyle w:val="28"/>
        <w:numPr>
          <w:ilvl w:val="0"/>
          <w:numId w:val="2"/>
        </w:numPr>
        <w:rPr>
          <w:lang w:eastAsia="zh-CN"/>
        </w:rPr>
      </w:pPr>
      <w:r>
        <w:rPr>
          <w:rFonts w:hint="eastAsia"/>
          <w:lang w:eastAsia="zh-CN"/>
        </w:rPr>
        <w:t>规范财务资产管理。</w:t>
      </w:r>
    </w:p>
    <w:p>
      <w:pPr>
        <w:pStyle w:val="28"/>
        <w:ind w:firstLineChars="200"/>
        <w:rPr>
          <w:lang w:eastAsia="zh-CN"/>
        </w:rPr>
      </w:pPr>
      <w:r>
        <w:rPr>
          <w:rFonts w:hint="eastAsia"/>
          <w:lang w:eastAsia="zh-CN"/>
        </w:rPr>
        <w:t>完善财务管理制度，严格审批程序，加强固定资产登记、使用和报废处置管理，做到支出合理，物尽其用。</w:t>
      </w:r>
    </w:p>
    <w:p>
      <w:pPr>
        <w:pStyle w:val="28"/>
        <w:numPr>
          <w:ilvl w:val="0"/>
          <w:numId w:val="2"/>
        </w:numPr>
        <w:rPr>
          <w:lang w:eastAsia="zh-CN"/>
        </w:rPr>
      </w:pPr>
      <w:r>
        <w:rPr>
          <w:rFonts w:hint="eastAsia"/>
          <w:lang w:eastAsia="zh-CN"/>
        </w:rPr>
        <w:t>加强内部监督。</w:t>
      </w:r>
    </w:p>
    <w:p>
      <w:pPr>
        <w:pStyle w:val="28"/>
        <w:ind w:firstLineChars="200"/>
      </w:pPr>
      <w:r>
        <w:rPr>
          <w:rFonts w:hint="eastAsia"/>
          <w:lang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财政事务工作经费绩效目标表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3495"/>
        <w:gridCol w:w="1067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495" w:type="dxa"/>
            <w:tcBorders>
              <w:bottom w:val="single" w:color="FFFFFF" w:sz="6" w:space="0"/>
            </w:tcBorders>
            <w:vAlign w:val="center"/>
          </w:tcPr>
          <w:p>
            <w:pPr>
              <w:pStyle w:val="15"/>
            </w:pPr>
            <w:r>
              <w:t>绩效目标</w:t>
            </w:r>
          </w:p>
        </w:tc>
        <w:tc>
          <w:tcPr>
            <w:tcW w:w="10678" w:type="dxa"/>
            <w:tcBorders>
              <w:bottom w:val="single" w:color="FFFFFF" w:sz="6" w:space="0"/>
            </w:tcBorders>
            <w:vAlign w:val="center"/>
          </w:tcPr>
          <w:p>
            <w:pPr>
              <w:pStyle w:val="17"/>
            </w:pPr>
            <w:r>
              <w:t>1.完成各项上级财政拨款，落实到位，保障惠民政策落实到位，做好财政国库支付电子化工作</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6"/>
        <w:gridCol w:w="3311"/>
        <w:gridCol w:w="1332"/>
        <w:gridCol w:w="3320"/>
        <w:gridCol w:w="847"/>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536" w:type="dxa"/>
            <w:noWrap/>
            <w:vAlign w:val="center"/>
          </w:tcPr>
          <w:p>
            <w:pPr>
              <w:pStyle w:val="15"/>
            </w:pPr>
            <w:r>
              <w:t>一级指标</w:t>
            </w:r>
          </w:p>
        </w:tc>
        <w:tc>
          <w:tcPr>
            <w:tcW w:w="3311" w:type="dxa"/>
            <w:noWrap/>
            <w:vAlign w:val="center"/>
          </w:tcPr>
          <w:p>
            <w:pPr>
              <w:pStyle w:val="15"/>
            </w:pPr>
            <w:r>
              <w:t>二级指标</w:t>
            </w:r>
          </w:p>
        </w:tc>
        <w:tc>
          <w:tcPr>
            <w:tcW w:w="1332" w:type="dxa"/>
            <w:noWrap/>
            <w:vAlign w:val="center"/>
          </w:tcPr>
          <w:p>
            <w:pPr>
              <w:pStyle w:val="15"/>
            </w:pPr>
            <w:r>
              <w:t>三级指标</w:t>
            </w:r>
          </w:p>
        </w:tc>
        <w:tc>
          <w:tcPr>
            <w:tcW w:w="3320" w:type="dxa"/>
            <w:noWrap/>
            <w:vAlign w:val="center"/>
          </w:tcPr>
          <w:p>
            <w:pPr>
              <w:pStyle w:val="15"/>
            </w:pPr>
            <w:r>
              <w:t>绩效指标描述</w:t>
            </w:r>
          </w:p>
        </w:tc>
        <w:tc>
          <w:tcPr>
            <w:tcW w:w="847" w:type="dxa"/>
            <w:noWrap/>
            <w:vAlign w:val="center"/>
          </w:tcPr>
          <w:p>
            <w:pPr>
              <w:pStyle w:val="15"/>
            </w:pPr>
            <w:r>
              <w:t>指标值</w:t>
            </w:r>
          </w:p>
        </w:tc>
        <w:tc>
          <w:tcPr>
            <w:tcW w:w="1843" w:type="dxa"/>
            <w:noWrap/>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6" w:type="dxa"/>
            <w:vMerge w:val="restart"/>
            <w:noWrap/>
            <w:vAlign w:val="center"/>
          </w:tcPr>
          <w:p>
            <w:pPr>
              <w:pStyle w:val="18"/>
            </w:pPr>
            <w:r>
              <w:t>产出指标</w:t>
            </w:r>
          </w:p>
        </w:tc>
        <w:tc>
          <w:tcPr>
            <w:tcW w:w="3311" w:type="dxa"/>
            <w:noWrap/>
            <w:vAlign w:val="center"/>
          </w:tcPr>
          <w:p>
            <w:pPr>
              <w:pStyle w:val="17"/>
            </w:pPr>
            <w:r>
              <w:t>数量指标</w:t>
            </w:r>
          </w:p>
        </w:tc>
        <w:tc>
          <w:tcPr>
            <w:tcW w:w="1332" w:type="dxa"/>
            <w:noWrap/>
            <w:vAlign w:val="center"/>
          </w:tcPr>
          <w:p>
            <w:pPr>
              <w:pStyle w:val="17"/>
            </w:pPr>
            <w:r>
              <w:t>工作开展完成率（%）</w:t>
            </w:r>
          </w:p>
        </w:tc>
        <w:tc>
          <w:tcPr>
            <w:tcW w:w="3320" w:type="dxa"/>
            <w:noWrap/>
            <w:vAlign w:val="center"/>
          </w:tcPr>
          <w:p>
            <w:pPr>
              <w:pStyle w:val="17"/>
            </w:pPr>
            <w:r>
              <w:t>工作实际开展占计划工作的比率</w:t>
            </w:r>
          </w:p>
        </w:tc>
        <w:tc>
          <w:tcPr>
            <w:tcW w:w="847" w:type="dxa"/>
            <w:noWrap/>
            <w:vAlign w:val="center"/>
          </w:tcPr>
          <w:p>
            <w:pPr>
              <w:pStyle w:val="17"/>
            </w:pPr>
            <w:r>
              <w:t>≥90百分比</w:t>
            </w:r>
          </w:p>
        </w:tc>
        <w:tc>
          <w:tcPr>
            <w:tcW w:w="1843"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6" w:type="dxa"/>
            <w:vMerge w:val="continue"/>
            <w:noWrap/>
            <w:vAlign w:val="center"/>
          </w:tcPr>
          <w:p/>
        </w:tc>
        <w:tc>
          <w:tcPr>
            <w:tcW w:w="3311" w:type="dxa"/>
            <w:noWrap/>
            <w:vAlign w:val="center"/>
          </w:tcPr>
          <w:p>
            <w:pPr>
              <w:pStyle w:val="17"/>
            </w:pPr>
            <w:r>
              <w:t>质量指标</w:t>
            </w:r>
          </w:p>
        </w:tc>
        <w:tc>
          <w:tcPr>
            <w:tcW w:w="1332" w:type="dxa"/>
            <w:noWrap/>
            <w:vAlign w:val="center"/>
          </w:tcPr>
          <w:p>
            <w:pPr>
              <w:pStyle w:val="17"/>
            </w:pPr>
            <w:r>
              <w:t>资金有效使用率(%)</w:t>
            </w:r>
          </w:p>
        </w:tc>
        <w:tc>
          <w:tcPr>
            <w:tcW w:w="3320" w:type="dxa"/>
            <w:noWrap/>
            <w:vAlign w:val="center"/>
          </w:tcPr>
          <w:p>
            <w:pPr>
              <w:pStyle w:val="17"/>
            </w:pPr>
            <w:r>
              <w:t>资金实际使用金额占拨付金额的比率</w:t>
            </w:r>
          </w:p>
        </w:tc>
        <w:tc>
          <w:tcPr>
            <w:tcW w:w="847" w:type="dxa"/>
            <w:noWrap/>
            <w:vAlign w:val="center"/>
          </w:tcPr>
          <w:p>
            <w:pPr>
              <w:pStyle w:val="17"/>
            </w:pPr>
            <w:r>
              <w:t>≥90百分比</w:t>
            </w:r>
          </w:p>
        </w:tc>
        <w:tc>
          <w:tcPr>
            <w:tcW w:w="1843"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6" w:type="dxa"/>
            <w:vMerge w:val="continue"/>
            <w:noWrap/>
            <w:vAlign w:val="center"/>
          </w:tcPr>
          <w:p/>
        </w:tc>
        <w:tc>
          <w:tcPr>
            <w:tcW w:w="3311" w:type="dxa"/>
            <w:noWrap/>
            <w:vAlign w:val="center"/>
          </w:tcPr>
          <w:p>
            <w:pPr>
              <w:pStyle w:val="17"/>
            </w:pPr>
            <w:r>
              <w:t>时效指标</w:t>
            </w:r>
          </w:p>
        </w:tc>
        <w:tc>
          <w:tcPr>
            <w:tcW w:w="1332" w:type="dxa"/>
            <w:noWrap/>
            <w:vAlign w:val="center"/>
          </w:tcPr>
          <w:p>
            <w:pPr>
              <w:pStyle w:val="17"/>
            </w:pPr>
            <w:r>
              <w:t>年度项目完成情况</w:t>
            </w:r>
          </w:p>
        </w:tc>
        <w:tc>
          <w:tcPr>
            <w:tcW w:w="3320" w:type="dxa"/>
            <w:noWrap/>
            <w:vAlign w:val="center"/>
          </w:tcPr>
          <w:p>
            <w:pPr>
              <w:pStyle w:val="17"/>
            </w:pPr>
            <w:r>
              <w:t>年度项目按规定时间点完成</w:t>
            </w:r>
          </w:p>
        </w:tc>
        <w:tc>
          <w:tcPr>
            <w:tcW w:w="847" w:type="dxa"/>
            <w:noWrap/>
            <w:vAlign w:val="center"/>
          </w:tcPr>
          <w:p>
            <w:pPr>
              <w:pStyle w:val="17"/>
            </w:pPr>
            <w:r>
              <w:t>≥90百分比</w:t>
            </w:r>
          </w:p>
        </w:tc>
        <w:tc>
          <w:tcPr>
            <w:tcW w:w="1843"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6" w:type="dxa"/>
            <w:vMerge w:val="continue"/>
            <w:noWrap/>
            <w:vAlign w:val="center"/>
          </w:tcPr>
          <w:p/>
        </w:tc>
        <w:tc>
          <w:tcPr>
            <w:tcW w:w="3311" w:type="dxa"/>
            <w:noWrap/>
            <w:vAlign w:val="center"/>
          </w:tcPr>
          <w:p>
            <w:pPr>
              <w:pStyle w:val="17"/>
            </w:pPr>
            <w:r>
              <w:t>成本指标</w:t>
            </w:r>
          </w:p>
        </w:tc>
        <w:tc>
          <w:tcPr>
            <w:tcW w:w="1332" w:type="dxa"/>
            <w:noWrap/>
            <w:vAlign w:val="center"/>
          </w:tcPr>
          <w:p>
            <w:pPr>
              <w:pStyle w:val="17"/>
            </w:pPr>
            <w:r>
              <w:t>经费控制数</w:t>
            </w:r>
          </w:p>
        </w:tc>
        <w:tc>
          <w:tcPr>
            <w:tcW w:w="3320" w:type="dxa"/>
            <w:noWrap/>
            <w:vAlign w:val="center"/>
          </w:tcPr>
          <w:p>
            <w:pPr>
              <w:pStyle w:val="17"/>
            </w:pPr>
            <w:r>
              <w:t>经费控制数</w:t>
            </w:r>
          </w:p>
        </w:tc>
        <w:tc>
          <w:tcPr>
            <w:tcW w:w="847" w:type="dxa"/>
            <w:noWrap/>
            <w:vAlign w:val="center"/>
          </w:tcPr>
          <w:p>
            <w:pPr>
              <w:pStyle w:val="17"/>
            </w:pPr>
            <w:r>
              <w:t>≤1万元</w:t>
            </w:r>
          </w:p>
        </w:tc>
        <w:tc>
          <w:tcPr>
            <w:tcW w:w="1843"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6" w:type="dxa"/>
            <w:noWrap/>
            <w:vAlign w:val="center"/>
          </w:tcPr>
          <w:p>
            <w:pPr>
              <w:pStyle w:val="18"/>
            </w:pPr>
            <w:r>
              <w:t>效益指标</w:t>
            </w:r>
          </w:p>
        </w:tc>
        <w:tc>
          <w:tcPr>
            <w:tcW w:w="3311" w:type="dxa"/>
            <w:noWrap/>
            <w:vAlign w:val="center"/>
          </w:tcPr>
          <w:p>
            <w:pPr>
              <w:pStyle w:val="17"/>
            </w:pPr>
            <w:r>
              <w:t>社会效益指标</w:t>
            </w:r>
          </w:p>
        </w:tc>
        <w:tc>
          <w:tcPr>
            <w:tcW w:w="1332" w:type="dxa"/>
            <w:noWrap/>
            <w:vAlign w:val="center"/>
          </w:tcPr>
          <w:p>
            <w:pPr>
              <w:pStyle w:val="17"/>
            </w:pPr>
            <w:r>
              <w:t>保障人员办公</w:t>
            </w:r>
          </w:p>
        </w:tc>
        <w:tc>
          <w:tcPr>
            <w:tcW w:w="3320" w:type="dxa"/>
            <w:noWrap/>
            <w:vAlign w:val="center"/>
          </w:tcPr>
          <w:p>
            <w:pPr>
              <w:pStyle w:val="17"/>
            </w:pPr>
            <w:r>
              <w:t>能够保障人员日常工作效率。</w:t>
            </w:r>
          </w:p>
        </w:tc>
        <w:tc>
          <w:tcPr>
            <w:tcW w:w="847" w:type="dxa"/>
            <w:noWrap/>
            <w:vAlign w:val="center"/>
          </w:tcPr>
          <w:p>
            <w:pPr>
              <w:pStyle w:val="17"/>
            </w:pPr>
            <w:r>
              <w:t>≥90百分比</w:t>
            </w:r>
          </w:p>
        </w:tc>
        <w:tc>
          <w:tcPr>
            <w:tcW w:w="1843" w:type="dxa"/>
            <w:noWrap/>
            <w:vAlign w:val="center"/>
          </w:tcPr>
          <w:p>
            <w:pPr>
              <w:pStyle w:val="17"/>
            </w:pPr>
            <w:r>
              <w:t>依据工作方案</w:t>
            </w:r>
          </w:p>
        </w:tc>
      </w:tr>
    </w:tbl>
    <w:p/>
    <w:p>
      <w:pPr>
        <w:spacing w:line="2" w:lineRule="exact"/>
        <w:jc w:val="center"/>
      </w:pPr>
    </w:p>
    <w:p>
      <w:pPr>
        <w:sectPr>
          <w:pgSz w:w="16840" w:h="11900" w:orient="landscape"/>
          <w:pgMar w:top="1361" w:right="1020" w:bottom="1134" w:left="1020" w:header="720" w:footer="720" w:gutter="0"/>
          <w:cols w:space="720" w:num="1"/>
        </w:sectPr>
      </w:pPr>
    </w:p>
    <w:p>
      <w:pPr>
        <w:ind w:firstLine="281" w:firstLineChars="10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纪检经费绩效目标表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18"/>
        <w:gridCol w:w="1309"/>
        <w:gridCol w:w="1432"/>
        <w:gridCol w:w="3791"/>
        <w:gridCol w:w="1445"/>
        <w:gridCol w:w="377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18" w:type="dxa"/>
            <w:tcBorders>
              <w:bottom w:val="single" w:color="FFFFFF" w:sz="6" w:space="0"/>
            </w:tcBorders>
            <w:vAlign w:val="center"/>
          </w:tcPr>
          <w:p>
            <w:pPr>
              <w:pStyle w:val="15"/>
            </w:pPr>
            <w:r>
              <w:t>绩效目标</w:t>
            </w:r>
          </w:p>
        </w:tc>
        <w:tc>
          <w:tcPr>
            <w:tcW w:w="11755" w:type="dxa"/>
            <w:gridSpan w:val="5"/>
            <w:tcBorders>
              <w:bottom w:val="single" w:color="FFFFFF" w:sz="6" w:space="0"/>
            </w:tcBorders>
            <w:vAlign w:val="center"/>
          </w:tcPr>
          <w:p>
            <w:pPr>
              <w:pStyle w:val="17"/>
            </w:pPr>
            <w:r>
              <w:rPr>
                <w:rFonts w:hint="eastAsia"/>
              </w:rPr>
              <w:t>1.认真落实纪检部门各项任务，加强监督检查，促进党风廉政。发挥乡纪检监督职能，做到有案必查，有腐必惩，深化廉政教育学习。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8" w:type="dxa"/>
            <w:noWrap/>
            <w:vAlign w:val="center"/>
          </w:tcPr>
          <w:p>
            <w:pPr>
              <w:pStyle w:val="15"/>
            </w:pPr>
            <w:r>
              <w:t>一级指标</w:t>
            </w:r>
          </w:p>
        </w:tc>
        <w:tc>
          <w:tcPr>
            <w:tcW w:w="1309" w:type="dxa"/>
            <w:noWrap/>
            <w:vAlign w:val="center"/>
          </w:tcPr>
          <w:p>
            <w:pPr>
              <w:pStyle w:val="15"/>
            </w:pPr>
            <w:r>
              <w:t>二级指标</w:t>
            </w:r>
          </w:p>
        </w:tc>
        <w:tc>
          <w:tcPr>
            <w:tcW w:w="1432" w:type="dxa"/>
            <w:noWrap/>
            <w:vAlign w:val="center"/>
          </w:tcPr>
          <w:p>
            <w:pPr>
              <w:pStyle w:val="15"/>
            </w:pPr>
            <w:r>
              <w:t>三级指标</w:t>
            </w:r>
          </w:p>
        </w:tc>
        <w:tc>
          <w:tcPr>
            <w:tcW w:w="3791" w:type="dxa"/>
            <w:noWrap/>
            <w:vAlign w:val="center"/>
          </w:tcPr>
          <w:p>
            <w:pPr>
              <w:pStyle w:val="15"/>
            </w:pPr>
            <w:r>
              <w:t>绩效指标描述</w:t>
            </w:r>
          </w:p>
        </w:tc>
        <w:tc>
          <w:tcPr>
            <w:tcW w:w="1445" w:type="dxa"/>
            <w:noWrap/>
            <w:vAlign w:val="center"/>
          </w:tcPr>
          <w:p>
            <w:pPr>
              <w:pStyle w:val="15"/>
            </w:pPr>
            <w:r>
              <w:t>指标值</w:t>
            </w:r>
          </w:p>
        </w:tc>
        <w:tc>
          <w:tcPr>
            <w:tcW w:w="3778" w:type="dxa"/>
            <w:noWrap/>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8" w:type="dxa"/>
            <w:vMerge w:val="restart"/>
            <w:noWrap/>
            <w:vAlign w:val="center"/>
          </w:tcPr>
          <w:p>
            <w:pPr>
              <w:pStyle w:val="18"/>
            </w:pPr>
            <w:r>
              <w:t>产出指标</w:t>
            </w:r>
          </w:p>
        </w:tc>
        <w:tc>
          <w:tcPr>
            <w:tcW w:w="1309" w:type="dxa"/>
            <w:noWrap/>
            <w:vAlign w:val="center"/>
          </w:tcPr>
          <w:p>
            <w:pPr>
              <w:pStyle w:val="17"/>
            </w:pPr>
            <w:r>
              <w:t>数量指标</w:t>
            </w:r>
          </w:p>
        </w:tc>
        <w:tc>
          <w:tcPr>
            <w:tcW w:w="1432" w:type="dxa"/>
            <w:noWrap/>
            <w:vAlign w:val="center"/>
          </w:tcPr>
          <w:p>
            <w:pPr>
              <w:pStyle w:val="17"/>
            </w:pPr>
            <w:r>
              <w:t>组织监督检查会议次数</w:t>
            </w:r>
          </w:p>
        </w:tc>
        <w:tc>
          <w:tcPr>
            <w:tcW w:w="3791" w:type="dxa"/>
            <w:noWrap/>
            <w:vAlign w:val="center"/>
          </w:tcPr>
          <w:p>
            <w:pPr>
              <w:pStyle w:val="17"/>
            </w:pPr>
            <w:r>
              <w:t>组织召开监督检查会议的次数</w:t>
            </w:r>
          </w:p>
        </w:tc>
        <w:tc>
          <w:tcPr>
            <w:tcW w:w="1445" w:type="dxa"/>
            <w:noWrap/>
            <w:vAlign w:val="center"/>
          </w:tcPr>
          <w:p>
            <w:pPr>
              <w:pStyle w:val="17"/>
            </w:pPr>
            <w:r>
              <w:t>≥5次</w:t>
            </w:r>
          </w:p>
        </w:tc>
        <w:tc>
          <w:tcPr>
            <w:tcW w:w="3778"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8" w:type="dxa"/>
            <w:vMerge w:val="continue"/>
            <w:noWrap/>
            <w:vAlign w:val="center"/>
          </w:tcPr>
          <w:p/>
        </w:tc>
        <w:tc>
          <w:tcPr>
            <w:tcW w:w="1309" w:type="dxa"/>
            <w:noWrap/>
            <w:vAlign w:val="center"/>
          </w:tcPr>
          <w:p>
            <w:pPr>
              <w:pStyle w:val="17"/>
            </w:pPr>
            <w:r>
              <w:t>质量指标</w:t>
            </w:r>
          </w:p>
        </w:tc>
        <w:tc>
          <w:tcPr>
            <w:tcW w:w="1432" w:type="dxa"/>
            <w:noWrap/>
            <w:vAlign w:val="center"/>
          </w:tcPr>
          <w:p>
            <w:pPr>
              <w:pStyle w:val="17"/>
            </w:pPr>
            <w:r>
              <w:t>案件办结率</w:t>
            </w:r>
          </w:p>
        </w:tc>
        <w:tc>
          <w:tcPr>
            <w:tcW w:w="3791" w:type="dxa"/>
            <w:noWrap/>
            <w:vAlign w:val="center"/>
          </w:tcPr>
          <w:p>
            <w:pPr>
              <w:pStyle w:val="17"/>
            </w:pPr>
            <w:r>
              <w:t>办结案件数量占立案案件总数的比率</w:t>
            </w:r>
          </w:p>
        </w:tc>
        <w:tc>
          <w:tcPr>
            <w:tcW w:w="1445" w:type="dxa"/>
            <w:noWrap/>
            <w:vAlign w:val="center"/>
          </w:tcPr>
          <w:p>
            <w:pPr>
              <w:pStyle w:val="17"/>
            </w:pPr>
            <w:r>
              <w:t>≥90百分比</w:t>
            </w:r>
          </w:p>
        </w:tc>
        <w:tc>
          <w:tcPr>
            <w:tcW w:w="3778"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8" w:type="dxa"/>
            <w:vMerge w:val="continue"/>
            <w:noWrap/>
            <w:vAlign w:val="center"/>
          </w:tcPr>
          <w:p/>
        </w:tc>
        <w:tc>
          <w:tcPr>
            <w:tcW w:w="1309" w:type="dxa"/>
            <w:noWrap/>
            <w:vAlign w:val="center"/>
          </w:tcPr>
          <w:p>
            <w:pPr>
              <w:pStyle w:val="17"/>
            </w:pPr>
            <w:r>
              <w:t>时效指标</w:t>
            </w:r>
          </w:p>
        </w:tc>
        <w:tc>
          <w:tcPr>
            <w:tcW w:w="1432" w:type="dxa"/>
            <w:noWrap/>
            <w:vAlign w:val="center"/>
          </w:tcPr>
          <w:p>
            <w:pPr>
              <w:pStyle w:val="17"/>
            </w:pPr>
            <w:r>
              <w:t>年度项目完成情况</w:t>
            </w:r>
          </w:p>
        </w:tc>
        <w:tc>
          <w:tcPr>
            <w:tcW w:w="3791" w:type="dxa"/>
            <w:noWrap/>
            <w:vAlign w:val="center"/>
          </w:tcPr>
          <w:p>
            <w:pPr>
              <w:pStyle w:val="17"/>
            </w:pPr>
            <w:r>
              <w:t>年度项目按规定时间点完成</w:t>
            </w:r>
          </w:p>
        </w:tc>
        <w:tc>
          <w:tcPr>
            <w:tcW w:w="1445" w:type="dxa"/>
            <w:noWrap/>
            <w:vAlign w:val="center"/>
          </w:tcPr>
          <w:p>
            <w:pPr>
              <w:pStyle w:val="17"/>
            </w:pPr>
            <w:r>
              <w:t>≥90百分比</w:t>
            </w:r>
          </w:p>
        </w:tc>
        <w:tc>
          <w:tcPr>
            <w:tcW w:w="3778"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8" w:type="dxa"/>
            <w:vMerge w:val="continue"/>
            <w:noWrap/>
            <w:vAlign w:val="center"/>
          </w:tcPr>
          <w:p/>
        </w:tc>
        <w:tc>
          <w:tcPr>
            <w:tcW w:w="1309" w:type="dxa"/>
            <w:noWrap/>
            <w:vAlign w:val="center"/>
          </w:tcPr>
          <w:p>
            <w:pPr>
              <w:pStyle w:val="17"/>
            </w:pPr>
            <w:r>
              <w:t>成本指标</w:t>
            </w:r>
          </w:p>
        </w:tc>
        <w:tc>
          <w:tcPr>
            <w:tcW w:w="1432" w:type="dxa"/>
            <w:noWrap/>
            <w:vAlign w:val="center"/>
          </w:tcPr>
          <w:p>
            <w:pPr>
              <w:pStyle w:val="17"/>
            </w:pPr>
            <w:r>
              <w:t>经费控制数</w:t>
            </w:r>
          </w:p>
        </w:tc>
        <w:tc>
          <w:tcPr>
            <w:tcW w:w="3791" w:type="dxa"/>
            <w:noWrap/>
            <w:vAlign w:val="center"/>
          </w:tcPr>
          <w:p>
            <w:pPr>
              <w:pStyle w:val="17"/>
            </w:pPr>
            <w:r>
              <w:t>经费控制数</w:t>
            </w:r>
          </w:p>
        </w:tc>
        <w:tc>
          <w:tcPr>
            <w:tcW w:w="1445" w:type="dxa"/>
            <w:noWrap/>
            <w:vAlign w:val="center"/>
          </w:tcPr>
          <w:p>
            <w:pPr>
              <w:pStyle w:val="17"/>
            </w:pPr>
            <w:r>
              <w:t>≤1万元</w:t>
            </w:r>
          </w:p>
        </w:tc>
        <w:tc>
          <w:tcPr>
            <w:tcW w:w="3778"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8" w:type="dxa"/>
            <w:noWrap/>
            <w:vAlign w:val="center"/>
          </w:tcPr>
          <w:p>
            <w:pPr>
              <w:pStyle w:val="18"/>
            </w:pPr>
            <w:r>
              <w:t>效益指标</w:t>
            </w:r>
          </w:p>
        </w:tc>
        <w:tc>
          <w:tcPr>
            <w:tcW w:w="1309" w:type="dxa"/>
            <w:noWrap/>
            <w:vAlign w:val="center"/>
          </w:tcPr>
          <w:p>
            <w:pPr>
              <w:pStyle w:val="17"/>
            </w:pPr>
            <w:r>
              <w:t>社会效益指标</w:t>
            </w:r>
          </w:p>
        </w:tc>
        <w:tc>
          <w:tcPr>
            <w:tcW w:w="1432" w:type="dxa"/>
            <w:noWrap/>
            <w:vAlign w:val="center"/>
          </w:tcPr>
          <w:p>
            <w:pPr>
              <w:pStyle w:val="17"/>
            </w:pPr>
            <w:r>
              <w:t>社会会影响力</w:t>
            </w:r>
          </w:p>
        </w:tc>
        <w:tc>
          <w:tcPr>
            <w:tcW w:w="3791" w:type="dxa"/>
            <w:noWrap/>
            <w:vAlign w:val="center"/>
          </w:tcPr>
          <w:p>
            <w:pPr>
              <w:pStyle w:val="17"/>
            </w:pPr>
            <w:r>
              <w:t>在本地区产生的重要影响，得到广大受众的充分认可</w:t>
            </w:r>
          </w:p>
        </w:tc>
        <w:tc>
          <w:tcPr>
            <w:tcW w:w="1445" w:type="dxa"/>
            <w:noWrap/>
            <w:vAlign w:val="center"/>
          </w:tcPr>
          <w:p>
            <w:pPr>
              <w:pStyle w:val="17"/>
            </w:pPr>
            <w:r>
              <w:t>≥90百分比</w:t>
            </w:r>
          </w:p>
        </w:tc>
        <w:tc>
          <w:tcPr>
            <w:tcW w:w="3778" w:type="dxa"/>
            <w:noWrap/>
            <w:vAlign w:val="center"/>
          </w:tcPr>
          <w:p>
            <w:pPr>
              <w:pStyle w:val="17"/>
            </w:pPr>
            <w:r>
              <w:t>依据工作方案</w:t>
            </w:r>
          </w:p>
        </w:tc>
      </w:tr>
    </w:tbl>
    <w:p>
      <w:pPr>
        <w:spacing w:line="2" w:lineRule="exact"/>
        <w:jc w:val="center"/>
      </w:pPr>
    </w:p>
    <w:p>
      <w:pPr>
        <w:sectPr>
          <w:pgSz w:w="16840" w:h="11900" w:orient="landscape"/>
          <w:pgMar w:top="1361" w:right="1020" w:bottom="1134" w:left="1020" w:header="720" w:footer="720" w:gutter="0"/>
          <w:cols w:space="720" w:num="1"/>
        </w:sectPr>
      </w:pPr>
    </w:p>
    <w:p>
      <w:pPr>
        <w:ind w:firstLine="281" w:firstLineChars="1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农村文化建设资金绩效目标表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135"/>
        <w:gridCol w:w="1884"/>
        <w:gridCol w:w="4091"/>
        <w:gridCol w:w="1664"/>
        <w:gridCol w:w="398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gridSpan w:val="5"/>
            <w:tcBorders>
              <w:bottom w:val="single" w:color="FFFFFF" w:sz="6" w:space="0"/>
            </w:tcBorders>
            <w:vAlign w:val="center"/>
          </w:tcPr>
          <w:p>
            <w:pPr>
              <w:pStyle w:val="17"/>
            </w:pPr>
            <w:r>
              <w:rPr>
                <w:rFonts w:hint="eastAsia"/>
              </w:rPr>
              <w:t>1.加强文化队伍和村级文化阵地建设，营造镇域文化氛围，发掘民间艺术资源以及开展群娱活动。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ign w:val="center"/>
          </w:tcPr>
          <w:p>
            <w:pPr>
              <w:pStyle w:val="15"/>
            </w:pPr>
            <w:r>
              <w:t>一级指标</w:t>
            </w:r>
          </w:p>
        </w:tc>
        <w:tc>
          <w:tcPr>
            <w:tcW w:w="1135" w:type="dxa"/>
            <w:noWrap/>
            <w:vAlign w:val="center"/>
          </w:tcPr>
          <w:p>
            <w:pPr>
              <w:pStyle w:val="15"/>
            </w:pPr>
            <w:r>
              <w:t>二级指标</w:t>
            </w:r>
          </w:p>
        </w:tc>
        <w:tc>
          <w:tcPr>
            <w:tcW w:w="1884" w:type="dxa"/>
            <w:noWrap/>
            <w:vAlign w:val="center"/>
          </w:tcPr>
          <w:p>
            <w:pPr>
              <w:pStyle w:val="15"/>
            </w:pPr>
            <w:r>
              <w:t>三级指标</w:t>
            </w:r>
          </w:p>
        </w:tc>
        <w:tc>
          <w:tcPr>
            <w:tcW w:w="4091" w:type="dxa"/>
            <w:noWrap/>
            <w:vAlign w:val="center"/>
          </w:tcPr>
          <w:p>
            <w:pPr>
              <w:pStyle w:val="15"/>
            </w:pPr>
            <w:r>
              <w:t>绩效指标描述</w:t>
            </w:r>
          </w:p>
        </w:tc>
        <w:tc>
          <w:tcPr>
            <w:tcW w:w="1664" w:type="dxa"/>
            <w:noWrap/>
            <w:vAlign w:val="center"/>
          </w:tcPr>
          <w:p>
            <w:pPr>
              <w:pStyle w:val="15"/>
            </w:pPr>
            <w:r>
              <w:t>指标值</w:t>
            </w:r>
          </w:p>
        </w:tc>
        <w:tc>
          <w:tcPr>
            <w:tcW w:w="3982" w:type="dxa"/>
            <w:noWrap/>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noWrap/>
            <w:vAlign w:val="center"/>
          </w:tcPr>
          <w:p>
            <w:pPr>
              <w:pStyle w:val="18"/>
            </w:pPr>
            <w:r>
              <w:t>产出指标</w:t>
            </w:r>
          </w:p>
        </w:tc>
        <w:tc>
          <w:tcPr>
            <w:tcW w:w="1135" w:type="dxa"/>
            <w:noWrap/>
            <w:vAlign w:val="center"/>
          </w:tcPr>
          <w:p>
            <w:pPr>
              <w:pStyle w:val="17"/>
            </w:pPr>
            <w:r>
              <w:t>数量指标</w:t>
            </w:r>
          </w:p>
        </w:tc>
        <w:tc>
          <w:tcPr>
            <w:tcW w:w="1884" w:type="dxa"/>
            <w:noWrap/>
            <w:vAlign w:val="center"/>
          </w:tcPr>
          <w:p>
            <w:pPr>
              <w:pStyle w:val="17"/>
            </w:pPr>
            <w:r>
              <w:t>公共文化服务活动数量</w:t>
            </w:r>
          </w:p>
        </w:tc>
        <w:tc>
          <w:tcPr>
            <w:tcW w:w="4091" w:type="dxa"/>
            <w:noWrap/>
            <w:vAlign w:val="center"/>
          </w:tcPr>
          <w:p>
            <w:pPr>
              <w:pStyle w:val="17"/>
            </w:pPr>
            <w:r>
              <w:t>各类公共文化服务活动组织开展的数量</w:t>
            </w:r>
          </w:p>
        </w:tc>
        <w:tc>
          <w:tcPr>
            <w:tcW w:w="1664" w:type="dxa"/>
            <w:noWrap/>
            <w:vAlign w:val="center"/>
          </w:tcPr>
          <w:p>
            <w:pPr>
              <w:pStyle w:val="17"/>
            </w:pPr>
            <w:r>
              <w:t>≥10次</w:t>
            </w:r>
          </w:p>
        </w:tc>
        <w:tc>
          <w:tcPr>
            <w:tcW w:w="3982"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noWrap/>
            <w:vAlign w:val="center"/>
          </w:tcPr>
          <w:p/>
        </w:tc>
        <w:tc>
          <w:tcPr>
            <w:tcW w:w="1135" w:type="dxa"/>
            <w:noWrap/>
            <w:vAlign w:val="center"/>
          </w:tcPr>
          <w:p>
            <w:pPr>
              <w:pStyle w:val="17"/>
            </w:pPr>
            <w:r>
              <w:t>质量指标</w:t>
            </w:r>
          </w:p>
        </w:tc>
        <w:tc>
          <w:tcPr>
            <w:tcW w:w="1884" w:type="dxa"/>
            <w:noWrap/>
            <w:vAlign w:val="center"/>
          </w:tcPr>
          <w:p>
            <w:pPr>
              <w:pStyle w:val="17"/>
            </w:pPr>
            <w:r>
              <w:t>文化设施达标率</w:t>
            </w:r>
          </w:p>
        </w:tc>
        <w:tc>
          <w:tcPr>
            <w:tcW w:w="4091" w:type="dxa"/>
            <w:noWrap/>
            <w:vAlign w:val="center"/>
          </w:tcPr>
          <w:p>
            <w:pPr>
              <w:pStyle w:val="17"/>
            </w:pPr>
            <w:r>
              <w:t>省内实际文化设施达标数量占文化设施总数的比率</w:t>
            </w:r>
          </w:p>
        </w:tc>
        <w:tc>
          <w:tcPr>
            <w:tcW w:w="1664" w:type="dxa"/>
            <w:noWrap/>
            <w:vAlign w:val="center"/>
          </w:tcPr>
          <w:p>
            <w:pPr>
              <w:pStyle w:val="17"/>
            </w:pPr>
            <w:r>
              <w:t>≥90百分比</w:t>
            </w:r>
          </w:p>
        </w:tc>
        <w:tc>
          <w:tcPr>
            <w:tcW w:w="3982"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noWrap/>
            <w:vAlign w:val="center"/>
          </w:tcPr>
          <w:p/>
        </w:tc>
        <w:tc>
          <w:tcPr>
            <w:tcW w:w="1135" w:type="dxa"/>
            <w:noWrap/>
            <w:vAlign w:val="center"/>
          </w:tcPr>
          <w:p>
            <w:pPr>
              <w:pStyle w:val="17"/>
            </w:pPr>
            <w:r>
              <w:t>时效指标</w:t>
            </w:r>
          </w:p>
        </w:tc>
        <w:tc>
          <w:tcPr>
            <w:tcW w:w="1884" w:type="dxa"/>
            <w:noWrap/>
            <w:vAlign w:val="center"/>
          </w:tcPr>
          <w:p>
            <w:pPr>
              <w:pStyle w:val="17"/>
            </w:pPr>
            <w:r>
              <w:t>年度项目完成情况</w:t>
            </w:r>
          </w:p>
        </w:tc>
        <w:tc>
          <w:tcPr>
            <w:tcW w:w="4091" w:type="dxa"/>
            <w:noWrap/>
            <w:vAlign w:val="center"/>
          </w:tcPr>
          <w:p>
            <w:pPr>
              <w:pStyle w:val="17"/>
            </w:pPr>
            <w:r>
              <w:t>年度项目按规定时间点完成</w:t>
            </w:r>
          </w:p>
        </w:tc>
        <w:tc>
          <w:tcPr>
            <w:tcW w:w="1664" w:type="dxa"/>
            <w:noWrap/>
            <w:vAlign w:val="center"/>
          </w:tcPr>
          <w:p>
            <w:pPr>
              <w:pStyle w:val="17"/>
            </w:pPr>
            <w:r>
              <w:t>≥90百分比</w:t>
            </w:r>
          </w:p>
        </w:tc>
        <w:tc>
          <w:tcPr>
            <w:tcW w:w="3982"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noWrap/>
            <w:vAlign w:val="center"/>
          </w:tcPr>
          <w:p/>
        </w:tc>
        <w:tc>
          <w:tcPr>
            <w:tcW w:w="1135" w:type="dxa"/>
            <w:noWrap/>
            <w:vAlign w:val="center"/>
          </w:tcPr>
          <w:p>
            <w:pPr>
              <w:pStyle w:val="17"/>
            </w:pPr>
            <w:r>
              <w:t>成本指标</w:t>
            </w:r>
          </w:p>
        </w:tc>
        <w:tc>
          <w:tcPr>
            <w:tcW w:w="1884" w:type="dxa"/>
            <w:noWrap/>
            <w:vAlign w:val="center"/>
          </w:tcPr>
          <w:p>
            <w:pPr>
              <w:pStyle w:val="17"/>
            </w:pPr>
            <w:r>
              <w:t>经费控制数</w:t>
            </w:r>
          </w:p>
        </w:tc>
        <w:tc>
          <w:tcPr>
            <w:tcW w:w="4091" w:type="dxa"/>
            <w:noWrap/>
            <w:vAlign w:val="center"/>
          </w:tcPr>
          <w:p>
            <w:pPr>
              <w:pStyle w:val="17"/>
            </w:pPr>
            <w:r>
              <w:t>经费控制数</w:t>
            </w:r>
          </w:p>
        </w:tc>
        <w:tc>
          <w:tcPr>
            <w:tcW w:w="1664" w:type="dxa"/>
            <w:noWrap/>
            <w:vAlign w:val="center"/>
          </w:tcPr>
          <w:p>
            <w:pPr>
              <w:pStyle w:val="17"/>
            </w:pPr>
            <w:r>
              <w:t>≤1.75万元</w:t>
            </w:r>
          </w:p>
        </w:tc>
        <w:tc>
          <w:tcPr>
            <w:tcW w:w="3982"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ign w:val="center"/>
          </w:tcPr>
          <w:p>
            <w:pPr>
              <w:pStyle w:val="18"/>
            </w:pPr>
            <w:r>
              <w:t>效益指标</w:t>
            </w:r>
          </w:p>
        </w:tc>
        <w:tc>
          <w:tcPr>
            <w:tcW w:w="1135" w:type="dxa"/>
            <w:noWrap/>
            <w:vAlign w:val="center"/>
          </w:tcPr>
          <w:p>
            <w:pPr>
              <w:pStyle w:val="17"/>
            </w:pPr>
            <w:r>
              <w:t>社会效益指标</w:t>
            </w:r>
          </w:p>
        </w:tc>
        <w:tc>
          <w:tcPr>
            <w:tcW w:w="1884" w:type="dxa"/>
            <w:noWrap/>
            <w:vAlign w:val="center"/>
          </w:tcPr>
          <w:p>
            <w:pPr>
              <w:pStyle w:val="17"/>
            </w:pPr>
            <w:r>
              <w:t>对宣传文化事业发展促进推动作用</w:t>
            </w:r>
          </w:p>
        </w:tc>
        <w:tc>
          <w:tcPr>
            <w:tcW w:w="4091" w:type="dxa"/>
            <w:noWrap/>
            <w:vAlign w:val="center"/>
          </w:tcPr>
          <w:p>
            <w:pPr>
              <w:pStyle w:val="17"/>
            </w:pPr>
            <w:r>
              <w:t>通过支持重点宣传文化项目建设，带动全省宣传文化事业发展的效果</w:t>
            </w:r>
          </w:p>
        </w:tc>
        <w:tc>
          <w:tcPr>
            <w:tcW w:w="1664" w:type="dxa"/>
            <w:noWrap/>
            <w:vAlign w:val="center"/>
          </w:tcPr>
          <w:p>
            <w:pPr>
              <w:pStyle w:val="17"/>
            </w:pPr>
            <w:r>
              <w:t>≥90百分比</w:t>
            </w:r>
          </w:p>
        </w:tc>
        <w:tc>
          <w:tcPr>
            <w:tcW w:w="3982" w:type="dxa"/>
            <w:noWrap/>
            <w:vAlign w:val="center"/>
          </w:tcPr>
          <w:p>
            <w:pPr>
              <w:pStyle w:val="17"/>
            </w:pPr>
            <w:r>
              <w:t>依据工作方案</w:t>
            </w:r>
          </w:p>
        </w:tc>
      </w:tr>
    </w:tbl>
    <w:p>
      <w:pPr>
        <w:spacing w:line="2" w:lineRule="exact"/>
        <w:jc w:val="center"/>
      </w:pPr>
    </w:p>
    <w:p>
      <w:pPr>
        <w:sectPr>
          <w:pgSz w:w="16840" w:h="11900" w:orient="landscape"/>
          <w:pgMar w:top="1361" w:right="1020" w:bottom="1134" w:left="1020" w:header="720" w:footer="720" w:gutter="0"/>
          <w:cols w:space="720" w:num="1"/>
        </w:sectPr>
      </w:pPr>
    </w:p>
    <w:p>
      <w:pPr>
        <w:ind w:firstLine="281" w:firstLineChars="1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人大主席团活动经费绩效目标表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76"/>
        <w:gridCol w:w="141"/>
        <w:gridCol w:w="1135"/>
        <w:gridCol w:w="2239"/>
        <w:gridCol w:w="4227"/>
        <w:gridCol w:w="1991"/>
        <w:gridCol w:w="316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tcBorders>
              <w:bottom w:val="single" w:color="FFFFFF" w:sz="6" w:space="0"/>
            </w:tcBorders>
            <w:vAlign w:val="center"/>
          </w:tcPr>
          <w:p>
            <w:pPr>
              <w:pStyle w:val="15"/>
            </w:pPr>
            <w:r>
              <w:t>绩效目标</w:t>
            </w:r>
          </w:p>
        </w:tc>
        <w:tc>
          <w:tcPr>
            <w:tcW w:w="12756" w:type="dxa"/>
            <w:gridSpan w:val="5"/>
            <w:tcBorders>
              <w:bottom w:val="single" w:color="FFFFFF" w:sz="6" w:space="0"/>
            </w:tcBorders>
            <w:vAlign w:val="center"/>
          </w:tcPr>
          <w:p>
            <w:pPr>
              <w:pStyle w:val="17"/>
            </w:pPr>
            <w:r>
              <w:rPr>
                <w:rFonts w:hint="eastAsia"/>
              </w:rPr>
              <w:t>1.落实中央2015（18）号文件精神和省委市委落实中央18号文件的意见，切实加强基层人大建设，保障乡人大主席团的正常运转。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pPr>
              <w:pStyle w:val="15"/>
            </w:pPr>
            <w:r>
              <w:t>一级指标</w:t>
            </w:r>
          </w:p>
        </w:tc>
        <w:tc>
          <w:tcPr>
            <w:tcW w:w="1276" w:type="dxa"/>
            <w:gridSpan w:val="2"/>
            <w:noWrap/>
            <w:vAlign w:val="center"/>
          </w:tcPr>
          <w:p>
            <w:pPr>
              <w:pStyle w:val="15"/>
            </w:pPr>
            <w:r>
              <w:t>二级指标</w:t>
            </w:r>
          </w:p>
        </w:tc>
        <w:tc>
          <w:tcPr>
            <w:tcW w:w="2239" w:type="dxa"/>
            <w:noWrap/>
            <w:vAlign w:val="center"/>
          </w:tcPr>
          <w:p>
            <w:pPr>
              <w:pStyle w:val="15"/>
            </w:pPr>
            <w:r>
              <w:t>三级指标</w:t>
            </w:r>
          </w:p>
        </w:tc>
        <w:tc>
          <w:tcPr>
            <w:tcW w:w="4227" w:type="dxa"/>
            <w:noWrap/>
            <w:vAlign w:val="center"/>
          </w:tcPr>
          <w:p>
            <w:pPr>
              <w:pStyle w:val="15"/>
            </w:pPr>
            <w:r>
              <w:t>绩效指标描述</w:t>
            </w:r>
          </w:p>
        </w:tc>
        <w:tc>
          <w:tcPr>
            <w:tcW w:w="1991" w:type="dxa"/>
            <w:noWrap/>
            <w:vAlign w:val="center"/>
          </w:tcPr>
          <w:p>
            <w:pPr>
              <w:pStyle w:val="15"/>
            </w:pPr>
            <w:r>
              <w:t>指标值</w:t>
            </w:r>
          </w:p>
        </w:tc>
        <w:tc>
          <w:tcPr>
            <w:tcW w:w="3164" w:type="dxa"/>
            <w:noWrap/>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pPr>
              <w:pStyle w:val="18"/>
            </w:pPr>
            <w:r>
              <w:t>产出指标</w:t>
            </w:r>
          </w:p>
        </w:tc>
        <w:tc>
          <w:tcPr>
            <w:tcW w:w="1276" w:type="dxa"/>
            <w:gridSpan w:val="2"/>
            <w:noWrap/>
            <w:vAlign w:val="center"/>
          </w:tcPr>
          <w:p>
            <w:pPr>
              <w:pStyle w:val="17"/>
            </w:pPr>
            <w:r>
              <w:t>数量指标</w:t>
            </w:r>
          </w:p>
        </w:tc>
        <w:tc>
          <w:tcPr>
            <w:tcW w:w="2239" w:type="dxa"/>
            <w:noWrap/>
            <w:vAlign w:val="center"/>
          </w:tcPr>
          <w:p>
            <w:pPr>
              <w:pStyle w:val="17"/>
            </w:pPr>
            <w:r>
              <w:t>参与政府决策活动次数</w:t>
            </w:r>
          </w:p>
        </w:tc>
        <w:tc>
          <w:tcPr>
            <w:tcW w:w="4227" w:type="dxa"/>
            <w:noWrap/>
            <w:vAlign w:val="center"/>
          </w:tcPr>
          <w:p>
            <w:pPr>
              <w:pStyle w:val="17"/>
            </w:pPr>
            <w:r>
              <w:t>参与决策咨询活动次数</w:t>
            </w:r>
          </w:p>
        </w:tc>
        <w:tc>
          <w:tcPr>
            <w:tcW w:w="1991" w:type="dxa"/>
            <w:noWrap/>
            <w:vAlign w:val="center"/>
          </w:tcPr>
          <w:p>
            <w:pPr>
              <w:pStyle w:val="17"/>
            </w:pPr>
            <w:r>
              <w:t>≥5次</w:t>
            </w:r>
          </w:p>
        </w:tc>
        <w:tc>
          <w:tcPr>
            <w:tcW w:w="3164"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tc>
        <w:tc>
          <w:tcPr>
            <w:tcW w:w="1276" w:type="dxa"/>
            <w:gridSpan w:val="2"/>
            <w:noWrap/>
            <w:vAlign w:val="center"/>
          </w:tcPr>
          <w:p>
            <w:pPr>
              <w:pStyle w:val="17"/>
            </w:pPr>
            <w:r>
              <w:t>质量指标</w:t>
            </w:r>
          </w:p>
        </w:tc>
        <w:tc>
          <w:tcPr>
            <w:tcW w:w="2239" w:type="dxa"/>
            <w:noWrap/>
            <w:vAlign w:val="center"/>
          </w:tcPr>
          <w:p>
            <w:pPr>
              <w:pStyle w:val="17"/>
            </w:pPr>
            <w:r>
              <w:t>工作经费使用率</w:t>
            </w:r>
          </w:p>
        </w:tc>
        <w:tc>
          <w:tcPr>
            <w:tcW w:w="4227" w:type="dxa"/>
            <w:noWrap/>
            <w:vAlign w:val="center"/>
          </w:tcPr>
          <w:p>
            <w:pPr>
              <w:pStyle w:val="17"/>
            </w:pPr>
            <w:r>
              <w:t>经费使用占拨付经费的比率</w:t>
            </w:r>
          </w:p>
        </w:tc>
        <w:tc>
          <w:tcPr>
            <w:tcW w:w="1991" w:type="dxa"/>
            <w:noWrap/>
            <w:vAlign w:val="center"/>
          </w:tcPr>
          <w:p>
            <w:pPr>
              <w:pStyle w:val="17"/>
            </w:pPr>
            <w:r>
              <w:t>≥85百分比</w:t>
            </w:r>
          </w:p>
        </w:tc>
        <w:tc>
          <w:tcPr>
            <w:tcW w:w="3164"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tc>
        <w:tc>
          <w:tcPr>
            <w:tcW w:w="1276" w:type="dxa"/>
            <w:gridSpan w:val="2"/>
            <w:noWrap/>
            <w:vAlign w:val="center"/>
          </w:tcPr>
          <w:p>
            <w:pPr>
              <w:pStyle w:val="17"/>
            </w:pPr>
            <w:r>
              <w:t>时效指标</w:t>
            </w:r>
          </w:p>
        </w:tc>
        <w:tc>
          <w:tcPr>
            <w:tcW w:w="2239" w:type="dxa"/>
            <w:noWrap/>
            <w:vAlign w:val="center"/>
          </w:tcPr>
          <w:p>
            <w:pPr>
              <w:pStyle w:val="17"/>
            </w:pPr>
            <w:r>
              <w:t>年度项目完成情况</w:t>
            </w:r>
          </w:p>
        </w:tc>
        <w:tc>
          <w:tcPr>
            <w:tcW w:w="4227" w:type="dxa"/>
            <w:noWrap/>
            <w:vAlign w:val="center"/>
          </w:tcPr>
          <w:p>
            <w:pPr>
              <w:pStyle w:val="17"/>
            </w:pPr>
            <w:r>
              <w:t>年度项目按规定时间点完成</w:t>
            </w:r>
          </w:p>
        </w:tc>
        <w:tc>
          <w:tcPr>
            <w:tcW w:w="1991" w:type="dxa"/>
            <w:noWrap/>
            <w:vAlign w:val="center"/>
          </w:tcPr>
          <w:p>
            <w:pPr>
              <w:pStyle w:val="17"/>
            </w:pPr>
            <w:r>
              <w:t>≥90百分比</w:t>
            </w:r>
          </w:p>
        </w:tc>
        <w:tc>
          <w:tcPr>
            <w:tcW w:w="3164"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tc>
        <w:tc>
          <w:tcPr>
            <w:tcW w:w="1276" w:type="dxa"/>
            <w:gridSpan w:val="2"/>
            <w:noWrap/>
            <w:vAlign w:val="center"/>
          </w:tcPr>
          <w:p>
            <w:pPr>
              <w:pStyle w:val="17"/>
            </w:pPr>
            <w:r>
              <w:t>成本指标</w:t>
            </w:r>
          </w:p>
        </w:tc>
        <w:tc>
          <w:tcPr>
            <w:tcW w:w="2239" w:type="dxa"/>
            <w:noWrap/>
            <w:vAlign w:val="center"/>
          </w:tcPr>
          <w:p>
            <w:pPr>
              <w:pStyle w:val="17"/>
            </w:pPr>
            <w:r>
              <w:t>经费控制数</w:t>
            </w:r>
          </w:p>
        </w:tc>
        <w:tc>
          <w:tcPr>
            <w:tcW w:w="4227" w:type="dxa"/>
            <w:noWrap/>
            <w:vAlign w:val="center"/>
          </w:tcPr>
          <w:p>
            <w:pPr>
              <w:pStyle w:val="17"/>
            </w:pPr>
            <w:r>
              <w:t>经费控制数</w:t>
            </w:r>
          </w:p>
        </w:tc>
        <w:tc>
          <w:tcPr>
            <w:tcW w:w="1991" w:type="dxa"/>
            <w:noWrap/>
            <w:vAlign w:val="center"/>
          </w:tcPr>
          <w:p>
            <w:pPr>
              <w:pStyle w:val="17"/>
            </w:pPr>
            <w:r>
              <w:t>≤</w:t>
            </w:r>
            <w:r>
              <w:rPr>
                <w:rFonts w:hint="eastAsia"/>
                <w:lang w:val="en-US" w:eastAsia="zh-CN"/>
              </w:rPr>
              <w:t>2</w:t>
            </w:r>
            <w:r>
              <w:t>万元</w:t>
            </w:r>
          </w:p>
        </w:tc>
        <w:tc>
          <w:tcPr>
            <w:tcW w:w="3164"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pPr>
              <w:pStyle w:val="18"/>
            </w:pPr>
            <w:r>
              <w:t>效益指标</w:t>
            </w:r>
          </w:p>
        </w:tc>
        <w:tc>
          <w:tcPr>
            <w:tcW w:w="1276" w:type="dxa"/>
            <w:gridSpan w:val="2"/>
            <w:noWrap/>
            <w:vAlign w:val="center"/>
          </w:tcPr>
          <w:p>
            <w:pPr>
              <w:pStyle w:val="17"/>
            </w:pPr>
            <w:r>
              <w:t>社会效益指标</w:t>
            </w:r>
          </w:p>
        </w:tc>
        <w:tc>
          <w:tcPr>
            <w:tcW w:w="2239" w:type="dxa"/>
            <w:noWrap/>
            <w:vAlign w:val="center"/>
          </w:tcPr>
          <w:p>
            <w:pPr>
              <w:pStyle w:val="17"/>
            </w:pPr>
            <w:r>
              <w:t>社会影响力</w:t>
            </w:r>
          </w:p>
        </w:tc>
        <w:tc>
          <w:tcPr>
            <w:tcW w:w="4227" w:type="dxa"/>
            <w:noWrap/>
            <w:vAlign w:val="center"/>
          </w:tcPr>
          <w:p>
            <w:pPr>
              <w:pStyle w:val="17"/>
            </w:pPr>
            <w:r>
              <w:t>在本地区产生的重要影响，得到广大受众的充分认可。</w:t>
            </w:r>
          </w:p>
        </w:tc>
        <w:tc>
          <w:tcPr>
            <w:tcW w:w="1991" w:type="dxa"/>
            <w:noWrap/>
            <w:vAlign w:val="center"/>
          </w:tcPr>
          <w:p>
            <w:pPr>
              <w:pStyle w:val="17"/>
            </w:pPr>
            <w:r>
              <w:t>≥85百分比</w:t>
            </w:r>
          </w:p>
        </w:tc>
        <w:tc>
          <w:tcPr>
            <w:tcW w:w="3164" w:type="dxa"/>
            <w:noWrap/>
            <w:vAlign w:val="center"/>
          </w:tcPr>
          <w:p>
            <w:pPr>
              <w:pStyle w:val="17"/>
            </w:pPr>
            <w:r>
              <w:t>依据工作方案</w:t>
            </w:r>
          </w:p>
        </w:tc>
      </w:tr>
    </w:tbl>
    <w:p>
      <w:pPr>
        <w:spacing w:line="2" w:lineRule="exact"/>
        <w:jc w:val="center"/>
      </w:pPr>
    </w:p>
    <w:p>
      <w:pPr>
        <w:sectPr>
          <w:pgSz w:w="16840" w:h="11900" w:orient="landscape"/>
          <w:pgMar w:top="1361" w:right="1020" w:bottom="1134" w:left="1020" w:header="720" w:footer="720" w:gutter="0"/>
          <w:cols w:space="720" w:num="1"/>
        </w:sectPr>
      </w:pPr>
    </w:p>
    <w:p>
      <w:pPr>
        <w:ind w:firstLine="281" w:firstLineChars="1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食安经费绩效目标表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1.进一步加强本镇食品安全工作，落实食品生产经营者主体责任，增强政府监管效能，发挥社会组织的作用。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9"/>
        <w:gridCol w:w="2113"/>
        <w:gridCol w:w="2291"/>
        <w:gridCol w:w="3802"/>
        <w:gridCol w:w="1276"/>
        <w:gridCol w:w="3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9" w:type="dxa"/>
            <w:noWrap/>
            <w:vAlign w:val="center"/>
          </w:tcPr>
          <w:p>
            <w:pPr>
              <w:pStyle w:val="15"/>
            </w:pPr>
            <w:r>
              <w:t>一级指标</w:t>
            </w:r>
          </w:p>
        </w:tc>
        <w:tc>
          <w:tcPr>
            <w:tcW w:w="2113" w:type="dxa"/>
            <w:noWrap/>
            <w:vAlign w:val="center"/>
          </w:tcPr>
          <w:p>
            <w:pPr>
              <w:pStyle w:val="15"/>
            </w:pPr>
            <w:r>
              <w:t>二级指标</w:t>
            </w:r>
          </w:p>
        </w:tc>
        <w:tc>
          <w:tcPr>
            <w:tcW w:w="2291" w:type="dxa"/>
            <w:noWrap/>
            <w:vAlign w:val="center"/>
          </w:tcPr>
          <w:p>
            <w:pPr>
              <w:pStyle w:val="15"/>
            </w:pPr>
            <w:r>
              <w:t>三级指标</w:t>
            </w:r>
          </w:p>
        </w:tc>
        <w:tc>
          <w:tcPr>
            <w:tcW w:w="3802" w:type="dxa"/>
            <w:noWrap/>
            <w:vAlign w:val="center"/>
          </w:tcPr>
          <w:p>
            <w:pPr>
              <w:pStyle w:val="15"/>
            </w:pPr>
            <w:r>
              <w:t>绩效指标描述</w:t>
            </w:r>
          </w:p>
        </w:tc>
        <w:tc>
          <w:tcPr>
            <w:tcW w:w="1276" w:type="dxa"/>
            <w:noWrap/>
            <w:vAlign w:val="center"/>
          </w:tcPr>
          <w:p>
            <w:pPr>
              <w:pStyle w:val="15"/>
            </w:pPr>
            <w:r>
              <w:t>指标值</w:t>
            </w:r>
          </w:p>
        </w:tc>
        <w:tc>
          <w:tcPr>
            <w:tcW w:w="3241" w:type="dxa"/>
            <w:noWrap/>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restart"/>
            <w:noWrap/>
            <w:vAlign w:val="center"/>
          </w:tcPr>
          <w:p>
            <w:pPr>
              <w:pStyle w:val="18"/>
            </w:pPr>
            <w:r>
              <w:t>产出指标</w:t>
            </w:r>
          </w:p>
        </w:tc>
        <w:tc>
          <w:tcPr>
            <w:tcW w:w="2113" w:type="dxa"/>
            <w:noWrap/>
            <w:vAlign w:val="center"/>
          </w:tcPr>
          <w:p>
            <w:pPr>
              <w:pStyle w:val="17"/>
            </w:pPr>
            <w:r>
              <w:t>数量指标</w:t>
            </w:r>
          </w:p>
        </w:tc>
        <w:tc>
          <w:tcPr>
            <w:tcW w:w="2291" w:type="dxa"/>
            <w:noWrap/>
            <w:vAlign w:val="center"/>
          </w:tcPr>
          <w:p>
            <w:pPr>
              <w:pStyle w:val="17"/>
            </w:pPr>
            <w:r>
              <w:t>组织宣传活动次数（次）</w:t>
            </w:r>
          </w:p>
        </w:tc>
        <w:tc>
          <w:tcPr>
            <w:tcW w:w="3802" w:type="dxa"/>
            <w:noWrap/>
            <w:vAlign w:val="center"/>
          </w:tcPr>
          <w:p>
            <w:pPr>
              <w:pStyle w:val="17"/>
            </w:pPr>
            <w:r>
              <w:t>组织宣传活动次数</w:t>
            </w:r>
          </w:p>
        </w:tc>
        <w:tc>
          <w:tcPr>
            <w:tcW w:w="1276" w:type="dxa"/>
            <w:noWrap/>
            <w:vAlign w:val="center"/>
          </w:tcPr>
          <w:p>
            <w:pPr>
              <w:pStyle w:val="17"/>
            </w:pPr>
            <w:r>
              <w:t>≥5次</w:t>
            </w:r>
          </w:p>
        </w:tc>
        <w:tc>
          <w:tcPr>
            <w:tcW w:w="3241"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noWrap/>
            <w:vAlign w:val="center"/>
          </w:tcPr>
          <w:p/>
        </w:tc>
        <w:tc>
          <w:tcPr>
            <w:tcW w:w="2113" w:type="dxa"/>
            <w:noWrap/>
            <w:vAlign w:val="center"/>
          </w:tcPr>
          <w:p>
            <w:pPr>
              <w:pStyle w:val="17"/>
            </w:pPr>
            <w:r>
              <w:t>质量指标</w:t>
            </w:r>
          </w:p>
        </w:tc>
        <w:tc>
          <w:tcPr>
            <w:tcW w:w="2291" w:type="dxa"/>
            <w:noWrap/>
            <w:vAlign w:val="center"/>
          </w:tcPr>
          <w:p>
            <w:pPr>
              <w:pStyle w:val="17"/>
            </w:pPr>
            <w:r>
              <w:t>抽查覆盖率</w:t>
            </w:r>
          </w:p>
        </w:tc>
        <w:tc>
          <w:tcPr>
            <w:tcW w:w="3802" w:type="dxa"/>
            <w:noWrap/>
            <w:vAlign w:val="center"/>
          </w:tcPr>
          <w:p>
            <w:pPr>
              <w:pStyle w:val="17"/>
            </w:pPr>
            <w:r>
              <w:t>抽查对象的数量占全部对象的比率</w:t>
            </w:r>
          </w:p>
        </w:tc>
        <w:tc>
          <w:tcPr>
            <w:tcW w:w="1276" w:type="dxa"/>
            <w:noWrap/>
            <w:vAlign w:val="center"/>
          </w:tcPr>
          <w:p>
            <w:pPr>
              <w:pStyle w:val="17"/>
            </w:pPr>
            <w:r>
              <w:t>≥90百分比</w:t>
            </w:r>
          </w:p>
        </w:tc>
        <w:tc>
          <w:tcPr>
            <w:tcW w:w="3241"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noWrap/>
            <w:vAlign w:val="center"/>
          </w:tcPr>
          <w:p/>
        </w:tc>
        <w:tc>
          <w:tcPr>
            <w:tcW w:w="2113" w:type="dxa"/>
            <w:noWrap/>
            <w:vAlign w:val="center"/>
          </w:tcPr>
          <w:p>
            <w:pPr>
              <w:pStyle w:val="17"/>
            </w:pPr>
            <w:r>
              <w:t>时效指标</w:t>
            </w:r>
          </w:p>
        </w:tc>
        <w:tc>
          <w:tcPr>
            <w:tcW w:w="2291" w:type="dxa"/>
            <w:noWrap/>
            <w:vAlign w:val="center"/>
          </w:tcPr>
          <w:p>
            <w:pPr>
              <w:pStyle w:val="17"/>
            </w:pPr>
            <w:r>
              <w:t>年度项目完成情况</w:t>
            </w:r>
          </w:p>
        </w:tc>
        <w:tc>
          <w:tcPr>
            <w:tcW w:w="3802" w:type="dxa"/>
            <w:noWrap/>
            <w:vAlign w:val="center"/>
          </w:tcPr>
          <w:p>
            <w:pPr>
              <w:pStyle w:val="17"/>
            </w:pPr>
            <w:r>
              <w:t>年度项目按规定时间点完成</w:t>
            </w:r>
          </w:p>
        </w:tc>
        <w:tc>
          <w:tcPr>
            <w:tcW w:w="1276" w:type="dxa"/>
            <w:noWrap/>
            <w:vAlign w:val="center"/>
          </w:tcPr>
          <w:p>
            <w:pPr>
              <w:pStyle w:val="17"/>
            </w:pPr>
            <w:r>
              <w:t>≥90百分比</w:t>
            </w:r>
          </w:p>
        </w:tc>
        <w:tc>
          <w:tcPr>
            <w:tcW w:w="3241"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noWrap/>
            <w:vAlign w:val="center"/>
          </w:tcPr>
          <w:p/>
        </w:tc>
        <w:tc>
          <w:tcPr>
            <w:tcW w:w="2113" w:type="dxa"/>
            <w:noWrap/>
            <w:vAlign w:val="center"/>
          </w:tcPr>
          <w:p>
            <w:pPr>
              <w:pStyle w:val="17"/>
            </w:pPr>
            <w:r>
              <w:t>成本指标</w:t>
            </w:r>
          </w:p>
        </w:tc>
        <w:tc>
          <w:tcPr>
            <w:tcW w:w="2291" w:type="dxa"/>
            <w:noWrap/>
            <w:vAlign w:val="center"/>
          </w:tcPr>
          <w:p>
            <w:pPr>
              <w:pStyle w:val="17"/>
            </w:pPr>
            <w:r>
              <w:t>经费控制数</w:t>
            </w:r>
          </w:p>
        </w:tc>
        <w:tc>
          <w:tcPr>
            <w:tcW w:w="3802" w:type="dxa"/>
            <w:noWrap/>
            <w:vAlign w:val="center"/>
          </w:tcPr>
          <w:p>
            <w:pPr>
              <w:pStyle w:val="17"/>
            </w:pPr>
            <w:r>
              <w:t>经费控制数</w:t>
            </w:r>
          </w:p>
        </w:tc>
        <w:tc>
          <w:tcPr>
            <w:tcW w:w="1276" w:type="dxa"/>
            <w:noWrap/>
            <w:vAlign w:val="center"/>
          </w:tcPr>
          <w:p>
            <w:pPr>
              <w:pStyle w:val="17"/>
            </w:pPr>
            <w:r>
              <w:t>≤0.72万元</w:t>
            </w:r>
          </w:p>
        </w:tc>
        <w:tc>
          <w:tcPr>
            <w:tcW w:w="3241"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noWrap/>
            <w:vAlign w:val="center"/>
          </w:tcPr>
          <w:p>
            <w:pPr>
              <w:pStyle w:val="18"/>
            </w:pPr>
            <w:r>
              <w:t>效益指标</w:t>
            </w:r>
          </w:p>
        </w:tc>
        <w:tc>
          <w:tcPr>
            <w:tcW w:w="2113" w:type="dxa"/>
            <w:noWrap/>
            <w:vAlign w:val="center"/>
          </w:tcPr>
          <w:p>
            <w:pPr>
              <w:pStyle w:val="17"/>
            </w:pPr>
            <w:r>
              <w:t>社会效益指标</w:t>
            </w:r>
          </w:p>
        </w:tc>
        <w:tc>
          <w:tcPr>
            <w:tcW w:w="2291" w:type="dxa"/>
            <w:noWrap/>
            <w:vAlign w:val="center"/>
          </w:tcPr>
          <w:p>
            <w:pPr>
              <w:pStyle w:val="17"/>
            </w:pPr>
            <w:r>
              <w:t>对食品安全的监管作用</w:t>
            </w:r>
          </w:p>
        </w:tc>
        <w:tc>
          <w:tcPr>
            <w:tcW w:w="3802" w:type="dxa"/>
            <w:noWrap/>
            <w:vAlign w:val="center"/>
          </w:tcPr>
          <w:p>
            <w:pPr>
              <w:pStyle w:val="17"/>
            </w:pPr>
            <w:r>
              <w:t>通过对食品安全的监管，确保本地区食品安全</w:t>
            </w:r>
          </w:p>
        </w:tc>
        <w:tc>
          <w:tcPr>
            <w:tcW w:w="1276" w:type="dxa"/>
            <w:noWrap/>
            <w:vAlign w:val="center"/>
          </w:tcPr>
          <w:p>
            <w:pPr>
              <w:pStyle w:val="17"/>
            </w:pPr>
            <w:r>
              <w:t>≥90百分比</w:t>
            </w:r>
          </w:p>
        </w:tc>
        <w:tc>
          <w:tcPr>
            <w:tcW w:w="3241" w:type="dxa"/>
            <w:noWrap/>
            <w:vAlign w:val="center"/>
          </w:tcPr>
          <w:p>
            <w:pPr>
              <w:pStyle w:val="17"/>
            </w:pPr>
            <w:r>
              <w:t>依据工作方案</w:t>
            </w:r>
          </w:p>
        </w:tc>
      </w:tr>
    </w:tbl>
    <w:p/>
    <w:p/>
    <w:p/>
    <w:p/>
    <w:p/>
    <w:p/>
    <w:p/>
    <w:p/>
    <w:p/>
    <w:p/>
    <w:p/>
    <w:p/>
    <w:p/>
    <w:p/>
    <w:p/>
    <w:p/>
    <w:p/>
    <w:p/>
    <w:p/>
    <w:p>
      <w:pPr>
        <w:ind w:firstLine="281" w:firstLineChars="1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团委经费绩效目标表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1.科学地继承和发扬共青团的优良传统，创新团的工作，找准新时代的中心定位，把各项改革措施不折不扣落实到位。</w:t>
            </w:r>
          </w:p>
        </w:tc>
      </w:tr>
    </w:tbl>
    <w:p>
      <w:pPr>
        <w:spacing w:line="2" w:lineRule="exact"/>
        <w:jc w:val="center"/>
      </w:pPr>
    </w:p>
    <w:tbl>
      <w:tblPr>
        <w:tblStyle w:val="9"/>
        <w:tblpPr w:leftFromText="180" w:rightFromText="180" w:vertAnchor="text" w:horzAnchor="page" w:tblpX="1474" w:tblpY="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0"/>
        <w:gridCol w:w="2319"/>
        <w:gridCol w:w="5100"/>
        <w:gridCol w:w="1936"/>
        <w:gridCol w:w="34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90" w:type="dxa"/>
            <w:noWrap/>
            <w:vAlign w:val="center"/>
          </w:tcPr>
          <w:p>
            <w:pPr>
              <w:pStyle w:val="15"/>
            </w:pPr>
            <w:r>
              <w:t>一级指标</w:t>
            </w:r>
          </w:p>
        </w:tc>
        <w:tc>
          <w:tcPr>
            <w:tcW w:w="2319" w:type="dxa"/>
            <w:noWrap/>
            <w:vAlign w:val="center"/>
          </w:tcPr>
          <w:p>
            <w:pPr>
              <w:pStyle w:val="15"/>
            </w:pPr>
            <w:r>
              <w:t>三级指标</w:t>
            </w:r>
          </w:p>
        </w:tc>
        <w:tc>
          <w:tcPr>
            <w:tcW w:w="5100" w:type="dxa"/>
            <w:noWrap/>
            <w:vAlign w:val="center"/>
          </w:tcPr>
          <w:p>
            <w:pPr>
              <w:pStyle w:val="15"/>
            </w:pPr>
            <w:r>
              <w:t>绩效指标描述</w:t>
            </w:r>
          </w:p>
        </w:tc>
        <w:tc>
          <w:tcPr>
            <w:tcW w:w="1936" w:type="dxa"/>
            <w:noWrap/>
            <w:vAlign w:val="center"/>
          </w:tcPr>
          <w:p>
            <w:pPr>
              <w:pStyle w:val="15"/>
            </w:pPr>
            <w:r>
              <w:t>指标值</w:t>
            </w:r>
          </w:p>
        </w:tc>
        <w:tc>
          <w:tcPr>
            <w:tcW w:w="3423" w:type="dxa"/>
            <w:noWrap/>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90" w:type="dxa"/>
            <w:vMerge w:val="restart"/>
            <w:noWrap/>
            <w:vAlign w:val="center"/>
          </w:tcPr>
          <w:p>
            <w:pPr>
              <w:pStyle w:val="18"/>
            </w:pPr>
            <w:r>
              <w:t>产出指标</w:t>
            </w:r>
          </w:p>
        </w:tc>
        <w:tc>
          <w:tcPr>
            <w:tcW w:w="2319" w:type="dxa"/>
            <w:noWrap/>
            <w:vAlign w:val="center"/>
          </w:tcPr>
          <w:p>
            <w:pPr>
              <w:pStyle w:val="17"/>
            </w:pPr>
            <w:r>
              <w:t>开办宣传专栏数</w:t>
            </w:r>
          </w:p>
        </w:tc>
        <w:tc>
          <w:tcPr>
            <w:tcW w:w="5100" w:type="dxa"/>
            <w:noWrap/>
            <w:vAlign w:val="center"/>
          </w:tcPr>
          <w:p>
            <w:pPr>
              <w:pStyle w:val="17"/>
            </w:pPr>
            <w:r>
              <w:t>在新闻媒体开办宣传专栏的数量</w:t>
            </w:r>
          </w:p>
        </w:tc>
        <w:tc>
          <w:tcPr>
            <w:tcW w:w="1936" w:type="dxa"/>
            <w:noWrap/>
            <w:vAlign w:val="center"/>
          </w:tcPr>
          <w:p>
            <w:pPr>
              <w:pStyle w:val="17"/>
            </w:pPr>
            <w:r>
              <w:t>≥5个</w:t>
            </w:r>
          </w:p>
        </w:tc>
        <w:tc>
          <w:tcPr>
            <w:tcW w:w="3423"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90" w:type="dxa"/>
            <w:vMerge w:val="continue"/>
            <w:noWrap/>
            <w:vAlign w:val="center"/>
          </w:tcPr>
          <w:p/>
        </w:tc>
        <w:tc>
          <w:tcPr>
            <w:tcW w:w="2319" w:type="dxa"/>
            <w:noWrap/>
            <w:vAlign w:val="center"/>
          </w:tcPr>
          <w:p>
            <w:pPr>
              <w:pStyle w:val="17"/>
            </w:pPr>
            <w:r>
              <w:t>制作宣传品</w:t>
            </w:r>
          </w:p>
        </w:tc>
        <w:tc>
          <w:tcPr>
            <w:tcW w:w="5100" w:type="dxa"/>
            <w:noWrap/>
            <w:vAlign w:val="center"/>
          </w:tcPr>
          <w:p>
            <w:pPr>
              <w:pStyle w:val="17"/>
            </w:pPr>
            <w:r>
              <w:t>制作宣传品的数量</w:t>
            </w:r>
          </w:p>
        </w:tc>
        <w:tc>
          <w:tcPr>
            <w:tcW w:w="1936" w:type="dxa"/>
            <w:noWrap/>
            <w:vAlign w:val="center"/>
          </w:tcPr>
          <w:p>
            <w:pPr>
              <w:pStyle w:val="17"/>
            </w:pPr>
            <w:r>
              <w:t>≥1000份</w:t>
            </w:r>
          </w:p>
        </w:tc>
        <w:tc>
          <w:tcPr>
            <w:tcW w:w="3423"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90" w:type="dxa"/>
            <w:vMerge w:val="continue"/>
            <w:noWrap/>
            <w:vAlign w:val="center"/>
          </w:tcPr>
          <w:p/>
        </w:tc>
        <w:tc>
          <w:tcPr>
            <w:tcW w:w="2319" w:type="dxa"/>
            <w:noWrap/>
            <w:vAlign w:val="center"/>
          </w:tcPr>
          <w:p>
            <w:pPr>
              <w:pStyle w:val="17"/>
            </w:pPr>
            <w:r>
              <w:t>年度项目完成情况</w:t>
            </w:r>
          </w:p>
        </w:tc>
        <w:tc>
          <w:tcPr>
            <w:tcW w:w="5100" w:type="dxa"/>
            <w:noWrap/>
            <w:vAlign w:val="center"/>
          </w:tcPr>
          <w:p>
            <w:pPr>
              <w:pStyle w:val="17"/>
            </w:pPr>
            <w:r>
              <w:t>年度项目按规定时间点完成</w:t>
            </w:r>
          </w:p>
        </w:tc>
        <w:tc>
          <w:tcPr>
            <w:tcW w:w="1936" w:type="dxa"/>
            <w:noWrap/>
            <w:vAlign w:val="center"/>
          </w:tcPr>
          <w:p>
            <w:pPr>
              <w:pStyle w:val="17"/>
            </w:pPr>
            <w:r>
              <w:t>≥90百分比</w:t>
            </w:r>
          </w:p>
        </w:tc>
        <w:tc>
          <w:tcPr>
            <w:tcW w:w="3423"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90" w:type="dxa"/>
            <w:vMerge w:val="continue"/>
            <w:noWrap/>
            <w:vAlign w:val="center"/>
          </w:tcPr>
          <w:p/>
        </w:tc>
        <w:tc>
          <w:tcPr>
            <w:tcW w:w="2319" w:type="dxa"/>
            <w:noWrap/>
            <w:vAlign w:val="center"/>
          </w:tcPr>
          <w:p>
            <w:pPr>
              <w:pStyle w:val="17"/>
            </w:pPr>
            <w:r>
              <w:t>经费控制数</w:t>
            </w:r>
          </w:p>
        </w:tc>
        <w:tc>
          <w:tcPr>
            <w:tcW w:w="5100" w:type="dxa"/>
            <w:noWrap/>
            <w:vAlign w:val="center"/>
          </w:tcPr>
          <w:p>
            <w:pPr>
              <w:pStyle w:val="17"/>
            </w:pPr>
            <w:r>
              <w:t>经费控制数</w:t>
            </w:r>
          </w:p>
        </w:tc>
        <w:tc>
          <w:tcPr>
            <w:tcW w:w="1936" w:type="dxa"/>
            <w:noWrap/>
            <w:vAlign w:val="center"/>
          </w:tcPr>
          <w:p>
            <w:pPr>
              <w:pStyle w:val="17"/>
            </w:pPr>
            <w:r>
              <w:t>≤2万元</w:t>
            </w:r>
          </w:p>
        </w:tc>
        <w:tc>
          <w:tcPr>
            <w:tcW w:w="3423"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90" w:type="dxa"/>
            <w:noWrap/>
            <w:vAlign w:val="center"/>
          </w:tcPr>
          <w:p>
            <w:pPr>
              <w:pStyle w:val="18"/>
            </w:pPr>
            <w:r>
              <w:t>效益指标</w:t>
            </w:r>
          </w:p>
        </w:tc>
        <w:tc>
          <w:tcPr>
            <w:tcW w:w="2319" w:type="dxa"/>
            <w:noWrap/>
            <w:vAlign w:val="center"/>
          </w:tcPr>
          <w:p>
            <w:pPr>
              <w:pStyle w:val="17"/>
            </w:pPr>
            <w:r>
              <w:t>参与政府决策活动次数</w:t>
            </w:r>
          </w:p>
        </w:tc>
        <w:tc>
          <w:tcPr>
            <w:tcW w:w="5100" w:type="dxa"/>
            <w:noWrap/>
            <w:vAlign w:val="center"/>
          </w:tcPr>
          <w:p>
            <w:pPr>
              <w:pStyle w:val="17"/>
            </w:pPr>
            <w:r>
              <w:t>参与决策咨询活动次数</w:t>
            </w:r>
          </w:p>
        </w:tc>
        <w:tc>
          <w:tcPr>
            <w:tcW w:w="1936" w:type="dxa"/>
            <w:noWrap/>
            <w:vAlign w:val="center"/>
          </w:tcPr>
          <w:p>
            <w:pPr>
              <w:pStyle w:val="17"/>
            </w:pPr>
            <w:r>
              <w:t>≥5次</w:t>
            </w:r>
          </w:p>
        </w:tc>
        <w:tc>
          <w:tcPr>
            <w:tcW w:w="3423" w:type="dxa"/>
            <w:noWrap/>
            <w:vAlign w:val="center"/>
          </w:tcPr>
          <w:p>
            <w:pPr>
              <w:pStyle w:val="17"/>
            </w:pPr>
            <w:r>
              <w:t>依据工作方案</w:t>
            </w:r>
          </w:p>
        </w:tc>
      </w:tr>
    </w:tbl>
    <w:p>
      <w:pPr>
        <w:rPr>
          <w:rFonts w:eastAsia="宋体"/>
          <w:lang w:eastAsia="zh-CN"/>
        </w:rPr>
      </w:pPr>
    </w:p>
    <w:p>
      <w:pPr>
        <w:rPr>
          <w:rFonts w:eastAsia="宋体"/>
          <w:lang w:eastAsia="zh-CN"/>
        </w:rPr>
      </w:pPr>
    </w:p>
    <w:p/>
    <w:p/>
    <w:p/>
    <w:p/>
    <w:p/>
    <w:p/>
    <w:p/>
    <w:p/>
    <w:p/>
    <w:p/>
    <w:p/>
    <w:p/>
    <w:p/>
    <w:p/>
    <w:p/>
    <w:p/>
    <w:p/>
    <w:p/>
    <w:p/>
    <w:p/>
    <w:p>
      <w:pPr>
        <w:ind w:firstLine="281" w:firstLineChars="1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维稳经费（年初）绩效目标表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1.做好信访稳控工作，减少越级访、群访等恶性事件，有效的遏制非法上访；处理人民群众来信、来访，接待和处理人民群众反映的情况和问题。</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8"/>
        <w:gridCol w:w="1104"/>
        <w:gridCol w:w="3109"/>
        <w:gridCol w:w="3764"/>
        <w:gridCol w:w="1691"/>
        <w:gridCol w:w="30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8" w:type="dxa"/>
            <w:noWrap/>
            <w:vAlign w:val="center"/>
          </w:tcPr>
          <w:p>
            <w:pPr>
              <w:pStyle w:val="15"/>
            </w:pPr>
            <w:r>
              <w:t>一级指标</w:t>
            </w:r>
          </w:p>
        </w:tc>
        <w:tc>
          <w:tcPr>
            <w:tcW w:w="1104" w:type="dxa"/>
            <w:noWrap/>
            <w:vAlign w:val="center"/>
          </w:tcPr>
          <w:p>
            <w:pPr>
              <w:pStyle w:val="15"/>
            </w:pPr>
            <w:r>
              <w:t>二级指标</w:t>
            </w:r>
          </w:p>
        </w:tc>
        <w:tc>
          <w:tcPr>
            <w:tcW w:w="3109" w:type="dxa"/>
            <w:noWrap/>
            <w:vAlign w:val="center"/>
          </w:tcPr>
          <w:p>
            <w:pPr>
              <w:pStyle w:val="15"/>
            </w:pPr>
            <w:r>
              <w:t>三级指标</w:t>
            </w:r>
          </w:p>
        </w:tc>
        <w:tc>
          <w:tcPr>
            <w:tcW w:w="3764" w:type="dxa"/>
            <w:noWrap/>
            <w:vAlign w:val="center"/>
          </w:tcPr>
          <w:p>
            <w:pPr>
              <w:pStyle w:val="15"/>
            </w:pPr>
            <w:r>
              <w:t>绩效指标描述</w:t>
            </w:r>
          </w:p>
        </w:tc>
        <w:tc>
          <w:tcPr>
            <w:tcW w:w="1691" w:type="dxa"/>
            <w:noWrap/>
            <w:vAlign w:val="center"/>
          </w:tcPr>
          <w:p>
            <w:pPr>
              <w:pStyle w:val="15"/>
            </w:pPr>
            <w:r>
              <w:t>指标值</w:t>
            </w:r>
          </w:p>
        </w:tc>
        <w:tc>
          <w:tcPr>
            <w:tcW w:w="3053" w:type="dxa"/>
            <w:noWrap/>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Merge w:val="restart"/>
            <w:noWrap/>
            <w:vAlign w:val="center"/>
          </w:tcPr>
          <w:p>
            <w:pPr>
              <w:pStyle w:val="18"/>
            </w:pPr>
            <w:r>
              <w:t>产出指标</w:t>
            </w:r>
          </w:p>
        </w:tc>
        <w:tc>
          <w:tcPr>
            <w:tcW w:w="1104" w:type="dxa"/>
            <w:noWrap/>
            <w:vAlign w:val="center"/>
          </w:tcPr>
          <w:p>
            <w:pPr>
              <w:pStyle w:val="17"/>
            </w:pPr>
            <w:r>
              <w:t>数量指标</w:t>
            </w:r>
          </w:p>
        </w:tc>
        <w:tc>
          <w:tcPr>
            <w:tcW w:w="3109" w:type="dxa"/>
            <w:noWrap/>
            <w:vAlign w:val="center"/>
          </w:tcPr>
          <w:p>
            <w:pPr>
              <w:pStyle w:val="17"/>
            </w:pPr>
            <w:r>
              <w:t>重要时期专项护路任务次数（次）</w:t>
            </w:r>
          </w:p>
        </w:tc>
        <w:tc>
          <w:tcPr>
            <w:tcW w:w="3764" w:type="dxa"/>
            <w:noWrap/>
            <w:vAlign w:val="center"/>
          </w:tcPr>
          <w:p>
            <w:pPr>
              <w:pStyle w:val="17"/>
            </w:pPr>
            <w:r>
              <w:t>重要时期专项护路任务次数（次）</w:t>
            </w:r>
          </w:p>
        </w:tc>
        <w:tc>
          <w:tcPr>
            <w:tcW w:w="1691" w:type="dxa"/>
            <w:noWrap/>
            <w:vAlign w:val="center"/>
          </w:tcPr>
          <w:p>
            <w:pPr>
              <w:pStyle w:val="17"/>
            </w:pPr>
            <w:r>
              <w:t>≥2次</w:t>
            </w:r>
          </w:p>
        </w:tc>
        <w:tc>
          <w:tcPr>
            <w:tcW w:w="3053" w:type="dxa"/>
            <w:noWrap/>
            <w:vAlign w:val="center"/>
          </w:tcPr>
          <w:p>
            <w:pPr>
              <w:pStyle w:val="17"/>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Merge w:val="continue"/>
            <w:noWrap/>
            <w:vAlign w:val="center"/>
          </w:tcPr>
          <w:p/>
        </w:tc>
        <w:tc>
          <w:tcPr>
            <w:tcW w:w="1104" w:type="dxa"/>
            <w:noWrap/>
            <w:vAlign w:val="center"/>
          </w:tcPr>
          <w:p>
            <w:pPr>
              <w:pStyle w:val="17"/>
            </w:pPr>
            <w:r>
              <w:t>质量指标</w:t>
            </w:r>
          </w:p>
        </w:tc>
        <w:tc>
          <w:tcPr>
            <w:tcW w:w="3109" w:type="dxa"/>
            <w:noWrap/>
            <w:vAlign w:val="center"/>
          </w:tcPr>
          <w:p>
            <w:pPr>
              <w:pStyle w:val="17"/>
            </w:pPr>
            <w:r>
              <w:t>矛盾纠纷调处率(%)</w:t>
            </w:r>
          </w:p>
        </w:tc>
        <w:tc>
          <w:tcPr>
            <w:tcW w:w="3764" w:type="dxa"/>
            <w:noWrap/>
            <w:vAlign w:val="center"/>
          </w:tcPr>
          <w:p>
            <w:pPr>
              <w:pStyle w:val="17"/>
            </w:pPr>
            <w:r>
              <w:t>矛盾纠纷调处率(%)</w:t>
            </w:r>
          </w:p>
        </w:tc>
        <w:tc>
          <w:tcPr>
            <w:tcW w:w="1691" w:type="dxa"/>
            <w:noWrap/>
            <w:vAlign w:val="center"/>
          </w:tcPr>
          <w:p>
            <w:pPr>
              <w:pStyle w:val="17"/>
            </w:pPr>
            <w:r>
              <w:t>≥90百分比</w:t>
            </w:r>
          </w:p>
        </w:tc>
        <w:tc>
          <w:tcPr>
            <w:tcW w:w="3053" w:type="dxa"/>
            <w:noWrap/>
            <w:vAlign w:val="center"/>
          </w:tcPr>
          <w:p>
            <w:pPr>
              <w:pStyle w:val="17"/>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Merge w:val="continue"/>
            <w:noWrap/>
            <w:vAlign w:val="center"/>
          </w:tcPr>
          <w:p/>
        </w:tc>
        <w:tc>
          <w:tcPr>
            <w:tcW w:w="1104" w:type="dxa"/>
            <w:noWrap/>
            <w:vAlign w:val="center"/>
          </w:tcPr>
          <w:p>
            <w:pPr>
              <w:pStyle w:val="17"/>
            </w:pPr>
            <w:r>
              <w:t>成本指标</w:t>
            </w:r>
          </w:p>
        </w:tc>
        <w:tc>
          <w:tcPr>
            <w:tcW w:w="3109" w:type="dxa"/>
            <w:noWrap/>
            <w:vAlign w:val="center"/>
          </w:tcPr>
          <w:p>
            <w:pPr>
              <w:pStyle w:val="17"/>
            </w:pPr>
            <w:r>
              <w:t>经费控制数</w:t>
            </w:r>
          </w:p>
        </w:tc>
        <w:tc>
          <w:tcPr>
            <w:tcW w:w="3764" w:type="dxa"/>
            <w:noWrap/>
            <w:vAlign w:val="center"/>
          </w:tcPr>
          <w:p>
            <w:pPr>
              <w:pStyle w:val="17"/>
            </w:pPr>
            <w:r>
              <w:t>经费控制数</w:t>
            </w:r>
          </w:p>
        </w:tc>
        <w:tc>
          <w:tcPr>
            <w:tcW w:w="1691" w:type="dxa"/>
            <w:noWrap/>
            <w:vAlign w:val="center"/>
          </w:tcPr>
          <w:p>
            <w:pPr>
              <w:pStyle w:val="17"/>
            </w:pPr>
            <w:r>
              <w:t>≤8万元</w:t>
            </w:r>
          </w:p>
        </w:tc>
        <w:tc>
          <w:tcPr>
            <w:tcW w:w="3053" w:type="dxa"/>
            <w:noWrap/>
            <w:vAlign w:val="center"/>
          </w:tcPr>
          <w:p>
            <w:pPr>
              <w:pStyle w:val="17"/>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Merge w:val="continue"/>
            <w:noWrap/>
            <w:vAlign w:val="center"/>
          </w:tcPr>
          <w:p/>
        </w:tc>
        <w:tc>
          <w:tcPr>
            <w:tcW w:w="1104" w:type="dxa"/>
            <w:noWrap/>
            <w:vAlign w:val="center"/>
          </w:tcPr>
          <w:p>
            <w:pPr>
              <w:pStyle w:val="17"/>
            </w:pPr>
            <w:r>
              <w:t>时效指标</w:t>
            </w:r>
          </w:p>
        </w:tc>
        <w:tc>
          <w:tcPr>
            <w:tcW w:w="3109" w:type="dxa"/>
            <w:noWrap/>
            <w:vAlign w:val="center"/>
          </w:tcPr>
          <w:p>
            <w:pPr>
              <w:pStyle w:val="17"/>
            </w:pPr>
            <w:r>
              <w:t>各项任务完成及时率（%）</w:t>
            </w:r>
          </w:p>
        </w:tc>
        <w:tc>
          <w:tcPr>
            <w:tcW w:w="3764" w:type="dxa"/>
            <w:noWrap/>
            <w:vAlign w:val="center"/>
          </w:tcPr>
          <w:p>
            <w:pPr>
              <w:pStyle w:val="17"/>
            </w:pPr>
            <w:r>
              <w:t>各项任务完成及时率（%）</w:t>
            </w:r>
          </w:p>
        </w:tc>
        <w:tc>
          <w:tcPr>
            <w:tcW w:w="1691" w:type="dxa"/>
            <w:noWrap/>
            <w:vAlign w:val="center"/>
          </w:tcPr>
          <w:p>
            <w:pPr>
              <w:pStyle w:val="17"/>
            </w:pPr>
            <w:r>
              <w:t>≥90百分比</w:t>
            </w:r>
          </w:p>
        </w:tc>
        <w:tc>
          <w:tcPr>
            <w:tcW w:w="3053" w:type="dxa"/>
            <w:noWrap/>
            <w:vAlign w:val="center"/>
          </w:tcPr>
          <w:p>
            <w:pPr>
              <w:pStyle w:val="17"/>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noWrap/>
            <w:vAlign w:val="center"/>
          </w:tcPr>
          <w:p>
            <w:pPr>
              <w:pStyle w:val="18"/>
            </w:pPr>
            <w:r>
              <w:t>效益指标</w:t>
            </w:r>
          </w:p>
        </w:tc>
        <w:tc>
          <w:tcPr>
            <w:tcW w:w="1104" w:type="dxa"/>
            <w:noWrap/>
            <w:vAlign w:val="center"/>
          </w:tcPr>
          <w:p>
            <w:pPr>
              <w:pStyle w:val="17"/>
            </w:pPr>
            <w:r>
              <w:t>社会效益指标</w:t>
            </w:r>
          </w:p>
        </w:tc>
        <w:tc>
          <w:tcPr>
            <w:tcW w:w="3109" w:type="dxa"/>
            <w:noWrap/>
            <w:vAlign w:val="center"/>
          </w:tcPr>
          <w:p>
            <w:pPr>
              <w:pStyle w:val="17"/>
            </w:pPr>
            <w:r>
              <w:t>突发事件发生率(%)</w:t>
            </w:r>
          </w:p>
        </w:tc>
        <w:tc>
          <w:tcPr>
            <w:tcW w:w="3764" w:type="dxa"/>
            <w:noWrap/>
            <w:vAlign w:val="center"/>
          </w:tcPr>
          <w:p>
            <w:pPr>
              <w:pStyle w:val="17"/>
            </w:pPr>
            <w:r>
              <w:t>突发事件发生率(%)</w:t>
            </w:r>
          </w:p>
        </w:tc>
        <w:tc>
          <w:tcPr>
            <w:tcW w:w="1691" w:type="dxa"/>
            <w:noWrap/>
            <w:vAlign w:val="center"/>
          </w:tcPr>
          <w:p>
            <w:pPr>
              <w:pStyle w:val="17"/>
            </w:pPr>
            <w:r>
              <w:t>≤5百分比</w:t>
            </w:r>
          </w:p>
        </w:tc>
        <w:tc>
          <w:tcPr>
            <w:tcW w:w="3053" w:type="dxa"/>
            <w:noWrap/>
            <w:vAlign w:val="center"/>
          </w:tcPr>
          <w:p>
            <w:pPr>
              <w:pStyle w:val="17"/>
            </w:pPr>
            <w:r>
              <w:t>工作方案</w:t>
            </w:r>
          </w:p>
        </w:tc>
      </w:tr>
    </w:tbl>
    <w:p/>
    <w:p/>
    <w:p/>
    <w:p/>
    <w:p/>
    <w:p/>
    <w:p/>
    <w:p/>
    <w:p/>
    <w:p/>
    <w:p/>
    <w:p/>
    <w:p/>
    <w:p/>
    <w:p/>
    <w:p/>
    <w:p/>
    <w:p/>
    <w:p/>
    <w:p/>
    <w:p>
      <w:pPr>
        <w:ind w:firstLine="281" w:firstLineChars="1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小型修缮经费绩效目标表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为加强节约型机关建设，改善乡镇干部职工办公条件，保障干部职工及广大人民群众生命财产安全，提供安全、必要的办公条件</w:t>
            </w:r>
          </w:p>
        </w:tc>
      </w:tr>
    </w:tbl>
    <w:tbl>
      <w:tblPr>
        <w:tblStyle w:val="9"/>
        <w:tblpPr w:leftFromText="180" w:rightFromText="180" w:vertAnchor="text" w:horzAnchor="page" w:tblpX="1453" w:tblpY="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127"/>
        <w:gridCol w:w="2569"/>
        <w:gridCol w:w="4309"/>
        <w:gridCol w:w="2059"/>
        <w:gridCol w:w="26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trPr>
        <w:tc>
          <w:tcPr>
            <w:tcW w:w="1425" w:type="dxa"/>
            <w:noWrap/>
            <w:vAlign w:val="center"/>
          </w:tcPr>
          <w:p>
            <w:pPr>
              <w:pStyle w:val="15"/>
            </w:pPr>
            <w:r>
              <w:t>一级指标</w:t>
            </w:r>
          </w:p>
        </w:tc>
        <w:tc>
          <w:tcPr>
            <w:tcW w:w="1127" w:type="dxa"/>
            <w:noWrap/>
            <w:vAlign w:val="center"/>
          </w:tcPr>
          <w:p>
            <w:pPr>
              <w:pStyle w:val="15"/>
            </w:pPr>
            <w:r>
              <w:t>二级指标</w:t>
            </w:r>
          </w:p>
        </w:tc>
        <w:tc>
          <w:tcPr>
            <w:tcW w:w="2569" w:type="dxa"/>
            <w:noWrap/>
            <w:vAlign w:val="center"/>
          </w:tcPr>
          <w:p>
            <w:pPr>
              <w:pStyle w:val="15"/>
            </w:pPr>
            <w:r>
              <w:t>三级指标</w:t>
            </w:r>
          </w:p>
        </w:tc>
        <w:tc>
          <w:tcPr>
            <w:tcW w:w="4309" w:type="dxa"/>
            <w:noWrap/>
            <w:vAlign w:val="center"/>
          </w:tcPr>
          <w:p>
            <w:pPr>
              <w:pStyle w:val="15"/>
            </w:pPr>
            <w:r>
              <w:t>绩效指标描述</w:t>
            </w:r>
          </w:p>
        </w:tc>
        <w:tc>
          <w:tcPr>
            <w:tcW w:w="2059" w:type="dxa"/>
            <w:noWrap/>
            <w:vAlign w:val="center"/>
          </w:tcPr>
          <w:p>
            <w:pPr>
              <w:pStyle w:val="15"/>
            </w:pPr>
            <w:r>
              <w:t>指标值</w:t>
            </w:r>
          </w:p>
        </w:tc>
        <w:tc>
          <w:tcPr>
            <w:tcW w:w="2686" w:type="dxa"/>
            <w:noWrap/>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vMerge w:val="restart"/>
            <w:noWrap/>
            <w:vAlign w:val="center"/>
          </w:tcPr>
          <w:p>
            <w:pPr>
              <w:pStyle w:val="18"/>
            </w:pPr>
            <w:r>
              <w:t>产出指标</w:t>
            </w:r>
          </w:p>
        </w:tc>
        <w:tc>
          <w:tcPr>
            <w:tcW w:w="1127" w:type="dxa"/>
            <w:noWrap/>
            <w:vAlign w:val="center"/>
          </w:tcPr>
          <w:p>
            <w:pPr>
              <w:pStyle w:val="17"/>
            </w:pPr>
            <w:r>
              <w:t>数量指标</w:t>
            </w:r>
          </w:p>
        </w:tc>
        <w:tc>
          <w:tcPr>
            <w:tcW w:w="2569" w:type="dxa"/>
            <w:noWrap/>
            <w:vAlign w:val="center"/>
          </w:tcPr>
          <w:p>
            <w:pPr>
              <w:pStyle w:val="17"/>
            </w:pPr>
            <w:r>
              <w:t>修缮项目验收合格率</w:t>
            </w:r>
          </w:p>
        </w:tc>
        <w:tc>
          <w:tcPr>
            <w:tcW w:w="4309" w:type="dxa"/>
            <w:noWrap/>
            <w:vAlign w:val="center"/>
          </w:tcPr>
          <w:p>
            <w:pPr>
              <w:pStyle w:val="17"/>
            </w:pPr>
            <w:r>
              <w:t>通过验收的工程量占建设、改造、修缮总量的比率</w:t>
            </w:r>
          </w:p>
        </w:tc>
        <w:tc>
          <w:tcPr>
            <w:tcW w:w="2059" w:type="dxa"/>
            <w:noWrap/>
            <w:vAlign w:val="center"/>
          </w:tcPr>
          <w:p>
            <w:pPr>
              <w:pStyle w:val="17"/>
            </w:pPr>
            <w:r>
              <w:t>≥90百分比</w:t>
            </w:r>
          </w:p>
        </w:tc>
        <w:tc>
          <w:tcPr>
            <w:tcW w:w="2686"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vMerge w:val="continue"/>
            <w:noWrap/>
            <w:vAlign w:val="center"/>
          </w:tcPr>
          <w:p/>
        </w:tc>
        <w:tc>
          <w:tcPr>
            <w:tcW w:w="1127" w:type="dxa"/>
            <w:noWrap/>
            <w:vAlign w:val="center"/>
          </w:tcPr>
          <w:p>
            <w:pPr>
              <w:pStyle w:val="17"/>
            </w:pPr>
            <w:r>
              <w:t>质量指标</w:t>
            </w:r>
          </w:p>
        </w:tc>
        <w:tc>
          <w:tcPr>
            <w:tcW w:w="2569" w:type="dxa"/>
            <w:noWrap/>
            <w:vAlign w:val="center"/>
          </w:tcPr>
          <w:p>
            <w:pPr>
              <w:pStyle w:val="17"/>
            </w:pPr>
            <w:r>
              <w:t>修缮项目完成率</w:t>
            </w:r>
          </w:p>
        </w:tc>
        <w:tc>
          <w:tcPr>
            <w:tcW w:w="4309" w:type="dxa"/>
            <w:noWrap/>
            <w:vAlign w:val="center"/>
          </w:tcPr>
          <w:p>
            <w:pPr>
              <w:pStyle w:val="17"/>
            </w:pPr>
            <w:r>
              <w:t>实际完成工程量占计划完成工程量的比率</w:t>
            </w:r>
          </w:p>
        </w:tc>
        <w:tc>
          <w:tcPr>
            <w:tcW w:w="2059" w:type="dxa"/>
            <w:noWrap/>
            <w:vAlign w:val="center"/>
          </w:tcPr>
          <w:p>
            <w:pPr>
              <w:pStyle w:val="17"/>
            </w:pPr>
            <w:r>
              <w:t>≥90百分比</w:t>
            </w:r>
          </w:p>
        </w:tc>
        <w:tc>
          <w:tcPr>
            <w:tcW w:w="2686"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vMerge w:val="continue"/>
            <w:noWrap/>
            <w:vAlign w:val="center"/>
          </w:tcPr>
          <w:p/>
        </w:tc>
        <w:tc>
          <w:tcPr>
            <w:tcW w:w="1127" w:type="dxa"/>
            <w:noWrap/>
            <w:vAlign w:val="center"/>
          </w:tcPr>
          <w:p>
            <w:pPr>
              <w:pStyle w:val="17"/>
            </w:pPr>
            <w:r>
              <w:t>时效指标</w:t>
            </w:r>
          </w:p>
        </w:tc>
        <w:tc>
          <w:tcPr>
            <w:tcW w:w="2569" w:type="dxa"/>
            <w:noWrap/>
            <w:vAlign w:val="center"/>
          </w:tcPr>
          <w:p>
            <w:pPr>
              <w:pStyle w:val="17"/>
            </w:pPr>
            <w:r>
              <w:t>年度项目完成情况</w:t>
            </w:r>
          </w:p>
        </w:tc>
        <w:tc>
          <w:tcPr>
            <w:tcW w:w="4309" w:type="dxa"/>
            <w:noWrap/>
            <w:vAlign w:val="center"/>
          </w:tcPr>
          <w:p>
            <w:pPr>
              <w:pStyle w:val="17"/>
            </w:pPr>
            <w:r>
              <w:t>年度项目按规定时间点完成</w:t>
            </w:r>
          </w:p>
        </w:tc>
        <w:tc>
          <w:tcPr>
            <w:tcW w:w="2059" w:type="dxa"/>
            <w:noWrap/>
            <w:vAlign w:val="center"/>
          </w:tcPr>
          <w:p>
            <w:pPr>
              <w:pStyle w:val="17"/>
            </w:pPr>
            <w:r>
              <w:t>≥90百分比</w:t>
            </w:r>
          </w:p>
        </w:tc>
        <w:tc>
          <w:tcPr>
            <w:tcW w:w="2686"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vMerge w:val="continue"/>
            <w:noWrap/>
            <w:vAlign w:val="center"/>
          </w:tcPr>
          <w:p/>
        </w:tc>
        <w:tc>
          <w:tcPr>
            <w:tcW w:w="1127" w:type="dxa"/>
            <w:noWrap/>
            <w:vAlign w:val="center"/>
          </w:tcPr>
          <w:p>
            <w:pPr>
              <w:pStyle w:val="17"/>
            </w:pPr>
            <w:r>
              <w:t>成本指标</w:t>
            </w:r>
          </w:p>
        </w:tc>
        <w:tc>
          <w:tcPr>
            <w:tcW w:w="2569" w:type="dxa"/>
            <w:noWrap/>
            <w:vAlign w:val="center"/>
          </w:tcPr>
          <w:p>
            <w:pPr>
              <w:pStyle w:val="17"/>
            </w:pPr>
            <w:r>
              <w:t>经费控制数</w:t>
            </w:r>
          </w:p>
        </w:tc>
        <w:tc>
          <w:tcPr>
            <w:tcW w:w="4309" w:type="dxa"/>
            <w:noWrap/>
            <w:vAlign w:val="center"/>
          </w:tcPr>
          <w:p>
            <w:pPr>
              <w:pStyle w:val="17"/>
            </w:pPr>
            <w:r>
              <w:t>经费控制数</w:t>
            </w:r>
          </w:p>
        </w:tc>
        <w:tc>
          <w:tcPr>
            <w:tcW w:w="2059" w:type="dxa"/>
            <w:noWrap/>
            <w:vAlign w:val="center"/>
          </w:tcPr>
          <w:p>
            <w:pPr>
              <w:pStyle w:val="17"/>
            </w:pPr>
            <w:r>
              <w:t>≤3.53万元</w:t>
            </w:r>
          </w:p>
        </w:tc>
        <w:tc>
          <w:tcPr>
            <w:tcW w:w="2686" w:type="dxa"/>
            <w:noWrap/>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noWrap/>
            <w:vAlign w:val="center"/>
          </w:tcPr>
          <w:p>
            <w:pPr>
              <w:pStyle w:val="18"/>
            </w:pPr>
            <w:r>
              <w:t>效益指标</w:t>
            </w:r>
          </w:p>
        </w:tc>
        <w:tc>
          <w:tcPr>
            <w:tcW w:w="1127" w:type="dxa"/>
            <w:noWrap/>
            <w:vAlign w:val="center"/>
          </w:tcPr>
          <w:p>
            <w:pPr>
              <w:pStyle w:val="17"/>
            </w:pPr>
            <w:r>
              <w:t>社会效益指标</w:t>
            </w:r>
          </w:p>
        </w:tc>
        <w:tc>
          <w:tcPr>
            <w:tcW w:w="2569" w:type="dxa"/>
            <w:noWrap/>
            <w:vAlign w:val="center"/>
          </w:tcPr>
          <w:p>
            <w:pPr>
              <w:pStyle w:val="17"/>
            </w:pPr>
            <w:r>
              <w:t>办公设施的改善成效</w:t>
            </w:r>
          </w:p>
        </w:tc>
        <w:tc>
          <w:tcPr>
            <w:tcW w:w="4309" w:type="dxa"/>
            <w:noWrap/>
            <w:vAlign w:val="center"/>
          </w:tcPr>
          <w:p>
            <w:pPr>
              <w:pStyle w:val="17"/>
            </w:pPr>
            <w:r>
              <w:t>反映修缮后办公设施改善情况</w:t>
            </w:r>
          </w:p>
        </w:tc>
        <w:tc>
          <w:tcPr>
            <w:tcW w:w="2059" w:type="dxa"/>
            <w:noWrap/>
            <w:vAlign w:val="center"/>
          </w:tcPr>
          <w:p>
            <w:pPr>
              <w:pStyle w:val="17"/>
            </w:pPr>
            <w:r>
              <w:t>≥90百分比</w:t>
            </w:r>
          </w:p>
        </w:tc>
        <w:tc>
          <w:tcPr>
            <w:tcW w:w="2686" w:type="dxa"/>
            <w:noWrap/>
            <w:vAlign w:val="center"/>
          </w:tcPr>
          <w:p>
            <w:pPr>
              <w:pStyle w:val="17"/>
            </w:pPr>
            <w:r>
              <w:t>依据工作方案</w:t>
            </w:r>
          </w:p>
        </w:tc>
      </w:tr>
    </w:tbl>
    <w:p>
      <w:pPr>
        <w:spacing w:line="2" w:lineRule="exact"/>
        <w:jc w:val="center"/>
      </w:pPr>
    </w:p>
    <w:p/>
    <w:p/>
    <w:p/>
    <w:p/>
    <w:p/>
    <w:p/>
    <w:p/>
    <w:p/>
    <w:p/>
    <w:p/>
    <w:p/>
    <w:p/>
    <w:p/>
    <w:p/>
    <w:p/>
    <w:p/>
    <w:p/>
    <w:p/>
    <w:p/>
    <w:p/>
    <w:p/>
    <w:p/>
    <w:p>
      <w:pPr>
        <w:ind w:firstLine="281" w:firstLineChars="1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乡镇行政执法专项</w:t>
      </w:r>
      <w:r>
        <w:rPr>
          <w:rFonts w:hint="eastAsia" w:ascii="方正仿宋_GBK" w:hAnsi="方正仿宋_GBK" w:eastAsia="方正仿宋_GBK" w:cs="方正仿宋_GBK"/>
          <w:b/>
          <w:color w:val="000000"/>
          <w:sz w:val="28"/>
        </w:rPr>
        <w:t>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default" w:eastAsia="方正书宋_GBK"/>
                <w:lang w:val="en-US" w:eastAsia="zh-CN"/>
              </w:rPr>
            </w:pPr>
            <w:r>
              <w:rPr>
                <w:rFonts w:hint="eastAsia"/>
                <w:lang w:val="en-US" w:eastAsia="zh-CN"/>
              </w:rPr>
              <w:t>保障乡镇执法正常运转，高效完成执法任务。</w:t>
            </w:r>
          </w:p>
        </w:tc>
      </w:tr>
    </w:tbl>
    <w:tbl>
      <w:tblPr>
        <w:tblStyle w:val="9"/>
        <w:tblpPr w:leftFromText="180" w:rightFromText="180" w:vertAnchor="text" w:horzAnchor="page" w:tblpX="1453" w:tblpY="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127"/>
        <w:gridCol w:w="2569"/>
        <w:gridCol w:w="4309"/>
        <w:gridCol w:w="2059"/>
        <w:gridCol w:w="26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trPr>
        <w:tc>
          <w:tcPr>
            <w:tcW w:w="1425" w:type="dxa"/>
            <w:noWrap/>
            <w:vAlign w:val="center"/>
          </w:tcPr>
          <w:p>
            <w:pPr>
              <w:pStyle w:val="15"/>
            </w:pPr>
            <w:r>
              <w:t>一级指标</w:t>
            </w:r>
          </w:p>
        </w:tc>
        <w:tc>
          <w:tcPr>
            <w:tcW w:w="1127" w:type="dxa"/>
            <w:noWrap/>
            <w:vAlign w:val="center"/>
          </w:tcPr>
          <w:p>
            <w:pPr>
              <w:pStyle w:val="15"/>
            </w:pPr>
            <w:r>
              <w:t>二级指标</w:t>
            </w:r>
          </w:p>
        </w:tc>
        <w:tc>
          <w:tcPr>
            <w:tcW w:w="2569" w:type="dxa"/>
            <w:noWrap/>
            <w:vAlign w:val="center"/>
          </w:tcPr>
          <w:p>
            <w:pPr>
              <w:pStyle w:val="15"/>
            </w:pPr>
            <w:r>
              <w:t>三级指标</w:t>
            </w:r>
          </w:p>
        </w:tc>
        <w:tc>
          <w:tcPr>
            <w:tcW w:w="4309" w:type="dxa"/>
            <w:noWrap/>
            <w:vAlign w:val="center"/>
          </w:tcPr>
          <w:p>
            <w:pPr>
              <w:pStyle w:val="15"/>
            </w:pPr>
            <w:r>
              <w:t>绩效指标描述</w:t>
            </w:r>
          </w:p>
        </w:tc>
        <w:tc>
          <w:tcPr>
            <w:tcW w:w="2059" w:type="dxa"/>
            <w:noWrap/>
            <w:vAlign w:val="center"/>
          </w:tcPr>
          <w:p>
            <w:pPr>
              <w:pStyle w:val="15"/>
            </w:pPr>
            <w:r>
              <w:t>指标值</w:t>
            </w:r>
          </w:p>
        </w:tc>
        <w:tc>
          <w:tcPr>
            <w:tcW w:w="2686" w:type="dxa"/>
            <w:noWrap/>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vMerge w:val="restart"/>
            <w:noWrap/>
            <w:vAlign w:val="center"/>
          </w:tcPr>
          <w:p>
            <w:pPr>
              <w:pStyle w:val="18"/>
            </w:pPr>
            <w:r>
              <w:t>产出指标</w:t>
            </w:r>
          </w:p>
        </w:tc>
        <w:tc>
          <w:tcPr>
            <w:tcW w:w="1127" w:type="dxa"/>
            <w:noWrap/>
            <w:vAlign w:val="center"/>
          </w:tcPr>
          <w:p>
            <w:pPr>
              <w:pStyle w:val="17"/>
            </w:pPr>
            <w:r>
              <w:t>数量指标</w:t>
            </w:r>
          </w:p>
        </w:tc>
        <w:tc>
          <w:tcPr>
            <w:tcW w:w="2569" w:type="dxa"/>
            <w:noWrap/>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执法人员培训率</w:t>
            </w:r>
          </w:p>
        </w:tc>
        <w:tc>
          <w:tcPr>
            <w:tcW w:w="4309" w:type="dxa"/>
            <w:noWrap/>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执法人员培训率</w:t>
            </w:r>
          </w:p>
        </w:tc>
        <w:tc>
          <w:tcPr>
            <w:tcW w:w="2059" w:type="dxa"/>
            <w:noWrap/>
            <w:vAlign w:val="center"/>
          </w:tcPr>
          <w:p>
            <w:pPr>
              <w:pStyle w:val="17"/>
            </w:pPr>
            <w:r>
              <w:t>≥90百分比</w:t>
            </w:r>
          </w:p>
        </w:tc>
        <w:tc>
          <w:tcPr>
            <w:tcW w:w="2686" w:type="dxa"/>
            <w:noWrap/>
            <w:vAlign w:val="center"/>
          </w:tcPr>
          <w:p>
            <w:pPr>
              <w:pStyle w:val="17"/>
              <w:rPr>
                <w:rFonts w:hint="eastAsia" w:eastAsia="方正书宋_GBK"/>
                <w:lang w:eastAsia="zh-CN"/>
              </w:rPr>
            </w:pPr>
            <w:r>
              <w:rPr>
                <w:rFonts w:hint="eastAsia"/>
                <w:lang w:val="en-US" w:eastAsia="zh-CN"/>
              </w:rPr>
              <w:t>县级文件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vMerge w:val="continue"/>
            <w:noWrap/>
            <w:vAlign w:val="center"/>
          </w:tcPr>
          <w:p/>
        </w:tc>
        <w:tc>
          <w:tcPr>
            <w:tcW w:w="1127" w:type="dxa"/>
            <w:noWrap/>
            <w:vAlign w:val="center"/>
          </w:tcPr>
          <w:p>
            <w:pPr>
              <w:pStyle w:val="17"/>
            </w:pPr>
            <w:r>
              <w:t>质量指标</w:t>
            </w:r>
          </w:p>
        </w:tc>
        <w:tc>
          <w:tcPr>
            <w:tcW w:w="2569" w:type="dxa"/>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执法全年任务完成率</w:t>
            </w:r>
          </w:p>
        </w:tc>
        <w:tc>
          <w:tcPr>
            <w:tcW w:w="4309" w:type="dxa"/>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执法全年任务完成率</w:t>
            </w:r>
          </w:p>
        </w:tc>
        <w:tc>
          <w:tcPr>
            <w:tcW w:w="2059" w:type="dxa"/>
            <w:noWrap/>
            <w:vAlign w:val="center"/>
          </w:tcPr>
          <w:p>
            <w:pPr>
              <w:pStyle w:val="17"/>
            </w:pPr>
            <w:r>
              <w:t>≥90百分比</w:t>
            </w:r>
          </w:p>
        </w:tc>
        <w:tc>
          <w:tcPr>
            <w:tcW w:w="2686" w:type="dxa"/>
            <w:noWrap/>
            <w:vAlign w:val="center"/>
          </w:tcPr>
          <w:p>
            <w:pPr>
              <w:pStyle w:val="17"/>
            </w:pPr>
            <w:r>
              <w:rPr>
                <w:rFonts w:hint="eastAsia"/>
                <w:lang w:val="en-US" w:eastAsia="zh-CN"/>
              </w:rPr>
              <w:t>县级文件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vMerge w:val="continue"/>
            <w:noWrap/>
            <w:vAlign w:val="center"/>
          </w:tcPr>
          <w:p/>
        </w:tc>
        <w:tc>
          <w:tcPr>
            <w:tcW w:w="1127" w:type="dxa"/>
            <w:noWrap/>
            <w:vAlign w:val="center"/>
          </w:tcPr>
          <w:p>
            <w:pPr>
              <w:pStyle w:val="17"/>
            </w:pPr>
            <w:r>
              <w:t>时效指标</w:t>
            </w:r>
          </w:p>
        </w:tc>
        <w:tc>
          <w:tcPr>
            <w:tcW w:w="2569" w:type="dxa"/>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执法案件及时处置率</w:t>
            </w:r>
          </w:p>
        </w:tc>
        <w:tc>
          <w:tcPr>
            <w:tcW w:w="4309" w:type="dxa"/>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执法案件及时处置率</w:t>
            </w:r>
          </w:p>
        </w:tc>
        <w:tc>
          <w:tcPr>
            <w:tcW w:w="2059" w:type="dxa"/>
            <w:noWrap/>
            <w:vAlign w:val="center"/>
          </w:tcPr>
          <w:p>
            <w:pPr>
              <w:pStyle w:val="17"/>
            </w:pPr>
            <w:r>
              <w:t>≥90百分比</w:t>
            </w:r>
          </w:p>
        </w:tc>
        <w:tc>
          <w:tcPr>
            <w:tcW w:w="2686" w:type="dxa"/>
            <w:noWrap/>
            <w:vAlign w:val="center"/>
          </w:tcPr>
          <w:p>
            <w:pPr>
              <w:pStyle w:val="17"/>
            </w:pPr>
            <w:r>
              <w:rPr>
                <w:rFonts w:hint="eastAsia"/>
                <w:lang w:val="en-US" w:eastAsia="zh-CN"/>
              </w:rPr>
              <w:t>县级文件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vMerge w:val="continue"/>
            <w:noWrap/>
            <w:vAlign w:val="center"/>
          </w:tcPr>
          <w:p/>
        </w:tc>
        <w:tc>
          <w:tcPr>
            <w:tcW w:w="1127" w:type="dxa"/>
            <w:noWrap/>
            <w:vAlign w:val="center"/>
          </w:tcPr>
          <w:p>
            <w:pPr>
              <w:pStyle w:val="17"/>
            </w:pPr>
            <w:r>
              <w:t>成本指标</w:t>
            </w:r>
          </w:p>
        </w:tc>
        <w:tc>
          <w:tcPr>
            <w:tcW w:w="2569" w:type="dxa"/>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行政执法专项成本控制</w:t>
            </w:r>
          </w:p>
        </w:tc>
        <w:tc>
          <w:tcPr>
            <w:tcW w:w="4309" w:type="dxa"/>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行政执法专项成本控制</w:t>
            </w:r>
          </w:p>
        </w:tc>
        <w:tc>
          <w:tcPr>
            <w:tcW w:w="2059" w:type="dxa"/>
            <w:noWrap/>
            <w:vAlign w:val="center"/>
          </w:tcPr>
          <w:p>
            <w:pPr>
              <w:pStyle w:val="17"/>
            </w:pPr>
            <w:r>
              <w:t>≤</w:t>
            </w:r>
            <w:r>
              <w:rPr>
                <w:rFonts w:hint="eastAsia"/>
                <w:lang w:val="en-US" w:eastAsia="zh-CN"/>
              </w:rPr>
              <w:t>25</w:t>
            </w:r>
            <w:r>
              <w:t>万元</w:t>
            </w:r>
          </w:p>
        </w:tc>
        <w:tc>
          <w:tcPr>
            <w:tcW w:w="2686" w:type="dxa"/>
            <w:noWrap/>
            <w:vAlign w:val="center"/>
          </w:tcPr>
          <w:p>
            <w:pPr>
              <w:pStyle w:val="17"/>
            </w:pPr>
            <w:r>
              <w:rPr>
                <w:rFonts w:hint="eastAsia"/>
                <w:lang w:val="en-US" w:eastAsia="zh-CN"/>
              </w:rPr>
              <w:t>县级文件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noWrap/>
            <w:vAlign w:val="center"/>
          </w:tcPr>
          <w:p>
            <w:pPr>
              <w:pStyle w:val="18"/>
            </w:pPr>
            <w:r>
              <w:t>效益指标</w:t>
            </w:r>
          </w:p>
        </w:tc>
        <w:tc>
          <w:tcPr>
            <w:tcW w:w="1127" w:type="dxa"/>
            <w:noWrap/>
            <w:vAlign w:val="center"/>
          </w:tcPr>
          <w:p>
            <w:pPr>
              <w:pStyle w:val="17"/>
            </w:pPr>
            <w:r>
              <w:rPr>
                <w:rFonts w:hint="eastAsia"/>
                <w:lang w:val="en-US" w:eastAsia="zh-CN"/>
              </w:rPr>
              <w:t>经济</w:t>
            </w:r>
            <w:r>
              <w:t>效益指标</w:t>
            </w:r>
          </w:p>
        </w:tc>
        <w:tc>
          <w:tcPr>
            <w:tcW w:w="2569" w:type="dxa"/>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罚没收入完成情况</w:t>
            </w:r>
          </w:p>
        </w:tc>
        <w:tc>
          <w:tcPr>
            <w:tcW w:w="4309" w:type="dxa"/>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罚没收入完成情况</w:t>
            </w:r>
          </w:p>
        </w:tc>
        <w:tc>
          <w:tcPr>
            <w:tcW w:w="2059" w:type="dxa"/>
            <w:noWrap/>
            <w:vAlign w:val="center"/>
          </w:tcPr>
          <w:p>
            <w:pPr>
              <w:pStyle w:val="17"/>
            </w:pPr>
            <w:r>
              <w:t>≥90百分比</w:t>
            </w:r>
          </w:p>
        </w:tc>
        <w:tc>
          <w:tcPr>
            <w:tcW w:w="2686" w:type="dxa"/>
            <w:noWrap/>
            <w:vAlign w:val="center"/>
          </w:tcPr>
          <w:p>
            <w:pPr>
              <w:pStyle w:val="17"/>
            </w:pPr>
            <w:r>
              <w:rPr>
                <w:rFonts w:hint="eastAsia"/>
                <w:lang w:val="en-US" w:eastAsia="zh-CN"/>
              </w:rPr>
              <w:t>县级文件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3" w:name="_Toc_3_3_0000000015"/>
      <w:r>
        <w:rPr>
          <w:rFonts w:ascii="黑体" w:hAnsi="黑体" w:eastAsia="黑体" w:cs="黑体"/>
          <w:color w:val="000000"/>
          <w:sz w:val="32"/>
        </w:rPr>
        <w:t>六、政府采购预算情况</w:t>
      </w:r>
      <w:bookmarkEnd w:id="13"/>
    </w:p>
    <w:p>
      <w:pPr>
        <w:spacing w:line="500" w:lineRule="exact"/>
        <w:ind w:firstLine="560"/>
        <w:rPr>
          <w:rFonts w:eastAsia="方正仿宋_GBK"/>
          <w:lang w:eastAsia="zh-CN"/>
        </w:rPr>
      </w:pP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w:t>
      </w:r>
      <w:r>
        <w:rPr>
          <w:rFonts w:hint="eastAsia" w:eastAsia="方正仿宋_GBK"/>
          <w:color w:val="000000"/>
          <w:sz w:val="28"/>
          <w:lang w:eastAsia="zh-CN"/>
        </w:rPr>
        <w:t>涞水县涞水镇人民政府无政府采购预算安排。</w:t>
      </w:r>
    </w:p>
    <w:p>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802涞水县涞水镇人民政府</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rPr>
          <w:rFonts w:eastAsia="方正书宋_GBK"/>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202</w:t>
      </w:r>
      <w:r>
        <w:rPr>
          <w:rFonts w:hint="eastAsia" w:ascii="方正书宋_GBK" w:hAnsi="方正书宋_GBK" w:eastAsia="方正书宋_GBK" w:cs="方正书宋_GBK"/>
          <w:color w:val="000000"/>
          <w:sz w:val="21"/>
          <w:lang w:val="en-US" w:eastAsia="zh-CN"/>
        </w:rPr>
        <w:t>4</w:t>
      </w:r>
      <w:r>
        <w:rPr>
          <w:rFonts w:hint="eastAsia" w:ascii="方正书宋_GBK" w:hAnsi="方正书宋_GBK" w:eastAsia="方正书宋_GBK" w:cs="方正书宋_GBK"/>
          <w:color w:val="000000"/>
          <w:sz w:val="21"/>
          <w:lang w:eastAsia="zh-CN"/>
        </w:rPr>
        <w:t>年无政府采购预算，空表列示。</w:t>
      </w:r>
    </w:p>
    <w:p>
      <w:pPr>
        <w:ind w:firstLine="640"/>
      </w:pPr>
    </w:p>
    <w:p>
      <w:pPr>
        <w:spacing w:before="10" w:after="10"/>
        <w:ind w:firstLine="640"/>
        <w:outlineLvl w:val="2"/>
        <w:rPr>
          <w:rFonts w:ascii="黑体" w:hAnsi="黑体" w:eastAsia="黑体" w:cs="黑体"/>
          <w:color w:val="000000"/>
          <w:sz w:val="32"/>
        </w:rPr>
      </w:pPr>
      <w:bookmarkStart w:id="14"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4"/>
    </w:p>
    <w:p>
      <w:pPr>
        <w:spacing w:line="500" w:lineRule="exact"/>
        <w:ind w:firstLine="560"/>
      </w:pPr>
      <w:r>
        <w:rPr>
          <w:rFonts w:hint="eastAsia" w:eastAsia="方正仿宋_GBK"/>
          <w:color w:val="000000"/>
          <w:sz w:val="28"/>
          <w:lang w:eastAsia="zh-CN"/>
        </w:rPr>
        <w:t>涞水县涞水镇人民政府</w:t>
      </w:r>
      <w:r>
        <w:rPr>
          <w:rFonts w:eastAsia="方正仿宋_GBK"/>
          <w:color w:val="000000"/>
          <w:sz w:val="28"/>
        </w:rPr>
        <w:t>（含所属单位）上年末固定资产金额为</w:t>
      </w:r>
      <w:r>
        <w:rPr>
          <w:rFonts w:hint="eastAsia" w:eastAsia="方正仿宋_GBK"/>
          <w:color w:val="000000"/>
          <w:sz w:val="28"/>
          <w:lang w:val="en-US" w:eastAsia="zh-CN"/>
        </w:rPr>
        <w:t>211.35</w:t>
      </w:r>
      <w:r>
        <w:rPr>
          <w:rFonts w:eastAsia="方正仿宋_GBK"/>
          <w:color w:val="000000"/>
          <w:sz w:val="28"/>
        </w:rPr>
        <w:t>万元（详见下表）。本年度</w:t>
      </w:r>
      <w:r>
        <w:rPr>
          <w:rFonts w:hint="eastAsia" w:eastAsia="方正仿宋_GBK"/>
          <w:color w:val="000000"/>
          <w:sz w:val="28"/>
          <w:lang w:eastAsia="zh-CN"/>
        </w:rPr>
        <w:t>无固定资产购置计划。</w:t>
      </w:r>
    </w:p>
    <w:p>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pPr>
        <w:rPr>
          <w:rFonts w:ascii="方正小标宋_GBK" w:hAnsi="方正小标宋_GBK" w:eastAsia="方正小标宋_GBK" w:cs="方正小标宋_GBK"/>
          <w:color w:val="000000"/>
          <w:sz w:val="36"/>
          <w:lang w:eastAsia="zh-CN"/>
        </w:rPr>
      </w:pPr>
    </w:p>
    <w:p>
      <w:pPr>
        <w:rPr>
          <w:rFonts w:ascii="方正小标宋_GBK" w:hAnsi="方正小标宋_GBK" w:eastAsia="方正小标宋_GBK" w:cs="方正小标宋_GBK"/>
          <w:color w:val="000000"/>
          <w:sz w:val="36"/>
          <w:lang w:eastAsia="zh-CN"/>
        </w:rPr>
      </w:pPr>
    </w:p>
    <w:tbl>
      <w:tblPr>
        <w:tblStyle w:val="9"/>
        <w:tblW w:w="0" w:type="auto"/>
        <w:jc w:val="center"/>
        <w:tblLayout w:type="fixed"/>
        <w:tblCellMar>
          <w:top w:w="0" w:type="dxa"/>
          <w:left w:w="108" w:type="dxa"/>
          <w:bottom w:w="0" w:type="dxa"/>
          <w:right w:w="108" w:type="dxa"/>
        </w:tblCellMar>
      </w:tblPr>
      <w:tblGrid>
        <w:gridCol w:w="7370"/>
        <w:gridCol w:w="5669"/>
      </w:tblGrid>
      <w:tr>
        <w:tblPrEx>
          <w:tblCellMar>
            <w:top w:w="0" w:type="dxa"/>
            <w:left w:w="108" w:type="dxa"/>
            <w:bottom w:w="0" w:type="dxa"/>
            <w:right w:w="108" w:type="dxa"/>
          </w:tblCellMar>
        </w:tblPrEx>
        <w:trPr>
          <w:trHeight w:val="911" w:hRule="atLeast"/>
          <w:tblHeader/>
          <w:jc w:val="center"/>
        </w:trPr>
        <w:tc>
          <w:tcPr>
            <w:tcW w:w="7370" w:type="dxa"/>
            <w:vAlign w:val="center"/>
          </w:tcPr>
          <w:p>
            <w:pPr>
              <w:pStyle w:val="14"/>
              <w:rPr>
                <w:lang w:eastAsia="zh-CN"/>
              </w:rPr>
            </w:pPr>
            <w:r>
              <w:rPr>
                <w:rFonts w:hint="eastAsia"/>
                <w:lang w:eastAsia="zh-CN"/>
              </w:rPr>
              <w:t>802涞水县涞水镇人民政府</w:t>
            </w:r>
          </w:p>
        </w:tc>
        <w:tc>
          <w:tcPr>
            <w:tcW w:w="5669" w:type="dxa"/>
            <w:vAlign w:val="center"/>
          </w:tcPr>
          <w:p>
            <w:pPr>
              <w:pStyle w:val="12"/>
            </w:pPr>
            <w:r>
              <w:t>截止时间：202</w:t>
            </w:r>
            <w:r>
              <w:rPr>
                <w:rFonts w:hint="eastAsia"/>
                <w:lang w:val="en-US" w:eastAsia="zh-CN"/>
              </w:rPr>
              <w:t>3</w:t>
            </w:r>
            <w:r>
              <w:t>-12-31</w:t>
            </w:r>
          </w:p>
        </w:tc>
      </w:tr>
    </w:tbl>
    <w:tbl>
      <w:tblPr>
        <w:tblStyle w:val="9"/>
        <w:tblpPr w:leftFromText="180" w:rightFromText="180" w:vertAnchor="text" w:horzAnchor="page" w:tblpX="2032" w:tblpY="18"/>
        <w:tblOverlap w:val="never"/>
        <w:tblW w:w="0" w:type="auto"/>
        <w:tblInd w:w="0" w:type="dxa"/>
        <w:tblLayout w:type="fixed"/>
        <w:tblCellMar>
          <w:top w:w="0" w:type="dxa"/>
          <w:left w:w="108" w:type="dxa"/>
          <w:bottom w:w="0" w:type="dxa"/>
          <w:right w:w="108" w:type="dxa"/>
        </w:tblCellMar>
      </w:tblPr>
      <w:tblGrid>
        <w:gridCol w:w="7330"/>
        <w:gridCol w:w="2734"/>
        <w:gridCol w:w="2951"/>
      </w:tblGrid>
      <w:tr>
        <w:tblPrEx>
          <w:tblCellMar>
            <w:top w:w="0" w:type="dxa"/>
            <w:left w:w="108" w:type="dxa"/>
            <w:bottom w:w="0" w:type="dxa"/>
            <w:right w:w="108" w:type="dxa"/>
          </w:tblCellMar>
        </w:tblPrEx>
        <w:trPr>
          <w:trHeight w:val="1129" w:hRule="atLeast"/>
        </w:trPr>
        <w:tc>
          <w:tcPr>
            <w:tcW w:w="7330" w:type="dxa"/>
            <w:tcBorders>
              <w:top w:val="single" w:color="auto" w:sz="4" w:space="0"/>
              <w:left w:val="single" w:color="auto" w:sz="4" w:space="0"/>
              <w:bottom w:val="single" w:color="auto" w:sz="4" w:space="0"/>
              <w:right w:val="single" w:color="auto" w:sz="4" w:space="0"/>
            </w:tcBorders>
            <w:vAlign w:val="center"/>
          </w:tcPr>
          <w:p>
            <w:pPr>
              <w:pStyle w:val="15"/>
            </w:pPr>
            <w:r>
              <w:rPr>
                <w:rFonts w:hint="eastAsia"/>
              </w:rPr>
              <w:t>项  目</w:t>
            </w:r>
          </w:p>
        </w:tc>
        <w:tc>
          <w:tcPr>
            <w:tcW w:w="2734" w:type="dxa"/>
            <w:tcBorders>
              <w:top w:val="single" w:color="auto" w:sz="4" w:space="0"/>
              <w:left w:val="nil"/>
              <w:bottom w:val="nil"/>
              <w:right w:val="single" w:color="auto" w:sz="4" w:space="0"/>
            </w:tcBorders>
            <w:vAlign w:val="center"/>
          </w:tcPr>
          <w:p>
            <w:pPr>
              <w:pStyle w:val="15"/>
            </w:pPr>
            <w:r>
              <w:rPr>
                <w:rFonts w:hint="eastAsia"/>
              </w:rPr>
              <w:t>数量</w:t>
            </w:r>
          </w:p>
        </w:tc>
        <w:tc>
          <w:tcPr>
            <w:tcW w:w="2951" w:type="dxa"/>
            <w:tcBorders>
              <w:top w:val="single" w:color="auto" w:sz="4" w:space="0"/>
              <w:left w:val="nil"/>
              <w:bottom w:val="single" w:color="auto" w:sz="4" w:space="0"/>
              <w:right w:val="single" w:color="auto" w:sz="4" w:space="0"/>
            </w:tcBorders>
            <w:vAlign w:val="center"/>
          </w:tcPr>
          <w:p>
            <w:pPr>
              <w:pStyle w:val="15"/>
            </w:pPr>
            <w:r>
              <w:rPr>
                <w:rFonts w:hint="eastAsia"/>
              </w:rPr>
              <w:t>价值（金额单位：万元）</w:t>
            </w:r>
          </w:p>
        </w:tc>
      </w:tr>
      <w:tr>
        <w:tblPrEx>
          <w:tblCellMar>
            <w:top w:w="0" w:type="dxa"/>
            <w:left w:w="108" w:type="dxa"/>
            <w:bottom w:w="0" w:type="dxa"/>
            <w:right w:w="108" w:type="dxa"/>
          </w:tblCellMar>
        </w:tblPrEx>
        <w:trPr>
          <w:trHeight w:val="398" w:hRule="atLeast"/>
        </w:trPr>
        <w:tc>
          <w:tcPr>
            <w:tcW w:w="7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olor w:val="000000"/>
                <w:sz w:val="21"/>
                <w:szCs w:val="21"/>
                <w:lang w:eastAsia="zh-CN"/>
              </w:rPr>
            </w:pPr>
            <w:r>
              <w:rPr>
                <w:rFonts w:hint="eastAsia" w:ascii="宋体" w:hAnsi="宋体" w:eastAsia="宋体"/>
                <w:b/>
                <w:bCs/>
                <w:color w:val="000000"/>
                <w:sz w:val="21"/>
                <w:szCs w:val="21"/>
                <w:lang w:eastAsia="zh-CN"/>
              </w:rPr>
              <w:t>固定资产总额</w:t>
            </w:r>
          </w:p>
        </w:tc>
        <w:tc>
          <w:tcPr>
            <w:tcW w:w="2734"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eastAsia="宋体"/>
                <w:color w:val="000000"/>
                <w:sz w:val="21"/>
                <w:szCs w:val="21"/>
                <w:lang w:eastAsia="zh-CN"/>
              </w:rPr>
            </w:pPr>
          </w:p>
        </w:tc>
        <w:tc>
          <w:tcPr>
            <w:tcW w:w="2951"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211.35</w:t>
            </w:r>
          </w:p>
        </w:tc>
      </w:tr>
      <w:tr>
        <w:tblPrEx>
          <w:tblCellMar>
            <w:top w:w="0" w:type="dxa"/>
            <w:left w:w="108" w:type="dxa"/>
            <w:bottom w:w="0" w:type="dxa"/>
            <w:right w:w="108" w:type="dxa"/>
          </w:tblCellMar>
        </w:tblPrEx>
        <w:trPr>
          <w:trHeight w:val="398" w:hRule="atLeast"/>
        </w:trPr>
        <w:tc>
          <w:tcPr>
            <w:tcW w:w="73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734"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eastAsia="宋体" w:cs="宋体"/>
                <w:color w:val="000000"/>
                <w:sz w:val="21"/>
                <w:szCs w:val="21"/>
                <w:lang w:eastAsia="zh-CN"/>
              </w:rPr>
            </w:pPr>
            <w:r>
              <w:rPr>
                <w:rFonts w:hint="eastAsia" w:ascii="宋体" w:hAnsi="宋体" w:eastAsia="宋体"/>
                <w:color w:val="000000"/>
                <w:sz w:val="21"/>
                <w:szCs w:val="21"/>
                <w:lang w:eastAsia="zh-CN"/>
              </w:rPr>
              <w:t>2700.00</w:t>
            </w:r>
          </w:p>
        </w:tc>
        <w:tc>
          <w:tcPr>
            <w:tcW w:w="2951" w:type="dxa"/>
            <w:tcBorders>
              <w:top w:val="single" w:color="auto" w:sz="4" w:space="0"/>
              <w:left w:val="nil"/>
              <w:bottom w:val="single" w:color="auto" w:sz="4" w:space="0"/>
              <w:right w:val="single" w:color="auto" w:sz="4" w:space="0"/>
            </w:tcBorders>
            <w:vAlign w:val="center"/>
          </w:tcPr>
          <w:p>
            <w:pPr>
              <w:jc w:val="right"/>
              <w:textAlignment w:val="center"/>
              <w:rPr>
                <w:rFonts w:ascii="Calibri" w:hAnsi="Calibri" w:eastAsia="宋体" w:cs="宋体"/>
                <w:kern w:val="2"/>
                <w:sz w:val="21"/>
                <w:szCs w:val="21"/>
                <w:lang w:eastAsia="zh-CN"/>
              </w:rPr>
            </w:pPr>
            <w:r>
              <w:rPr>
                <w:rFonts w:hint="eastAsia" w:ascii="宋体" w:hAnsi="宋体" w:eastAsia="宋体"/>
                <w:color w:val="000000"/>
                <w:sz w:val="21"/>
                <w:szCs w:val="21"/>
                <w:lang w:eastAsia="zh-CN"/>
              </w:rPr>
              <w:t>129.00</w:t>
            </w:r>
          </w:p>
        </w:tc>
      </w:tr>
      <w:tr>
        <w:tblPrEx>
          <w:tblCellMar>
            <w:top w:w="0" w:type="dxa"/>
            <w:left w:w="108" w:type="dxa"/>
            <w:bottom w:w="0" w:type="dxa"/>
            <w:right w:w="108" w:type="dxa"/>
          </w:tblCellMar>
        </w:tblPrEx>
        <w:trPr>
          <w:trHeight w:val="379" w:hRule="atLeast"/>
        </w:trPr>
        <w:tc>
          <w:tcPr>
            <w:tcW w:w="73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734"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951"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eastAsia="zh-CN"/>
              </w:rPr>
              <w:t>12.28</w:t>
            </w:r>
          </w:p>
        </w:tc>
      </w:tr>
      <w:tr>
        <w:tblPrEx>
          <w:tblCellMar>
            <w:top w:w="0" w:type="dxa"/>
            <w:left w:w="108" w:type="dxa"/>
            <w:bottom w:w="0" w:type="dxa"/>
            <w:right w:w="108" w:type="dxa"/>
          </w:tblCellMar>
        </w:tblPrEx>
        <w:trPr>
          <w:trHeight w:val="379" w:hRule="atLeast"/>
        </w:trPr>
        <w:tc>
          <w:tcPr>
            <w:tcW w:w="73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734"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951"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70.07</w:t>
            </w:r>
          </w:p>
        </w:tc>
      </w:tr>
    </w:tbl>
    <w:p>
      <w:pPr>
        <w:rPr>
          <w:rFonts w:ascii="方正小标宋_GBK" w:hAnsi="方正小标宋_GBK" w:eastAsia="方正小标宋_GBK" w:cs="方正小标宋_GBK"/>
          <w:color w:val="000000"/>
          <w:sz w:val="36"/>
          <w:lang w:eastAsia="zh-CN"/>
        </w:rPr>
      </w:pPr>
    </w:p>
    <w:p>
      <w:pPr>
        <w:spacing w:before="10" w:after="10"/>
        <w:ind w:firstLine="640"/>
        <w:outlineLvl w:val="2"/>
        <w:rPr>
          <w:rFonts w:ascii="黑体" w:hAnsi="黑体" w:eastAsia="黑体" w:cs="黑体"/>
          <w:color w:val="000000"/>
          <w:sz w:val="32"/>
        </w:rPr>
      </w:pPr>
      <w:bookmarkStart w:id="15" w:name="_Toc_3_3_0000000017"/>
    </w:p>
    <w:p>
      <w:pPr>
        <w:spacing w:before="10" w:after="10"/>
        <w:ind w:firstLine="640"/>
        <w:outlineLvl w:val="2"/>
      </w:pPr>
      <w:r>
        <w:rPr>
          <w:rFonts w:ascii="黑体" w:hAnsi="黑体" w:eastAsia="黑体" w:cs="黑体"/>
          <w:color w:val="000000"/>
          <w:sz w:val="32"/>
        </w:rPr>
        <w:t>八、名词解释</w:t>
      </w:r>
      <w:bookmarkEnd w:id="15"/>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BAD55"/>
    <w:multiLevelType w:val="singleLevel"/>
    <w:tmpl w:val="04CBAD55"/>
    <w:lvl w:ilvl="0" w:tentative="0">
      <w:start w:val="1"/>
      <w:numFmt w:val="decimal"/>
      <w:suff w:val="nothing"/>
      <w:lvlText w:val="%1、"/>
      <w:lvlJc w:val="left"/>
    </w:lvl>
  </w:abstractNum>
  <w:abstractNum w:abstractNumId="1">
    <w:nsid w:val="7D449939"/>
    <w:multiLevelType w:val="singleLevel"/>
    <w:tmpl w:val="7D44993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UzOTcyZTMwOTA1Mjc0MjJhMzZmNmYzNjNlYTk1YjkifQ=="/>
  </w:docVars>
  <w:rsids>
    <w:rsidRoot w:val="00781D3A"/>
    <w:rsid w:val="001C0AE6"/>
    <w:rsid w:val="001D7814"/>
    <w:rsid w:val="0025229E"/>
    <w:rsid w:val="0035296C"/>
    <w:rsid w:val="00472F0F"/>
    <w:rsid w:val="0053656D"/>
    <w:rsid w:val="00652FA3"/>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DC7E9E"/>
    <w:rsid w:val="0213726C"/>
    <w:rsid w:val="051F5FFE"/>
    <w:rsid w:val="054B4674"/>
    <w:rsid w:val="05532134"/>
    <w:rsid w:val="073311E2"/>
    <w:rsid w:val="0A8B677C"/>
    <w:rsid w:val="0AA871E1"/>
    <w:rsid w:val="0D6435E4"/>
    <w:rsid w:val="103E5522"/>
    <w:rsid w:val="11086989"/>
    <w:rsid w:val="12B76846"/>
    <w:rsid w:val="14EA55C3"/>
    <w:rsid w:val="154C2C76"/>
    <w:rsid w:val="184F0BD9"/>
    <w:rsid w:val="188E13A6"/>
    <w:rsid w:val="195F23D2"/>
    <w:rsid w:val="1B8B6C8F"/>
    <w:rsid w:val="1ED1782C"/>
    <w:rsid w:val="1F001077"/>
    <w:rsid w:val="21DD6CEF"/>
    <w:rsid w:val="25CF0516"/>
    <w:rsid w:val="260E5C4F"/>
    <w:rsid w:val="27623382"/>
    <w:rsid w:val="278E5CCF"/>
    <w:rsid w:val="2844412C"/>
    <w:rsid w:val="2B2749C2"/>
    <w:rsid w:val="2DF96C23"/>
    <w:rsid w:val="2E743AD5"/>
    <w:rsid w:val="30036774"/>
    <w:rsid w:val="31864EB8"/>
    <w:rsid w:val="36816499"/>
    <w:rsid w:val="37CF26CA"/>
    <w:rsid w:val="3B0578DD"/>
    <w:rsid w:val="40880CAC"/>
    <w:rsid w:val="40C178ED"/>
    <w:rsid w:val="41971721"/>
    <w:rsid w:val="4399227D"/>
    <w:rsid w:val="45BA249B"/>
    <w:rsid w:val="45C56862"/>
    <w:rsid w:val="48BA73C9"/>
    <w:rsid w:val="4A6E08DD"/>
    <w:rsid w:val="4F041047"/>
    <w:rsid w:val="50CB22F5"/>
    <w:rsid w:val="52742230"/>
    <w:rsid w:val="57C3041F"/>
    <w:rsid w:val="5B01542B"/>
    <w:rsid w:val="6004739D"/>
    <w:rsid w:val="61472B85"/>
    <w:rsid w:val="618868A7"/>
    <w:rsid w:val="637B0A86"/>
    <w:rsid w:val="652D1588"/>
    <w:rsid w:val="659B6003"/>
    <w:rsid w:val="67690D1C"/>
    <w:rsid w:val="68D16665"/>
    <w:rsid w:val="6923031A"/>
    <w:rsid w:val="693E62E7"/>
    <w:rsid w:val="69404926"/>
    <w:rsid w:val="6F7857DF"/>
    <w:rsid w:val="6F820B41"/>
    <w:rsid w:val="71F14581"/>
    <w:rsid w:val="757E45BF"/>
    <w:rsid w:val="763F279E"/>
    <w:rsid w:val="7C117032"/>
    <w:rsid w:val="7CFC2379"/>
    <w:rsid w:val="7DA96259"/>
    <w:rsid w:val="7EDE5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Plain Text"/>
    <w:basedOn w:val="1"/>
    <w:qFormat/>
    <w:uiPriority w:val="99"/>
    <w:rPr>
      <w:rFonts w:ascii="宋体" w:hAnsi="Courier New" w:cs="Courier New"/>
      <w:szCs w:val="21"/>
    </w:rPr>
  </w:style>
  <w:style w:type="paragraph" w:styleId="4">
    <w:name w:val="footer"/>
    <w:basedOn w:val="1"/>
    <w:link w:val="35"/>
    <w:unhideWhenUsed/>
    <w:qFormat/>
    <w:uiPriority w:val="99"/>
    <w:pPr>
      <w:tabs>
        <w:tab w:val="center" w:pos="4153"/>
        <w:tab w:val="right" w:pos="8306"/>
      </w:tabs>
      <w:snapToGrid w:val="0"/>
    </w:pPr>
    <w:rPr>
      <w:sz w:val="18"/>
      <w:szCs w:val="18"/>
    </w:rPr>
  </w:style>
  <w:style w:type="paragraph" w:styleId="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5"/>
    <w:qFormat/>
    <w:uiPriority w:val="99"/>
    <w:rPr>
      <w:rFonts w:eastAsia="Times New Roman"/>
      <w:sz w:val="18"/>
      <w:szCs w:val="18"/>
      <w:lang w:eastAsia="uk-UA"/>
    </w:rPr>
  </w:style>
  <w:style w:type="character" w:customStyle="1" w:styleId="35">
    <w:name w:val="页脚 Char"/>
    <w:basedOn w:val="11"/>
    <w:link w:val="4"/>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D21B174-EFD5-481F-8023-ECD2C99EA6A5}">
  <ds:schemaRefs/>
</ds:datastoreItem>
</file>

<file path=customXml/itemProps11.xml><?xml version="1.0" encoding="utf-8"?>
<ds:datastoreItem xmlns:ds="http://schemas.openxmlformats.org/officeDocument/2006/customXml" ds:itemID="{55A60376-5F1A-4B58-BE70-A0B8CD8AC393}">
  <ds:schemaRefs/>
</ds:datastoreItem>
</file>

<file path=customXml/itemProps12.xml><?xml version="1.0" encoding="utf-8"?>
<ds:datastoreItem xmlns:ds="http://schemas.openxmlformats.org/officeDocument/2006/customXml" ds:itemID="{3300B263-A8B2-4577-A8B1-07D060066AC1}">
  <ds:schemaRefs/>
</ds:datastoreItem>
</file>

<file path=customXml/itemProps13.xml><?xml version="1.0" encoding="utf-8"?>
<ds:datastoreItem xmlns:ds="http://schemas.openxmlformats.org/officeDocument/2006/customXml" ds:itemID="{927546BB-28A9-4183-9889-130B2B46E760}">
  <ds:schemaRefs/>
</ds:datastoreItem>
</file>

<file path=customXml/itemProps14.xml><?xml version="1.0" encoding="utf-8"?>
<ds:datastoreItem xmlns:ds="http://schemas.openxmlformats.org/officeDocument/2006/customXml" ds:itemID="{7DA1E944-597F-4D9A-ADC8-E3A5D62388E9}">
  <ds:schemaRefs/>
</ds:datastoreItem>
</file>

<file path=customXml/itemProps15.xml><?xml version="1.0" encoding="utf-8"?>
<ds:datastoreItem xmlns:ds="http://schemas.openxmlformats.org/officeDocument/2006/customXml" ds:itemID="{907DF196-29BA-4F64-A2E6-9B891D8DA970}">
  <ds:schemaRefs/>
</ds:datastoreItem>
</file>

<file path=customXml/itemProps16.xml><?xml version="1.0" encoding="utf-8"?>
<ds:datastoreItem xmlns:ds="http://schemas.openxmlformats.org/officeDocument/2006/customXml" ds:itemID="{C593EC27-B89C-46A8-9CF9-3B5AE2B23C20}">
  <ds:schemaRefs/>
</ds:datastoreItem>
</file>

<file path=customXml/itemProps17.xml><?xml version="1.0" encoding="utf-8"?>
<ds:datastoreItem xmlns:ds="http://schemas.openxmlformats.org/officeDocument/2006/customXml" ds:itemID="{335668B4-649C-41E0-BC80-7D94ABF681A2}">
  <ds:schemaRefs/>
</ds:datastoreItem>
</file>

<file path=customXml/itemProps18.xml><?xml version="1.0" encoding="utf-8"?>
<ds:datastoreItem xmlns:ds="http://schemas.openxmlformats.org/officeDocument/2006/customXml" ds:itemID="{1C4E702D-2594-4689-8404-84AFD7E73E52}">
  <ds:schemaRefs/>
</ds:datastoreItem>
</file>

<file path=customXml/itemProps19.xml><?xml version="1.0" encoding="utf-8"?>
<ds:datastoreItem xmlns:ds="http://schemas.openxmlformats.org/officeDocument/2006/customXml" ds:itemID="{C486A553-0F69-4945-B340-E49BCA32411A}">
  <ds:schemaRefs/>
</ds:datastoreItem>
</file>

<file path=customXml/itemProps2.xml><?xml version="1.0" encoding="utf-8"?>
<ds:datastoreItem xmlns:ds="http://schemas.openxmlformats.org/officeDocument/2006/customXml" ds:itemID="{526561F4-D429-4474-A75E-30A59CF88000}">
  <ds:schemaRefs/>
</ds:datastoreItem>
</file>

<file path=customXml/itemProps20.xml><?xml version="1.0" encoding="utf-8"?>
<ds:datastoreItem xmlns:ds="http://schemas.openxmlformats.org/officeDocument/2006/customXml" ds:itemID="{CB6B8C05-D526-4E72-8AB4-B1FB0F487636}">
  <ds:schemaRefs/>
</ds:datastoreItem>
</file>

<file path=customXml/itemProps21.xml><?xml version="1.0" encoding="utf-8"?>
<ds:datastoreItem xmlns:ds="http://schemas.openxmlformats.org/officeDocument/2006/customXml" ds:itemID="{6C8F0DDD-DA95-49D7-BEC9-54BED6023821}">
  <ds:schemaRefs/>
</ds:datastoreItem>
</file>

<file path=customXml/itemProps22.xml><?xml version="1.0" encoding="utf-8"?>
<ds:datastoreItem xmlns:ds="http://schemas.openxmlformats.org/officeDocument/2006/customXml" ds:itemID="{E56AD1C2-FB4D-4572-86C7-2470DBB3943B}">
  <ds:schemaRefs/>
</ds:datastoreItem>
</file>

<file path=customXml/itemProps23.xml><?xml version="1.0" encoding="utf-8"?>
<ds:datastoreItem xmlns:ds="http://schemas.openxmlformats.org/officeDocument/2006/customXml" ds:itemID="{C66F43F9-0AB8-4241-BA67-D8AE60CF6C21}">
  <ds:schemaRefs/>
</ds:datastoreItem>
</file>

<file path=customXml/itemProps24.xml><?xml version="1.0" encoding="utf-8"?>
<ds:datastoreItem xmlns:ds="http://schemas.openxmlformats.org/officeDocument/2006/customXml" ds:itemID="{328F8FAA-F9B6-48DE-ABD9-772610F9386F}">
  <ds:schemaRefs/>
</ds:datastoreItem>
</file>

<file path=customXml/itemProps25.xml><?xml version="1.0" encoding="utf-8"?>
<ds:datastoreItem xmlns:ds="http://schemas.openxmlformats.org/officeDocument/2006/customXml" ds:itemID="{DD8D39B1-E032-4B64-9020-66CD65ABCD3B}">
  <ds:schemaRefs/>
</ds:datastoreItem>
</file>

<file path=customXml/itemProps26.xml><?xml version="1.0" encoding="utf-8"?>
<ds:datastoreItem xmlns:ds="http://schemas.openxmlformats.org/officeDocument/2006/customXml" ds:itemID="{BF249A3C-5046-4792-B1C7-86A45BD0F7B3}">
  <ds:schemaRefs/>
</ds:datastoreItem>
</file>

<file path=customXml/itemProps27.xml><?xml version="1.0" encoding="utf-8"?>
<ds:datastoreItem xmlns:ds="http://schemas.openxmlformats.org/officeDocument/2006/customXml" ds:itemID="{9E39FA8A-0D5E-4C72-88C2-A4A5C9D016A3}">
  <ds:schemaRefs/>
</ds:datastoreItem>
</file>

<file path=customXml/itemProps28.xml><?xml version="1.0" encoding="utf-8"?>
<ds:datastoreItem xmlns:ds="http://schemas.openxmlformats.org/officeDocument/2006/customXml" ds:itemID="{66CC41B6-D28D-4EED-B564-F0D3D013B8B1}">
  <ds:schemaRefs/>
</ds:datastoreItem>
</file>

<file path=customXml/itemProps29.xml><?xml version="1.0" encoding="utf-8"?>
<ds:datastoreItem xmlns:ds="http://schemas.openxmlformats.org/officeDocument/2006/customXml" ds:itemID="{6A6DB8E6-5EDD-4508-B255-AD07BCA264C9}">
  <ds:schemaRefs/>
</ds:datastoreItem>
</file>

<file path=customXml/itemProps3.xml><?xml version="1.0" encoding="utf-8"?>
<ds:datastoreItem xmlns:ds="http://schemas.openxmlformats.org/officeDocument/2006/customXml" ds:itemID="{4074F53B-6AA8-493B-96FF-0D7EB858216C}">
  <ds:schemaRefs/>
</ds:datastoreItem>
</file>

<file path=customXml/itemProps30.xml><?xml version="1.0" encoding="utf-8"?>
<ds:datastoreItem xmlns:ds="http://schemas.openxmlformats.org/officeDocument/2006/customXml" ds:itemID="{82063DCE-E0D9-4D45-94AB-06A5849F123C}">
  <ds:schemaRefs/>
</ds:datastoreItem>
</file>

<file path=customXml/itemProps31.xml><?xml version="1.0" encoding="utf-8"?>
<ds:datastoreItem xmlns:ds="http://schemas.openxmlformats.org/officeDocument/2006/customXml" ds:itemID="{C864F1CC-9C8C-41E6-8FD8-C85E12A44050}">
  <ds:schemaRefs/>
</ds:datastoreItem>
</file>

<file path=customXml/itemProps32.xml><?xml version="1.0" encoding="utf-8"?>
<ds:datastoreItem xmlns:ds="http://schemas.openxmlformats.org/officeDocument/2006/customXml" ds:itemID="{8807E301-CE3E-48B0-8F1B-BE48F29E1736}">
  <ds:schemaRefs/>
</ds:datastoreItem>
</file>

<file path=customXml/itemProps33.xml><?xml version="1.0" encoding="utf-8"?>
<ds:datastoreItem xmlns:ds="http://schemas.openxmlformats.org/officeDocument/2006/customXml" ds:itemID="{B9E9C162-3959-4E09-8552-3788A3BCB94D}">
  <ds:schemaRefs/>
</ds:datastoreItem>
</file>

<file path=customXml/itemProps34.xml><?xml version="1.0" encoding="utf-8"?>
<ds:datastoreItem xmlns:ds="http://schemas.openxmlformats.org/officeDocument/2006/customXml" ds:itemID="{989DA21E-0CDF-4E3D-84F6-1D172BF7F4B9}">
  <ds:schemaRefs/>
</ds:datastoreItem>
</file>

<file path=customXml/itemProps35.xml><?xml version="1.0" encoding="utf-8"?>
<ds:datastoreItem xmlns:ds="http://schemas.openxmlformats.org/officeDocument/2006/customXml" ds:itemID="{9B2DCA2B-261B-4FC5-92E2-74D6E9C53092}">
  <ds:schemaRefs/>
</ds:datastoreItem>
</file>

<file path=customXml/itemProps36.xml><?xml version="1.0" encoding="utf-8"?>
<ds:datastoreItem xmlns:ds="http://schemas.openxmlformats.org/officeDocument/2006/customXml" ds:itemID="{127F30A9-AC64-4000-970B-04BBBAF6782F}">
  <ds:schemaRefs/>
</ds:datastoreItem>
</file>

<file path=customXml/itemProps37.xml><?xml version="1.0" encoding="utf-8"?>
<ds:datastoreItem xmlns:ds="http://schemas.openxmlformats.org/officeDocument/2006/customXml" ds:itemID="{DFFE41CD-7795-417D-8B3D-7B7E92ADCE28}">
  <ds:schemaRefs/>
</ds:datastoreItem>
</file>

<file path=customXml/itemProps38.xml><?xml version="1.0" encoding="utf-8"?>
<ds:datastoreItem xmlns:ds="http://schemas.openxmlformats.org/officeDocument/2006/customXml" ds:itemID="{B8034E79-3EC9-4FB4-8900-8DB566ED87F2}">
  <ds:schemaRefs/>
</ds:datastoreItem>
</file>

<file path=customXml/itemProps39.xml><?xml version="1.0" encoding="utf-8"?>
<ds:datastoreItem xmlns:ds="http://schemas.openxmlformats.org/officeDocument/2006/customXml" ds:itemID="{F2B0114A-1BF3-408C-A937-DBD594359DD7}">
  <ds:schemaRefs/>
</ds:datastoreItem>
</file>

<file path=customXml/itemProps4.xml><?xml version="1.0" encoding="utf-8"?>
<ds:datastoreItem xmlns:ds="http://schemas.openxmlformats.org/officeDocument/2006/customXml" ds:itemID="{240D75C0-5405-407A-9D88-451A6C53325C}">
  <ds:schemaRefs/>
</ds:datastoreItem>
</file>

<file path=customXml/itemProps40.xml><?xml version="1.0" encoding="utf-8"?>
<ds:datastoreItem xmlns:ds="http://schemas.openxmlformats.org/officeDocument/2006/customXml" ds:itemID="{FF40C868-CD10-4565-BD6F-28B55B247751}">
  <ds:schemaRefs/>
</ds:datastoreItem>
</file>

<file path=customXml/itemProps5.xml><?xml version="1.0" encoding="utf-8"?>
<ds:datastoreItem xmlns:ds="http://schemas.openxmlformats.org/officeDocument/2006/customXml" ds:itemID="{B52E45D6-0F3C-4B21-B161-FA591631F8EB}">
  <ds:schemaRefs/>
</ds:datastoreItem>
</file>

<file path=customXml/itemProps6.xml><?xml version="1.0" encoding="utf-8"?>
<ds:datastoreItem xmlns:ds="http://schemas.openxmlformats.org/officeDocument/2006/customXml" ds:itemID="{D5DDAF8B-C90E-40EE-B940-CCD547411B81}">
  <ds:schemaRefs/>
</ds:datastoreItem>
</file>

<file path=customXml/itemProps7.xml><?xml version="1.0" encoding="utf-8"?>
<ds:datastoreItem xmlns:ds="http://schemas.openxmlformats.org/officeDocument/2006/customXml" ds:itemID="{BC8B0B68-B399-4D6D-AE2B-284CCF1A5CB6}">
  <ds:schemaRefs/>
</ds:datastoreItem>
</file>

<file path=customXml/itemProps8.xml><?xml version="1.0" encoding="utf-8"?>
<ds:datastoreItem xmlns:ds="http://schemas.openxmlformats.org/officeDocument/2006/customXml" ds:itemID="{5EFC46A3-03BA-4ECF-B65E-51918400F753}">
  <ds:schemaRefs/>
</ds:datastoreItem>
</file>

<file path=customXml/itemProps9.xml><?xml version="1.0" encoding="utf-8"?>
<ds:datastoreItem xmlns:ds="http://schemas.openxmlformats.org/officeDocument/2006/customXml" ds:itemID="{BAA19A8D-5B92-489B-B169-BAD91A1033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10224</Words>
  <Characters>11801</Characters>
  <Lines>109</Lines>
  <Paragraphs>30</Paragraphs>
  <TotalTime>90</TotalTime>
  <ScaleCrop>false</ScaleCrop>
  <LinksUpToDate>false</LinksUpToDate>
  <CharactersWithSpaces>12001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xy</cp:lastModifiedBy>
  <dcterms:modified xsi:type="dcterms:W3CDTF">2024-01-30T07:52:57Z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C9D1610CB8F1478783DEAA371825E57F</vt:lpwstr>
  </property>
</Properties>
</file>