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center"/>
        <w:rPr>
          <w:rFonts w:ascii="方正小标宋_GBK" w:hAnsi="方正小标宋_GBK" w:eastAsia="方正小标宋_GBK" w:cs="方正小标宋_GBK"/>
          <w:color w:val="000000"/>
          <w:kern w:val="0"/>
          <w:sz w:val="44"/>
          <w:szCs w:val="24"/>
        </w:rPr>
      </w:pPr>
      <w:r>
        <w:rPr>
          <w:rFonts w:hint="eastAsia" w:ascii="黑体" w:hAnsi="黑体" w:eastAsia="黑体" w:cs="黑体"/>
          <w:b/>
          <w:color w:val="000000"/>
          <w:kern w:val="0"/>
          <w:sz w:val="44"/>
          <w:szCs w:val="24"/>
        </w:rPr>
        <w:t>中国共产党涞水县纪律检查委员会</w:t>
      </w:r>
    </w:p>
    <w:p>
      <w:pPr>
        <w:widowControl/>
        <w:spacing w:line="240" w:lineRule="auto"/>
        <w:jc w:val="center"/>
        <w:outlineLvl w:val="0"/>
        <w:rPr>
          <w:rFonts w:ascii="黑体" w:hAnsi="黑体" w:eastAsia="黑体" w:cs="黑体"/>
          <w:b/>
          <w:color w:val="000000"/>
          <w:kern w:val="0"/>
          <w:sz w:val="44"/>
          <w:szCs w:val="24"/>
        </w:rPr>
      </w:pPr>
      <w:r>
        <w:rPr>
          <w:rFonts w:hint="eastAsia" w:ascii="黑体" w:hAnsi="黑体" w:eastAsia="黑体" w:cs="黑体"/>
          <w:b/>
          <w:color w:val="000000"/>
          <w:kern w:val="0"/>
          <w:sz w:val="44"/>
          <w:szCs w:val="24"/>
          <w:lang w:eastAsia="zh-CN"/>
        </w:rPr>
        <w:t>2024</w:t>
      </w:r>
      <w:r>
        <w:rPr>
          <w:rFonts w:hint="eastAsia" w:ascii="黑体" w:hAnsi="黑体" w:eastAsia="黑体" w:cs="黑体"/>
          <w:b/>
          <w:color w:val="000000"/>
          <w:kern w:val="0"/>
          <w:sz w:val="44"/>
          <w:szCs w:val="24"/>
        </w:rPr>
        <w:t>年</w:t>
      </w:r>
      <w:r>
        <w:rPr>
          <w:rFonts w:hint="eastAsia" w:ascii="黑体" w:hAnsi="黑体" w:eastAsia="黑体" w:cs="黑体"/>
          <w:b/>
          <w:color w:val="000000"/>
          <w:kern w:val="0"/>
          <w:sz w:val="44"/>
          <w:szCs w:val="24"/>
          <w:lang w:eastAsia="uk-UA"/>
        </w:rPr>
        <w:t>部门预算信息公开</w:t>
      </w:r>
      <w:r>
        <w:rPr>
          <w:rFonts w:hint="eastAsia" w:ascii="黑体" w:hAnsi="黑体" w:eastAsia="黑体" w:cs="黑体"/>
          <w:b/>
          <w:color w:val="000000"/>
          <w:kern w:val="0"/>
          <w:sz w:val="44"/>
          <w:szCs w:val="24"/>
        </w:rPr>
        <w:t>目录</w:t>
      </w:r>
    </w:p>
    <w:p>
      <w:pPr>
        <w:rPr>
          <w:sz w:val="28"/>
          <w:szCs w:val="28"/>
        </w:rPr>
      </w:pPr>
      <w:r>
        <w:rPr>
          <w:rFonts w:ascii="方正楷体_GBK" w:hAnsi="方正楷体_GBK" w:eastAsia="方正楷体_GBK" w:cs="方正楷体_GBK"/>
          <w:b/>
          <w:color w:val="000000"/>
          <w:sz w:val="28"/>
          <w:szCs w:val="28"/>
        </w:rPr>
        <w:t>部门预算公开表</w:t>
      </w:r>
    </w:p>
    <w:p>
      <w:pPr>
        <w:pStyle w:val="6"/>
        <w:tabs>
          <w:tab w:val="right" w:leader="dot" w:pos="14562"/>
        </w:tabs>
        <w:rPr>
          <w:sz w:val="28"/>
          <w:szCs w:val="28"/>
        </w:rPr>
      </w:pPr>
      <w:r>
        <w:rPr>
          <w:sz w:val="28"/>
          <w:szCs w:val="28"/>
        </w:rPr>
        <w:fldChar w:fldCharType="begin"/>
      </w:r>
      <w:r>
        <w:rPr>
          <w:sz w:val="28"/>
          <w:szCs w:val="28"/>
        </w:rPr>
        <w:instrText xml:space="preserve">TOC \o "2-2" \h \z \u</w:instrText>
      </w:r>
      <w:r>
        <w:rPr>
          <w:sz w:val="28"/>
          <w:szCs w:val="28"/>
        </w:rPr>
        <w:fldChar w:fldCharType="separate"/>
      </w:r>
      <w:r>
        <w:fldChar w:fldCharType="begin"/>
      </w:r>
      <w:r>
        <w:instrText xml:space="preserve"> HYPERLINK \l "_Toc_2_2_0000000001" </w:instrText>
      </w:r>
      <w:r>
        <w:fldChar w:fldCharType="separate"/>
      </w:r>
      <w:r>
        <w:rPr>
          <w:sz w:val="28"/>
          <w:szCs w:val="28"/>
        </w:rPr>
        <w:t>部门预算收支总表</w:t>
      </w:r>
      <w:r>
        <w:rPr>
          <w:sz w:val="28"/>
          <w:szCs w:val="28"/>
        </w:rPr>
        <w:tab/>
      </w:r>
      <w:r>
        <w:rPr>
          <w:rFonts w:hint="eastAsia" w:eastAsiaTheme="minorEastAsia"/>
          <w:sz w:val="28"/>
          <w:szCs w:val="28"/>
        </w:rPr>
        <w:t>3</w:t>
      </w:r>
      <w:r>
        <w:rPr>
          <w:rFonts w:hint="eastAsia" w:eastAsiaTheme="minorEastAsia"/>
          <w:sz w:val="28"/>
          <w:szCs w:val="28"/>
        </w:rPr>
        <w:fldChar w:fldCharType="end"/>
      </w:r>
    </w:p>
    <w:p>
      <w:pPr>
        <w:pStyle w:val="6"/>
        <w:tabs>
          <w:tab w:val="right" w:leader="dot" w:pos="14562"/>
        </w:tabs>
        <w:rPr>
          <w:sz w:val="28"/>
          <w:szCs w:val="28"/>
        </w:rPr>
      </w:pPr>
      <w:r>
        <w:fldChar w:fldCharType="begin"/>
      </w:r>
      <w:r>
        <w:instrText xml:space="preserve"> HYPERLINK \l "_Toc_2_2_0000000002" </w:instrText>
      </w:r>
      <w:r>
        <w:fldChar w:fldCharType="separate"/>
      </w:r>
      <w:r>
        <w:rPr>
          <w:sz w:val="28"/>
          <w:szCs w:val="28"/>
        </w:rPr>
        <w:t>部门预算收入总表</w:t>
      </w:r>
      <w:r>
        <w:rPr>
          <w:sz w:val="28"/>
          <w:szCs w:val="28"/>
        </w:rPr>
        <w:tab/>
      </w:r>
      <w:r>
        <w:rPr>
          <w:rFonts w:hint="eastAsia" w:eastAsiaTheme="minorEastAsia"/>
          <w:sz w:val="28"/>
          <w:szCs w:val="28"/>
        </w:rPr>
        <w:t>6</w:t>
      </w:r>
      <w:r>
        <w:rPr>
          <w:rFonts w:hint="eastAsia" w:eastAsiaTheme="minorEastAsia"/>
          <w:sz w:val="28"/>
          <w:szCs w:val="28"/>
        </w:rPr>
        <w:fldChar w:fldCharType="end"/>
      </w:r>
    </w:p>
    <w:p>
      <w:pPr>
        <w:pStyle w:val="6"/>
        <w:tabs>
          <w:tab w:val="right" w:leader="dot" w:pos="14562"/>
        </w:tabs>
        <w:rPr>
          <w:sz w:val="28"/>
          <w:szCs w:val="28"/>
        </w:rPr>
      </w:pPr>
      <w:r>
        <w:fldChar w:fldCharType="begin"/>
      </w:r>
      <w:r>
        <w:instrText xml:space="preserve"> HYPERLINK \l "_Toc_2_2_0000000003" </w:instrText>
      </w:r>
      <w:r>
        <w:fldChar w:fldCharType="separate"/>
      </w:r>
      <w:r>
        <w:rPr>
          <w:sz w:val="28"/>
          <w:szCs w:val="28"/>
        </w:rPr>
        <w:t>部门预算支出总表</w:t>
      </w:r>
      <w:r>
        <w:rPr>
          <w:sz w:val="28"/>
          <w:szCs w:val="28"/>
        </w:rPr>
        <w:tab/>
      </w:r>
      <w:r>
        <w:rPr>
          <w:rFonts w:hint="eastAsia" w:eastAsiaTheme="minorEastAsia"/>
          <w:sz w:val="28"/>
          <w:szCs w:val="28"/>
        </w:rPr>
        <w:t>8</w:t>
      </w:r>
      <w:r>
        <w:rPr>
          <w:rFonts w:hint="eastAsia" w:eastAsiaTheme="minorEastAsia"/>
          <w:sz w:val="28"/>
          <w:szCs w:val="28"/>
        </w:rPr>
        <w:fldChar w:fldCharType="end"/>
      </w:r>
    </w:p>
    <w:p>
      <w:pPr>
        <w:pStyle w:val="6"/>
        <w:tabs>
          <w:tab w:val="right" w:leader="dot" w:pos="14562"/>
        </w:tabs>
        <w:rPr>
          <w:sz w:val="28"/>
          <w:szCs w:val="28"/>
        </w:rPr>
      </w:pPr>
      <w:r>
        <w:fldChar w:fldCharType="begin"/>
      </w:r>
      <w:r>
        <w:instrText xml:space="preserve"> HYPERLINK \l "_Toc_2_2_0000000004" </w:instrText>
      </w:r>
      <w:r>
        <w:fldChar w:fldCharType="separate"/>
      </w:r>
      <w:r>
        <w:rPr>
          <w:sz w:val="28"/>
          <w:szCs w:val="28"/>
        </w:rPr>
        <w:t>部门预算财政拨款收支总表</w:t>
      </w:r>
      <w:r>
        <w:rPr>
          <w:sz w:val="28"/>
          <w:szCs w:val="28"/>
        </w:rPr>
        <w:tab/>
      </w:r>
      <w:r>
        <w:rPr>
          <w:rFonts w:hint="eastAsia" w:eastAsiaTheme="minorEastAsia"/>
          <w:sz w:val="28"/>
          <w:szCs w:val="28"/>
        </w:rPr>
        <w:t>1</w:t>
      </w:r>
      <w:r>
        <w:rPr>
          <w:rFonts w:hint="eastAsia" w:eastAsiaTheme="minorEastAsia"/>
          <w:sz w:val="28"/>
          <w:szCs w:val="28"/>
        </w:rPr>
        <w:fldChar w:fldCharType="end"/>
      </w:r>
      <w:r>
        <w:rPr>
          <w:rFonts w:hint="eastAsia" w:eastAsiaTheme="minorEastAsia"/>
          <w:sz w:val="28"/>
          <w:szCs w:val="28"/>
        </w:rPr>
        <w:t>0</w:t>
      </w:r>
    </w:p>
    <w:p>
      <w:pPr>
        <w:pStyle w:val="6"/>
        <w:tabs>
          <w:tab w:val="right" w:leader="dot" w:pos="14562"/>
        </w:tabs>
        <w:rPr>
          <w:sz w:val="28"/>
          <w:szCs w:val="28"/>
        </w:rPr>
      </w:pPr>
      <w:r>
        <w:fldChar w:fldCharType="begin"/>
      </w:r>
      <w:r>
        <w:instrText xml:space="preserve"> HYPERLINK \l "_Toc_2_2_0000000005" </w:instrText>
      </w:r>
      <w:r>
        <w:fldChar w:fldCharType="separate"/>
      </w:r>
      <w:r>
        <w:rPr>
          <w:sz w:val="28"/>
          <w:szCs w:val="28"/>
        </w:rPr>
        <w:t>部门预算一般公共预算财政拨款支出表</w:t>
      </w:r>
      <w:r>
        <w:rPr>
          <w:sz w:val="28"/>
          <w:szCs w:val="28"/>
        </w:rPr>
        <w:tab/>
      </w:r>
      <w:r>
        <w:rPr>
          <w:rFonts w:hint="eastAsia" w:eastAsiaTheme="minorEastAsia"/>
          <w:sz w:val="28"/>
          <w:szCs w:val="28"/>
        </w:rPr>
        <w:t>1</w:t>
      </w:r>
      <w:r>
        <w:rPr>
          <w:rFonts w:hint="eastAsia" w:eastAsiaTheme="minorEastAsia"/>
          <w:sz w:val="28"/>
          <w:szCs w:val="28"/>
        </w:rPr>
        <w:fldChar w:fldCharType="end"/>
      </w:r>
      <w:r>
        <w:rPr>
          <w:rFonts w:hint="eastAsia" w:eastAsiaTheme="minorEastAsia"/>
          <w:sz w:val="28"/>
          <w:szCs w:val="28"/>
        </w:rPr>
        <w:t>4</w:t>
      </w:r>
    </w:p>
    <w:p>
      <w:pPr>
        <w:pStyle w:val="6"/>
        <w:tabs>
          <w:tab w:val="right" w:leader="dot" w:pos="14562"/>
        </w:tabs>
        <w:rPr>
          <w:sz w:val="28"/>
          <w:szCs w:val="28"/>
        </w:rPr>
      </w:pPr>
      <w:r>
        <w:fldChar w:fldCharType="begin"/>
      </w:r>
      <w:r>
        <w:instrText xml:space="preserve"> HYPERLINK \l "_Toc_2_2_0000000006" </w:instrText>
      </w:r>
      <w:r>
        <w:fldChar w:fldCharType="separate"/>
      </w:r>
      <w:r>
        <w:rPr>
          <w:sz w:val="28"/>
          <w:szCs w:val="28"/>
        </w:rPr>
        <w:t>部门预算一般公共预算财政拨款基本支出表</w:t>
      </w:r>
      <w:r>
        <w:rPr>
          <w:sz w:val="28"/>
          <w:szCs w:val="28"/>
        </w:rPr>
        <w:tab/>
      </w:r>
      <w:r>
        <w:rPr>
          <w:rFonts w:hint="eastAsia" w:eastAsiaTheme="minorEastAsia"/>
          <w:sz w:val="28"/>
          <w:szCs w:val="28"/>
        </w:rPr>
        <w:t>16</w:t>
      </w:r>
      <w:r>
        <w:rPr>
          <w:rFonts w:hint="eastAsia" w:eastAsiaTheme="minorEastAsia"/>
          <w:sz w:val="28"/>
          <w:szCs w:val="28"/>
        </w:rPr>
        <w:fldChar w:fldCharType="end"/>
      </w:r>
    </w:p>
    <w:p>
      <w:pPr>
        <w:pStyle w:val="6"/>
        <w:tabs>
          <w:tab w:val="right" w:leader="dot" w:pos="14562"/>
        </w:tabs>
        <w:rPr>
          <w:sz w:val="28"/>
          <w:szCs w:val="28"/>
        </w:rPr>
      </w:pPr>
      <w:r>
        <w:fldChar w:fldCharType="begin"/>
      </w:r>
      <w:r>
        <w:instrText xml:space="preserve"> HYPERLINK \l "_Toc_2_2_0000000007" </w:instrText>
      </w:r>
      <w:r>
        <w:fldChar w:fldCharType="separate"/>
      </w:r>
      <w:r>
        <w:rPr>
          <w:sz w:val="28"/>
          <w:szCs w:val="28"/>
        </w:rPr>
        <w:t>部门预算政府基金预算财政拨款支出表</w:t>
      </w:r>
      <w:r>
        <w:rPr>
          <w:sz w:val="28"/>
          <w:szCs w:val="28"/>
        </w:rPr>
        <w:tab/>
      </w:r>
      <w:r>
        <w:rPr>
          <w:rFonts w:hint="eastAsia" w:eastAsiaTheme="minorEastAsia"/>
          <w:sz w:val="28"/>
          <w:szCs w:val="28"/>
        </w:rPr>
        <w:t>18</w:t>
      </w:r>
      <w:r>
        <w:rPr>
          <w:rFonts w:hint="eastAsia" w:eastAsiaTheme="minorEastAsia"/>
          <w:sz w:val="28"/>
          <w:szCs w:val="28"/>
        </w:rPr>
        <w:fldChar w:fldCharType="end"/>
      </w:r>
    </w:p>
    <w:p>
      <w:pPr>
        <w:pStyle w:val="6"/>
        <w:tabs>
          <w:tab w:val="right" w:leader="dot" w:pos="14562"/>
        </w:tabs>
        <w:rPr>
          <w:sz w:val="28"/>
          <w:szCs w:val="28"/>
        </w:rPr>
      </w:pPr>
      <w:r>
        <w:fldChar w:fldCharType="begin"/>
      </w:r>
      <w:r>
        <w:instrText xml:space="preserve"> HYPERLINK \l "_Toc_2_2_0000000008" </w:instrText>
      </w:r>
      <w:r>
        <w:fldChar w:fldCharType="separate"/>
      </w:r>
      <w:r>
        <w:rPr>
          <w:sz w:val="28"/>
          <w:szCs w:val="28"/>
        </w:rPr>
        <w:t>部门预算国有资本经营预算财政拨款支出表</w:t>
      </w:r>
      <w:r>
        <w:rPr>
          <w:sz w:val="28"/>
          <w:szCs w:val="28"/>
        </w:rPr>
        <w:tab/>
      </w:r>
      <w:r>
        <w:rPr>
          <w:rFonts w:hint="eastAsia" w:eastAsiaTheme="minorEastAsia"/>
          <w:sz w:val="28"/>
          <w:szCs w:val="28"/>
        </w:rPr>
        <w:t>1</w:t>
      </w:r>
      <w:r>
        <w:rPr>
          <w:rFonts w:hint="eastAsia" w:eastAsiaTheme="minorEastAsia"/>
          <w:sz w:val="28"/>
          <w:szCs w:val="28"/>
        </w:rPr>
        <w:fldChar w:fldCharType="end"/>
      </w:r>
      <w:r>
        <w:rPr>
          <w:rFonts w:hint="eastAsia" w:eastAsiaTheme="minorEastAsia"/>
          <w:sz w:val="28"/>
          <w:szCs w:val="28"/>
        </w:rPr>
        <w:t>9</w:t>
      </w:r>
    </w:p>
    <w:p>
      <w:pPr>
        <w:pStyle w:val="6"/>
        <w:tabs>
          <w:tab w:val="right" w:leader="dot" w:pos="14562"/>
        </w:tabs>
        <w:rPr>
          <w:sz w:val="28"/>
          <w:szCs w:val="28"/>
        </w:rPr>
      </w:pPr>
      <w:r>
        <w:fldChar w:fldCharType="begin"/>
      </w:r>
      <w:r>
        <w:instrText xml:space="preserve"> HYPERLINK \l "_Toc_2_2_0000000009" </w:instrText>
      </w:r>
      <w:r>
        <w:fldChar w:fldCharType="separate"/>
      </w:r>
      <w:r>
        <w:rPr>
          <w:sz w:val="28"/>
          <w:szCs w:val="28"/>
        </w:rPr>
        <w:t>部门预算财政拨款“三公”经费支出表</w:t>
      </w:r>
      <w:r>
        <w:rPr>
          <w:sz w:val="28"/>
          <w:szCs w:val="28"/>
        </w:rPr>
        <w:tab/>
      </w:r>
      <w:r>
        <w:rPr>
          <w:rFonts w:hint="eastAsia" w:eastAsiaTheme="minorEastAsia"/>
          <w:sz w:val="28"/>
          <w:szCs w:val="28"/>
        </w:rPr>
        <w:t>2</w:t>
      </w:r>
      <w:r>
        <w:rPr>
          <w:rFonts w:hint="eastAsia" w:eastAsiaTheme="minorEastAsia"/>
          <w:sz w:val="28"/>
          <w:szCs w:val="28"/>
        </w:rPr>
        <w:fldChar w:fldCharType="end"/>
      </w:r>
      <w:r>
        <w:rPr>
          <w:rFonts w:hint="eastAsia" w:eastAsiaTheme="minorEastAsia"/>
          <w:sz w:val="28"/>
          <w:szCs w:val="28"/>
        </w:rPr>
        <w:t>0</w:t>
      </w:r>
    </w:p>
    <w:p>
      <w:pPr>
        <w:rPr>
          <w:sz w:val="28"/>
          <w:szCs w:val="28"/>
        </w:rPr>
      </w:pPr>
      <w:r>
        <w:rPr>
          <w:sz w:val="28"/>
          <w:szCs w:val="28"/>
        </w:rPr>
        <w:fldChar w:fldCharType="end"/>
      </w:r>
    </w:p>
    <w:p>
      <w:pPr>
        <w:rPr>
          <w:sz w:val="28"/>
          <w:szCs w:val="28"/>
        </w:rPr>
      </w:pPr>
    </w:p>
    <w:p>
      <w:pPr>
        <w:rPr>
          <w:sz w:val="28"/>
          <w:szCs w:val="28"/>
        </w:rPr>
      </w:pPr>
    </w:p>
    <w:p>
      <w:pPr>
        <w:rPr>
          <w:sz w:val="28"/>
          <w:szCs w:val="28"/>
        </w:rPr>
      </w:pPr>
    </w:p>
    <w:p>
      <w:pPr>
        <w:rPr>
          <w:sz w:val="28"/>
          <w:szCs w:val="28"/>
        </w:rPr>
      </w:pPr>
      <w:r>
        <w:rPr>
          <w:rFonts w:ascii="方正楷体_GBK" w:hAnsi="方正楷体_GBK" w:eastAsia="方正楷体_GBK" w:cs="方正楷体_GBK"/>
          <w:b/>
          <w:color w:val="000000"/>
          <w:sz w:val="28"/>
          <w:szCs w:val="28"/>
        </w:rPr>
        <w:t>部门预算信息公开情况说明</w:t>
      </w:r>
    </w:p>
    <w:p>
      <w:pPr>
        <w:pStyle w:val="6"/>
        <w:tabs>
          <w:tab w:val="right" w:leader="dot" w:pos="14562"/>
        </w:tabs>
        <w:rPr>
          <w:sz w:val="28"/>
          <w:szCs w:val="28"/>
        </w:rPr>
      </w:pPr>
      <w:r>
        <w:rPr>
          <w:sz w:val="28"/>
          <w:szCs w:val="28"/>
        </w:rPr>
        <w:fldChar w:fldCharType="begin"/>
      </w:r>
      <w:r>
        <w:rPr>
          <w:sz w:val="28"/>
          <w:szCs w:val="28"/>
        </w:rPr>
        <w:instrText xml:space="preserve">TOC \o "3-3" \h \z \u</w:instrText>
      </w:r>
      <w:r>
        <w:rPr>
          <w:sz w:val="28"/>
          <w:szCs w:val="28"/>
        </w:rPr>
        <w:fldChar w:fldCharType="separate"/>
      </w:r>
      <w:r>
        <w:fldChar w:fldCharType="begin"/>
      </w:r>
      <w:r>
        <w:instrText xml:space="preserve"> HYPERLINK \l "_Toc_3_3_0000000010" </w:instrText>
      </w:r>
      <w:r>
        <w:fldChar w:fldCharType="separate"/>
      </w:r>
      <w:r>
        <w:rPr>
          <w:sz w:val="28"/>
          <w:szCs w:val="28"/>
        </w:rPr>
        <w:t>一、部门职责及机构设置情况</w:t>
      </w:r>
      <w:r>
        <w:rPr>
          <w:sz w:val="28"/>
          <w:szCs w:val="28"/>
        </w:rPr>
        <w:tab/>
      </w:r>
      <w:r>
        <w:rPr>
          <w:rFonts w:hint="eastAsia"/>
          <w:sz w:val="28"/>
          <w:szCs w:val="28"/>
        </w:rPr>
        <w:t>2</w:t>
      </w:r>
      <w:r>
        <w:rPr>
          <w:rFonts w:hint="eastAsia"/>
          <w:sz w:val="28"/>
          <w:szCs w:val="28"/>
        </w:rPr>
        <w:fldChar w:fldCharType="end"/>
      </w:r>
      <w:r>
        <w:rPr>
          <w:rFonts w:hint="eastAsia"/>
          <w:sz w:val="28"/>
          <w:szCs w:val="28"/>
        </w:rPr>
        <w:t>2</w:t>
      </w:r>
    </w:p>
    <w:p>
      <w:pPr>
        <w:pStyle w:val="6"/>
        <w:tabs>
          <w:tab w:val="right" w:leader="dot" w:pos="14562"/>
        </w:tabs>
        <w:rPr>
          <w:sz w:val="28"/>
          <w:szCs w:val="28"/>
        </w:rPr>
      </w:pPr>
      <w:r>
        <w:fldChar w:fldCharType="begin"/>
      </w:r>
      <w:r>
        <w:instrText xml:space="preserve"> HYPERLINK \l "_Toc_3_3_0000000011" </w:instrText>
      </w:r>
      <w:r>
        <w:fldChar w:fldCharType="separate"/>
      </w:r>
      <w:r>
        <w:rPr>
          <w:sz w:val="28"/>
          <w:szCs w:val="28"/>
        </w:rPr>
        <w:t>二、部门预算安排的总体情况</w:t>
      </w:r>
      <w:r>
        <w:rPr>
          <w:sz w:val="28"/>
          <w:szCs w:val="28"/>
        </w:rPr>
        <w:tab/>
      </w:r>
      <w:r>
        <w:rPr>
          <w:rFonts w:hint="eastAsia"/>
          <w:sz w:val="28"/>
          <w:szCs w:val="28"/>
        </w:rPr>
        <w:t>3</w:t>
      </w:r>
      <w:r>
        <w:rPr>
          <w:rFonts w:hint="eastAsia"/>
          <w:sz w:val="28"/>
          <w:szCs w:val="28"/>
        </w:rPr>
        <w:fldChar w:fldCharType="end"/>
      </w:r>
      <w:r>
        <w:rPr>
          <w:rFonts w:hint="eastAsia"/>
          <w:sz w:val="28"/>
          <w:szCs w:val="28"/>
        </w:rPr>
        <w:t>7</w:t>
      </w:r>
    </w:p>
    <w:p>
      <w:pPr>
        <w:pStyle w:val="6"/>
        <w:tabs>
          <w:tab w:val="right" w:leader="dot" w:pos="14562"/>
        </w:tabs>
        <w:rPr>
          <w:sz w:val="28"/>
          <w:szCs w:val="28"/>
        </w:rPr>
      </w:pPr>
      <w:r>
        <w:fldChar w:fldCharType="begin"/>
      </w:r>
      <w:r>
        <w:instrText xml:space="preserve"> HYPERLINK \l "_Toc_3_3_0000000012" </w:instrText>
      </w:r>
      <w:r>
        <w:fldChar w:fldCharType="separate"/>
      </w:r>
      <w:r>
        <w:rPr>
          <w:sz w:val="28"/>
          <w:szCs w:val="28"/>
        </w:rPr>
        <w:t>三、机关运行经费安排情况</w:t>
      </w:r>
      <w:r>
        <w:rPr>
          <w:sz w:val="28"/>
          <w:szCs w:val="28"/>
        </w:rPr>
        <w:tab/>
      </w:r>
      <w:r>
        <w:rPr>
          <w:rFonts w:hint="eastAsia"/>
          <w:sz w:val="28"/>
          <w:szCs w:val="28"/>
        </w:rPr>
        <w:t>3</w:t>
      </w:r>
      <w:r>
        <w:rPr>
          <w:rFonts w:hint="eastAsia"/>
          <w:sz w:val="28"/>
          <w:szCs w:val="28"/>
        </w:rPr>
        <w:fldChar w:fldCharType="end"/>
      </w:r>
      <w:r>
        <w:rPr>
          <w:rFonts w:hint="eastAsia"/>
          <w:sz w:val="28"/>
          <w:szCs w:val="28"/>
        </w:rPr>
        <w:t>7</w:t>
      </w:r>
    </w:p>
    <w:p>
      <w:pPr>
        <w:pStyle w:val="6"/>
        <w:tabs>
          <w:tab w:val="right" w:leader="dot" w:pos="14562"/>
        </w:tabs>
        <w:rPr>
          <w:sz w:val="28"/>
          <w:szCs w:val="28"/>
        </w:rPr>
      </w:pPr>
      <w:r>
        <w:fldChar w:fldCharType="begin"/>
      </w:r>
      <w:r>
        <w:instrText xml:space="preserve"> HYPERLINK \l "_Toc_3_3_0000000013" </w:instrText>
      </w:r>
      <w:r>
        <w:fldChar w:fldCharType="separate"/>
      </w:r>
      <w:r>
        <w:rPr>
          <w:sz w:val="28"/>
          <w:szCs w:val="28"/>
        </w:rPr>
        <w:t>四、财政拨款“三公”经费预算情况及增减变化原因</w:t>
      </w:r>
      <w:r>
        <w:rPr>
          <w:sz w:val="28"/>
          <w:szCs w:val="28"/>
        </w:rPr>
        <w:tab/>
      </w:r>
      <w:r>
        <w:rPr>
          <w:rFonts w:hint="eastAsia"/>
          <w:sz w:val="28"/>
          <w:szCs w:val="28"/>
        </w:rPr>
        <w:t>3</w:t>
      </w:r>
      <w:r>
        <w:rPr>
          <w:rFonts w:hint="eastAsia"/>
          <w:sz w:val="28"/>
          <w:szCs w:val="28"/>
        </w:rPr>
        <w:fldChar w:fldCharType="end"/>
      </w:r>
      <w:r>
        <w:rPr>
          <w:rFonts w:hint="eastAsia"/>
          <w:sz w:val="28"/>
          <w:szCs w:val="28"/>
        </w:rPr>
        <w:t>8</w:t>
      </w:r>
    </w:p>
    <w:p>
      <w:pPr>
        <w:pStyle w:val="6"/>
        <w:tabs>
          <w:tab w:val="right" w:leader="dot" w:pos="14562"/>
        </w:tabs>
        <w:rPr>
          <w:sz w:val="28"/>
          <w:szCs w:val="28"/>
        </w:rPr>
      </w:pPr>
      <w:r>
        <w:fldChar w:fldCharType="begin"/>
      </w:r>
      <w:r>
        <w:instrText xml:space="preserve"> HYPERLINK \l "_Toc_3_3_0000000014" </w:instrText>
      </w:r>
      <w:r>
        <w:fldChar w:fldCharType="separate"/>
      </w:r>
      <w:r>
        <w:rPr>
          <w:sz w:val="28"/>
          <w:szCs w:val="28"/>
        </w:rPr>
        <w:t>五、预算绩效信息</w:t>
      </w:r>
      <w:r>
        <w:rPr>
          <w:sz w:val="28"/>
          <w:szCs w:val="28"/>
        </w:rPr>
        <w:tab/>
      </w:r>
      <w:r>
        <w:rPr>
          <w:rFonts w:hint="eastAsia"/>
          <w:sz w:val="28"/>
          <w:szCs w:val="28"/>
        </w:rPr>
        <w:t>3</w:t>
      </w:r>
      <w:r>
        <w:rPr>
          <w:rFonts w:hint="eastAsia"/>
          <w:sz w:val="28"/>
          <w:szCs w:val="28"/>
        </w:rPr>
        <w:fldChar w:fldCharType="end"/>
      </w:r>
      <w:r>
        <w:rPr>
          <w:rFonts w:hint="eastAsia"/>
          <w:sz w:val="28"/>
          <w:szCs w:val="28"/>
        </w:rPr>
        <w:t>9</w:t>
      </w:r>
    </w:p>
    <w:p>
      <w:pPr>
        <w:pStyle w:val="6"/>
        <w:tabs>
          <w:tab w:val="right" w:leader="dot" w:pos="14562"/>
        </w:tabs>
        <w:rPr>
          <w:sz w:val="28"/>
          <w:szCs w:val="28"/>
        </w:rPr>
      </w:pPr>
      <w:r>
        <w:fldChar w:fldCharType="begin"/>
      </w:r>
      <w:r>
        <w:instrText xml:space="preserve"> HYPERLINK \l "_Toc_3_3_0000000015" </w:instrText>
      </w:r>
      <w:r>
        <w:fldChar w:fldCharType="separate"/>
      </w:r>
      <w:r>
        <w:rPr>
          <w:sz w:val="28"/>
          <w:szCs w:val="28"/>
        </w:rPr>
        <w:t>六、政府采购预算情况</w:t>
      </w:r>
      <w:r>
        <w:rPr>
          <w:sz w:val="28"/>
          <w:szCs w:val="28"/>
        </w:rPr>
        <w:tab/>
      </w:r>
      <w:r>
        <w:rPr>
          <w:rFonts w:hint="eastAsia"/>
          <w:sz w:val="28"/>
          <w:szCs w:val="28"/>
        </w:rPr>
        <w:t>4</w:t>
      </w:r>
      <w:r>
        <w:rPr>
          <w:rFonts w:hint="eastAsia"/>
          <w:sz w:val="28"/>
          <w:szCs w:val="28"/>
        </w:rPr>
        <w:fldChar w:fldCharType="end"/>
      </w:r>
      <w:r>
        <w:rPr>
          <w:rFonts w:hint="eastAsia"/>
          <w:sz w:val="28"/>
          <w:szCs w:val="28"/>
        </w:rPr>
        <w:t>8</w:t>
      </w:r>
    </w:p>
    <w:p>
      <w:pPr>
        <w:pStyle w:val="6"/>
        <w:tabs>
          <w:tab w:val="right" w:leader="dot" w:pos="14562"/>
        </w:tabs>
        <w:rPr>
          <w:sz w:val="28"/>
          <w:szCs w:val="28"/>
        </w:rPr>
      </w:pPr>
      <w:r>
        <w:fldChar w:fldCharType="begin"/>
      </w:r>
      <w:r>
        <w:instrText xml:space="preserve"> HYPERLINK \l "_Toc_3_3_0000000016" </w:instrText>
      </w:r>
      <w:r>
        <w:fldChar w:fldCharType="separate"/>
      </w:r>
      <w:r>
        <w:rPr>
          <w:sz w:val="28"/>
          <w:szCs w:val="28"/>
        </w:rPr>
        <w:t>七、国有资产信息</w:t>
      </w:r>
      <w:r>
        <w:rPr>
          <w:sz w:val="28"/>
          <w:szCs w:val="28"/>
        </w:rPr>
        <w:tab/>
      </w:r>
      <w:r>
        <w:rPr>
          <w:rFonts w:hint="eastAsia"/>
          <w:sz w:val="28"/>
          <w:szCs w:val="28"/>
        </w:rPr>
        <w:t>4</w:t>
      </w:r>
      <w:r>
        <w:rPr>
          <w:rFonts w:hint="eastAsia"/>
          <w:sz w:val="28"/>
          <w:szCs w:val="28"/>
        </w:rPr>
        <w:fldChar w:fldCharType="end"/>
      </w:r>
      <w:r>
        <w:rPr>
          <w:rFonts w:hint="eastAsia"/>
          <w:sz w:val="28"/>
          <w:szCs w:val="28"/>
        </w:rPr>
        <w:t>9</w:t>
      </w:r>
    </w:p>
    <w:p>
      <w:pPr>
        <w:pStyle w:val="6"/>
        <w:tabs>
          <w:tab w:val="right" w:leader="dot" w:pos="14562"/>
        </w:tabs>
        <w:rPr>
          <w:sz w:val="28"/>
          <w:szCs w:val="28"/>
        </w:rPr>
      </w:pPr>
      <w:r>
        <w:fldChar w:fldCharType="begin"/>
      </w:r>
      <w:r>
        <w:instrText xml:space="preserve"> HYPERLINK \l "_Toc_3_3_0000000017" </w:instrText>
      </w:r>
      <w:r>
        <w:fldChar w:fldCharType="separate"/>
      </w:r>
      <w:r>
        <w:rPr>
          <w:sz w:val="28"/>
          <w:szCs w:val="28"/>
        </w:rPr>
        <w:t>八、名词解释</w:t>
      </w:r>
      <w:r>
        <w:rPr>
          <w:sz w:val="28"/>
          <w:szCs w:val="28"/>
        </w:rPr>
        <w:tab/>
      </w:r>
      <w:r>
        <w:rPr>
          <w:rFonts w:hint="eastAsia"/>
          <w:sz w:val="28"/>
          <w:szCs w:val="28"/>
        </w:rPr>
        <w:t>4</w:t>
      </w:r>
      <w:r>
        <w:rPr>
          <w:rFonts w:hint="eastAsia"/>
          <w:sz w:val="28"/>
          <w:szCs w:val="28"/>
        </w:rPr>
        <w:fldChar w:fldCharType="end"/>
      </w:r>
      <w:r>
        <w:rPr>
          <w:rFonts w:hint="eastAsia"/>
          <w:sz w:val="28"/>
          <w:szCs w:val="28"/>
        </w:rPr>
        <w:t>9</w:t>
      </w:r>
    </w:p>
    <w:p>
      <w:pPr>
        <w:pStyle w:val="6"/>
        <w:tabs>
          <w:tab w:val="right" w:leader="dot" w:pos="14562"/>
        </w:tabs>
        <w:rPr>
          <w:sz w:val="28"/>
          <w:szCs w:val="28"/>
        </w:rPr>
      </w:pPr>
      <w:r>
        <w:fldChar w:fldCharType="begin"/>
      </w:r>
      <w:r>
        <w:instrText xml:space="preserve"> HYPERLINK \l "_Toc_3_3_0000000018" </w:instrText>
      </w:r>
      <w:r>
        <w:fldChar w:fldCharType="separate"/>
      </w:r>
      <w:r>
        <w:rPr>
          <w:sz w:val="28"/>
          <w:szCs w:val="28"/>
        </w:rPr>
        <w:t>九、其他需要说明的事项</w:t>
      </w:r>
      <w:r>
        <w:rPr>
          <w:sz w:val="28"/>
          <w:szCs w:val="28"/>
        </w:rPr>
        <w:tab/>
      </w:r>
      <w:r>
        <w:rPr>
          <w:rFonts w:hint="eastAsia"/>
          <w:sz w:val="28"/>
          <w:szCs w:val="28"/>
        </w:rPr>
        <w:t>5</w:t>
      </w:r>
      <w:r>
        <w:rPr>
          <w:rFonts w:hint="eastAsia"/>
          <w:sz w:val="28"/>
          <w:szCs w:val="28"/>
        </w:rPr>
        <w:fldChar w:fldCharType="end"/>
      </w:r>
      <w:r>
        <w:rPr>
          <w:rFonts w:hint="eastAsia"/>
          <w:sz w:val="28"/>
          <w:szCs w:val="28"/>
        </w:rPr>
        <w:t>1</w:t>
      </w:r>
    </w:p>
    <w:p>
      <w:pPr>
        <w:widowControl/>
        <w:spacing w:line="240" w:lineRule="auto"/>
        <w:jc w:val="center"/>
        <w:outlineLvl w:val="0"/>
        <w:rPr>
          <w:rFonts w:ascii="黑体" w:hAnsi="黑体" w:eastAsia="黑体" w:cs="黑体"/>
          <w:b/>
          <w:color w:val="000000"/>
          <w:kern w:val="0"/>
          <w:sz w:val="44"/>
          <w:szCs w:val="24"/>
        </w:rPr>
      </w:pPr>
      <w:r>
        <w:rPr>
          <w:sz w:val="28"/>
          <w:szCs w:val="28"/>
        </w:rPr>
        <w:fldChar w:fldCharType="end"/>
      </w:r>
    </w:p>
    <w:p>
      <w:pPr>
        <w:widowControl/>
        <w:spacing w:line="240" w:lineRule="auto"/>
        <w:outlineLvl w:val="0"/>
        <w:rPr>
          <w:rFonts w:ascii="黑体" w:hAnsi="黑体" w:eastAsia="黑体" w:cs="黑体"/>
          <w:b/>
          <w:color w:val="000000"/>
          <w:kern w:val="0"/>
          <w:sz w:val="44"/>
          <w:szCs w:val="24"/>
        </w:rPr>
      </w:pPr>
    </w:p>
    <w:p>
      <w:pPr>
        <w:widowControl/>
        <w:spacing w:line="240" w:lineRule="auto"/>
        <w:jc w:val="center"/>
        <w:outlineLvl w:val="0"/>
        <w:rPr>
          <w:rFonts w:ascii="黑体" w:hAnsi="黑体" w:eastAsia="黑体" w:cs="黑体"/>
          <w:b/>
          <w:color w:val="000000"/>
          <w:kern w:val="0"/>
          <w:sz w:val="44"/>
          <w:szCs w:val="24"/>
        </w:rPr>
      </w:pPr>
    </w:p>
    <w:p>
      <w:pPr>
        <w:widowControl/>
        <w:spacing w:line="240" w:lineRule="auto"/>
        <w:jc w:val="center"/>
        <w:outlineLvl w:val="0"/>
        <w:rPr>
          <w:rFonts w:ascii="黑体" w:hAnsi="黑体" w:eastAsia="黑体" w:cs="黑体"/>
          <w:b/>
          <w:color w:val="000000"/>
          <w:kern w:val="0"/>
          <w:sz w:val="44"/>
          <w:szCs w:val="24"/>
        </w:rPr>
      </w:pPr>
    </w:p>
    <w:p>
      <w:pPr>
        <w:widowControl/>
        <w:spacing w:line="240" w:lineRule="auto"/>
        <w:outlineLvl w:val="0"/>
        <w:rPr>
          <w:rFonts w:ascii="黑体" w:hAnsi="黑体" w:eastAsia="黑体" w:cs="黑体"/>
          <w:b/>
          <w:color w:val="000000"/>
          <w:kern w:val="0"/>
          <w:sz w:val="44"/>
          <w:szCs w:val="24"/>
        </w:rPr>
      </w:pPr>
    </w:p>
    <w:tbl>
      <w:tblPr>
        <w:tblStyle w:val="9"/>
        <w:tblW w:w="5000" w:type="pct"/>
        <w:tblInd w:w="0" w:type="dxa"/>
        <w:tblLayout w:type="autofit"/>
        <w:tblCellMar>
          <w:top w:w="0" w:type="dxa"/>
          <w:left w:w="108" w:type="dxa"/>
          <w:bottom w:w="0" w:type="dxa"/>
          <w:right w:w="108" w:type="dxa"/>
        </w:tblCellMar>
      </w:tblPr>
      <w:tblGrid>
        <w:gridCol w:w="967"/>
        <w:gridCol w:w="4868"/>
        <w:gridCol w:w="1384"/>
        <w:gridCol w:w="5186"/>
        <w:gridCol w:w="2610"/>
      </w:tblGrid>
      <w:tr>
        <w:tblPrEx>
          <w:tblCellMar>
            <w:top w:w="0" w:type="dxa"/>
            <w:left w:w="108" w:type="dxa"/>
            <w:bottom w:w="0" w:type="dxa"/>
            <w:right w:w="108" w:type="dxa"/>
          </w:tblCellMar>
        </w:tblPrEx>
        <w:trPr>
          <w:trHeight w:val="360" w:hRule="atLeast"/>
        </w:trPr>
        <w:tc>
          <w:tcPr>
            <w:tcW w:w="5000" w:type="pct"/>
            <w:gridSpan w:val="5"/>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rPr>
              <w:t>部门预算收支总表</w:t>
            </w:r>
          </w:p>
        </w:tc>
      </w:tr>
      <w:tr>
        <w:tblPrEx>
          <w:tblCellMar>
            <w:top w:w="0" w:type="dxa"/>
            <w:left w:w="108" w:type="dxa"/>
            <w:bottom w:w="0" w:type="dxa"/>
            <w:right w:w="108" w:type="dxa"/>
          </w:tblCellMar>
        </w:tblPrEx>
        <w:trPr>
          <w:trHeight w:val="360" w:hRule="atLeast"/>
        </w:trPr>
        <w:tc>
          <w:tcPr>
            <w:tcW w:w="2404" w:type="pct"/>
            <w:gridSpan w:val="3"/>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1727"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867"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序号</w:t>
            </w:r>
          </w:p>
        </w:tc>
        <w:tc>
          <w:tcPr>
            <w:tcW w:w="208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25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支出</w:t>
            </w:r>
          </w:p>
        </w:tc>
      </w:tr>
      <w:tr>
        <w:tblPrEx>
          <w:tblCellMar>
            <w:top w:w="0" w:type="dxa"/>
            <w:left w:w="108" w:type="dxa"/>
            <w:bottom w:w="0" w:type="dxa"/>
            <w:right w:w="108" w:type="dxa"/>
          </w:tblCellMar>
        </w:tblPrEx>
        <w:trPr>
          <w:trHeight w:val="360"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Cs w:val="21"/>
              </w:rPr>
            </w:pP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预算数</w:t>
            </w: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预算数</w:t>
            </w:r>
          </w:p>
        </w:tc>
      </w:tr>
      <w:tr>
        <w:tblPrEx>
          <w:tblCellMar>
            <w:top w:w="0" w:type="dxa"/>
            <w:left w:w="108" w:type="dxa"/>
            <w:bottom w:w="0" w:type="dxa"/>
            <w:right w:w="108" w:type="dxa"/>
          </w:tblCellMar>
        </w:tblPrEx>
        <w:trPr>
          <w:trHeight w:val="3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栏次</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1</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2</w:t>
            </w: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3</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一、一般公共预算拨款收入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1404.12</w:t>
            </w: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一、一般公共服务支出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1143.37</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二、政府性基金预算拨款收入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二、外交支出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三、国有资本经营预算拨款收入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三、国防支出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四、财政专户管理资金收入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四、公共安全支出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r>
              <w:rPr>
                <w:rFonts w:hint="eastAsia" w:ascii="宋体" w:hAnsi="宋体" w:cs="宋体"/>
                <w:color w:val="000000"/>
                <w:sz w:val="22"/>
              </w:rPr>
              <w:t>70.00</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五、事业收入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五、教育支出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六、事业单位经营收入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六、科学技术支出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七、上级补助收入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七、文化旅游体育与传媒支出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八、附属单位上缴收入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八、社会保障和就业支出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rPr>
              <w:t>88.34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九、其他收入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九、社会保险基金支出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十、卫生健康支出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47.65</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十一、节能环保支出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十二、城乡社区支出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十三、农林水支出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十四、交通运输支出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十五、资源勘探工业信息等支出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十六、商业服务业等支出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十七、金融支出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十八、援助其他地区支出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十九、自然资源海洋气象等支出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二十、住房保障支出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54.76</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二十一、粮油物资储备支出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二十二、国有资本经营预算支出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二十三、灾害防治及应急管理支出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二十四、预备费</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二十五、其他支出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二十六、转移性支出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二十七、债务还本支出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二十八、债务付息支出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二十九、债务发行费用支出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三十、抗疫特别国债安排的支出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本年收入合计</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1404.12</w:t>
            </w: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本年支出合计</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ascii="宋体" w:hAnsi="宋体" w:cs="宋体"/>
                <w:color w:val="000000"/>
                <w:kern w:val="0"/>
                <w:sz w:val="22"/>
                <w:lang w:val="en-US" w:eastAsia="zh-CN"/>
              </w:rPr>
              <w:t>1404.12</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上年结转结余</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年终结转结余</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收入总计</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ascii="宋体" w:hAnsi="宋体" w:cs="宋体"/>
                <w:color w:val="000000"/>
                <w:kern w:val="0"/>
                <w:sz w:val="22"/>
                <w:lang w:val="en-US" w:eastAsia="zh-CN"/>
              </w:rPr>
              <w:t>1404.12</w:t>
            </w: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支出总计</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ascii="宋体" w:hAnsi="宋体" w:cs="宋体"/>
                <w:color w:val="000000"/>
                <w:kern w:val="0"/>
                <w:sz w:val="22"/>
                <w:lang w:val="en-US" w:eastAsia="zh-CN"/>
              </w:rPr>
              <w:t>1404.12</w:t>
            </w: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tbl>
      <w:tblPr>
        <w:tblStyle w:val="9"/>
        <w:tblW w:w="5090" w:type="pct"/>
        <w:tblInd w:w="0" w:type="dxa"/>
        <w:tblLayout w:type="fixed"/>
        <w:tblCellMar>
          <w:top w:w="0" w:type="dxa"/>
          <w:left w:w="108" w:type="dxa"/>
          <w:bottom w:w="0" w:type="dxa"/>
          <w:right w:w="108" w:type="dxa"/>
        </w:tblCellMar>
      </w:tblPr>
      <w:tblGrid>
        <w:gridCol w:w="569"/>
        <w:gridCol w:w="1044"/>
        <w:gridCol w:w="2205"/>
        <w:gridCol w:w="1210"/>
        <w:gridCol w:w="1241"/>
        <w:gridCol w:w="1162"/>
        <w:gridCol w:w="1070"/>
        <w:gridCol w:w="911"/>
        <w:gridCol w:w="927"/>
        <w:gridCol w:w="1251"/>
        <w:gridCol w:w="1586"/>
        <w:gridCol w:w="915"/>
        <w:gridCol w:w="1196"/>
      </w:tblGrid>
      <w:tr>
        <w:tblPrEx>
          <w:tblCellMar>
            <w:top w:w="0" w:type="dxa"/>
            <w:left w:w="108" w:type="dxa"/>
            <w:bottom w:w="0" w:type="dxa"/>
            <w:right w:w="108" w:type="dxa"/>
          </w:tblCellMar>
        </w:tblPrEx>
        <w:trPr>
          <w:trHeight w:val="270" w:hRule="atLeast"/>
        </w:trPr>
        <w:tc>
          <w:tcPr>
            <w:tcW w:w="5000" w:type="pct"/>
            <w:gridSpan w:val="13"/>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rPr>
              <w:t>部门预算收入总表</w:t>
            </w:r>
          </w:p>
        </w:tc>
      </w:tr>
      <w:tr>
        <w:tblPrEx>
          <w:tblCellMar>
            <w:top w:w="0" w:type="dxa"/>
            <w:left w:w="108" w:type="dxa"/>
            <w:bottom w:w="0" w:type="dxa"/>
            <w:right w:w="108" w:type="dxa"/>
          </w:tblCellMar>
        </w:tblPrEx>
        <w:trPr>
          <w:trHeight w:val="270" w:hRule="atLeast"/>
        </w:trPr>
        <w:tc>
          <w:tcPr>
            <w:tcW w:w="3381" w:type="pct"/>
            <w:gridSpan w:val="9"/>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927" w:type="pct"/>
            <w:gridSpan w:val="2"/>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690" w:type="pct"/>
            <w:gridSpan w:val="2"/>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270" w:hRule="atLeast"/>
        </w:trPr>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序号</w:t>
            </w:r>
          </w:p>
        </w:tc>
        <w:tc>
          <w:tcPr>
            <w:tcW w:w="106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2964"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上年结转</w:t>
            </w:r>
          </w:p>
        </w:tc>
      </w:tr>
      <w:tr>
        <w:tblPrEx>
          <w:tblCellMar>
            <w:top w:w="0" w:type="dxa"/>
            <w:left w:w="108" w:type="dxa"/>
            <w:bottom w:w="0" w:type="dxa"/>
            <w:right w:w="108" w:type="dxa"/>
          </w:tblCellMar>
        </w:tblPrEx>
        <w:trPr>
          <w:trHeight w:val="270" w:hRule="atLeast"/>
        </w:trPr>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财政拨款收入</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财政专户收入</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事业收入</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经营收入</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上级补助收入</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附属单位上缴收入</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其他收入</w:t>
            </w: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27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一般公共服务支出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1143.37</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1143.37</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1143.37</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kern w:val="0"/>
                <w:sz w:val="22"/>
                <w:lang w:val="en-US" w:eastAsia="zh-CN"/>
              </w:rPr>
            </w:pPr>
            <w:r>
              <w:rPr>
                <w:rFonts w:hint="eastAsia" w:cs="Calibri"/>
                <w:color w:val="000000"/>
                <w:kern w:val="0"/>
                <w:sz w:val="22"/>
                <w:lang w:val="en-US" w:eastAsia="zh-CN"/>
              </w:rPr>
              <w:t>3</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default" w:eastAsia="宋体" w:cs="Calibri"/>
                <w:color w:val="000000"/>
                <w:kern w:val="0"/>
                <w:sz w:val="22"/>
                <w:lang w:val="en-US" w:eastAsia="zh-CN"/>
              </w:rPr>
            </w:pPr>
            <w:r>
              <w:rPr>
                <w:rFonts w:hint="eastAsia" w:cs="Calibri"/>
                <w:color w:val="000000"/>
                <w:kern w:val="0"/>
                <w:sz w:val="22"/>
                <w:lang w:val="en-US" w:eastAsia="zh-CN"/>
              </w:rPr>
              <w:t>20101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eastAsia="宋体" w:cs="Calibri"/>
                <w:color w:val="000000"/>
                <w:kern w:val="0"/>
                <w:sz w:val="22"/>
                <w:lang w:val="en-US" w:eastAsia="zh-CN"/>
              </w:rPr>
            </w:pPr>
            <w:r>
              <w:rPr>
                <w:rFonts w:hint="eastAsia" w:cs="Calibri"/>
                <w:color w:val="000000"/>
                <w:kern w:val="0"/>
                <w:sz w:val="22"/>
                <w:lang w:val="en-US" w:eastAsia="zh-CN"/>
              </w:rPr>
              <w:t>人大事务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kern w:val="0"/>
                <w:sz w:val="22"/>
                <w:lang w:val="en-US" w:eastAsia="zh-CN"/>
              </w:rPr>
            </w:pPr>
            <w:r>
              <w:rPr>
                <w:rFonts w:hint="eastAsia" w:cs="Calibri"/>
                <w:color w:val="000000"/>
                <w:kern w:val="0"/>
                <w:sz w:val="22"/>
                <w:lang w:val="en-US" w:eastAsia="zh-CN"/>
              </w:rPr>
              <w:t>4</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default" w:eastAsia="宋体" w:cs="Calibri"/>
                <w:color w:val="000000"/>
                <w:kern w:val="0"/>
                <w:sz w:val="22"/>
                <w:lang w:val="en-US" w:eastAsia="zh-CN"/>
              </w:rPr>
            </w:pPr>
            <w:r>
              <w:rPr>
                <w:rFonts w:hint="eastAsia" w:cs="Calibri"/>
                <w:color w:val="000000"/>
                <w:kern w:val="0"/>
                <w:sz w:val="22"/>
                <w:lang w:val="en-US" w:eastAsia="zh-CN"/>
              </w:rPr>
              <w:t>2010102</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hint="eastAsia" w:cs="Calibri"/>
                <w:color w:val="000000"/>
                <w:kern w:val="0"/>
                <w:sz w:val="22"/>
                <w:lang w:val="en-US" w:eastAsia="zh-CN"/>
              </w:rPr>
              <w:t>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20111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纪检监察事务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1073.37</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1073.37</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1073.37</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hint="eastAsia" w:cs="Calibri"/>
                <w:color w:val="000000"/>
                <w:kern w:val="0"/>
                <w:sz w:val="22"/>
                <w:lang w:val="en-US" w:eastAsia="zh-CN"/>
              </w:rPr>
              <w:t>6</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2011101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行政运行</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hint="eastAsia" w:cs="Calibri"/>
                <w:color w:val="000000"/>
                <w:kern w:val="0"/>
                <w:sz w:val="22"/>
                <w:lang w:val="en-US" w:eastAsia="zh-CN"/>
              </w:rPr>
              <w:t>7</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2011102</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一般行政管理事务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kern w:val="0"/>
                <w:sz w:val="22"/>
                <w:lang w:val="en-US" w:eastAsia="zh-CN"/>
              </w:rPr>
            </w:pPr>
            <w:r>
              <w:rPr>
                <w:rFonts w:hint="eastAsia" w:cs="Calibri"/>
                <w:color w:val="000000"/>
                <w:kern w:val="0"/>
                <w:sz w:val="22"/>
                <w:lang w:val="en-US" w:eastAsia="zh-CN"/>
              </w:rPr>
              <w:t>8</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204</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公共安全支出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kern w:val="0"/>
                <w:sz w:val="22"/>
                <w:lang w:val="en-US" w:eastAsia="zh-CN"/>
              </w:rPr>
            </w:pPr>
            <w:r>
              <w:rPr>
                <w:rFonts w:hint="eastAsia" w:cs="Calibri"/>
                <w:color w:val="000000"/>
                <w:kern w:val="0"/>
                <w:sz w:val="22"/>
                <w:lang w:val="en-US" w:eastAsia="zh-CN"/>
              </w:rPr>
              <w:t>9</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20499</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其他公共安全支出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2049999</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其他公共安全支出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sz w:val="22"/>
                <w:lang w:val="en-US" w:eastAsia="zh-CN"/>
              </w:rPr>
            </w:pPr>
            <w:r>
              <w:rPr>
                <w:rFonts w:hint="eastAsia" w:cs="Calibri"/>
                <w:color w:val="000000"/>
                <w:kern w:val="0"/>
                <w:sz w:val="22"/>
                <w:lang w:val="en-US" w:eastAsia="zh-CN"/>
              </w:rPr>
              <w:t>11</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208</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社会保障和就业支出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sz w:val="22"/>
                <w:lang w:val="en-US" w:eastAsia="zh-CN"/>
              </w:rPr>
            </w:pPr>
            <w:r>
              <w:rPr>
                <w:rFonts w:hint="eastAsia" w:cs="Calibri"/>
                <w:color w:val="000000"/>
                <w:kern w:val="0"/>
                <w:sz w:val="22"/>
                <w:lang w:val="en-US" w:eastAsia="zh-CN"/>
              </w:rPr>
              <w:t>12</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20805</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行政事业单位养老支出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sz w:val="22"/>
                <w:lang w:val="en-US" w:eastAsia="zh-CN"/>
              </w:rPr>
            </w:pPr>
            <w:r>
              <w:rPr>
                <w:rFonts w:hint="eastAsia" w:cs="Calibri"/>
                <w:color w:val="000000"/>
                <w:kern w:val="0"/>
                <w:sz w:val="22"/>
                <w:lang w:val="en-US" w:eastAsia="zh-CN"/>
              </w:rPr>
              <w:t>13</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2080505</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机关事业单位基本养老保险缴费支出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sz w:val="22"/>
                <w:lang w:val="en-US" w:eastAsia="zh-CN"/>
              </w:rPr>
            </w:pPr>
            <w:r>
              <w:rPr>
                <w:rFonts w:hint="eastAsia" w:cs="Calibri"/>
                <w:color w:val="000000"/>
                <w:kern w:val="0"/>
                <w:sz w:val="22"/>
                <w:lang w:val="en-US" w:eastAsia="zh-CN"/>
              </w:rPr>
              <w:t>14</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210</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卫生健康支出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cs="Calibri"/>
                <w:color w:val="000000"/>
                <w:kern w:val="0"/>
                <w:sz w:val="22"/>
              </w:rPr>
              <w:t>1</w:t>
            </w:r>
            <w:r>
              <w:rPr>
                <w:rFonts w:hint="eastAsia" w:cs="Calibri"/>
                <w:color w:val="000000"/>
                <w:kern w:val="0"/>
                <w:sz w:val="22"/>
                <w:lang w:val="en-US" w:eastAsia="zh-CN"/>
              </w:rPr>
              <w:t>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21011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行政事业单位医疗</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cs="Calibri"/>
                <w:color w:val="000000"/>
                <w:kern w:val="0"/>
                <w:sz w:val="22"/>
              </w:rPr>
              <w:t>1</w:t>
            </w:r>
            <w:r>
              <w:rPr>
                <w:rFonts w:hint="eastAsia" w:cs="Calibri"/>
                <w:color w:val="000000"/>
                <w:kern w:val="0"/>
                <w:sz w:val="22"/>
                <w:lang w:val="en-US" w:eastAsia="zh-CN"/>
              </w:rPr>
              <w:t>6</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2101101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行政单位医疗</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36.30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36.30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36.30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17</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default" w:eastAsia="宋体" w:cs="Calibri"/>
                <w:color w:val="000000"/>
                <w:kern w:val="0"/>
                <w:sz w:val="22"/>
                <w:lang w:val="en-US" w:eastAsia="zh-CN"/>
              </w:rPr>
            </w:pPr>
            <w:r>
              <w:rPr>
                <w:rFonts w:hint="eastAsia" w:cs="Calibri"/>
                <w:color w:val="000000"/>
                <w:kern w:val="0"/>
                <w:sz w:val="22"/>
                <w:lang w:val="en-US" w:eastAsia="zh-CN"/>
              </w:rPr>
              <w:t>2101103</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eastAsia="宋体" w:cs="Calibri"/>
                <w:color w:val="000000"/>
                <w:kern w:val="0"/>
                <w:sz w:val="22"/>
                <w:lang w:eastAsia="zh-CN"/>
              </w:rPr>
            </w:pPr>
            <w:r>
              <w:rPr>
                <w:rFonts w:hint="eastAsia" w:cs="Calibri"/>
                <w:color w:val="000000"/>
                <w:kern w:val="0"/>
                <w:sz w:val="22"/>
                <w:lang w:eastAsia="zh-CN"/>
              </w:rPr>
              <w:t>公务员医疗补助</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11.35</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11.35</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11.35</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cs="Calibri"/>
                <w:color w:val="000000"/>
                <w:kern w:val="0"/>
                <w:sz w:val="22"/>
              </w:rPr>
              <w:t>1</w:t>
            </w:r>
            <w:r>
              <w:rPr>
                <w:rFonts w:hint="eastAsia" w:cs="Calibri"/>
                <w:color w:val="000000"/>
                <w:kern w:val="0"/>
                <w:sz w:val="22"/>
                <w:lang w:val="en-US" w:eastAsia="zh-CN"/>
              </w:rPr>
              <w:t>8</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221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住房保障支出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cs="Calibri"/>
                <w:color w:val="000000"/>
                <w:kern w:val="0"/>
                <w:sz w:val="22"/>
              </w:rPr>
              <w:t>1</w:t>
            </w:r>
            <w:r>
              <w:rPr>
                <w:rFonts w:hint="eastAsia" w:cs="Calibri"/>
                <w:color w:val="000000"/>
                <w:kern w:val="0"/>
                <w:sz w:val="22"/>
                <w:lang w:val="en-US" w:eastAsia="zh-CN"/>
              </w:rPr>
              <w:t>9</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22102</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住房改革支出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sz w:val="22"/>
                <w:lang w:val="en-US" w:eastAsia="zh-CN"/>
              </w:rPr>
            </w:pPr>
            <w:r>
              <w:rPr>
                <w:rFonts w:hint="eastAsia" w:cs="Calibri"/>
                <w:color w:val="000000"/>
                <w:kern w:val="0"/>
                <w:sz w:val="22"/>
                <w:lang w:val="en-US" w:eastAsia="zh-CN"/>
              </w:rPr>
              <w:t>20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2210201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住房公积金</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bl>
    <w:p>
      <w:pPr>
        <w:rPr>
          <w:rFonts w:ascii="仿宋" w:hAnsi="仿宋" w:eastAsia="仿宋"/>
          <w:sz w:val="32"/>
          <w:szCs w:val="32"/>
        </w:rPr>
      </w:pPr>
    </w:p>
    <w:p>
      <w:pPr>
        <w:rPr>
          <w:rFonts w:ascii="仿宋" w:hAnsi="仿宋" w:eastAsia="仿宋"/>
          <w:sz w:val="32"/>
          <w:szCs w:val="32"/>
        </w:rPr>
      </w:pPr>
    </w:p>
    <w:tbl>
      <w:tblPr>
        <w:tblStyle w:val="9"/>
        <w:tblW w:w="5000" w:type="pct"/>
        <w:tblInd w:w="0" w:type="dxa"/>
        <w:tblLayout w:type="autofit"/>
        <w:tblCellMar>
          <w:top w:w="0" w:type="dxa"/>
          <w:left w:w="108" w:type="dxa"/>
          <w:bottom w:w="0" w:type="dxa"/>
          <w:right w:w="108" w:type="dxa"/>
        </w:tblCellMar>
      </w:tblPr>
      <w:tblGrid>
        <w:gridCol w:w="658"/>
        <w:gridCol w:w="1120"/>
        <w:gridCol w:w="3736"/>
        <w:gridCol w:w="1649"/>
        <w:gridCol w:w="1486"/>
        <w:gridCol w:w="1156"/>
        <w:gridCol w:w="1162"/>
        <w:gridCol w:w="1769"/>
        <w:gridCol w:w="2279"/>
      </w:tblGrid>
      <w:tr>
        <w:tblPrEx>
          <w:tblCellMar>
            <w:top w:w="0" w:type="dxa"/>
            <w:left w:w="108" w:type="dxa"/>
            <w:bottom w:w="0" w:type="dxa"/>
            <w:right w:w="108" w:type="dxa"/>
          </w:tblCellMar>
        </w:tblPrEx>
        <w:trPr>
          <w:trHeight w:val="360" w:hRule="atLeast"/>
        </w:trPr>
        <w:tc>
          <w:tcPr>
            <w:tcW w:w="5000" w:type="pct"/>
            <w:gridSpan w:val="9"/>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rPr>
              <w:t>部门预算支出总表</w:t>
            </w:r>
          </w:p>
        </w:tc>
      </w:tr>
      <w:tr>
        <w:tblPrEx>
          <w:tblCellMar>
            <w:top w:w="0" w:type="dxa"/>
            <w:left w:w="108" w:type="dxa"/>
            <w:bottom w:w="0" w:type="dxa"/>
            <w:right w:w="108" w:type="dxa"/>
          </w:tblCellMar>
        </w:tblPrEx>
        <w:trPr>
          <w:trHeight w:val="360" w:hRule="atLeast"/>
        </w:trPr>
        <w:tc>
          <w:tcPr>
            <w:tcW w:w="3652" w:type="pct"/>
            <w:gridSpan w:val="7"/>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589"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759"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61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支出功能分类科目</w:t>
            </w: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本年支出合计</w:t>
            </w:r>
          </w:p>
        </w:tc>
        <w:tc>
          <w:tcPr>
            <w:tcW w:w="4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基本支出</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项目支出</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经营支出</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上缴上级支出</w:t>
            </w:r>
          </w:p>
        </w:tc>
        <w:tc>
          <w:tcPr>
            <w:tcW w:w="7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对附属单位补助支出</w:t>
            </w:r>
          </w:p>
        </w:tc>
      </w:tr>
      <w:tr>
        <w:tblPrEx>
          <w:tblCellMar>
            <w:top w:w="0" w:type="dxa"/>
            <w:left w:w="108" w:type="dxa"/>
            <w:bottom w:w="0" w:type="dxa"/>
            <w:right w:w="108" w:type="dxa"/>
          </w:tblCellMar>
        </w:tblPrEx>
        <w:trPr>
          <w:trHeight w:val="360" w:hRule="atLeast"/>
        </w:trPr>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4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7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36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6</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7</w:t>
            </w: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8</w:t>
            </w: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1019.12</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385.00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1143.37</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315.00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20101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人大事务</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2010102</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20111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纪检监察事务</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1073.37</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2011101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行政运行</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2011102</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204</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公共安全支出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20499</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其他公共安全支出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10</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2049999</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其他公共安全支出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11</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208</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12</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20805</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13</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2080505</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14</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210</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卫生健康支出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cs="Calibri"/>
                <w:color w:val="000000"/>
                <w:kern w:val="0"/>
                <w:sz w:val="22"/>
                <w:lang w:val="en-US" w:eastAsia="zh-CN"/>
              </w:rPr>
            </w:pPr>
            <w:r>
              <w:rPr>
                <w:rFonts w:hint="eastAsia" w:cs="Calibri"/>
                <w:color w:val="000000"/>
                <w:kern w:val="0"/>
                <w:sz w:val="22"/>
                <w:lang w:val="en-US" w:eastAsia="zh-CN"/>
              </w:rPr>
              <w:t>15</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21011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47.65</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47.65</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16</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2101101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行政单位医疗</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36.30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36.30</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17</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2101103</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公务员医疗补助</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11.35</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11.35</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18</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221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住房保障支出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19</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22102</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住房改革支出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20</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2210201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住房公积金</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bl>
    <w:p>
      <w:pPr>
        <w:ind w:firstLine="640" w:firstLineChars="2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tbl>
      <w:tblPr>
        <w:tblStyle w:val="9"/>
        <w:tblW w:w="5000" w:type="pct"/>
        <w:tblInd w:w="0" w:type="dxa"/>
        <w:tblLayout w:type="fixed"/>
        <w:tblCellMar>
          <w:top w:w="0" w:type="dxa"/>
          <w:left w:w="108" w:type="dxa"/>
          <w:bottom w:w="0" w:type="dxa"/>
          <w:right w:w="108" w:type="dxa"/>
        </w:tblCellMar>
      </w:tblPr>
      <w:tblGrid>
        <w:gridCol w:w="603"/>
        <w:gridCol w:w="2535"/>
        <w:gridCol w:w="1366"/>
        <w:gridCol w:w="2607"/>
        <w:gridCol w:w="1505"/>
        <w:gridCol w:w="1505"/>
        <w:gridCol w:w="2352"/>
        <w:gridCol w:w="2542"/>
      </w:tblGrid>
      <w:tr>
        <w:tblPrEx>
          <w:tblCellMar>
            <w:top w:w="0" w:type="dxa"/>
            <w:left w:w="108" w:type="dxa"/>
            <w:bottom w:w="0" w:type="dxa"/>
            <w:right w:w="108" w:type="dxa"/>
          </w:tblCellMar>
        </w:tblPrEx>
        <w:trPr>
          <w:trHeight w:val="270" w:hRule="atLeast"/>
        </w:trPr>
        <w:tc>
          <w:tcPr>
            <w:tcW w:w="5000" w:type="pct"/>
            <w:gridSpan w:val="8"/>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rPr>
              <w:t>部门预算财政拨款收支总表</w:t>
            </w:r>
          </w:p>
        </w:tc>
      </w:tr>
      <w:tr>
        <w:tblPrEx>
          <w:tblCellMar>
            <w:top w:w="0" w:type="dxa"/>
            <w:left w:w="108" w:type="dxa"/>
            <w:bottom w:w="0" w:type="dxa"/>
            <w:right w:w="108" w:type="dxa"/>
          </w:tblCellMar>
        </w:tblPrEx>
        <w:trPr>
          <w:trHeight w:val="270" w:hRule="atLeast"/>
        </w:trPr>
        <w:tc>
          <w:tcPr>
            <w:tcW w:w="3369" w:type="pct"/>
            <w:gridSpan w:val="6"/>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782"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847"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270" w:hRule="atLeast"/>
        </w:trPr>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收入</w:t>
            </w:r>
          </w:p>
        </w:tc>
        <w:tc>
          <w:tcPr>
            <w:tcW w:w="35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w:t>
            </w:r>
          </w:p>
        </w:tc>
      </w:tr>
      <w:tr>
        <w:tblPrEx>
          <w:tblCellMar>
            <w:top w:w="0" w:type="dxa"/>
            <w:left w:w="108" w:type="dxa"/>
            <w:bottom w:w="0" w:type="dxa"/>
            <w:right w:w="108" w:type="dxa"/>
          </w:tblCellMar>
        </w:tblPrEx>
        <w:trPr>
          <w:trHeight w:val="27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金额</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一般公共预算财政拨款</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政府性基金预算财政拨款</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国有资本经营预算财政拨款</w:t>
            </w:r>
          </w:p>
        </w:tc>
      </w:tr>
      <w:tr>
        <w:tblPrEx>
          <w:tblCellMar>
            <w:top w:w="0" w:type="dxa"/>
            <w:left w:w="108" w:type="dxa"/>
            <w:bottom w:w="0" w:type="dxa"/>
            <w:right w:w="108" w:type="dxa"/>
          </w:tblCellMar>
        </w:tblPrEx>
        <w:trPr>
          <w:trHeight w:val="27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6</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7</w:t>
            </w: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一、一般公共预算拨款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1404.12</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一、一般公共服务支出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1143.37</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1143.37</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二、政府性基金预算拨款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二、外交支出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三、国有资本经营预算拨款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三、国防支出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四、公共安全支出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70</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70</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五、教育支出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六、科学技术支出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七、文化旅游体育与传媒支出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八、社会保障和就业支出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88.34</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88.34</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九、社会保险基金支出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10</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十、卫生健康支出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11</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十一、节能环保支出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12</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十二、城乡社区支出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13</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十三、农林水支出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14</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十四、交通运输支出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15</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十五、资源勘探工业信息等支出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16</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十六、商业服务业等支出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17</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十七、金融支出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18</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十八、援助其他地区支出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19</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十九、自然资源海洋气象等支出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20</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二十、住房保障支出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21</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二十一、粮油物资储备支出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22</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二十二、国有资本经营预算支出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23</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二十三、灾害防治及应急管理支出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24</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二十四、预备费</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25</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二十五、其他支出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26</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二十六、转移性支出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27</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二十七、债务还本支出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28</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二十八、债务付息支出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29</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二十九、债务发行费用支出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30</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三十、抗疫特别国债安排的支出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31</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本年收入合计</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1404.12</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本年支出合计</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32</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年初财政拨款结转和结余</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年末财政拨款结转和结余</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33</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一、一般公共预算拨款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34</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二、政府性基金预算拨款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35</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三、国有资本经营预算拨款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36</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收入总计</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1404.12</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支出总计</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tbl>
      <w:tblPr>
        <w:tblStyle w:val="9"/>
        <w:tblW w:w="5000" w:type="pct"/>
        <w:tblInd w:w="0" w:type="dxa"/>
        <w:tblLayout w:type="autofit"/>
        <w:tblCellMar>
          <w:top w:w="0" w:type="dxa"/>
          <w:left w:w="108" w:type="dxa"/>
          <w:bottom w:w="0" w:type="dxa"/>
          <w:right w:w="108" w:type="dxa"/>
        </w:tblCellMar>
      </w:tblPr>
      <w:tblGrid>
        <w:gridCol w:w="828"/>
        <w:gridCol w:w="1381"/>
        <w:gridCol w:w="4727"/>
        <w:gridCol w:w="1186"/>
        <w:gridCol w:w="1045"/>
        <w:gridCol w:w="1399"/>
        <w:gridCol w:w="2216"/>
        <w:gridCol w:w="2233"/>
      </w:tblGrid>
      <w:tr>
        <w:tblPrEx>
          <w:tblCellMar>
            <w:top w:w="0" w:type="dxa"/>
            <w:left w:w="108" w:type="dxa"/>
            <w:bottom w:w="0" w:type="dxa"/>
            <w:right w:w="108" w:type="dxa"/>
          </w:tblCellMar>
        </w:tblPrEx>
        <w:trPr>
          <w:trHeight w:val="360" w:hRule="atLeast"/>
        </w:trPr>
        <w:tc>
          <w:tcPr>
            <w:tcW w:w="5000" w:type="pct"/>
            <w:gridSpan w:val="8"/>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rPr>
              <w:t>部门预算一般公共预算财政拨款支出表</w:t>
            </w:r>
          </w:p>
        </w:tc>
      </w:tr>
      <w:tr>
        <w:tblPrEx>
          <w:tblCellMar>
            <w:top w:w="0" w:type="dxa"/>
            <w:left w:w="108" w:type="dxa"/>
            <w:bottom w:w="0" w:type="dxa"/>
            <w:right w:w="108" w:type="dxa"/>
          </w:tblCellMar>
        </w:tblPrEx>
        <w:trPr>
          <w:trHeight w:val="360" w:hRule="atLeast"/>
        </w:trPr>
        <w:tc>
          <w:tcPr>
            <w:tcW w:w="3519" w:type="pct"/>
            <w:gridSpan w:val="6"/>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738"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743"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27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20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支出功能分类科目</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155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基本支出</w:t>
            </w:r>
          </w:p>
        </w:tc>
        <w:tc>
          <w:tcPr>
            <w:tcW w:w="7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小计</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人员经费</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公用经费</w:t>
            </w: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36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6</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7</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1019.12</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842.36</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385.00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1143.37</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651.61</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315.00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20101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人大事务</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2010102</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20111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纪检监察事务</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1073.37</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651.61</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2011101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行政运行</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651.61</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2011102</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204</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公共安全支出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20499</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其他公共安全支出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10</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2049999</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其他公共安全支出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11</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208</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12</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20805</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13</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2080505</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14</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210</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卫生健康支出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15</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21011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47.65</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47.65</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47.65</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16</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2101101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行政单位医疗</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36.30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36.30</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36.30</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17</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2101103</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公务员医疗补助</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11.35</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11.35</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11.35</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18</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221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住房保障支出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19</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22102</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住房改革支出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20</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2210201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住房公积金</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pStyle w:val="3"/>
        <w:jc w:val="both"/>
        <w:rPr>
          <w:rFonts w:eastAsiaTheme="minorEastAsia"/>
        </w:rPr>
      </w:pPr>
    </w:p>
    <w:p/>
    <w:p/>
    <w:tbl>
      <w:tblPr>
        <w:tblStyle w:val="9"/>
        <w:tblW w:w="5000" w:type="pct"/>
        <w:tblInd w:w="0" w:type="dxa"/>
        <w:tblLayout w:type="autofit"/>
        <w:tblCellMar>
          <w:top w:w="0" w:type="dxa"/>
          <w:left w:w="108" w:type="dxa"/>
          <w:bottom w:w="0" w:type="dxa"/>
          <w:right w:w="108" w:type="dxa"/>
        </w:tblCellMar>
      </w:tblPr>
      <w:tblGrid>
        <w:gridCol w:w="1041"/>
        <w:gridCol w:w="1751"/>
        <w:gridCol w:w="5267"/>
        <w:gridCol w:w="1332"/>
        <w:gridCol w:w="2805"/>
        <w:gridCol w:w="2819"/>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pStyle w:val="3"/>
            </w:pPr>
            <w:r>
              <w:rPr>
                <w:rFonts w:hint="eastAsia" w:ascii="方正小标宋_GBK" w:hAnsi="方正小标宋_GBK" w:eastAsia="方正小标宋_GBK" w:cs="方正小标宋_GBK"/>
                <w:b w:val="0"/>
                <w:color w:val="000000"/>
                <w:kern w:val="0"/>
                <w:szCs w:val="24"/>
              </w:rPr>
              <w:t>部门预算一般公共预算财政拨款基本支出表</w:t>
            </w:r>
          </w:p>
        </w:tc>
      </w:tr>
      <w:tr>
        <w:tblPrEx>
          <w:tblCellMar>
            <w:top w:w="0" w:type="dxa"/>
            <w:left w:w="108" w:type="dxa"/>
            <w:bottom w:w="0" w:type="dxa"/>
            <w:right w:w="108" w:type="dxa"/>
          </w:tblCellMar>
        </w:tblPrEx>
        <w:trPr>
          <w:trHeight w:val="360" w:hRule="atLeast"/>
        </w:trPr>
        <w:tc>
          <w:tcPr>
            <w:tcW w:w="3127" w:type="pct"/>
            <w:gridSpan w:val="4"/>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934"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938"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3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23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支出部门经济分类科目</w:t>
            </w:r>
          </w:p>
        </w:tc>
        <w:tc>
          <w:tcPr>
            <w:tcW w:w="231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一般公共预算基本支出</w:t>
            </w:r>
          </w:p>
        </w:tc>
      </w:tr>
      <w:tr>
        <w:tblPrEx>
          <w:tblCellMar>
            <w:top w:w="0" w:type="dxa"/>
            <w:left w:w="108" w:type="dxa"/>
            <w:bottom w:w="0" w:type="dxa"/>
            <w:right w:w="108" w:type="dxa"/>
          </w:tblCellMar>
        </w:tblPrEx>
        <w:trPr>
          <w:trHeight w:val="360" w:hRule="atLeast"/>
        </w:trPr>
        <w:tc>
          <w:tcPr>
            <w:tcW w:w="3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1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人员经费</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公用经费</w:t>
            </w:r>
          </w:p>
        </w:tc>
      </w:tr>
      <w:tr>
        <w:tblPrEx>
          <w:tblCellMar>
            <w:top w:w="0" w:type="dxa"/>
            <w:left w:w="108" w:type="dxa"/>
            <w:bottom w:w="0" w:type="dxa"/>
            <w:right w:w="108" w:type="dxa"/>
          </w:tblCellMar>
        </w:tblPrEx>
        <w:trPr>
          <w:trHeight w:val="36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1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175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1019.12</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842.36</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工资福利支出</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841.63</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841.63</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30101</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基本工资</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340.94</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340.94</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30102</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津贴补贴</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198.19</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198.19</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30103</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奖金</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99.60</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99.60</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30107</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绩效工资</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9.38</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9.38</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30108</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30110</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职工基本医疗保险缴费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36.30</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36.30</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30111</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公务员医疗补助缴费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11.35</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11.35</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10</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30112</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其他社会保障缴费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2.77</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2.77</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11</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30113</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住房公积金</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12</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商品和服务支出</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30201</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办公费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19.44</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19.44</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14</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30207</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邮电费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0.36</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0.36</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15</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30211</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差旅费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7.70</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7.70</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16</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30217</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公务接待费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26.00</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26.00</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17</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30226</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劳务费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29.53</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29.53</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18</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30228</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工会经费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6.87</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6.87</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19</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30229</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福利费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10.12</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10.12</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20</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30231</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27.50</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27.50</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21</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30239</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其他交通费用</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48.36</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48.36</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22</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30299</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0.88</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0.88</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303</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0.73</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0.73</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24</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30305</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生活补助</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0.73</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0.73</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bl>
    <w:tbl>
      <w:tblPr>
        <w:tblStyle w:val="9"/>
        <w:tblpPr w:leftFromText="180" w:rightFromText="180" w:vertAnchor="text" w:horzAnchor="page" w:tblpX="1084" w:tblpY="69"/>
        <w:tblOverlap w:val="never"/>
        <w:tblW w:w="5000" w:type="pct"/>
        <w:tblInd w:w="0" w:type="dxa"/>
        <w:tblLayout w:type="autofit"/>
        <w:tblCellMar>
          <w:top w:w="0" w:type="dxa"/>
          <w:left w:w="108" w:type="dxa"/>
          <w:bottom w:w="0" w:type="dxa"/>
          <w:right w:w="108" w:type="dxa"/>
        </w:tblCellMar>
      </w:tblPr>
      <w:tblGrid>
        <w:gridCol w:w="1393"/>
        <w:gridCol w:w="2336"/>
        <w:gridCol w:w="2345"/>
        <w:gridCol w:w="1420"/>
        <w:gridCol w:w="3757"/>
        <w:gridCol w:w="3764"/>
      </w:tblGrid>
      <w:tr>
        <w:tblPrEx>
          <w:tblCellMar>
            <w:top w:w="0" w:type="dxa"/>
            <w:left w:w="108" w:type="dxa"/>
            <w:bottom w:w="0" w:type="dxa"/>
            <w:right w:w="108" w:type="dxa"/>
          </w:tblCellMar>
        </w:tblPrEx>
        <w:trPr>
          <w:trHeight w:val="871" w:hRule="atLeast"/>
        </w:trPr>
        <w:tc>
          <w:tcPr>
            <w:tcW w:w="5000" w:type="pct"/>
            <w:gridSpan w:val="6"/>
            <w:tcBorders>
              <w:top w:val="nil"/>
              <w:left w:val="nil"/>
              <w:bottom w:val="nil"/>
              <w:right w:val="nil"/>
            </w:tcBorders>
            <w:shd w:val="clear" w:color="auto" w:fill="auto"/>
            <w:noWrap/>
            <w:vAlign w:val="center"/>
          </w:tcPr>
          <w:p>
            <w:pPr>
              <w:pStyle w:val="3"/>
              <w:rPr>
                <w:rFonts w:hint="eastAsia" w:ascii="方正小标宋_GBK" w:hAnsi="方正小标宋_GBK" w:eastAsia="方正小标宋_GBK" w:cs="方正小标宋_GBK"/>
                <w:b w:val="0"/>
                <w:color w:val="000000"/>
                <w:kern w:val="0"/>
                <w:szCs w:val="24"/>
              </w:rPr>
            </w:pPr>
          </w:p>
          <w:p>
            <w:pPr>
              <w:pStyle w:val="3"/>
              <w:rPr>
                <w:rFonts w:ascii="方正小标宋_GBK" w:hAnsi="方正小标宋_GBK" w:eastAsia="方正小标宋_GBK" w:cs="方正小标宋_GBK"/>
                <w:b w:val="0"/>
                <w:color w:val="000000"/>
                <w:kern w:val="0"/>
                <w:szCs w:val="24"/>
              </w:rPr>
            </w:pPr>
            <w:r>
              <w:rPr>
                <w:rFonts w:hint="eastAsia" w:ascii="方正小标宋_GBK" w:hAnsi="方正小标宋_GBK" w:eastAsia="方正小标宋_GBK" w:cs="方正小标宋_GBK"/>
                <w:b w:val="0"/>
                <w:color w:val="000000"/>
                <w:kern w:val="0"/>
                <w:szCs w:val="24"/>
              </w:rPr>
              <w:t>部门预算政府基金预算财政拨款支出表</w:t>
            </w:r>
          </w:p>
          <w:p/>
        </w:tc>
      </w:tr>
      <w:tr>
        <w:tblPrEx>
          <w:tblCellMar>
            <w:top w:w="0" w:type="dxa"/>
            <w:left w:w="108" w:type="dxa"/>
            <w:bottom w:w="0" w:type="dxa"/>
            <w:right w:w="108" w:type="dxa"/>
          </w:tblCellMar>
        </w:tblPrEx>
        <w:trPr>
          <w:trHeight w:val="360" w:hRule="atLeast"/>
        </w:trPr>
        <w:tc>
          <w:tcPr>
            <w:tcW w:w="2495" w:type="pct"/>
            <w:gridSpan w:val="4"/>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1251"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1253"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55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支出功能分类科目</w:t>
            </w:r>
          </w:p>
        </w:tc>
        <w:tc>
          <w:tcPr>
            <w:tcW w:w="4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基本支出</w:t>
            </w:r>
          </w:p>
        </w:tc>
        <w:tc>
          <w:tcPr>
            <w:tcW w:w="125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4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2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360"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r>
      <w:tr>
        <w:tblPrEx>
          <w:tblCellMar>
            <w:top w:w="0" w:type="dxa"/>
            <w:left w:w="108" w:type="dxa"/>
            <w:bottom w:w="0" w:type="dxa"/>
            <w:right w:w="108" w:type="dxa"/>
          </w:tblCellMar>
        </w:tblPrEx>
        <w:trPr>
          <w:trHeight w:val="28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注：无政府基金预算财政拨款支出，空表列示。</w:t>
            </w:r>
          </w:p>
        </w:tc>
      </w:tr>
      <w:tr>
        <w:tblPrEx>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tcPr>
          <w:p>
            <w:pPr>
              <w:widowControl/>
              <w:jc w:val="left"/>
              <w:textAlignment w:val="top"/>
              <w:rPr>
                <w:rFonts w:ascii="宋体" w:hAnsi="宋体" w:cs="宋体"/>
                <w:color w:val="000000"/>
                <w:kern w:val="0"/>
                <w:sz w:val="22"/>
              </w:rPr>
            </w:pPr>
          </w:p>
        </w:tc>
      </w:tr>
    </w:tbl>
    <w:tbl>
      <w:tblPr>
        <w:tblStyle w:val="9"/>
        <w:tblpPr w:leftFromText="180" w:rightFromText="180" w:vertAnchor="text" w:horzAnchor="page" w:tblpX="1074" w:tblpY="24"/>
        <w:tblOverlap w:val="never"/>
        <w:tblW w:w="4870" w:type="pct"/>
        <w:tblInd w:w="0" w:type="dxa"/>
        <w:tblLayout w:type="autofit"/>
        <w:tblCellMar>
          <w:top w:w="0" w:type="dxa"/>
          <w:left w:w="108" w:type="dxa"/>
          <w:bottom w:w="0" w:type="dxa"/>
          <w:right w:w="108" w:type="dxa"/>
        </w:tblCellMar>
      </w:tblPr>
      <w:tblGrid>
        <w:gridCol w:w="1400"/>
        <w:gridCol w:w="2340"/>
        <w:gridCol w:w="2349"/>
        <w:gridCol w:w="1018"/>
        <w:gridCol w:w="3756"/>
        <w:gridCol w:w="3762"/>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widowControl/>
              <w:jc w:val="center"/>
              <w:textAlignment w:val="center"/>
              <w:rPr>
                <w:rFonts w:ascii="宋体" w:hAnsi="宋体" w:cs="宋体"/>
                <w:color w:val="000000"/>
                <w:sz w:val="22"/>
              </w:rPr>
            </w:pPr>
            <w:r>
              <w:rPr>
                <w:rFonts w:hint="eastAsia" w:ascii="方正小标宋_GBK" w:hAnsi="方正小标宋_GBK" w:eastAsia="方正小标宋_GBK" w:cs="方正小标宋_GBK"/>
                <w:color w:val="000000"/>
                <w:kern w:val="0"/>
                <w:sz w:val="36"/>
                <w:szCs w:val="24"/>
              </w:rPr>
              <w:t>部门预算国有资本经营预算财政拨款支出表</w:t>
            </w:r>
          </w:p>
          <w:p>
            <w:pPr>
              <w:widowControl/>
              <w:textAlignment w:val="center"/>
              <w:rPr>
                <w:rFonts w:ascii="宋体" w:hAnsi="宋体" w:cs="宋体"/>
                <w:color w:val="000000"/>
                <w:sz w:val="22"/>
              </w:rPr>
            </w:pPr>
          </w:p>
        </w:tc>
      </w:tr>
      <w:tr>
        <w:tblPrEx>
          <w:tblCellMar>
            <w:top w:w="0" w:type="dxa"/>
            <w:left w:w="108" w:type="dxa"/>
            <w:bottom w:w="0" w:type="dxa"/>
            <w:right w:w="108" w:type="dxa"/>
          </w:tblCellMar>
        </w:tblPrEx>
        <w:trPr>
          <w:trHeight w:val="360" w:hRule="atLeast"/>
        </w:trPr>
        <w:tc>
          <w:tcPr>
            <w:tcW w:w="2430" w:type="pct"/>
            <w:gridSpan w:val="4"/>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1284"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1286"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47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60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支出功能分类科目</w:t>
            </w:r>
          </w:p>
        </w:tc>
        <w:tc>
          <w:tcPr>
            <w:tcW w:w="3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12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基本支出</w:t>
            </w:r>
          </w:p>
        </w:tc>
        <w:tc>
          <w:tcPr>
            <w:tcW w:w="12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3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2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2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360"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注：无国有资本经营预算财政拨款支出，空表列示。</w:t>
            </w:r>
          </w:p>
        </w:tc>
      </w:tr>
    </w:tbl>
    <w:tbl>
      <w:tblPr>
        <w:tblStyle w:val="9"/>
        <w:tblpPr w:leftFromText="180" w:rightFromText="180" w:vertAnchor="text" w:horzAnchor="page" w:tblpX="1059" w:tblpY="78"/>
        <w:tblOverlap w:val="never"/>
        <w:tblW w:w="4968" w:type="pct"/>
        <w:tblInd w:w="0" w:type="dxa"/>
        <w:tblLayout w:type="autofit"/>
        <w:tblCellMar>
          <w:top w:w="0" w:type="dxa"/>
          <w:left w:w="108" w:type="dxa"/>
          <w:bottom w:w="0" w:type="dxa"/>
          <w:right w:w="108" w:type="dxa"/>
        </w:tblCellMar>
      </w:tblPr>
      <w:tblGrid>
        <w:gridCol w:w="722"/>
        <w:gridCol w:w="4935"/>
        <w:gridCol w:w="797"/>
        <w:gridCol w:w="2763"/>
        <w:gridCol w:w="2459"/>
        <w:gridCol w:w="3243"/>
      </w:tblGrid>
      <w:tr>
        <w:tblPrEx>
          <w:tblCellMar>
            <w:top w:w="0" w:type="dxa"/>
            <w:left w:w="108" w:type="dxa"/>
            <w:bottom w:w="0" w:type="dxa"/>
            <w:right w:w="108" w:type="dxa"/>
          </w:tblCellMar>
        </w:tblPrEx>
        <w:trPr>
          <w:trHeight w:val="90" w:hRule="atLeast"/>
        </w:trPr>
        <w:tc>
          <w:tcPr>
            <w:tcW w:w="5000" w:type="pct"/>
            <w:gridSpan w:val="6"/>
            <w:tcBorders>
              <w:top w:val="nil"/>
              <w:left w:val="nil"/>
              <w:bottom w:val="nil"/>
              <w:right w:val="nil"/>
            </w:tcBorders>
            <w:shd w:val="clear" w:color="auto" w:fill="auto"/>
            <w:noWrap/>
            <w:vAlign w:val="center"/>
          </w:tcPr>
          <w:p/>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rPr>
              <w:t>部门预算财政拨款“三公”经费支出表</w:t>
            </w:r>
          </w:p>
        </w:tc>
      </w:tr>
      <w:tr>
        <w:tblPrEx>
          <w:tblCellMar>
            <w:top w:w="0" w:type="dxa"/>
            <w:left w:w="108" w:type="dxa"/>
            <w:bottom w:w="0" w:type="dxa"/>
            <w:right w:w="108" w:type="dxa"/>
          </w:tblCellMar>
        </w:tblPrEx>
        <w:trPr>
          <w:trHeight w:val="90" w:hRule="atLeast"/>
        </w:trPr>
        <w:tc>
          <w:tcPr>
            <w:tcW w:w="3089" w:type="pct"/>
            <w:gridSpan w:val="4"/>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b/>
                <w:bCs/>
                <w:color w:val="000000"/>
                <w:sz w:val="22"/>
                <w:lang w:eastAsia="zh-CN"/>
              </w:rPr>
            </w:pPr>
            <w:r>
              <w:rPr>
                <w:rFonts w:hint="eastAsia" w:ascii="宋体" w:hAnsi="宋体" w:cs="宋体"/>
                <w:b/>
                <w:bCs/>
                <w:color w:val="000000"/>
                <w:kern w:val="0"/>
                <w:sz w:val="22"/>
              </w:rPr>
              <w:t>预算单位编码及名称：[222]中国共产党</w:t>
            </w:r>
            <w:r>
              <w:rPr>
                <w:rFonts w:hint="eastAsia" w:ascii="宋体" w:hAnsi="宋体" w:cs="宋体"/>
                <w:b/>
                <w:bCs/>
                <w:color w:val="000000"/>
                <w:kern w:val="0"/>
                <w:sz w:val="22"/>
                <w:lang w:eastAsia="zh-CN"/>
              </w:rPr>
              <w:t>涞水县纪律检查委员会</w:t>
            </w:r>
          </w:p>
        </w:tc>
        <w:tc>
          <w:tcPr>
            <w:tcW w:w="824"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b/>
                <w:bCs/>
                <w:color w:val="000000"/>
                <w:sz w:val="22"/>
                <w:lang w:eastAsia="zh-CN"/>
              </w:rPr>
            </w:pPr>
            <w:r>
              <w:rPr>
                <w:rFonts w:hint="eastAsia" w:ascii="宋体" w:hAnsi="宋体" w:cs="宋体"/>
                <w:b/>
                <w:bCs/>
                <w:color w:val="000000"/>
                <w:kern w:val="0"/>
                <w:sz w:val="22"/>
              </w:rPr>
              <w:t>预算年度：</w:t>
            </w:r>
            <w:r>
              <w:rPr>
                <w:rFonts w:hint="eastAsia" w:ascii="宋体" w:hAnsi="宋体" w:cs="宋体"/>
                <w:b/>
                <w:bCs/>
                <w:color w:val="000000"/>
                <w:kern w:val="0"/>
                <w:sz w:val="22"/>
                <w:lang w:eastAsia="zh-CN"/>
              </w:rPr>
              <w:t>2024</w:t>
            </w:r>
          </w:p>
        </w:tc>
        <w:tc>
          <w:tcPr>
            <w:tcW w:w="1086" w:type="pct"/>
            <w:tcBorders>
              <w:top w:val="nil"/>
              <w:left w:val="nil"/>
              <w:bottom w:val="nil"/>
              <w:right w:val="nil"/>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金额单位：万元</w:t>
            </w:r>
          </w:p>
        </w:tc>
      </w:tr>
      <w:tr>
        <w:tblPrEx>
          <w:tblCellMar>
            <w:top w:w="0" w:type="dxa"/>
            <w:left w:w="108" w:type="dxa"/>
            <w:bottom w:w="0" w:type="dxa"/>
            <w:right w:w="108" w:type="dxa"/>
          </w:tblCellMar>
        </w:tblPrEx>
        <w:trPr>
          <w:trHeight w:val="90" w:hRule="atLeast"/>
        </w:trPr>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w:t>
            </w:r>
          </w:p>
        </w:tc>
        <w:tc>
          <w:tcPr>
            <w:tcW w:w="310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资金性质</w:t>
            </w:r>
          </w:p>
        </w:tc>
      </w:tr>
      <w:tr>
        <w:tblPrEx>
          <w:tblCellMar>
            <w:top w:w="0" w:type="dxa"/>
            <w:left w:w="108" w:type="dxa"/>
            <w:bottom w:w="0" w:type="dxa"/>
            <w:right w:w="108" w:type="dxa"/>
          </w:tblCellMar>
        </w:tblPrEx>
        <w:trPr>
          <w:trHeight w:val="90" w:hRule="atLeast"/>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一般公共预算财政拨款</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政府性基金财政拨款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国有资本经营预算财政拨款</w:t>
            </w: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default" w:eastAsia="宋体" w:cs="Calibri"/>
                <w:color w:val="000000"/>
                <w:sz w:val="22"/>
                <w:lang w:val="en-US" w:eastAsia="zh-CN"/>
              </w:rPr>
            </w:pPr>
            <w:r>
              <w:rPr>
                <w:rFonts w:hint="eastAsia" w:cs="Calibri"/>
                <w:color w:val="000000"/>
                <w:sz w:val="22"/>
                <w:lang w:val="en-US" w:eastAsia="zh-CN"/>
              </w:rPr>
              <w:t>99.5</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default" w:eastAsia="宋体" w:cs="Calibri"/>
                <w:color w:val="000000"/>
                <w:sz w:val="22"/>
                <w:lang w:val="en-US" w:eastAsia="zh-CN"/>
              </w:rPr>
            </w:pPr>
            <w:r>
              <w:rPr>
                <w:rFonts w:hint="eastAsia" w:cs="Calibri"/>
                <w:color w:val="000000"/>
                <w:sz w:val="22"/>
                <w:lang w:val="en-US" w:eastAsia="zh-CN"/>
              </w:rPr>
              <w:t>99.5</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“三公”经费小计</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r>
              <w:rPr>
                <w:rFonts w:hint="eastAsia" w:cs="Calibri"/>
                <w:color w:val="000000"/>
                <w:sz w:val="22"/>
              </w:rPr>
              <w:t>99.5</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r>
              <w:rPr>
                <w:rFonts w:hint="eastAsia" w:cs="Calibri"/>
                <w:color w:val="000000"/>
                <w:sz w:val="22"/>
              </w:rPr>
              <w:t>99.5</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一、因公出国（境）费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 xml:space="preserve">    其中：教学科研人员因公出国（境）费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 xml:space="preserve">          其他因公出国（境）费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二、公务用车购置及运维费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 xml:space="preserve">    其中：公务用车购置费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 xml:space="preserve">          公务用车运行维护费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42.50</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42.50</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三、公务接待费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57.00</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57.00</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bl>
    <w:p>
      <w:pPr>
        <w:widowControl/>
        <w:spacing w:line="240" w:lineRule="auto"/>
        <w:jc w:val="center"/>
        <w:rPr>
          <w:rFonts w:hint="eastAsia" w:ascii="方正小标宋_GBK" w:hAnsi="方正小标宋_GBK" w:eastAsia="方正小标宋_GBK" w:cs="方正小标宋_GBK"/>
          <w:color w:val="000000"/>
          <w:kern w:val="0"/>
          <w:sz w:val="44"/>
          <w:szCs w:val="24"/>
          <w:lang w:eastAsia="zh-CN"/>
        </w:rPr>
      </w:pPr>
      <w:bookmarkStart w:id="0" w:name="_Toc7613"/>
      <w:r>
        <w:rPr>
          <w:rFonts w:hint="eastAsia" w:ascii="方正小标宋_GBK" w:hAnsi="方正小标宋_GBK" w:eastAsia="方正小标宋_GBK" w:cs="方正小标宋_GBK"/>
          <w:color w:val="000000"/>
          <w:kern w:val="0"/>
          <w:sz w:val="44"/>
          <w:szCs w:val="24"/>
        </w:rPr>
        <w:t>中国共产党</w:t>
      </w:r>
      <w:bookmarkEnd w:id="0"/>
      <w:r>
        <w:rPr>
          <w:rFonts w:hint="eastAsia" w:ascii="方正小标宋_GBK" w:hAnsi="方正小标宋_GBK" w:eastAsia="方正小标宋_GBK" w:cs="方正小标宋_GBK"/>
          <w:color w:val="000000"/>
          <w:kern w:val="0"/>
          <w:sz w:val="44"/>
          <w:szCs w:val="24"/>
          <w:lang w:eastAsia="zh-CN"/>
        </w:rPr>
        <w:t>涞水县纪律检查委员会</w:t>
      </w:r>
    </w:p>
    <w:p>
      <w:pPr>
        <w:widowControl/>
        <w:spacing w:line="240" w:lineRule="auto"/>
        <w:jc w:val="center"/>
        <w:rPr>
          <w:rFonts w:ascii="方正小标宋_GBK" w:hAnsi="方正小标宋_GBK" w:eastAsia="方正小标宋_GBK" w:cs="方正小标宋_GBK"/>
          <w:color w:val="000000"/>
          <w:kern w:val="0"/>
          <w:sz w:val="44"/>
          <w:szCs w:val="24"/>
        </w:rPr>
      </w:pPr>
      <w:bookmarkStart w:id="1" w:name="_Toc27766"/>
      <w:r>
        <w:rPr>
          <w:rFonts w:hint="eastAsia" w:ascii="方正小标宋_GBK" w:hAnsi="方正小标宋_GBK" w:eastAsia="方正小标宋_GBK" w:cs="方正小标宋_GBK"/>
          <w:color w:val="000000"/>
          <w:kern w:val="0"/>
          <w:sz w:val="44"/>
          <w:szCs w:val="24"/>
          <w:lang w:eastAsia="zh-CN"/>
        </w:rPr>
        <w:t>2024</w:t>
      </w:r>
      <w:r>
        <w:rPr>
          <w:rFonts w:hint="eastAsia" w:ascii="方正小标宋_GBK" w:hAnsi="方正小标宋_GBK" w:eastAsia="方正小标宋_GBK" w:cs="方正小标宋_GBK"/>
          <w:color w:val="000000"/>
          <w:kern w:val="0"/>
          <w:sz w:val="44"/>
          <w:szCs w:val="24"/>
        </w:rPr>
        <w:t>年部门预算信息公开情况说明</w:t>
      </w:r>
      <w:bookmarkEnd w:id="1"/>
    </w:p>
    <w:p>
      <w:pPr>
        <w:pStyle w:val="15"/>
        <w:kinsoku w:val="0"/>
        <w:overflowPunct w:val="0"/>
        <w:spacing w:before="0" w:line="560" w:lineRule="atLeast"/>
        <w:ind w:right="102"/>
        <w:jc w:val="center"/>
        <w:outlineLvl w:val="9"/>
        <w:rPr>
          <w:rFonts w:ascii="宋体" w:hAnsi="宋体" w:eastAsia="宋体" w:cs="宋体"/>
          <w:b/>
          <w:bCs/>
          <w:spacing w:val="-11"/>
          <w:w w:val="95"/>
          <w:sz w:val="44"/>
          <w:szCs w:val="44"/>
        </w:rPr>
      </w:pPr>
    </w:p>
    <w:p>
      <w:pPr>
        <w:pStyle w:val="15"/>
        <w:kinsoku w:val="0"/>
        <w:overflowPunct w:val="0"/>
        <w:spacing w:before="0" w:line="560" w:lineRule="atLeast"/>
        <w:ind w:right="102" w:firstLine="660"/>
        <w:jc w:val="both"/>
        <w:outlineLvl w:val="9"/>
      </w:pPr>
      <w:r>
        <w:rPr>
          <w:rFonts w:hint="eastAsia"/>
          <w:spacing w:val="-11"/>
          <w:w w:val="95"/>
        </w:rPr>
        <w:t>按照《</w:t>
      </w:r>
      <w:r>
        <w:rPr>
          <w:rFonts w:hint="eastAsia"/>
          <w:spacing w:val="-11"/>
          <w:w w:val="95"/>
          <w:lang w:eastAsia="zh-CN"/>
        </w:rPr>
        <w:t>中华人民共和国预算法</w:t>
      </w:r>
      <w:r>
        <w:rPr>
          <w:rFonts w:hint="eastAsia"/>
          <w:spacing w:val="-11"/>
          <w:w w:val="95"/>
        </w:rPr>
        <w:t>》、《地方预决算公开操作规程》和《河北省省级</w:t>
      </w:r>
      <w:r>
        <w:rPr>
          <w:rFonts w:hint="eastAsia"/>
          <w:spacing w:val="-7"/>
        </w:rPr>
        <w:t>预算公开办法》规定现将中共涞水县纪委</w:t>
      </w:r>
      <w:r>
        <w:rPr>
          <w:rFonts w:hint="eastAsia"/>
          <w:lang w:eastAsia="zh-CN"/>
        </w:rPr>
        <w:t>2024</w:t>
      </w:r>
      <w:r>
        <w:rPr>
          <w:rFonts w:hint="eastAsia"/>
        </w:rPr>
        <w:t>年部门预算公开如下：</w:t>
      </w:r>
    </w:p>
    <w:p>
      <w:pPr>
        <w:ind w:firstLine="640" w:firstLineChars="200"/>
        <w:outlineLvl w:val="0"/>
        <w:rPr>
          <w:rFonts w:ascii="黑体" w:hAnsi="黑体" w:eastAsia="黑体"/>
          <w:sz w:val="32"/>
          <w:szCs w:val="32"/>
        </w:rPr>
      </w:pPr>
      <w:bookmarkStart w:id="2" w:name="_Toc536088156"/>
      <w:r>
        <w:rPr>
          <w:rFonts w:hint="eastAsia" w:ascii="黑体" w:hAnsi="黑体" w:eastAsia="黑体"/>
          <w:sz w:val="32"/>
          <w:szCs w:val="32"/>
        </w:rPr>
        <w:t>一、部门职责及机构设置情况</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（一）基本职责</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根据《中国共产党</w:t>
      </w:r>
      <w:r>
        <w:rPr>
          <w:rFonts w:hint="eastAsia" w:ascii="仿宋" w:hAnsi="仿宋" w:eastAsia="仿宋" w:cs="仿宋"/>
          <w:sz w:val="32"/>
          <w:szCs w:val="32"/>
          <w:lang w:eastAsia="zh-CN"/>
        </w:rPr>
        <w:t>涞水县纪律检查委员会</w:t>
      </w:r>
      <w:r>
        <w:rPr>
          <w:rFonts w:hint="eastAsia" w:ascii="仿宋" w:hAnsi="仿宋" w:eastAsia="仿宋" w:cs="仿宋"/>
          <w:sz w:val="32"/>
          <w:szCs w:val="32"/>
        </w:rPr>
        <w:t>职能配置、内设机构和人员编制规定》，中国共产党</w:t>
      </w:r>
      <w:r>
        <w:rPr>
          <w:rFonts w:hint="eastAsia" w:ascii="仿宋" w:hAnsi="仿宋" w:eastAsia="仿宋" w:cs="仿宋"/>
          <w:sz w:val="32"/>
          <w:szCs w:val="32"/>
          <w:lang w:eastAsia="zh-CN"/>
        </w:rPr>
        <w:t>涞水县纪律检查委员会</w:t>
      </w:r>
      <w:r>
        <w:rPr>
          <w:rFonts w:hint="eastAsia" w:ascii="仿宋" w:hAnsi="仿宋" w:eastAsia="仿宋" w:cs="仿宋"/>
          <w:sz w:val="32"/>
          <w:szCs w:val="32"/>
        </w:rPr>
        <w:t>的主要职责是：</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负责全县党的纪律检查工作。贯彻落实党中央、省委、保定市委和涞水县委关于纪律检查工作的决策部署，维护党的章程和其他党内法规，检查党的路线方针政策和决议的执行情况，协助县委推进全面从严治党、加强党风建设和组织协调反腐败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2、依照党的章程和其他党内法规履行监督、执纪、问责职责。负责经常对党员进行遵守纪律的教育，作出关于维护党纪的决定；对县委工作机关、县委批准设立的党组（党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3、支持配合巡视巡察工作。承担对巡视巡察反馈问题整改工作的日常监督责任，做好巡视巡察整改督查督办工作，依规依纪依法处置巡视巡察移交的反映领导干部问题线索。</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4、负责全县监察工作。贯彻落实党中央、省委、保定市委和涞水县委关于监察工作的决策部署，维护宪法法律，依法对县委管理的行使公权力的公职人员进行监察，调查职务违法和职务犯罪，开展廉政建设和反腐败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5、依照法律规定履行监督、调查、处置职责。推动开展廉政教育，对县委管理的干部和其他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6、负责组织协调全面从严治党、党风廉政建设和反腐败宣传教育工作。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7、负责综合分析全面从严治党、党风廉政建设和反腐败工作情况，对纪检监察工作重要理论及实践问题进行调查研究；落实上级纪检监察法规制度和有关法律、法规和规范性文件。</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8、负责组织协调全县反腐败追逃追赃和防逃工作，督促有关单位做好相关工作。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9、根据干部管理权限，负责全县纪检监察系统领导班子建设、干部队伍建设和组织建设的综合规划、政策研究和制度建设；会同县委组织部负责县委巡察机构科级干部的提名、考察，报县委任免；根据干部管理权限负责县委巡察机构有关干部人事工作。会同有关方面做好县纪委监委派驻机构、乡镇纪检监察机构、县管企业纪检监察机构领导班子建设有关工作；组织和指导全县纪检监察系统干部教育培训工作等。</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10、完成上级纪委监委、县委交办的其他任务。</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（二）机构设置</w:t>
      </w:r>
    </w:p>
    <w:p>
      <w:pPr>
        <w:spacing w:line="560" w:lineRule="atLeast"/>
        <w:ind w:firstLine="640" w:firstLineChars="200"/>
        <w:jc w:val="left"/>
        <w:rPr>
          <w:rFonts w:ascii="仿宋" w:hAnsi="仿宋" w:eastAsia="仿宋"/>
          <w:sz w:val="32"/>
          <w:szCs w:val="32"/>
        </w:rPr>
      </w:pPr>
      <w:r>
        <w:rPr>
          <w:rFonts w:ascii="仿宋" w:hAnsi="仿宋" w:eastAsia="仿宋"/>
          <w:sz w:val="32"/>
          <w:szCs w:val="32"/>
        </w:rPr>
        <w:t>涞水县</w:t>
      </w:r>
      <w:r>
        <w:rPr>
          <w:rFonts w:hint="eastAsia" w:ascii="仿宋" w:hAnsi="仿宋" w:eastAsia="仿宋"/>
          <w:sz w:val="32"/>
          <w:szCs w:val="32"/>
        </w:rPr>
        <w:t>纪委</w:t>
      </w:r>
      <w:r>
        <w:rPr>
          <w:rFonts w:ascii="仿宋" w:hAnsi="仿宋" w:eastAsia="仿宋"/>
          <w:sz w:val="32"/>
          <w:szCs w:val="32"/>
        </w:rPr>
        <w:t>下设</w:t>
      </w:r>
      <w:r>
        <w:rPr>
          <w:rFonts w:hint="eastAsia" w:ascii="仿宋" w:hAnsi="仿宋" w:eastAsia="仿宋"/>
          <w:sz w:val="32"/>
          <w:szCs w:val="32"/>
        </w:rPr>
        <w:t>18</w:t>
      </w:r>
      <w:r>
        <w:rPr>
          <w:rFonts w:ascii="仿宋" w:hAnsi="仿宋" w:eastAsia="仿宋"/>
          <w:sz w:val="32"/>
          <w:szCs w:val="32"/>
        </w:rPr>
        <w:t>个</w:t>
      </w:r>
      <w:r>
        <w:rPr>
          <w:rFonts w:hint="eastAsia" w:ascii="仿宋" w:hAnsi="仿宋" w:eastAsia="仿宋"/>
          <w:sz w:val="32"/>
          <w:szCs w:val="32"/>
        </w:rPr>
        <w:t>内设机构</w:t>
      </w:r>
      <w:r>
        <w:rPr>
          <w:rFonts w:ascii="仿宋" w:hAnsi="仿宋" w:eastAsia="仿宋"/>
          <w:sz w:val="32"/>
          <w:szCs w:val="32"/>
        </w:rPr>
        <w:t>，各部门职责如下：</w:t>
      </w:r>
    </w:p>
    <w:p>
      <w:pPr>
        <w:adjustRightInd w:val="0"/>
        <w:spacing w:line="560" w:lineRule="atLeast"/>
        <w:ind w:firstLine="643" w:firstLineChars="200"/>
        <w:rPr>
          <w:rFonts w:ascii="仿宋" w:hAnsi="仿宋" w:eastAsia="仿宋" w:cs="??_GB2312"/>
          <w:b/>
          <w:szCs w:val="32"/>
        </w:rPr>
      </w:pPr>
      <w:r>
        <w:rPr>
          <w:rFonts w:hint="eastAsia" w:ascii="仿宋" w:hAnsi="仿宋" w:eastAsia="仿宋" w:cs="??_GB2312"/>
          <w:b/>
          <w:sz w:val="32"/>
          <w:szCs w:val="32"/>
        </w:rPr>
        <w:t>1、办公室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（1）汇总党风廉政建设和反腐败工作情况，组织起草县纪委、县监委有关文件文稿，编发通报和信息，审核以县纪委、县监委及办公室名义发布的公文；</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组织协调县纪委、县监委机关机要文件的办理和运行管理，保管、使用县纪委、县监委及其办公室印章，负责制发机关各部门、直属单位及派驻机构印章，负责机关保密工作，协调纪检监察系统密码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（3）负责县纪委、县监委机关对外联络接洽、秘书、值班工作；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（4）统筹指导归档工作，负责县纪委、县监委机关及派驻机构文书、音像等档案管理，编辑整理有关档案材料；</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（5）负责本部门干部日常管理和监督，承办领导交办的其他事项。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（6）负责处理县纪委、县监委机关日常事务，负责县纪委全委会、县纪委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、县监委委务会、县纪委书记办公会、县监委主任会及其他重要会议、活动的筹备组织工作，负责与县纪委委员的联系；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（7）督促检查县纪委、县监委、县委、县政府领导批办交办事项的落实情况，以及县纪委全委会、县纪委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员会议、县纪委书记办公会、县监委主任会及县纪委、县监委领导批办交办事项的落实情况，汇总县纪委、县监委机关贯彻落实县委党的建设工作领导小组分工任务情况，组织县人大提案提交工作，组织协调有关县人大代表建议和县政协提案答复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（8）协调县纪委、县监委机关有关工作，指导纪检监察系统的办公室工作；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（9）负责县纪委、县监委机关后勤管理和服务等工作；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（10）负责县纪委、县监委机关及直属单位财务管理、国有资产管理、房管基建和安全保卫工作；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（11）配合审计主管部门对县纪委、县监委机关财务进行审计，对机关本级专项经费和直属单位财务进行审计；</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（12）负责县纪委、县监委机关及派驻机构涉案款物管理工作；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（13）负责县纪委、县监委机关及直属单位干部职工医疗和卫生防疫工作；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2、组织部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（1）负责全县纪检监察系统领导班子建设、干部队伍建设和组织建设的综合规划、政策研究和制度建设；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（2）负责县纪委、县监委机关内部领导班子和干部队伍建设，承办有关机构编制、干部人事、人员档案、工资福利等工作，配合机关党委加强机关内部干部日常管理和监督；</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（3）负责承办县级派驻纪检监察机构领导班子和干部队伍建设以及有关综合协调工作，承办有关机构编制、干部人事、人员档案等工作；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（4）会同有关部门，负责县纪委派出纪工委领导班子考察、任免及组织建设等相关工作；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（5）会同有关部门，负责县直单位内设纪检监察机构领导班子和组织建设，承办相关干部人事工作；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（6）会同有关部门，负责县（县、区）纪检监察机关领导班子建设，承办县（县、区）纪委书记、副书记提名和考察等干部人事工作，指导全县纪检监察系统干部队伍建设和组织建设；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全县纪检监察系统干部教育培训工作，会同有关部门承办对全县纪检监察系统的表彰、奖励工作，负责县纪委、监委机关因公临时出国（增）备案和机关、派驻机构工作人员因私出国（增）办理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（8）负责贯彻落实党中央、国务院、省委、省政府、市委、市政府、县委、县政府关于离退休工作的方针政策，结合县纪委、县监委机关实际制定实施办法；</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（9）负责离退休干部（职工）党组织建设和思想政治工作，组织离退休干部（职工）开展党员活动；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（10）负责组织离退休干部（职工）开展文化娱乐和健康休养等活动；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（11）协同县纪委、县监委机关有关部门做好离退休干部（职工）的生活服务管理、关系接转、信息统计、宣传表彰等工作，办理离退休人员的善后事宜；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（12）负责组织协调全县党风廉政建设和反腐败宣传工作，组织开展相关法律法规、理论政策、形势任务、决策部署、成效经验和先进典型等宣传及舆论引导工作；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（13）负责组织协调全县党风廉政建设和反腐败教育工作，开展对党员、公务员的理想信念和宗旨教育、党风党纪和廉洁自律教育，组织协调廉政文化建设及纪检监察电化教育工作；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（14）负责县纪委、县监委机关的新闻事务，承担县纪委、县监委新闻发布的日常工作，组织协调党风廉政建设和反腐败信息传播工作；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（15）负责组织协调全县党风廉政建设和反腐败网络舆情信息收集、研判和处置工作，协调县有关部门和重点新闻网站等做好网络宣传引导工作；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（16）指导全县纪检监察系统的宣传教育、廉政文化建设和网络信息工作；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（17）研究分析全县职务犯罪的特点、规律，提出预防对策及制定相关责任追究办法；</w:t>
      </w:r>
    </w:p>
    <w:p>
      <w:pPr>
        <w:spacing w:line="560" w:lineRule="atLeast"/>
        <w:ind w:firstLine="640" w:firstLineChars="200"/>
        <w:rPr>
          <w:rFonts w:ascii="仿宋_GB2312" w:eastAsia="仿宋_GB2312" w:cs="??_GB2312"/>
          <w:b/>
          <w:bCs/>
          <w:color w:val="000000"/>
          <w:kern w:val="0"/>
          <w:sz w:val="32"/>
          <w:szCs w:val="32"/>
        </w:rPr>
      </w:pPr>
      <w:r>
        <w:rPr>
          <w:rFonts w:hint="eastAsia" w:ascii="仿宋" w:hAnsi="仿宋" w:eastAsia="仿宋" w:cs="??_GB2312"/>
          <w:sz w:val="32"/>
          <w:szCs w:val="32"/>
        </w:rPr>
        <w:t>（18）负责本部门干部日常管理和监督，承办领导交办的其他事项。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3、党风政风监督室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（1）综合协调贯彻执行党的路线方针政策和决议、国家法律法规等情况的监督检查，组织协调重要监督检查活动；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（2）综合协调党风廉政建设责任制、党政领导干部问责规定的贯彻落实；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（3）综合协调政治纪律的执行和作风建设规定、廉洁自律规定的落实，开展有关党风政风监督专项检查，综合协调对违反作风建设规定问题的查处；</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（4）综合分析党风政风监督工作情况，开展相关政策理论研究，提出工作建议；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（5）综合协调应由县纪委、县监委机关参与调查的事故、事件中涉及的监督、监察对象违纪违法行为和需要问责情形的调查处理，指导、督办地方和部门对相关事故、事件的调查处理；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（6）统筹协调县纪委、县监委机关各监督部门开展监督工作，定期汇总监督检查情况，组织相关部门参加联系单位领导班子民主生活会；</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（7）指导全县纪检监察系统的党风政风监督工作；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（8）组织协调特邀监察员工作；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4、案件监督管理室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对县管干部问题线索进行集中管理、动态更新、定期汇总核对，提出分办意见，按程序移送承办部门；统一受理巡察工作机构和审计机关、行政执法机关、司法机关等单位移交的相关问题线索；对党风政风监督、执纪监督、执纪审查、干部监督部门发现的相关问题线索根据受理范围权限进行备案或转交相关监督执纪部门；对审理工作完成后，涉及的其他党员、监察对象的问题线索，经批准后及时移送有关纪检监察机关处置；负责对采取留置措施履行审批程序和管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（2）按照查办腐败案件以上级纪委、监委领导为主的要求，线索处置和案件查办在向同级党委报告的同时，向省纪委、省监委报告；统一受理下级纪检监察机关线索处置和案件查办报告，分送相关监督检查室；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（3）负责查办案件相关工作的组织协调，建立跨地区跨部门协作办案机制，归口管理与有关部门的联系协调事项，负责国（境）内追逃防逃相关工作，建立健全追逃防逃国内协调机制；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（4）负责对依纪依法安全办案情况进行监督检查，对县纪委、县监委办案场所的安全保卫、保密工作进行监督检查，落实办案安全工作责任制，督促各级纪检监察机关做好办案安全事故调查和责任追究；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（5）督促查办市纪委、市监委领导批办、交办案件及办理相关事项；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（6）组织、协调、指挥重大案件的侦查、协作等工作；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（7）负责对查办案件及其相关专项工作情况进行统计分析；</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（8）组织办理县管干部任职前回复县委组织部意见工作；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（9）指导全县纪检监察系统的案件监督管理工作；</w:t>
      </w:r>
    </w:p>
    <w:p>
      <w:pPr>
        <w:spacing w:line="560" w:lineRule="atLeast"/>
        <w:ind w:firstLine="640" w:firstLineChars="200"/>
        <w:rPr>
          <w:rFonts w:ascii="仿宋_GB2312" w:hAnsi="宋体" w:eastAsia="仿宋_GB2312" w:cs="??_GB2312"/>
          <w:sz w:val="32"/>
          <w:szCs w:val="32"/>
        </w:rPr>
      </w:pPr>
      <w:r>
        <w:rPr>
          <w:rFonts w:hint="eastAsia" w:ascii="仿宋" w:hAnsi="仿宋" w:eastAsia="仿宋" w:cs="??_GB2312"/>
          <w:sz w:val="32"/>
          <w:szCs w:val="32"/>
        </w:rPr>
        <w:t>（10）负责本部门干部日常管理和监督，承办领导交办的其他事项。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5、信访室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（1）受理对党组织、党员和监察对象违反党纪政纪行为的检举、控告，受理不服党纪政纪处分和其他处理的申诉，处理群众来信、接待群众来访、接听举报电话、处理网络举报；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（2）提供信访举报信息，向县纪委、县监委领导报告重要举报情况；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（3）负责省纪委、省监委交办的信访案件的转办、督办工作；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（4）向下级纪检监察机关交办并督办有关检举、控告和申诉事项，审核办理结果；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（5）对打击报复举报人的检举、控告进行核实；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（6）处置信访举报中的突发情况；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（7）对信访举报工作进行调查研究，指导全县纪检监察系统的信访举报工作；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6、案件审理室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（1）审理县纪委、县监委直接审查处理和县级党组织、政府（部门）报批或备案的案件；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承办党员、监察对象对县纪委、县监委作出的党纪、政务处分或其他处理不服，对县级党组织、政府（部门）作出的复议复查（复审复查）决定不服的申诉案件，及其他需要由县纪委、县监委办理的申诉案件，处理、督办县纪委、县监委收到的申诉信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（3）承办县监委审查的有关案件向检察机关移送起诉工作；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（4）承担县监委的行政复议、行政应诉工作，承办县监委给予的政务处分的解除工作；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（5）承办县级党组织、政府（部门）和县纪委、县监委机关有关部门征求案件审理室意见的案件；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（6）起草案件审理、申诉复查和解除政务处分工作的程序性条规，对全县纪检监察系统案件审理、申诉复查复议工作进行业务指导和监督检查；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（7）对执纪审查和案件审理工作中存在的问题提出改进意见和建议。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7、第一审查调查室至第三审查调查室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（1）负责县委工作部门、县委批准设立的党组（党委），下一级党委、纪委等党组织和县管干部违反党的章程和其他党内法规的比较重要或复杂案件的初核、审查并提出处理建议；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（2）负责对履行职责不力、失职失责的党组织和党员领导干部及其他领导人员的问责调查，参与事故、事件中涉及的监督对象违纪违法行为和需要问责情形的调查，并提出处理建议；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（3）负责依法调查公职人员涉嫌贪污贿赂、滥用职权、玩忽职守、权利寻租、利益输送、徇私舞弊以及浪费国家资材等职务违法和职务犯罪行为，并提出处理意见；</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做好问题线索的日常管理工作；定期汇总线索处置情况，及时向案件监督管理部门通报；对本部门发现的相关问题线索，属于受理范围的送案件监督管理部门备案；不属本部门受理范围的，经审批后移送案件监督管理部门办理；对移送司法机关的案件，及时跟踪了解处置情况；协助、配合有关部门开展巡察、县管干部任职前回复意见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8、第四监督检查室至第八监督检查室（机构规格股级）</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（1）监督检查联系乡镇、社区县直单位党委（党组）落实党风廉政建设主体责任、纪委落实监督责任的情况，履行对联系乡镇、社区、县直单位党风廉政建设的监督责任；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监督检查联系乡镇、社区、县直单位领导班子及县管干部遵守和执行党章以及其他党内法规，遵守和执行党的路线方针政策和决议、国家法律法规，落实县委、县政府的决策部署，遵守政治纪律和政治规矩，以及贯彻执行民主集中制、选拔任用干部、加强作风建设、依法行使职权和廉洁从政等情况，发现重要问题向县纪委及时报告。参加联系乡镇、社区、县直单位领导班子民主生活会，组织协调对联系乡镇、社区、县直单位县管干部的诫勉谈话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（3）综合、协调、指导联系乡镇、社区的纪检监察工作；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协助考察了解联系乡镇、社区纪检监察机关领导班子和干部队伍建设情况。对腐败现象易发多发领域和关键环节、群众关心关注的热点和难点问题，开展重点专题监督检查，发现思想、作风、管理、制度等建设方面存在的问题和漏洞。</w:t>
      </w:r>
    </w:p>
    <w:p>
      <w:pPr>
        <w:adjustRightInd w:val="0"/>
        <w:spacing w:line="560" w:lineRule="atLeast"/>
        <w:ind w:firstLine="643" w:firstLineChars="200"/>
        <w:rPr>
          <w:rFonts w:hint="eastAsia" w:ascii="仿宋" w:hAnsi="仿宋" w:eastAsia="仿宋" w:cs="??_GB2312"/>
          <w:b/>
          <w:sz w:val="32"/>
          <w:szCs w:val="32"/>
          <w:lang w:eastAsia="zh-CN"/>
        </w:rPr>
      </w:pPr>
      <w:r>
        <w:rPr>
          <w:rFonts w:hint="eastAsia" w:ascii="仿宋" w:hAnsi="仿宋" w:eastAsia="仿宋" w:cs="??_GB2312"/>
          <w:b/>
          <w:sz w:val="32"/>
          <w:szCs w:val="32"/>
        </w:rPr>
        <w:t>9、四个派驻</w:t>
      </w:r>
      <w:r>
        <w:rPr>
          <w:rFonts w:hint="eastAsia" w:ascii="仿宋" w:hAnsi="仿宋" w:eastAsia="仿宋" w:cs="??_GB2312"/>
          <w:b/>
          <w:sz w:val="32"/>
          <w:szCs w:val="32"/>
          <w:lang w:eastAsia="zh-CN"/>
        </w:rPr>
        <w:t>纪检监察组</w:t>
      </w:r>
    </w:p>
    <w:p>
      <w:pPr>
        <w:spacing w:line="560" w:lineRule="atLeast"/>
        <w:ind w:firstLine="640" w:firstLineChars="200"/>
        <w:rPr>
          <w:rFonts w:hint="eastAsia" w:ascii="仿宋" w:hAnsi="仿宋" w:eastAsia="仿宋" w:cs="??_GB2312"/>
          <w:sz w:val="32"/>
          <w:szCs w:val="32"/>
          <w:lang w:eastAsia="zh-CN"/>
        </w:rPr>
      </w:pPr>
      <w:r>
        <w:rPr>
          <w:rFonts w:hint="eastAsia" w:ascii="仿宋" w:hAnsi="仿宋" w:eastAsia="仿宋" w:cs="??_GB2312"/>
          <w:sz w:val="32"/>
          <w:szCs w:val="32"/>
        </w:rPr>
        <w:t>主要职责为：（1）监督促进驻在部门领导班子落实全面从严治党主体责任，监督促进驻在部门党政一把手当好第一责任人。监督检查驻在部门领导班子及其成员遵守党章党规党纪、执行党的路线方针政策和决议、推进党风廉政建设和反腐败斗争及廉洁自律等情况，经常、及时向县纪委报告上述情况及发现的重要问题。受理对驻在部门党的组织和党员的检举、控告。（2）经县纪委批准，初步核实反映驻在部门领导班子及县委管理干部的问题线索；参与审查驻在部门领导班子及县委管理干部违反党纪的案件。负责审查驻在部门管理的领导班子及其成员和股级干部违反党纪的案件。受理驻在部门党的组织和党员的申诉。（3）对违反党章和其他党内法规，不履行或者不正确履行职责的驻在部门党的组织和负有责任的党的领导干部，按照管理权限对其作出问责决定，或者向有权作出问责决定的党的组织提出问责建议。（4）推动驻在部门开展廉政教育。依法对驻在部门的领导班子和行使公权力的公职人员进行监督，维护宪法法律，对其依法履职、秉公用权、廉洁从政以及道德操守情况进行监督检查。发现领导班子和县委管理的公职人员存在问题的，及时向县纪委监委报告;发现其他公职人员存在问题的，会同驻在部门开展调查处置，强化监督职责。受理对驻在部门监察对象的检举、控告。(5)负责调</w:t>
      </w:r>
      <w:r>
        <w:rPr>
          <w:rFonts w:hint="eastAsia" w:ascii="仿宋" w:hAnsi="仿宋" w:eastAsia="仿宋" w:cs="??_GB2312"/>
          <w:sz w:val="32"/>
          <w:szCs w:val="32"/>
          <w:lang w:eastAsia="zh-CN"/>
        </w:rPr>
        <w:t>查</w:t>
      </w:r>
      <w:r>
        <w:rPr>
          <w:rFonts w:hint="eastAsia" w:ascii="仿宋" w:hAnsi="仿宋" w:eastAsia="仿宋" w:cs="??_GB2312"/>
          <w:sz w:val="32"/>
          <w:szCs w:val="32"/>
        </w:rPr>
        <w:t>驻在部门非县委管理的股级及以下公职人员涉嫌职务违法案件。在开展职务违法调查时，可以派驻机构名义采取不限制人身和财产权利的措施，确需采取冻结、查封、扣押等限制人身和财产权利的措施的，报县纪委监委批准后，以县纪委监委名义实施。发现涉嫌职务犯罪问题的，报县纪委监委批准后，移交县纪委监委相关审查调查室调查或者与县纪委监委相关审查调查室联合开展审查调查。移交纪委监委按程序报批后开展审查调查。受理驻在部门监察对象不服纪检监察组所作涉及本人的处理决定的复审申请。(6)按照管理权限，对驻在部门违法的公职人员依法作出政务处分决定。对不履行或者不正确履行职责负有责任的领导人员，按照管理权限对其作出问责决定，或者向有权作出问责决定的机关提出问责建议。根据监察结果，对驻在部门廉政建设和履行职责存在的问题等提出监察建议。(7)负责对本派驻机构干部的日常管理和监督。(8)完成县纪委监委交办的其他任务</w:t>
      </w:r>
      <w:r>
        <w:rPr>
          <w:rFonts w:hint="eastAsia" w:ascii="仿宋" w:hAnsi="仿宋" w:eastAsia="仿宋" w:cs="??_GB2312"/>
          <w:sz w:val="32"/>
          <w:szCs w:val="32"/>
          <w:lang w:eastAsia="zh-CN"/>
        </w:rPr>
        <w:t>。</w:t>
      </w:r>
    </w:p>
    <w:p>
      <w:pPr>
        <w:spacing w:line="560" w:lineRule="atLeast"/>
        <w:ind w:firstLine="640" w:firstLineChars="200"/>
        <w:rPr>
          <w:rFonts w:hint="eastAsia" w:ascii="仿宋" w:hAnsi="仿宋" w:eastAsia="仿宋" w:cs="??_GB2312"/>
          <w:sz w:val="32"/>
          <w:szCs w:val="32"/>
          <w:lang w:eastAsia="zh-CN"/>
        </w:rPr>
      </w:pPr>
    </w:p>
    <w:p>
      <w:pPr>
        <w:snapToGrid w:val="0"/>
        <w:spacing w:line="560" w:lineRule="atLeast"/>
        <w:outlineLvl w:val="1"/>
        <w:rPr>
          <w:rFonts w:ascii="楷体" w:hAnsi="楷体" w:eastAsia="楷体"/>
          <w:sz w:val="32"/>
          <w:szCs w:val="32"/>
        </w:rPr>
      </w:pPr>
      <w:r>
        <w:rPr>
          <w:rFonts w:hint="eastAsia" w:ascii="楷体" w:hAnsi="楷体" w:eastAsia="楷体"/>
          <w:sz w:val="32"/>
          <w:szCs w:val="32"/>
        </w:rPr>
        <w:t>（三）、单位编制情况</w:t>
      </w:r>
    </w:p>
    <w:p>
      <w:pPr>
        <w:adjustRightInd w:val="0"/>
        <w:spacing w:line="560" w:lineRule="atLeast"/>
        <w:ind w:firstLine="640" w:firstLineChars="200"/>
        <w:rPr>
          <w:rFonts w:hint="eastAsia" w:ascii="仿宋" w:hAnsi="仿宋" w:eastAsia="仿宋"/>
          <w:sz w:val="32"/>
          <w:szCs w:val="32"/>
        </w:rPr>
      </w:pPr>
      <w:r>
        <w:rPr>
          <w:rFonts w:hint="eastAsia" w:ascii="仿宋" w:hAnsi="仿宋" w:eastAsia="仿宋"/>
          <w:sz w:val="32"/>
          <w:szCs w:val="32"/>
        </w:rPr>
        <w:t>我单位编制87人，在职人员</w:t>
      </w:r>
      <w:r>
        <w:rPr>
          <w:rFonts w:hint="eastAsia" w:ascii="仿宋" w:hAnsi="仿宋" w:eastAsia="仿宋"/>
          <w:sz w:val="32"/>
          <w:szCs w:val="32"/>
          <w:lang w:val="en-US" w:eastAsia="zh-CN"/>
        </w:rPr>
        <w:t>77</w:t>
      </w:r>
      <w:r>
        <w:rPr>
          <w:rFonts w:hint="eastAsia" w:ascii="仿宋" w:hAnsi="仿宋" w:eastAsia="仿宋"/>
          <w:sz w:val="32"/>
          <w:szCs w:val="32"/>
        </w:rPr>
        <w:t>人（含三名工勤人员），退休人员</w:t>
      </w:r>
      <w:r>
        <w:rPr>
          <w:rFonts w:hint="eastAsia" w:ascii="仿宋" w:hAnsi="仿宋" w:eastAsia="仿宋"/>
          <w:sz w:val="32"/>
          <w:szCs w:val="32"/>
          <w:lang w:val="en-US" w:eastAsia="zh-CN"/>
        </w:rPr>
        <w:t>24</w:t>
      </w:r>
      <w:r>
        <w:rPr>
          <w:rFonts w:hint="eastAsia" w:ascii="仿宋" w:hAnsi="仿宋" w:eastAsia="仿宋"/>
          <w:sz w:val="32"/>
          <w:szCs w:val="32"/>
        </w:rPr>
        <w:t>人。另有劳务派遣人员</w:t>
      </w:r>
      <w:r>
        <w:rPr>
          <w:rFonts w:hint="eastAsia" w:ascii="仿宋" w:hAnsi="仿宋" w:eastAsia="仿宋"/>
          <w:sz w:val="32"/>
          <w:szCs w:val="32"/>
          <w:lang w:val="en-US" w:eastAsia="zh-CN"/>
        </w:rPr>
        <w:t>9</w:t>
      </w:r>
      <w:r>
        <w:rPr>
          <w:rFonts w:hint="eastAsia" w:ascii="仿宋" w:hAnsi="仿宋" w:eastAsia="仿宋"/>
          <w:sz w:val="32"/>
          <w:szCs w:val="32"/>
        </w:rPr>
        <w:t>人，领取遗属补助人员1名。</w:t>
      </w:r>
    </w:p>
    <w:p>
      <w:pPr>
        <w:adjustRightInd w:val="0"/>
        <w:spacing w:line="560" w:lineRule="atLeast"/>
        <w:rPr>
          <w:rFonts w:ascii="仿宋" w:hAnsi="仿宋" w:eastAsia="仿宋"/>
          <w:sz w:val="32"/>
          <w:szCs w:val="32"/>
        </w:rPr>
      </w:pPr>
    </w:p>
    <w:p>
      <w:pPr>
        <w:jc w:val="center"/>
        <w:outlineLvl w:val="0"/>
        <w:rPr>
          <w:rFonts w:ascii="仿宋" w:hAnsi="仿宋" w:eastAsia="仿宋"/>
          <w:sz w:val="32"/>
        </w:rPr>
      </w:pPr>
      <w:bookmarkStart w:id="3" w:name="_Toc22916"/>
      <w:r>
        <w:rPr>
          <w:rFonts w:hint="eastAsia" w:ascii="仿宋" w:hAnsi="仿宋" w:eastAsia="仿宋"/>
          <w:sz w:val="32"/>
        </w:rPr>
        <w:t>部门基本情况表</w:t>
      </w:r>
      <w:bookmarkEnd w:id="2"/>
      <w:bookmarkEnd w:id="3"/>
    </w:p>
    <w:p>
      <w:pPr>
        <w:jc w:val="center"/>
        <w:rPr>
          <w:rFonts w:ascii="仿宋" w:hAnsi="仿宋" w:eastAsia="仿宋"/>
          <w:sz w:val="36"/>
        </w:rPr>
      </w:pP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738"/>
        <w:gridCol w:w="1915"/>
        <w:gridCol w:w="1642"/>
        <w:gridCol w:w="2532"/>
        <w:gridCol w:w="1030"/>
        <w:gridCol w:w="808"/>
        <w:gridCol w:w="724"/>
        <w:gridCol w:w="904"/>
        <w:gridCol w:w="556"/>
        <w:gridCol w:w="727"/>
        <w:gridCol w:w="871"/>
        <w:gridCol w:w="5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3552" w:type="pct"/>
            <w:gridSpan w:val="6"/>
            <w:tcBorders>
              <w:top w:val="single" w:color="FFFFFF" w:sz="6" w:space="0"/>
              <w:left w:val="single" w:color="FFFFFF" w:sz="6" w:space="0"/>
              <w:right w:val="single" w:color="FFFFFF"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222中国共产党河北省纪律检查委员会</w:t>
            </w:r>
          </w:p>
        </w:tc>
        <w:tc>
          <w:tcPr>
            <w:tcW w:w="1447" w:type="pct"/>
            <w:gridSpan w:val="6"/>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sz w:val="30"/>
                <w:szCs w:val="30"/>
              </w:rPr>
            </w:pPr>
            <w:r>
              <w:rPr>
                <w:rFonts w:hint="eastAsia" w:ascii="仿宋" w:hAnsi="仿宋" w:eastAsia="仿宋"/>
                <w:sz w:val="30"/>
                <w:szCs w:val="30"/>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912"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单位名称</w:t>
            </w:r>
          </w:p>
        </w:tc>
        <w:tc>
          <w:tcPr>
            <w:tcW w:w="638"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单位性质</w:t>
            </w:r>
          </w:p>
        </w:tc>
        <w:tc>
          <w:tcPr>
            <w:tcW w:w="547"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单位规格</w:t>
            </w:r>
          </w:p>
        </w:tc>
        <w:tc>
          <w:tcPr>
            <w:tcW w:w="8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经费保障形式</w:t>
            </w:r>
          </w:p>
        </w:tc>
        <w:tc>
          <w:tcPr>
            <w:tcW w:w="3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车辆实有数</w:t>
            </w:r>
          </w:p>
        </w:tc>
        <w:tc>
          <w:tcPr>
            <w:tcW w:w="508"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编制人数</w:t>
            </w:r>
          </w:p>
        </w:tc>
        <w:tc>
          <w:tcPr>
            <w:tcW w:w="486"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在职人数</w:t>
            </w:r>
          </w:p>
        </w:tc>
        <w:tc>
          <w:tcPr>
            <w:tcW w:w="719" w:type="pct"/>
            <w:gridSpan w:val="3"/>
            <w:vAlign w:val="center"/>
          </w:tcPr>
          <w:p>
            <w:pPr>
              <w:spacing w:line="300" w:lineRule="exact"/>
              <w:jc w:val="center"/>
              <w:rPr>
                <w:rFonts w:ascii="仿宋" w:hAnsi="仿宋" w:eastAsia="仿宋"/>
                <w:sz w:val="30"/>
                <w:szCs w:val="30"/>
              </w:rPr>
            </w:pPr>
            <w:r>
              <w:rPr>
                <w:rFonts w:hint="eastAsia" w:ascii="仿宋" w:hAnsi="仿宋" w:eastAsia="仿宋"/>
                <w:sz w:val="30"/>
                <w:szCs w:val="30"/>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912" w:type="pct"/>
            <w:vMerge w:val="continue"/>
            <w:vAlign w:val="center"/>
          </w:tcPr>
          <w:p>
            <w:pPr>
              <w:spacing w:line="300" w:lineRule="exact"/>
              <w:jc w:val="left"/>
              <w:rPr>
                <w:rFonts w:ascii="仿宋" w:hAnsi="仿宋" w:eastAsia="仿宋"/>
                <w:sz w:val="30"/>
                <w:szCs w:val="30"/>
              </w:rPr>
            </w:pPr>
          </w:p>
        </w:tc>
        <w:tc>
          <w:tcPr>
            <w:tcW w:w="638" w:type="pct"/>
            <w:vMerge w:val="continue"/>
            <w:vAlign w:val="center"/>
          </w:tcPr>
          <w:p>
            <w:pPr>
              <w:spacing w:line="300" w:lineRule="exact"/>
              <w:jc w:val="left"/>
              <w:rPr>
                <w:rFonts w:ascii="仿宋" w:hAnsi="仿宋" w:eastAsia="仿宋"/>
                <w:sz w:val="30"/>
                <w:szCs w:val="30"/>
              </w:rPr>
            </w:pPr>
          </w:p>
        </w:tc>
        <w:tc>
          <w:tcPr>
            <w:tcW w:w="547" w:type="pct"/>
            <w:vMerge w:val="continue"/>
            <w:vAlign w:val="center"/>
          </w:tcPr>
          <w:p>
            <w:pPr>
              <w:spacing w:line="300" w:lineRule="exact"/>
              <w:jc w:val="left"/>
              <w:rPr>
                <w:rFonts w:ascii="仿宋" w:hAnsi="仿宋" w:eastAsia="仿宋"/>
                <w:sz w:val="30"/>
                <w:szCs w:val="30"/>
              </w:rPr>
            </w:pPr>
          </w:p>
        </w:tc>
        <w:tc>
          <w:tcPr>
            <w:tcW w:w="843" w:type="pct"/>
            <w:vMerge w:val="continue"/>
            <w:vAlign w:val="center"/>
          </w:tcPr>
          <w:p>
            <w:pPr>
              <w:spacing w:line="300" w:lineRule="exact"/>
              <w:jc w:val="left"/>
              <w:rPr>
                <w:rFonts w:ascii="仿宋" w:hAnsi="仿宋" w:eastAsia="仿宋"/>
                <w:sz w:val="30"/>
                <w:szCs w:val="30"/>
              </w:rPr>
            </w:pPr>
          </w:p>
        </w:tc>
        <w:tc>
          <w:tcPr>
            <w:tcW w:w="343" w:type="pct"/>
            <w:vMerge w:val="continue"/>
            <w:vAlign w:val="center"/>
          </w:tcPr>
          <w:p>
            <w:pPr>
              <w:spacing w:line="300" w:lineRule="exact"/>
              <w:jc w:val="left"/>
              <w:rPr>
                <w:rFonts w:ascii="仿宋" w:hAnsi="仿宋" w:eastAsia="仿宋"/>
                <w:sz w:val="30"/>
                <w:szCs w:val="30"/>
              </w:rPr>
            </w:pP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24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185"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24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离休</w:t>
            </w:r>
          </w:p>
        </w:tc>
        <w:tc>
          <w:tcPr>
            <w:tcW w:w="290"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退休</w:t>
            </w:r>
          </w:p>
        </w:tc>
        <w:tc>
          <w:tcPr>
            <w:tcW w:w="18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jc w:val="center"/>
        </w:trPr>
        <w:tc>
          <w:tcPr>
            <w:tcW w:w="91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合计</w:t>
            </w:r>
          </w:p>
        </w:tc>
        <w:tc>
          <w:tcPr>
            <w:tcW w:w="638" w:type="pct"/>
            <w:vAlign w:val="center"/>
          </w:tcPr>
          <w:p>
            <w:pPr>
              <w:spacing w:line="300" w:lineRule="exact"/>
              <w:jc w:val="center"/>
              <w:rPr>
                <w:rFonts w:ascii="仿宋" w:hAnsi="仿宋" w:eastAsia="仿宋"/>
                <w:sz w:val="30"/>
                <w:szCs w:val="30"/>
              </w:rPr>
            </w:pPr>
          </w:p>
        </w:tc>
        <w:tc>
          <w:tcPr>
            <w:tcW w:w="547" w:type="pct"/>
            <w:vAlign w:val="center"/>
          </w:tcPr>
          <w:p>
            <w:pPr>
              <w:spacing w:line="300" w:lineRule="exact"/>
              <w:jc w:val="center"/>
              <w:rPr>
                <w:rFonts w:ascii="仿宋" w:hAnsi="仿宋" w:eastAsia="仿宋"/>
                <w:sz w:val="30"/>
                <w:szCs w:val="30"/>
              </w:rPr>
            </w:pPr>
          </w:p>
        </w:tc>
        <w:tc>
          <w:tcPr>
            <w:tcW w:w="843" w:type="pct"/>
            <w:vAlign w:val="center"/>
          </w:tcPr>
          <w:p>
            <w:pPr>
              <w:spacing w:line="300" w:lineRule="exact"/>
              <w:jc w:val="center"/>
              <w:rPr>
                <w:rFonts w:ascii="仿宋" w:hAnsi="仿宋" w:eastAsia="仿宋"/>
                <w:sz w:val="30"/>
                <w:szCs w:val="30"/>
              </w:rPr>
            </w:pPr>
          </w:p>
        </w:tc>
        <w:tc>
          <w:tcPr>
            <w:tcW w:w="343" w:type="pct"/>
            <w:vAlign w:val="center"/>
          </w:tcPr>
          <w:p>
            <w:pPr>
              <w:spacing w:line="300" w:lineRule="exact"/>
              <w:jc w:val="center"/>
              <w:rPr>
                <w:rFonts w:hint="eastAsia" w:ascii="仿宋" w:hAnsi="仿宋" w:eastAsia="仿宋"/>
                <w:sz w:val="30"/>
                <w:szCs w:val="30"/>
                <w:lang w:eastAsia="zh-CN"/>
              </w:rPr>
            </w:pPr>
            <w:r>
              <w:rPr>
                <w:rFonts w:hint="eastAsia" w:ascii="仿宋" w:hAnsi="仿宋" w:eastAsia="仿宋"/>
                <w:sz w:val="30"/>
                <w:szCs w:val="30"/>
                <w:lang w:val="en-US" w:eastAsia="zh-CN"/>
              </w:rPr>
              <w:t>9</w:t>
            </w: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lang w:val="en-US" w:eastAsia="zh-CN"/>
              </w:rPr>
              <w:t>77</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hint="default" w:ascii="仿宋" w:hAnsi="仿宋" w:eastAsia="仿宋"/>
                <w:sz w:val="30"/>
                <w:szCs w:val="30"/>
                <w:lang w:val="en-US" w:eastAsia="zh-CN"/>
              </w:rPr>
            </w:pPr>
            <w:r>
              <w:rPr>
                <w:rFonts w:hint="eastAsia" w:ascii="仿宋" w:hAnsi="仿宋" w:eastAsia="仿宋"/>
                <w:sz w:val="30"/>
                <w:szCs w:val="30"/>
                <w:lang w:val="en-US" w:eastAsia="zh-CN"/>
              </w:rPr>
              <w:t>24</w:t>
            </w:r>
          </w:p>
        </w:tc>
        <w:tc>
          <w:tcPr>
            <w:tcW w:w="186" w:type="pct"/>
            <w:vAlign w:val="center"/>
          </w:tcPr>
          <w:p>
            <w:pPr>
              <w:spacing w:line="300" w:lineRule="exact"/>
              <w:jc w:val="center"/>
              <w:rPr>
                <w:rFonts w:ascii="仿宋" w:hAnsi="仿宋" w:eastAsia="仿宋"/>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912" w:type="pct"/>
            <w:vAlign w:val="center"/>
          </w:tcPr>
          <w:p>
            <w:pPr>
              <w:spacing w:line="300" w:lineRule="exact"/>
              <w:jc w:val="left"/>
              <w:rPr>
                <w:rFonts w:ascii="仿宋" w:hAnsi="仿宋" w:eastAsia="仿宋"/>
                <w:sz w:val="30"/>
                <w:szCs w:val="30"/>
              </w:rPr>
            </w:pPr>
            <w:r>
              <w:rPr>
                <w:rFonts w:hint="eastAsia" w:ascii="仿宋" w:hAnsi="仿宋" w:eastAsia="仿宋"/>
                <w:sz w:val="30"/>
                <w:szCs w:val="30"/>
              </w:rPr>
              <w:t>中国共产党河北省纪律检查委员会</w:t>
            </w:r>
          </w:p>
        </w:tc>
        <w:tc>
          <w:tcPr>
            <w:tcW w:w="638"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547"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副处级</w:t>
            </w:r>
          </w:p>
        </w:tc>
        <w:tc>
          <w:tcPr>
            <w:tcW w:w="8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财政性资金基本保证</w:t>
            </w:r>
          </w:p>
        </w:tc>
        <w:tc>
          <w:tcPr>
            <w:tcW w:w="343" w:type="pct"/>
            <w:vAlign w:val="center"/>
          </w:tcPr>
          <w:p>
            <w:pPr>
              <w:spacing w:line="300" w:lineRule="exact"/>
              <w:jc w:val="center"/>
              <w:rPr>
                <w:rFonts w:hint="eastAsia" w:ascii="仿宋" w:hAnsi="仿宋" w:eastAsia="仿宋"/>
                <w:sz w:val="30"/>
                <w:szCs w:val="30"/>
                <w:lang w:eastAsia="zh-CN"/>
              </w:rPr>
            </w:pPr>
            <w:r>
              <w:rPr>
                <w:rFonts w:hint="eastAsia" w:ascii="仿宋" w:hAnsi="仿宋" w:eastAsia="仿宋"/>
                <w:sz w:val="30"/>
                <w:szCs w:val="30"/>
                <w:lang w:val="en-US" w:eastAsia="zh-CN"/>
              </w:rPr>
              <w:t>9</w:t>
            </w: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hint="default" w:ascii="仿宋" w:hAnsi="仿宋" w:eastAsia="仿宋"/>
                <w:sz w:val="30"/>
                <w:szCs w:val="30"/>
                <w:lang w:val="en-US" w:eastAsia="zh-CN"/>
              </w:rPr>
            </w:pPr>
            <w:r>
              <w:rPr>
                <w:rFonts w:hint="eastAsia" w:ascii="仿宋" w:hAnsi="仿宋" w:eastAsia="仿宋"/>
                <w:sz w:val="30"/>
                <w:szCs w:val="30"/>
                <w:lang w:val="en-US" w:eastAsia="zh-CN"/>
              </w:rPr>
              <w:t>77</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hint="default" w:ascii="仿宋" w:hAnsi="仿宋" w:eastAsia="仿宋"/>
                <w:sz w:val="30"/>
                <w:szCs w:val="30"/>
                <w:lang w:val="en-US" w:eastAsia="zh-CN"/>
              </w:rPr>
            </w:pPr>
            <w:r>
              <w:rPr>
                <w:rFonts w:hint="eastAsia" w:ascii="仿宋" w:hAnsi="仿宋" w:eastAsia="仿宋"/>
                <w:sz w:val="30"/>
                <w:szCs w:val="30"/>
                <w:lang w:val="en-US" w:eastAsia="zh-CN"/>
              </w:rPr>
              <w:t>24</w:t>
            </w:r>
          </w:p>
        </w:tc>
        <w:tc>
          <w:tcPr>
            <w:tcW w:w="186" w:type="pct"/>
            <w:vAlign w:val="center"/>
          </w:tcPr>
          <w:p>
            <w:pPr>
              <w:spacing w:line="300" w:lineRule="exact"/>
              <w:jc w:val="center"/>
              <w:rPr>
                <w:rFonts w:ascii="仿宋" w:hAnsi="仿宋" w:eastAsia="仿宋"/>
                <w:sz w:val="30"/>
                <w:szCs w:val="30"/>
              </w:rPr>
            </w:pPr>
          </w:p>
        </w:tc>
      </w:tr>
    </w:tbl>
    <w:p>
      <w:pPr>
        <w:ind w:firstLine="640" w:firstLineChars="200"/>
        <w:outlineLvl w:val="0"/>
        <w:rPr>
          <w:rFonts w:ascii="黑体" w:hAnsi="黑体" w:eastAsia="黑体"/>
          <w:sz w:val="32"/>
          <w:szCs w:val="32"/>
        </w:rPr>
      </w:pPr>
    </w:p>
    <w:p>
      <w:pPr>
        <w:outlineLvl w:val="0"/>
        <w:rPr>
          <w:rFonts w:ascii="黑体" w:hAnsi="黑体" w:eastAsia="黑体"/>
          <w:sz w:val="32"/>
          <w:szCs w:val="32"/>
        </w:rPr>
      </w:pPr>
    </w:p>
    <w:p>
      <w:pPr>
        <w:outlineLvl w:val="0"/>
        <w:rPr>
          <w:rFonts w:ascii="黑体" w:hAnsi="黑体" w:eastAsia="黑体"/>
          <w:sz w:val="32"/>
          <w:szCs w:val="32"/>
        </w:rPr>
      </w:pPr>
    </w:p>
    <w:p>
      <w:pPr>
        <w:ind w:firstLine="640" w:firstLineChars="200"/>
        <w:outlineLvl w:val="0"/>
        <w:rPr>
          <w:rFonts w:ascii="黑体" w:hAnsi="黑体" w:eastAsia="黑体"/>
          <w:sz w:val="32"/>
          <w:szCs w:val="32"/>
        </w:rPr>
      </w:pPr>
      <w:r>
        <w:rPr>
          <w:rFonts w:hint="eastAsia" w:ascii="黑体" w:hAnsi="黑体" w:eastAsia="黑体"/>
          <w:sz w:val="32"/>
          <w:szCs w:val="32"/>
        </w:rPr>
        <w:t>二、 部门预算安排总体情况</w:t>
      </w:r>
    </w:p>
    <w:p>
      <w:pPr>
        <w:snapToGrid w:val="0"/>
        <w:ind w:firstLine="640" w:firstLineChars="200"/>
        <w:rPr>
          <w:rFonts w:ascii="仿宋" w:hAnsi="仿宋" w:eastAsia="仿宋"/>
          <w:sz w:val="32"/>
          <w:szCs w:val="32"/>
        </w:rPr>
      </w:pPr>
      <w:r>
        <w:rPr>
          <w:rFonts w:hint="eastAsia" w:ascii="仿宋" w:hAnsi="仿宋" w:eastAsia="仿宋"/>
          <w:sz w:val="32"/>
          <w:szCs w:val="32"/>
        </w:rPr>
        <w:t>（一）、收入情况</w:t>
      </w:r>
    </w:p>
    <w:p>
      <w:pPr>
        <w:snapToGrid w:val="0"/>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年我部门预算收入总额为</w:t>
      </w:r>
      <w:r>
        <w:rPr>
          <w:rFonts w:hint="eastAsia" w:ascii="仿宋" w:hAnsi="仿宋" w:eastAsia="仿宋"/>
          <w:sz w:val="32"/>
          <w:szCs w:val="32"/>
          <w:lang w:val="en-US" w:eastAsia="zh-CN"/>
        </w:rPr>
        <w:t>1404.12</w:t>
      </w:r>
      <w:r>
        <w:rPr>
          <w:rFonts w:hint="eastAsia" w:ascii="仿宋" w:hAnsi="仿宋" w:eastAsia="仿宋"/>
          <w:sz w:val="32"/>
          <w:szCs w:val="32"/>
        </w:rPr>
        <w:t>万元，其中：一般公共预算拨款收入</w:t>
      </w:r>
      <w:r>
        <w:rPr>
          <w:rFonts w:hint="eastAsia" w:ascii="仿宋" w:hAnsi="仿宋" w:eastAsia="仿宋"/>
          <w:sz w:val="32"/>
          <w:szCs w:val="32"/>
          <w:lang w:val="en-US" w:eastAsia="zh-CN"/>
        </w:rPr>
        <w:t>1404.12</w:t>
      </w:r>
      <w:r>
        <w:rPr>
          <w:rFonts w:hint="eastAsia" w:ascii="仿宋" w:hAnsi="仿宋" w:eastAsia="仿宋"/>
          <w:sz w:val="32"/>
          <w:szCs w:val="32"/>
        </w:rPr>
        <w:t>万元，政府性基金预算拨款0万元，国有资本经营预算拨款0万元，其他来源收入0万元。</w:t>
      </w:r>
    </w:p>
    <w:p>
      <w:pPr>
        <w:snapToGrid w:val="0"/>
        <w:ind w:firstLine="640" w:firstLineChars="200"/>
        <w:rPr>
          <w:rFonts w:ascii="仿宋" w:hAnsi="仿宋" w:eastAsia="仿宋"/>
          <w:sz w:val="32"/>
          <w:szCs w:val="32"/>
        </w:rPr>
      </w:pPr>
      <w:r>
        <w:rPr>
          <w:rFonts w:hint="eastAsia" w:ascii="仿宋" w:hAnsi="仿宋" w:eastAsia="仿宋"/>
          <w:sz w:val="32"/>
          <w:szCs w:val="32"/>
        </w:rPr>
        <w:t>（二）、支出情况</w:t>
      </w:r>
    </w:p>
    <w:p>
      <w:pPr>
        <w:snapToGrid w:val="0"/>
        <w:ind w:firstLine="640" w:firstLineChars="200"/>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收支预算总表支出栏、基本支出表、项目支出表按经济分类和支出功能分类科目编制，反映我单位预算支出中预算的总体情况。202</w:t>
      </w:r>
      <w:r>
        <w:rPr>
          <w:rFonts w:hint="eastAsia" w:ascii="仿宋" w:hAnsi="仿宋" w:eastAsia="仿宋"/>
          <w:sz w:val="32"/>
          <w:szCs w:val="32"/>
          <w:lang w:val="en-US" w:eastAsia="zh-CN"/>
        </w:rPr>
        <w:t>4</w:t>
      </w:r>
      <w:r>
        <w:rPr>
          <w:rFonts w:hint="eastAsia" w:ascii="仿宋" w:hAnsi="仿宋" w:eastAsia="仿宋"/>
          <w:sz w:val="32"/>
          <w:szCs w:val="32"/>
        </w:rPr>
        <w:t>年我单位安排预算支出</w:t>
      </w:r>
      <w:r>
        <w:rPr>
          <w:rFonts w:hint="eastAsia" w:ascii="仿宋" w:hAnsi="仿宋" w:eastAsia="仿宋"/>
          <w:sz w:val="32"/>
          <w:szCs w:val="32"/>
          <w:lang w:val="en-US" w:eastAsia="zh-CN"/>
        </w:rPr>
        <w:t>1404.12</w:t>
      </w:r>
      <w:r>
        <w:rPr>
          <w:rFonts w:hint="eastAsia" w:ascii="仿宋" w:hAnsi="仿宋" w:eastAsia="仿宋"/>
          <w:sz w:val="32"/>
          <w:szCs w:val="32"/>
        </w:rPr>
        <w:t>万元。其中：基本支出</w:t>
      </w:r>
      <w:r>
        <w:rPr>
          <w:rFonts w:hint="eastAsia" w:ascii="仿宋" w:hAnsi="仿宋" w:eastAsia="仿宋"/>
          <w:sz w:val="32"/>
          <w:szCs w:val="32"/>
          <w:lang w:val="en-US" w:eastAsia="zh-CN"/>
        </w:rPr>
        <w:t>1019.12</w:t>
      </w:r>
      <w:r>
        <w:rPr>
          <w:rFonts w:hint="eastAsia" w:ascii="仿宋" w:hAnsi="仿宋" w:eastAsia="仿宋"/>
          <w:sz w:val="32"/>
          <w:szCs w:val="32"/>
        </w:rPr>
        <w:t>万元（人员经费</w:t>
      </w:r>
      <w:r>
        <w:rPr>
          <w:rFonts w:hint="eastAsia" w:ascii="仿宋" w:hAnsi="仿宋" w:eastAsia="仿宋"/>
          <w:sz w:val="32"/>
          <w:szCs w:val="32"/>
          <w:lang w:val="en-US" w:eastAsia="zh-CN"/>
        </w:rPr>
        <w:t>842.36</w:t>
      </w:r>
      <w:r>
        <w:rPr>
          <w:rFonts w:hint="eastAsia" w:ascii="仿宋" w:hAnsi="仿宋" w:eastAsia="仿宋"/>
          <w:sz w:val="32"/>
          <w:szCs w:val="32"/>
        </w:rPr>
        <w:t>万元，日常公用经费</w:t>
      </w:r>
      <w:r>
        <w:rPr>
          <w:rFonts w:hint="eastAsia" w:ascii="仿宋" w:hAnsi="仿宋" w:eastAsia="仿宋"/>
          <w:sz w:val="32"/>
          <w:szCs w:val="32"/>
          <w:lang w:val="en-US" w:eastAsia="zh-CN"/>
        </w:rPr>
        <w:t>176.76</w:t>
      </w:r>
      <w:r>
        <w:rPr>
          <w:rFonts w:hint="eastAsia" w:ascii="仿宋" w:hAnsi="仿宋" w:eastAsia="仿宋"/>
          <w:sz w:val="32"/>
          <w:szCs w:val="32"/>
        </w:rPr>
        <w:t>万元）；项目支出</w:t>
      </w:r>
      <w:r>
        <w:rPr>
          <w:rFonts w:hint="eastAsia" w:ascii="仿宋" w:hAnsi="仿宋" w:eastAsia="仿宋"/>
          <w:sz w:val="32"/>
          <w:szCs w:val="32"/>
          <w:lang w:val="en-US" w:eastAsia="zh-CN"/>
        </w:rPr>
        <w:t>385</w:t>
      </w:r>
      <w:r>
        <w:rPr>
          <w:rFonts w:hint="eastAsia" w:ascii="仿宋" w:hAnsi="仿宋" w:eastAsia="仿宋"/>
          <w:sz w:val="32"/>
          <w:szCs w:val="32"/>
        </w:rPr>
        <w:t>万元（主要是专项公用经费</w:t>
      </w:r>
      <w:r>
        <w:rPr>
          <w:rFonts w:hint="eastAsia" w:ascii="仿宋" w:hAnsi="仿宋" w:eastAsia="仿宋"/>
          <w:sz w:val="32"/>
          <w:szCs w:val="32"/>
          <w:lang w:val="en-US" w:eastAsia="zh-CN"/>
        </w:rPr>
        <w:t>315</w:t>
      </w:r>
      <w:r>
        <w:rPr>
          <w:rFonts w:hint="eastAsia" w:ascii="仿宋" w:hAnsi="仿宋" w:eastAsia="仿宋"/>
          <w:sz w:val="32"/>
          <w:szCs w:val="32"/>
        </w:rPr>
        <w:t>万元</w:t>
      </w:r>
      <w:r>
        <w:rPr>
          <w:rFonts w:hint="eastAsia" w:ascii="仿宋" w:hAnsi="仿宋" w:eastAsia="仿宋"/>
          <w:sz w:val="32"/>
          <w:szCs w:val="32"/>
          <w:lang w:eastAsia="zh-CN"/>
        </w:rPr>
        <w:t>和上级转移支付资金</w:t>
      </w:r>
      <w:r>
        <w:rPr>
          <w:rFonts w:hint="eastAsia" w:ascii="仿宋" w:hAnsi="仿宋" w:eastAsia="仿宋"/>
          <w:sz w:val="32"/>
          <w:szCs w:val="32"/>
          <w:lang w:val="en-US" w:eastAsia="zh-CN"/>
        </w:rPr>
        <w:t>70万元</w:t>
      </w:r>
      <w:r>
        <w:rPr>
          <w:rFonts w:hint="eastAsia" w:ascii="仿宋" w:hAnsi="仿宋" w:eastAsia="仿宋"/>
          <w:sz w:val="32"/>
          <w:szCs w:val="32"/>
        </w:rPr>
        <w:t>）。</w:t>
      </w:r>
    </w:p>
    <w:p>
      <w:pPr>
        <w:snapToGrid w:val="0"/>
        <w:ind w:firstLine="640" w:firstLineChars="200"/>
        <w:rPr>
          <w:rFonts w:ascii="仿宋" w:hAnsi="仿宋" w:eastAsia="仿宋"/>
          <w:sz w:val="32"/>
          <w:szCs w:val="32"/>
        </w:rPr>
      </w:pPr>
      <w:r>
        <w:rPr>
          <w:rFonts w:hint="eastAsia" w:ascii="仿宋" w:hAnsi="仿宋" w:eastAsia="仿宋"/>
          <w:sz w:val="32"/>
          <w:szCs w:val="32"/>
        </w:rPr>
        <w:t>（二）、比上年增减情况</w:t>
      </w:r>
    </w:p>
    <w:p>
      <w:pPr>
        <w:snapToGrid w:val="0"/>
        <w:ind w:firstLine="640" w:firstLineChars="200"/>
        <w:rPr>
          <w:rFonts w:ascii="仿宋" w:hAnsi="仿宋" w:eastAsia="仿宋"/>
          <w:sz w:val="32"/>
          <w:szCs w:val="32"/>
        </w:rPr>
      </w:pPr>
      <w:r>
        <w:rPr>
          <w:rFonts w:hint="eastAsia" w:ascii="仿宋" w:hAnsi="仿宋" w:eastAsia="仿宋"/>
          <w:sz w:val="32"/>
          <w:szCs w:val="32"/>
        </w:rPr>
        <w:t>本年度预算收支安排</w:t>
      </w:r>
      <w:r>
        <w:rPr>
          <w:rFonts w:hint="eastAsia" w:ascii="仿宋" w:hAnsi="仿宋" w:eastAsia="仿宋"/>
          <w:sz w:val="32"/>
          <w:szCs w:val="32"/>
          <w:lang w:val="en-US" w:eastAsia="zh-CN"/>
        </w:rPr>
        <w:t>1404.12</w:t>
      </w:r>
      <w:r>
        <w:rPr>
          <w:rFonts w:hint="eastAsia" w:ascii="仿宋" w:hAnsi="仿宋" w:eastAsia="仿宋"/>
          <w:sz w:val="32"/>
          <w:szCs w:val="32"/>
        </w:rPr>
        <w:t>万元，较上年增加</w:t>
      </w:r>
      <w:r>
        <w:rPr>
          <w:rFonts w:hint="eastAsia" w:ascii="仿宋" w:hAnsi="仿宋" w:eastAsia="仿宋"/>
          <w:sz w:val="32"/>
          <w:szCs w:val="32"/>
          <w:lang w:val="en-US" w:eastAsia="zh-CN"/>
        </w:rPr>
        <w:t>27.25</w:t>
      </w:r>
      <w:r>
        <w:rPr>
          <w:rFonts w:hint="eastAsia" w:ascii="仿宋" w:hAnsi="仿宋" w:eastAsia="仿宋"/>
          <w:sz w:val="32"/>
          <w:szCs w:val="32"/>
        </w:rPr>
        <w:t>万元。其中基本支出</w:t>
      </w:r>
      <w:r>
        <w:rPr>
          <w:rFonts w:hint="eastAsia" w:ascii="仿宋" w:hAnsi="仿宋" w:eastAsia="仿宋"/>
          <w:sz w:val="32"/>
          <w:szCs w:val="32"/>
          <w:lang w:eastAsia="zh-CN"/>
        </w:rPr>
        <w:t>降低</w:t>
      </w:r>
      <w:r>
        <w:rPr>
          <w:rFonts w:hint="eastAsia" w:ascii="仿宋" w:hAnsi="仿宋" w:eastAsia="仿宋"/>
          <w:sz w:val="32"/>
          <w:szCs w:val="32"/>
          <w:lang w:val="en-US" w:eastAsia="zh-CN"/>
        </w:rPr>
        <w:t>37.75</w:t>
      </w:r>
      <w:r>
        <w:rPr>
          <w:rFonts w:hint="eastAsia" w:ascii="仿宋" w:hAnsi="仿宋" w:eastAsia="仿宋"/>
          <w:sz w:val="32"/>
          <w:szCs w:val="32"/>
        </w:rPr>
        <w:t>万元，主要是因为</w:t>
      </w:r>
      <w:r>
        <w:rPr>
          <w:rFonts w:hint="eastAsia" w:ascii="仿宋" w:hAnsi="仿宋" w:eastAsia="仿宋"/>
          <w:sz w:val="32"/>
          <w:szCs w:val="32"/>
          <w:lang w:eastAsia="zh-CN"/>
        </w:rPr>
        <w:t>在职人数较去年减少</w:t>
      </w:r>
      <w:r>
        <w:rPr>
          <w:rFonts w:hint="eastAsia" w:ascii="仿宋" w:hAnsi="仿宋" w:eastAsia="仿宋"/>
          <w:sz w:val="32"/>
          <w:szCs w:val="32"/>
        </w:rPr>
        <w:t>。项目支出较上年</w:t>
      </w:r>
      <w:r>
        <w:rPr>
          <w:rFonts w:hint="eastAsia" w:ascii="仿宋" w:hAnsi="仿宋" w:eastAsia="仿宋"/>
          <w:sz w:val="32"/>
          <w:szCs w:val="32"/>
          <w:lang w:eastAsia="zh-CN"/>
        </w:rPr>
        <w:t>增加</w:t>
      </w:r>
      <w:r>
        <w:rPr>
          <w:rFonts w:hint="eastAsia" w:ascii="仿宋" w:hAnsi="仿宋" w:eastAsia="仿宋"/>
          <w:sz w:val="32"/>
          <w:szCs w:val="32"/>
          <w:lang w:val="en-US" w:eastAsia="zh-CN"/>
        </w:rPr>
        <w:t>65万元，主要是上级转移支付资金增加。</w:t>
      </w:r>
    </w:p>
    <w:p>
      <w:pPr>
        <w:snapToGrid w:val="0"/>
        <w:ind w:firstLine="640" w:firstLineChars="200"/>
        <w:rPr>
          <w:rFonts w:ascii="仿宋" w:hAnsi="仿宋" w:eastAsia="仿宋"/>
          <w:sz w:val="32"/>
          <w:szCs w:val="32"/>
        </w:rPr>
      </w:pPr>
    </w:p>
    <w:p>
      <w:pPr>
        <w:snapToGrid w:val="0"/>
        <w:ind w:firstLine="640" w:firstLineChars="200"/>
        <w:outlineLvl w:val="0"/>
        <w:rPr>
          <w:rFonts w:ascii="黑体" w:hAnsi="黑体" w:eastAsia="黑体"/>
          <w:sz w:val="32"/>
          <w:szCs w:val="32"/>
        </w:rPr>
      </w:pPr>
      <w:r>
        <w:rPr>
          <w:rFonts w:hint="eastAsia" w:ascii="黑体" w:hAnsi="黑体" w:eastAsia="黑体"/>
          <w:sz w:val="32"/>
          <w:szCs w:val="32"/>
        </w:rPr>
        <w:t>三、机关运行经费安排情况</w:t>
      </w:r>
    </w:p>
    <w:p>
      <w:pPr>
        <w:ind w:firstLine="640" w:firstLineChars="200"/>
        <w:outlineLvl w:val="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年我部门预算安排财政拨款支出主要用于保障该部门机构正常运转、完成日常工作任务以及纪检监察事业发展相关工作。正常公用经费</w:t>
      </w:r>
      <w:r>
        <w:rPr>
          <w:rFonts w:hint="eastAsia" w:ascii="仿宋" w:hAnsi="仿宋" w:eastAsia="仿宋"/>
          <w:sz w:val="32"/>
          <w:szCs w:val="32"/>
          <w:lang w:val="en-US" w:eastAsia="zh-CN"/>
        </w:rPr>
        <w:t>176.76</w:t>
      </w:r>
      <w:r>
        <w:rPr>
          <w:rFonts w:hint="eastAsia" w:ascii="仿宋" w:hAnsi="仿宋" w:eastAsia="仿宋"/>
          <w:sz w:val="32"/>
          <w:szCs w:val="32"/>
        </w:rPr>
        <w:t>万元，其中：四大班子领导办公费2.5万元，部门办公费</w:t>
      </w:r>
      <w:r>
        <w:rPr>
          <w:rFonts w:hint="eastAsia" w:ascii="仿宋" w:hAnsi="仿宋" w:eastAsia="仿宋"/>
          <w:sz w:val="32"/>
          <w:szCs w:val="32"/>
          <w:lang w:val="en-US" w:eastAsia="zh-CN"/>
        </w:rPr>
        <w:t>16.94</w:t>
      </w:r>
      <w:r>
        <w:rPr>
          <w:rFonts w:hint="eastAsia" w:ascii="仿宋" w:hAnsi="仿宋" w:eastAsia="仿宋"/>
          <w:sz w:val="32"/>
          <w:szCs w:val="32"/>
        </w:rPr>
        <w:t>万元，邮电费0.36万元，差旅费</w:t>
      </w:r>
      <w:r>
        <w:rPr>
          <w:rFonts w:hint="eastAsia" w:ascii="仿宋" w:hAnsi="仿宋" w:eastAsia="仿宋"/>
          <w:sz w:val="32"/>
          <w:szCs w:val="32"/>
          <w:lang w:val="en-US" w:eastAsia="zh-CN"/>
        </w:rPr>
        <w:t>7.7</w:t>
      </w:r>
      <w:r>
        <w:rPr>
          <w:rFonts w:hint="eastAsia" w:ascii="仿宋" w:hAnsi="仿宋" w:eastAsia="仿宋"/>
          <w:sz w:val="32"/>
          <w:szCs w:val="32"/>
        </w:rPr>
        <w:t>万元，公务接待费26万元，公务用车运行维护费27.5万元，公务交通补贴</w:t>
      </w:r>
      <w:r>
        <w:rPr>
          <w:rFonts w:hint="eastAsia" w:ascii="仿宋" w:hAnsi="仿宋" w:eastAsia="仿宋"/>
          <w:sz w:val="32"/>
          <w:szCs w:val="32"/>
          <w:lang w:val="en-US" w:eastAsia="zh-CN"/>
        </w:rPr>
        <w:t>48.36</w:t>
      </w:r>
      <w:r>
        <w:rPr>
          <w:rFonts w:hint="eastAsia" w:ascii="仿宋" w:hAnsi="仿宋" w:eastAsia="仿宋"/>
          <w:sz w:val="32"/>
          <w:szCs w:val="32"/>
        </w:rPr>
        <w:t>万元，劳务费</w:t>
      </w:r>
      <w:r>
        <w:rPr>
          <w:rFonts w:hint="eastAsia" w:ascii="仿宋" w:hAnsi="仿宋" w:eastAsia="仿宋"/>
          <w:sz w:val="32"/>
          <w:szCs w:val="32"/>
          <w:lang w:val="en-US" w:eastAsia="zh-CN"/>
        </w:rPr>
        <w:t>29.53</w:t>
      </w:r>
      <w:r>
        <w:rPr>
          <w:rFonts w:hint="eastAsia" w:ascii="仿宋" w:hAnsi="仿宋" w:eastAsia="仿宋"/>
          <w:sz w:val="32"/>
          <w:szCs w:val="32"/>
        </w:rPr>
        <w:t>万元，离退休人员公用经费</w:t>
      </w:r>
      <w:r>
        <w:rPr>
          <w:rFonts w:hint="eastAsia" w:ascii="仿宋" w:hAnsi="仿宋" w:eastAsia="仿宋"/>
          <w:sz w:val="32"/>
          <w:szCs w:val="32"/>
          <w:lang w:val="en-US" w:eastAsia="zh-CN"/>
        </w:rPr>
        <w:t>0.88</w:t>
      </w:r>
      <w:r>
        <w:rPr>
          <w:rFonts w:hint="eastAsia" w:ascii="仿宋" w:hAnsi="仿宋" w:eastAsia="仿宋"/>
          <w:sz w:val="32"/>
          <w:szCs w:val="32"/>
        </w:rPr>
        <w:t>万元，工会经费6.8</w:t>
      </w:r>
      <w:r>
        <w:rPr>
          <w:rFonts w:hint="eastAsia" w:ascii="仿宋" w:hAnsi="仿宋" w:eastAsia="仿宋"/>
          <w:sz w:val="32"/>
          <w:szCs w:val="32"/>
          <w:lang w:val="en-US" w:eastAsia="zh-CN"/>
        </w:rPr>
        <w:t>7</w:t>
      </w:r>
      <w:r>
        <w:rPr>
          <w:rFonts w:hint="eastAsia" w:ascii="仿宋" w:hAnsi="仿宋" w:eastAsia="仿宋"/>
          <w:sz w:val="32"/>
          <w:szCs w:val="32"/>
        </w:rPr>
        <w:t>万元，职工福利费10.</w:t>
      </w:r>
      <w:r>
        <w:rPr>
          <w:rFonts w:hint="eastAsia" w:ascii="仿宋" w:hAnsi="仿宋" w:eastAsia="仿宋"/>
          <w:sz w:val="32"/>
          <w:szCs w:val="32"/>
          <w:lang w:val="en-US" w:eastAsia="zh-CN"/>
        </w:rPr>
        <w:t>12</w:t>
      </w:r>
      <w:r>
        <w:rPr>
          <w:rFonts w:hint="eastAsia" w:ascii="仿宋" w:hAnsi="仿宋" w:eastAsia="仿宋"/>
          <w:sz w:val="32"/>
          <w:szCs w:val="32"/>
        </w:rPr>
        <w:t>万元。</w:t>
      </w:r>
    </w:p>
    <w:p>
      <w:pPr>
        <w:ind w:firstLine="640" w:firstLineChars="200"/>
        <w:outlineLvl w:val="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outlineLvl w:val="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年我部门安排“三公经费”预算99.5万元，严格落实“三公经费”管理办法以及中央八项规定。其中，</w:t>
      </w:r>
      <w:r>
        <w:rPr>
          <w:rFonts w:hint="eastAsia" w:ascii="仿宋" w:hAnsi="仿宋" w:eastAsia="仿宋"/>
          <w:sz w:val="32"/>
          <w:szCs w:val="32"/>
          <w:lang w:eastAsia="zh-CN"/>
        </w:rPr>
        <w:t>2024</w:t>
      </w:r>
      <w:r>
        <w:rPr>
          <w:rFonts w:hint="eastAsia" w:ascii="仿宋" w:hAnsi="仿宋" w:eastAsia="仿宋"/>
          <w:sz w:val="32"/>
          <w:szCs w:val="32"/>
        </w:rPr>
        <w:t>年公务用车运行维护费42.5万元，与202</w:t>
      </w:r>
      <w:r>
        <w:rPr>
          <w:rFonts w:hint="eastAsia" w:ascii="仿宋" w:hAnsi="仿宋" w:eastAsia="仿宋"/>
          <w:sz w:val="32"/>
          <w:szCs w:val="32"/>
          <w:lang w:val="en-US" w:eastAsia="zh-CN"/>
        </w:rPr>
        <w:t>3</w:t>
      </w:r>
      <w:r>
        <w:rPr>
          <w:rFonts w:hint="eastAsia" w:ascii="仿宋" w:hAnsi="仿宋" w:eastAsia="仿宋"/>
          <w:sz w:val="32"/>
          <w:szCs w:val="32"/>
        </w:rPr>
        <w:t>年相比无变化；</w:t>
      </w:r>
      <w:r>
        <w:rPr>
          <w:rFonts w:hint="eastAsia" w:ascii="仿宋" w:hAnsi="仿宋" w:eastAsia="仿宋"/>
          <w:sz w:val="32"/>
          <w:szCs w:val="32"/>
          <w:lang w:eastAsia="zh-CN"/>
        </w:rPr>
        <w:t>2024</w:t>
      </w:r>
      <w:r>
        <w:rPr>
          <w:rFonts w:hint="eastAsia" w:ascii="仿宋" w:hAnsi="仿宋" w:eastAsia="仿宋"/>
          <w:sz w:val="32"/>
          <w:szCs w:val="32"/>
        </w:rPr>
        <w:t>年公务接待费57万元，与202</w:t>
      </w:r>
      <w:r>
        <w:rPr>
          <w:rFonts w:hint="eastAsia" w:ascii="仿宋" w:hAnsi="仿宋" w:eastAsia="仿宋"/>
          <w:sz w:val="32"/>
          <w:szCs w:val="32"/>
          <w:lang w:val="en-US" w:eastAsia="zh-CN"/>
        </w:rPr>
        <w:t>3</w:t>
      </w:r>
      <w:r>
        <w:rPr>
          <w:rFonts w:hint="eastAsia" w:ascii="仿宋" w:hAnsi="仿宋" w:eastAsia="仿宋"/>
          <w:sz w:val="32"/>
          <w:szCs w:val="32"/>
        </w:rPr>
        <w:t>年相比无变化；因公出国经费无；公务用车购置经费无。</w:t>
      </w:r>
    </w:p>
    <w:p>
      <w:pPr>
        <w:ind w:firstLine="640" w:firstLineChars="200"/>
        <w:rPr>
          <w:rFonts w:ascii="仿宋" w:hAnsi="仿宋" w:eastAsia="仿宋"/>
          <w:sz w:val="32"/>
          <w:szCs w:val="32"/>
        </w:rPr>
      </w:pPr>
    </w:p>
    <w:tbl>
      <w:tblPr>
        <w:tblStyle w:val="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3"/>
        <w:gridCol w:w="2097"/>
        <w:gridCol w:w="2193"/>
        <w:gridCol w:w="2583"/>
        <w:gridCol w:w="5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项目名称</w:t>
            </w:r>
          </w:p>
        </w:tc>
        <w:tc>
          <w:tcPr>
            <w:tcW w:w="698"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年度预算</w:t>
            </w:r>
          </w:p>
        </w:tc>
        <w:tc>
          <w:tcPr>
            <w:tcW w:w="730" w:type="pct"/>
          </w:tcPr>
          <w:p>
            <w:pPr>
              <w:snapToGrid w:val="0"/>
              <w:spacing w:line="520" w:lineRule="exact"/>
              <w:jc w:val="center"/>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年度预算</w:t>
            </w:r>
          </w:p>
        </w:tc>
        <w:tc>
          <w:tcPr>
            <w:tcW w:w="86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增减金额</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因公出国经费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公务用车购置经费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公务用车运行经费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公务接待费支出</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合计</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 xml:space="preserve"> 99.5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99.5</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bl>
    <w:p>
      <w:pPr>
        <w:rPr>
          <w:rFonts w:ascii="黑体" w:hAnsi="黑体" w:eastAsia="黑体"/>
          <w:sz w:val="32"/>
          <w:szCs w:val="32"/>
        </w:rPr>
      </w:pPr>
    </w:p>
    <w:p>
      <w:pPr>
        <w:numPr>
          <w:ilvl w:val="0"/>
          <w:numId w:val="1"/>
        </w:numPr>
        <w:ind w:firstLine="640" w:firstLineChars="200"/>
        <w:outlineLvl w:val="0"/>
        <w:rPr>
          <w:rFonts w:ascii="黑体" w:hAnsi="黑体" w:eastAsia="黑体"/>
          <w:sz w:val="32"/>
          <w:szCs w:val="32"/>
        </w:rPr>
      </w:pPr>
      <w:r>
        <w:rPr>
          <w:rFonts w:hint="eastAsia" w:ascii="黑体" w:hAnsi="黑体" w:eastAsia="黑体"/>
          <w:sz w:val="32"/>
          <w:szCs w:val="32"/>
        </w:rPr>
        <w:t>绩效预算信息情况</w:t>
      </w:r>
    </w:p>
    <w:p>
      <w:pPr>
        <w:ind w:firstLine="640" w:firstLineChars="200"/>
        <w:outlineLvl w:val="1"/>
        <w:rPr>
          <w:rFonts w:ascii="黑体" w:hAnsi="黑体" w:eastAsia="黑体"/>
          <w:sz w:val="32"/>
          <w:szCs w:val="32"/>
        </w:rPr>
      </w:pPr>
      <w:r>
        <w:rPr>
          <w:rFonts w:hint="eastAsia" w:ascii="黑体" w:hAnsi="黑体" w:eastAsia="黑体"/>
          <w:sz w:val="32"/>
          <w:szCs w:val="32"/>
        </w:rPr>
        <w:t>第一部分 部门整体绩效目标</w:t>
      </w:r>
    </w:p>
    <w:p>
      <w:pPr>
        <w:spacing w:beforeLines="50" w:afterLines="50"/>
        <w:ind w:firstLine="640" w:firstLineChars="200"/>
        <w:jc w:val="left"/>
        <w:outlineLvl w:val="1"/>
        <w:rPr>
          <w:rFonts w:ascii="楷体" w:hAnsi="楷体" w:eastAsia="楷体"/>
          <w:sz w:val="32"/>
          <w:szCs w:val="32"/>
        </w:rPr>
      </w:pPr>
      <w:bookmarkStart w:id="4" w:name="_Toc62132114"/>
      <w:r>
        <w:rPr>
          <w:rFonts w:hint="eastAsia" w:ascii="楷体" w:hAnsi="楷体" w:eastAsia="楷体"/>
          <w:sz w:val="32"/>
          <w:szCs w:val="32"/>
        </w:rPr>
        <w:t>（一）、总体绩效目标</w:t>
      </w:r>
      <w:bookmarkEnd w:id="4"/>
      <w:r>
        <w:rPr>
          <w:rFonts w:ascii="楷体" w:hAnsi="楷体" w:eastAsia="楷体"/>
          <w:sz w:val="32"/>
          <w:szCs w:val="32"/>
        </w:rPr>
        <w:fldChar w:fldCharType="begin"/>
      </w:r>
      <w:r>
        <w:rPr>
          <w:rFonts w:hint="eastAsia" w:ascii="楷体" w:hAnsi="楷体" w:eastAsia="楷体"/>
          <w:sz w:val="32"/>
          <w:szCs w:val="32"/>
        </w:rPr>
        <w:instrText xml:space="preserve">TC 总体绩效目标 \f A \l 1</w:instrText>
      </w:r>
      <w:r>
        <w:rPr>
          <w:rFonts w:ascii="楷体" w:hAnsi="楷体" w:eastAsia="楷体"/>
          <w:sz w:val="32"/>
          <w:szCs w:val="32"/>
        </w:rPr>
        <w:fldChar w:fldCharType="end"/>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lang w:eastAsia="zh-CN"/>
        </w:rPr>
        <w:t>2024</w:t>
      </w:r>
      <w:r>
        <w:rPr>
          <w:rFonts w:ascii="仿宋" w:hAnsi="仿宋" w:eastAsia="仿宋"/>
          <w:sz w:val="32"/>
          <w:szCs w:val="32"/>
        </w:rPr>
        <w:t>年县纪委监委将立足职能，突出改革，着力强化监督执纪问责，为涞水营造风清气正的政治环境。重点做好以下七方面工作：一是落实全面从严治党政治责任，抓好省、市纪委指定管辖重点案件查办工作，协助县委抓好党风廉政建设和反腐败各项工作；二是充分发挥纪律监督、巡察监督、派驻监督和乡镇纪委作用，以实际行动筑牢思想防线；三是深化联乡镇部门监督；四是持之以恒强化作风建设；五是发挥巡察“利剑”作用；六是持续开展以群众身边腐败和作风问题为重点的专项整治工作；七是坚决把监督挺在前面，科学准确运用“五种方式”，“四种形态”，深入推进党风廉政建设和反腐败斗争；八是持续强化干部队伍建设，努力打造一支让党放心、让人民满意的纪检监察干部队伍。</w:t>
      </w:r>
    </w:p>
    <w:p>
      <w:pPr>
        <w:spacing w:beforeLines="50" w:afterLines="50" w:line="500" w:lineRule="exact"/>
        <w:ind w:firstLine="640" w:firstLineChars="200"/>
        <w:jc w:val="left"/>
        <w:outlineLvl w:val="1"/>
        <w:rPr>
          <w:rFonts w:ascii="楷体" w:hAnsi="楷体" w:eastAsia="楷体"/>
          <w:sz w:val="32"/>
          <w:szCs w:val="32"/>
        </w:rPr>
      </w:pPr>
      <w:bookmarkStart w:id="5" w:name="_Toc62132115"/>
      <w:r>
        <w:rPr>
          <w:rFonts w:hint="eastAsia" w:ascii="楷体" w:hAnsi="楷体" w:eastAsia="楷体"/>
          <w:sz w:val="32"/>
          <w:szCs w:val="32"/>
        </w:rPr>
        <w:t>（二）、分项绩效目标</w:t>
      </w:r>
      <w:bookmarkEnd w:id="5"/>
      <w:r>
        <w:rPr>
          <w:rFonts w:ascii="楷体" w:hAnsi="楷体" w:eastAsia="楷体"/>
          <w:sz w:val="32"/>
          <w:szCs w:val="32"/>
        </w:rPr>
        <w:fldChar w:fldCharType="begin"/>
      </w:r>
      <w:r>
        <w:rPr>
          <w:rFonts w:hint="eastAsia" w:ascii="楷体" w:hAnsi="楷体" w:eastAsia="楷体"/>
          <w:sz w:val="32"/>
          <w:szCs w:val="32"/>
        </w:rPr>
        <w:instrText xml:space="preserve">TC 分项绩效目标 \f A \l 1</w:instrText>
      </w:r>
      <w:r>
        <w:rPr>
          <w:rFonts w:ascii="楷体" w:hAnsi="楷体" w:eastAsia="楷体"/>
          <w:sz w:val="32"/>
          <w:szCs w:val="32"/>
        </w:rPr>
        <w:fldChar w:fldCharType="end"/>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 xml:space="preserve">党风廉政建设 </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组织协调全县党风廉政建设和反腐败工作，对行使公权力的人员严重违纪、涉嫌犯罪的采取留置措施；加强党风廉政建设和组织协调反腐败工作；开展审查调查及监督检查；加强派驻监督；扶贫领域监督执纪等。</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绩效指标：为涞水营造风清气正的政治环境，加大对职务犯罪人员对惩处力度，案件办结率达到70%。</w:t>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 xml:space="preserve">纪检监察事务管理 </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绩效目标：纪检监察系统网络安全及信息化建设、办公用房及公务用车管理、干部培训及其他事务管理、机关食堂运行与维护；其他纪检监察事务等工作。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绩效指标：为纪检监察工作提供服务和保障,保障率达到80%。</w:t>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3、</w:t>
      </w:r>
      <w:r>
        <w:rPr>
          <w:rFonts w:ascii="仿宋" w:hAnsi="仿宋" w:eastAsia="仿宋"/>
          <w:b/>
          <w:sz w:val="32"/>
          <w:szCs w:val="32"/>
        </w:rPr>
        <w:t>巡察工作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绩效目标：承担县委巡察工作，对县政府工作部门、人民团体党组（党委）班子及其成员等进行巡察等工作。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绩效指标：发挥巡察“利剑”作用，巡察覆盖率达到90%。</w:t>
      </w:r>
    </w:p>
    <w:p>
      <w:pPr>
        <w:spacing w:line="500" w:lineRule="exact"/>
        <w:ind w:firstLine="643" w:firstLineChars="200"/>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4、2024年中央政法纪检监察转移支付资金</w:t>
      </w:r>
    </w:p>
    <w:p>
      <w:pPr>
        <w:spacing w:line="500" w:lineRule="exact"/>
        <w:ind w:firstLine="640" w:firstLineChars="200"/>
        <w:jc w:val="left"/>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绩效目标：通过中央政法纪检监察转移支付资金的使用，保障我县纪委各部门办案经费充足，提升各部门办案设备质量，进而保障办案质量，推动我县纪检监察工作高质量发展。</w:t>
      </w:r>
    </w:p>
    <w:p>
      <w:pPr>
        <w:spacing w:line="500" w:lineRule="exact"/>
        <w:ind w:firstLine="640" w:firstLineChars="200"/>
        <w:jc w:val="left"/>
        <w:rPr>
          <w:rFonts w:hint="default" w:ascii="仿宋" w:hAnsi="仿宋" w:eastAsia="仿宋"/>
          <w:b w:val="0"/>
          <w:bCs w:val="0"/>
          <w:sz w:val="32"/>
          <w:szCs w:val="32"/>
          <w:lang w:val="en-US" w:eastAsia="zh-CN"/>
        </w:rPr>
      </w:pPr>
      <w:r>
        <w:rPr>
          <w:rFonts w:hint="eastAsia" w:ascii="仿宋" w:hAnsi="仿宋" w:eastAsia="仿宋"/>
          <w:b w:val="0"/>
          <w:bCs w:val="0"/>
          <w:sz w:val="32"/>
          <w:szCs w:val="32"/>
          <w:lang w:val="en-US" w:eastAsia="zh-CN"/>
        </w:rPr>
        <w:t>绩效指标：充分保障机纪检监察办案经费充足，保障率达到90%。</w:t>
      </w:r>
    </w:p>
    <w:p>
      <w:pPr>
        <w:spacing w:beforeLines="50" w:afterLines="50" w:line="500" w:lineRule="exact"/>
        <w:ind w:firstLine="643" w:firstLineChars="200"/>
        <w:jc w:val="left"/>
        <w:outlineLvl w:val="1"/>
        <w:rPr>
          <w:rFonts w:ascii="仿宋" w:hAnsi="仿宋" w:eastAsia="仿宋"/>
          <w:b/>
          <w:sz w:val="32"/>
          <w:szCs w:val="32"/>
        </w:rPr>
      </w:pPr>
      <w:bookmarkStart w:id="6" w:name="_Toc62132116"/>
      <w:r>
        <w:rPr>
          <w:rFonts w:hint="eastAsia" w:ascii="仿宋" w:hAnsi="仿宋" w:eastAsia="仿宋"/>
          <w:b/>
          <w:sz w:val="32"/>
          <w:szCs w:val="32"/>
          <w:lang w:val="en-US" w:eastAsia="zh-CN"/>
        </w:rPr>
        <w:t>5</w:t>
      </w:r>
      <w:r>
        <w:rPr>
          <w:rFonts w:hint="eastAsia" w:ascii="仿宋" w:hAnsi="仿宋" w:eastAsia="仿宋"/>
          <w:b/>
          <w:sz w:val="32"/>
          <w:szCs w:val="32"/>
        </w:rPr>
        <w:t>、工作保障措施</w:t>
      </w:r>
      <w:bookmarkEnd w:id="6"/>
      <w:r>
        <w:rPr>
          <w:rFonts w:ascii="仿宋" w:hAnsi="仿宋" w:eastAsia="仿宋"/>
          <w:b/>
          <w:sz w:val="32"/>
          <w:szCs w:val="32"/>
        </w:rPr>
        <w:fldChar w:fldCharType="begin"/>
      </w:r>
      <w:r>
        <w:rPr>
          <w:rFonts w:hint="eastAsia" w:ascii="仿宋" w:hAnsi="仿宋" w:eastAsia="仿宋"/>
          <w:b/>
          <w:sz w:val="32"/>
          <w:szCs w:val="32"/>
        </w:rPr>
        <w:instrText xml:space="preserve">TC 工作保障措施 \f A \l 1</w:instrText>
      </w:r>
      <w:r>
        <w:rPr>
          <w:rFonts w:ascii="仿宋" w:hAnsi="仿宋" w:eastAsia="仿宋"/>
          <w:b/>
          <w:sz w:val="32"/>
          <w:szCs w:val="32"/>
        </w:rPr>
        <w:fldChar w:fldCharType="end"/>
      </w:r>
    </w:p>
    <w:p>
      <w:pPr>
        <w:spacing w:line="500" w:lineRule="exact"/>
        <w:ind w:firstLine="640" w:firstLineChars="200"/>
        <w:jc w:val="left"/>
        <w:rPr>
          <w:rFonts w:ascii="仿宋" w:hAnsi="仿宋" w:eastAsia="仿宋"/>
          <w:sz w:val="32"/>
          <w:szCs w:val="32"/>
        </w:rPr>
      </w:pPr>
      <w:r>
        <w:rPr>
          <w:rFonts w:ascii="仿宋" w:hAnsi="仿宋" w:eastAsia="仿宋"/>
          <w:sz w:val="32"/>
          <w:szCs w:val="32"/>
        </w:rPr>
        <w:t>一是实行台账式管理，对全年各项工作任务实行台账式管理，根据工作部署和年初预算安排，指定详细的工作计划和工作目标。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二是完善制度建设。制定完善预算绩效管理制度、资金管理办法、工作保障制度等，为全年预算绩效目标的实现奠定制度基础。</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三是加强支出管理。通过优化支出结构、编细编实预算、加快履行政府采购手续、尽快启动项目、及时支付资金、6月底前细化代编预算、按规定及时下达资金等多种措施，确保支出进度达标。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四是加强绩效运行监控。按要求开展绩效运行监控，发现问题及时采取措施，确保绩效目标如期保质实现。</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五是做好绩效自评。按要求开展上年度部门预算绩效自评和重点评价工作，对评价中发现的问题及时整改，调整优化支出结构，提高财政资金使用效益。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六是规范财务资产管理。完善财务管理制度，严格审批程序，加强固定资产登记、使用和报废处置管理，做到支出合理，物尽其用。</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七是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八是加强宣传培训调研等。加强人员培训，提高本部门职工业务素质；加强调研，提出优化财政资金配置、提高资金使用效益的意见意见；加大宣传力度，强化预算绩效管理意识，促进预算绩效管理水平进一步提升。</w:t>
      </w:r>
    </w:p>
    <w:p>
      <w:pPr>
        <w:spacing w:line="500" w:lineRule="exact"/>
        <w:ind w:firstLine="640" w:firstLineChars="200"/>
        <w:jc w:val="left"/>
        <w:rPr>
          <w:rFonts w:ascii="仿宋" w:hAnsi="仿宋" w:eastAsia="仿宋"/>
          <w:sz w:val="32"/>
          <w:szCs w:val="32"/>
        </w:rPr>
      </w:pPr>
    </w:p>
    <w:p>
      <w:pPr>
        <w:spacing w:line="500" w:lineRule="exact"/>
        <w:ind w:firstLine="640" w:firstLineChars="200"/>
        <w:jc w:val="left"/>
        <w:rPr>
          <w:rFonts w:ascii="仿宋" w:hAnsi="仿宋" w:eastAsia="仿宋"/>
          <w:sz w:val="32"/>
          <w:szCs w:val="32"/>
        </w:rPr>
      </w:pPr>
    </w:p>
    <w:p>
      <w:pPr>
        <w:spacing w:line="500" w:lineRule="exact"/>
        <w:jc w:val="left"/>
        <w:rPr>
          <w:rFonts w:ascii="仿宋" w:hAnsi="仿宋" w:eastAsia="仿宋"/>
          <w:sz w:val="32"/>
          <w:szCs w:val="32"/>
        </w:rPr>
      </w:pPr>
    </w:p>
    <w:p>
      <w:pPr>
        <w:ind w:firstLine="640" w:firstLineChars="200"/>
        <w:outlineLvl w:val="1"/>
        <w:rPr>
          <w:rFonts w:ascii="黑体" w:hAnsi="黑体" w:eastAsia="黑体"/>
          <w:sz w:val="32"/>
          <w:szCs w:val="32"/>
        </w:rPr>
      </w:pPr>
      <w:r>
        <w:rPr>
          <w:rFonts w:hint="eastAsia" w:ascii="黑体" w:hAnsi="黑体" w:eastAsia="黑体"/>
          <w:sz w:val="32"/>
          <w:szCs w:val="32"/>
        </w:rPr>
        <w:t>第二部分 预算项目绩效目标</w:t>
      </w:r>
    </w:p>
    <w:p>
      <w:pPr>
        <w:ind w:firstLine="560" w:firstLineChars="200"/>
        <w:jc w:val="left"/>
        <w:outlineLvl w:val="3"/>
      </w:pPr>
      <w:bookmarkStart w:id="7" w:name="_Toc62132117"/>
      <w:r>
        <w:rPr>
          <w:rFonts w:hint="eastAsia" w:ascii="方正仿宋_GBK" w:eastAsia="方正仿宋_GBK"/>
          <w:b/>
          <w:sz w:val="28"/>
        </w:rPr>
        <w:t>1.党风廉政建设绩效目标表</w:t>
      </w:r>
      <w:bookmarkEnd w:id="7"/>
      <w:r>
        <w:rPr>
          <w:rFonts w:ascii="方正仿宋_GBK" w:eastAsia="方正仿宋_GBK"/>
          <w:b/>
          <w:sz w:val="28"/>
        </w:rPr>
        <w:fldChar w:fldCharType="begin"/>
      </w:r>
      <w:r>
        <w:rPr>
          <w:rFonts w:hint="eastAsia" w:ascii="方正仿宋_GBK" w:eastAsia="方正仿宋_GBK"/>
          <w:b/>
          <w:sz w:val="28"/>
        </w:rPr>
        <w:instrText xml:space="preserve">TC 1、党风廉政建设绩效目标表 \f C \l 1</w:instrText>
      </w:r>
      <w:r>
        <w:rPr>
          <w:rFonts w:ascii="方正仿宋_GBK" w:eastAsia="方正仿宋_GBK"/>
          <w:b/>
          <w:sz w:val="28"/>
        </w:rPr>
        <w:fldChar w:fldCharType="end"/>
      </w:r>
    </w:p>
    <w:tbl>
      <w:tblPr>
        <w:tblStyle w:val="9"/>
        <w:tblpPr w:leftFromText="180" w:rightFromText="180" w:vertAnchor="text" w:horzAnchor="page" w:tblpXSpec="center" w:tblpY="314"/>
        <w:tblOverlap w:val="never"/>
        <w:tblW w:w="5000" w:type="pct"/>
        <w:jc w:val="center"/>
        <w:tblLayout w:type="autofit"/>
        <w:tblCellMar>
          <w:top w:w="0" w:type="dxa"/>
          <w:left w:w="108" w:type="dxa"/>
          <w:bottom w:w="0" w:type="dxa"/>
          <w:right w:w="108" w:type="dxa"/>
        </w:tblCellMar>
      </w:tblPr>
      <w:tblGrid>
        <w:gridCol w:w="991"/>
        <w:gridCol w:w="1334"/>
        <w:gridCol w:w="2212"/>
        <w:gridCol w:w="3335"/>
        <w:gridCol w:w="947"/>
        <w:gridCol w:w="526"/>
        <w:gridCol w:w="2913"/>
        <w:gridCol w:w="1230"/>
        <w:gridCol w:w="1527"/>
      </w:tblGrid>
      <w:tr>
        <w:tblPrEx>
          <w:tblCellMar>
            <w:top w:w="0" w:type="dxa"/>
            <w:left w:w="108" w:type="dxa"/>
            <w:bottom w:w="0" w:type="dxa"/>
            <w:right w:w="108" w:type="dxa"/>
          </w:tblCellMar>
        </w:tblPrEx>
        <w:trPr>
          <w:trHeight w:val="375" w:hRule="atLeast"/>
          <w:jc w:val="center"/>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w:t>
            </w:r>
            <w:r>
              <w:rPr>
                <w:rFonts w:hint="eastAsia" w:cs="Calibri"/>
                <w:color w:val="000000"/>
                <w:kern w:val="0"/>
                <w:sz w:val="18"/>
                <w:szCs w:val="18"/>
                <w:lang w:val="en-US" w:eastAsia="zh-CN"/>
              </w:rPr>
              <w:t>4</w:t>
            </w:r>
            <w:r>
              <w:rPr>
                <w:rFonts w:cs="Calibri"/>
                <w:color w:val="000000"/>
                <w:kern w:val="0"/>
                <w:sz w:val="18"/>
                <w:szCs w:val="18"/>
              </w:rPr>
              <w:t>)</w:t>
            </w:r>
          </w:p>
        </w:tc>
      </w:tr>
      <w:tr>
        <w:tblPrEx>
          <w:tblCellMar>
            <w:top w:w="0" w:type="dxa"/>
            <w:left w:w="108" w:type="dxa"/>
            <w:bottom w:w="0" w:type="dxa"/>
            <w:right w:w="108" w:type="dxa"/>
          </w:tblCellMar>
        </w:tblPrEx>
        <w:trPr>
          <w:trHeight w:val="300" w:hRule="atLeast"/>
          <w:jc w:val="center"/>
        </w:trPr>
        <w:tc>
          <w:tcPr>
            <w:tcW w:w="32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34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13062324P00000110014L</w:t>
            </w:r>
            <w:r>
              <w:rPr>
                <w:rFonts w:cs="Calibri"/>
                <w:color w:val="000000"/>
                <w:kern w:val="0"/>
                <w:sz w:val="18"/>
                <w:szCs w:val="18"/>
              </w:rPr>
              <w:t>党风廉政建设</w:t>
            </w:r>
          </w:p>
        </w:tc>
        <w:tc>
          <w:tcPr>
            <w:tcW w:w="45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主管部门</w:t>
            </w:r>
          </w:p>
        </w:tc>
        <w:tc>
          <w:tcPr>
            <w:tcW w:w="187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[222]中国共产党涞水县纪律检查委员会</w:t>
            </w:r>
          </w:p>
        </w:tc>
      </w:tr>
      <w:tr>
        <w:tblPrEx>
          <w:tblCellMar>
            <w:top w:w="0" w:type="dxa"/>
            <w:left w:w="108" w:type="dxa"/>
            <w:bottom w:w="0" w:type="dxa"/>
            <w:right w:w="108" w:type="dxa"/>
          </w:tblCellMar>
        </w:tblPrEx>
        <w:trPr>
          <w:trHeight w:val="300" w:hRule="atLeast"/>
          <w:jc w:val="center"/>
        </w:trPr>
        <w:tc>
          <w:tcPr>
            <w:tcW w:w="32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34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[222001]中国共产党涞水县纪律检查委员会本级</w:t>
            </w:r>
          </w:p>
        </w:tc>
        <w:tc>
          <w:tcPr>
            <w:tcW w:w="45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87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130.000000</w:t>
            </w:r>
          </w:p>
        </w:tc>
      </w:tr>
      <w:tr>
        <w:tblPrEx>
          <w:tblCellMar>
            <w:top w:w="0" w:type="dxa"/>
            <w:left w:w="108" w:type="dxa"/>
            <w:bottom w:w="0" w:type="dxa"/>
            <w:right w:w="108" w:type="dxa"/>
          </w:tblCellMar>
        </w:tblPrEx>
        <w:trPr>
          <w:trHeight w:val="600" w:hRule="atLeast"/>
          <w:jc w:val="center"/>
        </w:trPr>
        <w:tc>
          <w:tcPr>
            <w:tcW w:w="32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672"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组织协调全县党风廉政建设和反腐败工作，对行使公权力的人员严重违纪、涉嫌犯罪的采取留置措施；加强党风廉政建设和组织协调反腐败工作；开展审查调查及监督检查；加强派驻监督；扶贫领域监督执纪等。</w:t>
            </w:r>
          </w:p>
        </w:tc>
      </w:tr>
      <w:tr>
        <w:tblPrEx>
          <w:tblCellMar>
            <w:top w:w="0" w:type="dxa"/>
            <w:left w:w="108" w:type="dxa"/>
            <w:bottom w:w="0" w:type="dxa"/>
            <w:right w:w="108" w:type="dxa"/>
          </w:tblCellMar>
        </w:tblPrEx>
        <w:trPr>
          <w:trHeight w:val="405" w:hRule="atLeast"/>
          <w:jc w:val="center"/>
        </w:trPr>
        <w:tc>
          <w:tcPr>
            <w:tcW w:w="327"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p>
            <w:pPr>
              <w:widowControl/>
              <w:spacing w:line="240" w:lineRule="auto"/>
              <w:jc w:val="center"/>
              <w:rPr>
                <w:rFonts w:cs="Calibri"/>
                <w:b/>
                <w:bCs/>
                <w:kern w:val="0"/>
                <w:sz w:val="18"/>
                <w:szCs w:val="18"/>
              </w:rPr>
            </w:pPr>
            <w:r>
              <w:rPr>
                <w:rFonts w:cs="Calibri"/>
                <w:b/>
                <w:bCs/>
                <w:kern w:val="0"/>
                <w:sz w:val="18"/>
                <w:szCs w:val="18"/>
              </w:rPr>
              <w:t>（累计支出比例）</w:t>
            </w:r>
          </w:p>
        </w:tc>
        <w:tc>
          <w:tcPr>
            <w:tcW w:w="122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43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89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2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s="Calibri"/>
                <w:color w:val="000000"/>
                <w:kern w:val="0"/>
                <w:sz w:val="18"/>
                <w:szCs w:val="18"/>
                <w:lang w:eastAsia="zh-CN"/>
              </w:rPr>
            </w:pPr>
            <w:r>
              <w:rPr>
                <w:rFonts w:hint="eastAsia" w:cs="Calibri"/>
                <w:color w:val="000000"/>
                <w:kern w:val="0"/>
                <w:sz w:val="18"/>
                <w:szCs w:val="18"/>
                <w:lang w:val="en-US" w:eastAsia="zh-CN"/>
              </w:rPr>
              <w:t>5</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10</w:t>
            </w:r>
          </w:p>
        </w:tc>
        <w:tc>
          <w:tcPr>
            <w:tcW w:w="143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20</w:t>
            </w:r>
          </w:p>
        </w:tc>
        <w:tc>
          <w:tcPr>
            <w:tcW w:w="89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hint="eastAsia" w:cs="Calibri"/>
                <w:color w:val="000000"/>
                <w:kern w:val="0"/>
                <w:sz w:val="18"/>
                <w:szCs w:val="18"/>
              </w:rPr>
              <w:t>130</w:t>
            </w:r>
          </w:p>
        </w:tc>
      </w:tr>
      <w:tr>
        <w:tblPrEx>
          <w:tblCellMar>
            <w:top w:w="0" w:type="dxa"/>
            <w:left w:w="108" w:type="dxa"/>
            <w:bottom w:w="0" w:type="dxa"/>
            <w:right w:w="108" w:type="dxa"/>
          </w:tblCellMar>
        </w:tblPrEx>
        <w:trPr>
          <w:trHeight w:val="300" w:hRule="atLeast"/>
          <w:jc w:val="center"/>
        </w:trPr>
        <w:tc>
          <w:tcPr>
            <w:tcW w:w="32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绩效目标</w:t>
            </w:r>
          </w:p>
        </w:tc>
        <w:tc>
          <w:tcPr>
            <w:tcW w:w="4189"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t>组织协调全县党风廉政建设和反腐败工作，对行使公权力的人员严重违纪、涉嫌犯罪的采取留置措施；加强党风廉政建设和组织协调反腐败工作；开展审查调查及监督检查；加强派驻监督；扶贫领域监督执纪等。</w:t>
            </w:r>
          </w:p>
        </w:tc>
      </w:tr>
      <w:tr>
        <w:tblPrEx>
          <w:tblCellMar>
            <w:top w:w="0" w:type="dxa"/>
            <w:left w:w="108" w:type="dxa"/>
            <w:bottom w:w="0" w:type="dxa"/>
            <w:right w:w="108" w:type="dxa"/>
          </w:tblCellMar>
        </w:tblPrEx>
        <w:trPr>
          <w:trHeight w:val="300" w:hRule="atLeast"/>
          <w:jc w:val="center"/>
        </w:trPr>
        <w:tc>
          <w:tcPr>
            <w:tcW w:w="32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483"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73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12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43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39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49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73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2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39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9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jc w:val="center"/>
        </w:trPr>
        <w:tc>
          <w:tcPr>
            <w:tcW w:w="32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结案率</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办理完结案件数量占全年发案的比率</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纪检监察问题线索查办结案率</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反映县纪检监察机关查办举报问题线索完成情况</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案件处置率</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案件处置情况</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73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资金支付率</w:t>
            </w:r>
          </w:p>
        </w:tc>
        <w:tc>
          <w:tcPr>
            <w:tcW w:w="112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年底前资金支付率</w:t>
            </w:r>
          </w:p>
        </w:tc>
        <w:tc>
          <w:tcPr>
            <w:tcW w:w="299"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53"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98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32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间接经济效益</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对违法违纪案件涉案资金的收缴率</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社会影响力</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通过查处案件净化全域政治环境向好发展</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通过查处案件净化全域政治环境向好发展</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社会影响情况</w:t>
            </w:r>
          </w:p>
        </w:tc>
      </w:tr>
      <w:tr>
        <w:tblPrEx>
          <w:tblCellMar>
            <w:top w:w="0" w:type="dxa"/>
            <w:left w:w="108" w:type="dxa"/>
            <w:bottom w:w="0" w:type="dxa"/>
            <w:right w:w="108" w:type="dxa"/>
          </w:tblCellMar>
        </w:tblPrEx>
        <w:trPr>
          <w:trHeight w:val="330"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可持续影响指标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长期稳定性</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维护社会稳定、巩固和谐社会</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违法违纪问题日益减少</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社会稳定情况</w:t>
            </w:r>
          </w:p>
        </w:tc>
      </w:tr>
      <w:tr>
        <w:tblPrEx>
          <w:tblCellMar>
            <w:top w:w="0" w:type="dxa"/>
            <w:left w:w="108" w:type="dxa"/>
            <w:bottom w:w="0" w:type="dxa"/>
            <w:right w:w="108" w:type="dxa"/>
          </w:tblCellMar>
        </w:tblPrEx>
        <w:trPr>
          <w:trHeight w:val="330" w:hRule="atLeast"/>
          <w:jc w:val="center"/>
        </w:trPr>
        <w:tc>
          <w:tcPr>
            <w:tcW w:w="32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举报人满意度</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≥60举报人满意度日益提高</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举报人满意度</w:t>
            </w:r>
          </w:p>
        </w:tc>
      </w:tr>
    </w:tbl>
    <w:p>
      <w:pPr>
        <w:spacing w:line="300" w:lineRule="exact"/>
        <w:jc w:val="left"/>
        <w:sectPr>
          <w:headerReference r:id="rId5" w:type="default"/>
          <w:footerReference r:id="rId6" w:type="default"/>
          <w:pgSz w:w="16839" w:h="11907" w:orient="landscape"/>
          <w:pgMar w:top="1361" w:right="1020" w:bottom="1134" w:left="1020" w:header="851" w:footer="992" w:gutter="0"/>
          <w:cols w:space="425" w:num="1"/>
          <w:docGrid w:type="lines" w:linePitch="312" w:charSpace="0"/>
        </w:sectPr>
      </w:pPr>
    </w:p>
    <w:p>
      <w:pPr>
        <w:jc w:val="left"/>
        <w:outlineLvl w:val="3"/>
        <w:rPr>
          <w:rFonts w:ascii="Times New Roman" w:hAnsi="宋体"/>
          <w:b/>
          <w:sz w:val="28"/>
        </w:rPr>
      </w:pPr>
      <w:bookmarkStart w:id="8" w:name="_Toc62132118"/>
      <w:r>
        <w:rPr>
          <w:rFonts w:hint="eastAsia" w:ascii="方正仿宋_GBK" w:eastAsia="方正仿宋_GBK"/>
          <w:b/>
          <w:sz w:val="28"/>
        </w:rPr>
        <w:t>2.巡察工作绩效目标表</w:t>
      </w:r>
      <w:bookmarkEnd w:id="8"/>
      <w:r>
        <w:rPr>
          <w:rFonts w:ascii="方正仿宋_GBK" w:eastAsia="方正仿宋_GBK"/>
          <w:b/>
          <w:sz w:val="28"/>
        </w:rPr>
        <w:fldChar w:fldCharType="begin"/>
      </w:r>
      <w:r>
        <w:rPr>
          <w:rFonts w:hint="eastAsia" w:ascii="方正仿宋_GBK" w:eastAsia="方正仿宋_GBK"/>
          <w:b/>
          <w:sz w:val="28"/>
        </w:rPr>
        <w:instrText xml:space="preserve">TC 2、县委巡察工作绩效目标表 \f C \l 1</w:instrText>
      </w:r>
      <w:r>
        <w:rPr>
          <w:rFonts w:ascii="方正仿宋_GBK" w:eastAsia="方正仿宋_GBK"/>
          <w:b/>
          <w:sz w:val="28"/>
        </w:rPr>
        <w:fldChar w:fldCharType="end"/>
      </w:r>
    </w:p>
    <w:tbl>
      <w:tblPr>
        <w:tblStyle w:val="9"/>
        <w:tblW w:w="5000" w:type="pct"/>
        <w:tblInd w:w="0" w:type="dxa"/>
        <w:tblLayout w:type="fixed"/>
        <w:tblCellMar>
          <w:top w:w="0" w:type="dxa"/>
          <w:left w:w="108" w:type="dxa"/>
          <w:bottom w:w="0" w:type="dxa"/>
          <w:right w:w="108" w:type="dxa"/>
        </w:tblCellMar>
      </w:tblPr>
      <w:tblGrid>
        <w:gridCol w:w="1338"/>
        <w:gridCol w:w="1653"/>
        <w:gridCol w:w="1494"/>
        <w:gridCol w:w="3091"/>
        <w:gridCol w:w="853"/>
        <w:gridCol w:w="477"/>
        <w:gridCol w:w="2355"/>
        <w:gridCol w:w="1176"/>
        <w:gridCol w:w="1500"/>
      </w:tblGrid>
      <w:tr>
        <w:tblPrEx>
          <w:tblCellMar>
            <w:top w:w="0" w:type="dxa"/>
            <w:left w:w="108" w:type="dxa"/>
            <w:bottom w:w="0" w:type="dxa"/>
            <w:right w:w="108" w:type="dxa"/>
          </w:tblCellMar>
        </w:tblPrEx>
        <w:trPr>
          <w:trHeight w:val="375"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w:t>
            </w:r>
            <w:r>
              <w:rPr>
                <w:rFonts w:hint="eastAsia" w:cs="Calibri"/>
                <w:color w:val="000000"/>
                <w:kern w:val="0"/>
                <w:sz w:val="18"/>
                <w:szCs w:val="18"/>
                <w:lang w:val="en-US" w:eastAsia="zh-CN"/>
              </w:rPr>
              <w:t>4</w:t>
            </w:r>
            <w:r>
              <w:rPr>
                <w:rFonts w:cs="Calibri"/>
                <w:color w:val="000000"/>
                <w:kern w:val="0"/>
                <w:sz w:val="18"/>
                <w:szCs w:val="18"/>
              </w:rPr>
              <w:t>)</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23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13062324P00000110016U</w:t>
            </w:r>
            <w:r>
              <w:rPr>
                <w:rFonts w:cs="Calibri"/>
                <w:color w:val="000000"/>
                <w:kern w:val="0"/>
                <w:sz w:val="18"/>
                <w:szCs w:val="18"/>
              </w:rPr>
              <w:t>巡察工作</w:t>
            </w:r>
          </w:p>
        </w:tc>
        <w:tc>
          <w:tcPr>
            <w:tcW w:w="47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主管部门</w:t>
            </w:r>
          </w:p>
        </w:tc>
        <w:tc>
          <w:tcPr>
            <w:tcW w:w="180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[222]中国共产党涞水县纪律检查委员会</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23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[222001]中国共产党涞水县纪律检查委员会本级</w:t>
            </w:r>
          </w:p>
        </w:tc>
        <w:tc>
          <w:tcPr>
            <w:tcW w:w="47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80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40.000000</w:t>
            </w:r>
          </w:p>
        </w:tc>
      </w:tr>
      <w:tr>
        <w:tblPrEx>
          <w:tblCellMar>
            <w:top w:w="0" w:type="dxa"/>
            <w:left w:w="108" w:type="dxa"/>
            <w:bottom w:w="0" w:type="dxa"/>
            <w:right w:w="108" w:type="dxa"/>
          </w:tblCellMar>
        </w:tblPrEx>
        <w:trPr>
          <w:trHeight w:val="6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519"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用于开展巡察工作所需支付对租车费、差旅费、培训费及各项办公费用</w:t>
            </w:r>
          </w:p>
        </w:tc>
      </w:tr>
      <w:tr>
        <w:tblPrEx>
          <w:tblCellMar>
            <w:top w:w="0" w:type="dxa"/>
            <w:left w:w="108" w:type="dxa"/>
            <w:bottom w:w="0" w:type="dxa"/>
            <w:right w:w="108" w:type="dxa"/>
          </w:tblCellMar>
        </w:tblPrEx>
        <w:trPr>
          <w:trHeight w:val="405" w:hRule="atLeast"/>
        </w:trPr>
        <w:tc>
          <w:tcPr>
            <w:tcW w:w="48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tc>
        <w:tc>
          <w:tcPr>
            <w:tcW w:w="112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96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2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s="Calibri"/>
                <w:color w:val="000000"/>
                <w:kern w:val="0"/>
                <w:sz w:val="18"/>
                <w:szCs w:val="18"/>
                <w:lang w:eastAsia="zh-CN"/>
              </w:rPr>
            </w:pPr>
            <w:r>
              <w:rPr>
                <w:rFonts w:hint="eastAsia" w:cs="Calibri"/>
                <w:color w:val="000000"/>
                <w:kern w:val="0"/>
                <w:sz w:val="18"/>
                <w:szCs w:val="18"/>
                <w:lang w:val="en-US" w:eastAsia="zh-CN"/>
              </w:rPr>
              <w:t>1</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10</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15</w:t>
            </w:r>
          </w:p>
        </w:tc>
        <w:tc>
          <w:tcPr>
            <w:tcW w:w="96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hint="eastAsia" w:cs="Calibri"/>
                <w:color w:val="000000"/>
                <w:kern w:val="0"/>
                <w:sz w:val="18"/>
                <w:szCs w:val="18"/>
              </w:rPr>
              <w:t>40</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绩效目标</w:t>
            </w:r>
          </w:p>
        </w:tc>
        <w:tc>
          <w:tcPr>
            <w:tcW w:w="3926"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t>承担县委巡察工作，对县政府工作部门、人民团体党组（党委）班子及其成员等进行巡察等工作。</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593"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5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108"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421"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538"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0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42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覆盖率</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巡察工作覆盖率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90</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业务工作保障质量</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保障巡察工作质量</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对发现的问题进行整改到位</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按期完成率</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按时限要求完成巡察工作</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在规定时限内完成巡察任务</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607"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53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资金支付率</w:t>
            </w:r>
          </w:p>
        </w:tc>
        <w:tc>
          <w:tcPr>
            <w:tcW w:w="1108"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年底前资金支付率</w:t>
            </w:r>
          </w:p>
        </w:tc>
        <w:tc>
          <w:tcPr>
            <w:tcW w:w="30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71"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844"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1"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资金使用效益</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提高资金使用效益和管理水平</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为各项工作开展提供有效保障</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工作能力</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保障业务工作正常开展，提高工作完成率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被巡察单位工作效率进一步提高</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生态效益指标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社会影响力</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对经济社会发展产生长期重要影响</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推动社会经济进一步发展</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巡察期间接受举报比率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75</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bl>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ind w:firstLine="560" w:firstLineChars="200"/>
        <w:jc w:val="left"/>
        <w:outlineLvl w:val="3"/>
        <w:rPr>
          <w:rFonts w:hint="eastAsia" w:ascii="方正仿宋_GBK" w:eastAsia="方正仿宋_GBK"/>
          <w:b/>
          <w:sz w:val="28"/>
        </w:rPr>
      </w:pPr>
      <w:bookmarkStart w:id="9" w:name="_Toc62132119"/>
    </w:p>
    <w:p>
      <w:pPr>
        <w:ind w:firstLine="560" w:firstLineChars="200"/>
        <w:jc w:val="left"/>
        <w:outlineLvl w:val="3"/>
        <w:rPr>
          <w:rFonts w:hint="eastAsia" w:ascii="方正仿宋_GBK" w:eastAsia="方正仿宋_GBK"/>
          <w:b/>
          <w:sz w:val="28"/>
        </w:rPr>
      </w:pPr>
    </w:p>
    <w:p>
      <w:pPr>
        <w:ind w:firstLine="560" w:firstLineChars="200"/>
        <w:jc w:val="left"/>
        <w:outlineLvl w:val="3"/>
        <w:rPr>
          <w:rFonts w:ascii="Times New Roman" w:hAnsi="宋体"/>
          <w:b/>
          <w:sz w:val="28"/>
        </w:rPr>
      </w:pPr>
      <w:r>
        <w:rPr>
          <w:rFonts w:hint="eastAsia" w:ascii="方正仿宋_GBK" w:eastAsia="方正仿宋_GBK"/>
          <w:b/>
          <w:sz w:val="28"/>
        </w:rPr>
        <w:t>3.纪检监察事务管理绩效目标表</w:t>
      </w:r>
      <w:bookmarkEnd w:id="9"/>
      <w:r>
        <w:rPr>
          <w:rFonts w:ascii="方正仿宋_GBK" w:eastAsia="方正仿宋_GBK"/>
          <w:b/>
          <w:sz w:val="28"/>
        </w:rPr>
        <w:fldChar w:fldCharType="begin"/>
      </w:r>
      <w:r>
        <w:rPr>
          <w:rFonts w:hint="eastAsia" w:ascii="方正仿宋_GBK" w:eastAsia="方正仿宋_GBK"/>
          <w:b/>
          <w:sz w:val="28"/>
        </w:rPr>
        <w:instrText xml:space="preserve">TC 3、纪检监察事务管理绩效目标表 \f C \l 1</w:instrText>
      </w:r>
      <w:r>
        <w:rPr>
          <w:rFonts w:ascii="方正仿宋_GBK" w:eastAsia="方正仿宋_GBK"/>
          <w:b/>
          <w:sz w:val="28"/>
        </w:rPr>
        <w:fldChar w:fldCharType="end"/>
      </w:r>
    </w:p>
    <w:tbl>
      <w:tblPr>
        <w:tblStyle w:val="9"/>
        <w:tblW w:w="5000" w:type="pct"/>
        <w:tblInd w:w="0" w:type="dxa"/>
        <w:tblLayout w:type="autofit"/>
        <w:tblCellMar>
          <w:top w:w="0" w:type="dxa"/>
          <w:left w:w="108" w:type="dxa"/>
          <w:bottom w:w="0" w:type="dxa"/>
          <w:right w:w="108" w:type="dxa"/>
        </w:tblCellMar>
      </w:tblPr>
      <w:tblGrid>
        <w:gridCol w:w="1206"/>
        <w:gridCol w:w="1485"/>
        <w:gridCol w:w="2190"/>
        <w:gridCol w:w="3458"/>
        <w:gridCol w:w="780"/>
        <w:gridCol w:w="359"/>
        <w:gridCol w:w="2049"/>
        <w:gridCol w:w="1066"/>
        <w:gridCol w:w="1344"/>
      </w:tblGrid>
      <w:tr>
        <w:tblPrEx>
          <w:tblCellMar>
            <w:top w:w="0" w:type="dxa"/>
            <w:left w:w="108" w:type="dxa"/>
            <w:bottom w:w="0" w:type="dxa"/>
            <w:right w:w="108" w:type="dxa"/>
          </w:tblCellMar>
        </w:tblPrEx>
        <w:trPr>
          <w:trHeight w:val="300"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w:t>
            </w:r>
            <w:r>
              <w:rPr>
                <w:rFonts w:hint="eastAsia" w:cs="Calibri"/>
                <w:color w:val="000000"/>
                <w:kern w:val="0"/>
                <w:sz w:val="18"/>
                <w:szCs w:val="18"/>
                <w:lang w:val="en-US" w:eastAsia="zh-CN"/>
              </w:rPr>
              <w:t>4</w:t>
            </w:r>
            <w:r>
              <w:rPr>
                <w:rFonts w:cs="Calibri"/>
                <w:color w:val="000000"/>
                <w:kern w:val="0"/>
                <w:sz w:val="18"/>
                <w:szCs w:val="18"/>
              </w:rPr>
              <w:t>)</w:t>
            </w:r>
          </w:p>
        </w:tc>
      </w:tr>
      <w:tr>
        <w:tblPrEx>
          <w:tblCellMar>
            <w:top w:w="0" w:type="dxa"/>
            <w:left w:w="108" w:type="dxa"/>
            <w:bottom w:w="0" w:type="dxa"/>
            <w:right w:w="108" w:type="dxa"/>
          </w:tblCellMar>
        </w:tblPrEx>
        <w:trPr>
          <w:trHeight w:val="300" w:hRule="atLeast"/>
        </w:trPr>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55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13062324P000001100158</w:t>
            </w:r>
            <w:r>
              <w:rPr>
                <w:rFonts w:cs="Calibri"/>
                <w:color w:val="000000"/>
                <w:kern w:val="0"/>
                <w:sz w:val="18"/>
                <w:szCs w:val="18"/>
              </w:rPr>
              <w:t>纪检监察事务管理</w:t>
            </w:r>
          </w:p>
        </w:tc>
        <w:tc>
          <w:tcPr>
            <w:tcW w:w="40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主管部门</w:t>
            </w:r>
          </w:p>
        </w:tc>
        <w:tc>
          <w:tcPr>
            <w:tcW w:w="159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[222]中国共产党涞水县纪律检查委员会</w:t>
            </w:r>
          </w:p>
        </w:tc>
      </w:tr>
      <w:tr>
        <w:tblPrEx>
          <w:tblCellMar>
            <w:top w:w="0" w:type="dxa"/>
            <w:left w:w="108" w:type="dxa"/>
            <w:bottom w:w="0" w:type="dxa"/>
            <w:right w:w="108" w:type="dxa"/>
          </w:tblCellMar>
        </w:tblPrEx>
        <w:trPr>
          <w:trHeight w:val="300"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55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[222001]中国共产党涞水县纪律检查委员会本级</w:t>
            </w:r>
          </w:p>
        </w:tc>
        <w:tc>
          <w:tcPr>
            <w:tcW w:w="40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59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hint="eastAsia" w:cs="Calibri"/>
                <w:color w:val="000000"/>
                <w:kern w:val="0"/>
                <w:sz w:val="18"/>
                <w:szCs w:val="18"/>
                <w:lang w:val="en-US" w:eastAsia="zh-CN"/>
              </w:rPr>
              <w:t>145</w:t>
            </w:r>
            <w:r>
              <w:rPr>
                <w:rFonts w:cs="Calibri"/>
                <w:color w:val="000000"/>
                <w:kern w:val="0"/>
                <w:sz w:val="18"/>
                <w:szCs w:val="18"/>
              </w:rPr>
              <w:t>.000000</w:t>
            </w:r>
          </w:p>
        </w:tc>
      </w:tr>
      <w:tr>
        <w:tblPrEx>
          <w:tblCellMar>
            <w:top w:w="0" w:type="dxa"/>
            <w:left w:w="108" w:type="dxa"/>
            <w:bottom w:w="0" w:type="dxa"/>
            <w:right w:w="108" w:type="dxa"/>
          </w:tblCellMar>
        </w:tblPrEx>
        <w:trPr>
          <w:trHeight w:val="600"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567"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纪检监察系统网络安全及信息化建设、办公用房及公务用车管理、干部培训及其他事务管理、机关食堂运行与维护；其他纪检监察事务等工作。</w:t>
            </w:r>
          </w:p>
        </w:tc>
      </w:tr>
      <w:tr>
        <w:tblPrEx>
          <w:tblCellMar>
            <w:top w:w="0" w:type="dxa"/>
            <w:left w:w="108" w:type="dxa"/>
            <w:bottom w:w="0" w:type="dxa"/>
            <w:right w:w="108" w:type="dxa"/>
          </w:tblCellMar>
        </w:tblPrEx>
        <w:trPr>
          <w:trHeight w:val="405" w:hRule="atLeast"/>
        </w:trPr>
        <w:tc>
          <w:tcPr>
            <w:tcW w:w="43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tc>
        <w:tc>
          <w:tcPr>
            <w:tcW w:w="131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14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86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31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s="Calibri"/>
                <w:color w:val="000000"/>
                <w:kern w:val="0"/>
                <w:sz w:val="18"/>
                <w:szCs w:val="18"/>
                <w:lang w:eastAsia="zh-CN"/>
              </w:rPr>
            </w:pPr>
            <w:r>
              <w:rPr>
                <w:rFonts w:hint="eastAsia" w:cs="Calibri"/>
                <w:color w:val="000000"/>
                <w:kern w:val="0"/>
                <w:sz w:val="18"/>
                <w:szCs w:val="18"/>
                <w:lang w:val="en-US" w:eastAsia="zh-CN"/>
              </w:rPr>
              <w:t>5</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10</w:t>
            </w:r>
          </w:p>
        </w:tc>
        <w:tc>
          <w:tcPr>
            <w:tcW w:w="114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20</w:t>
            </w:r>
          </w:p>
        </w:tc>
        <w:tc>
          <w:tcPr>
            <w:tcW w:w="86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145</w:t>
            </w:r>
          </w:p>
        </w:tc>
      </w:tr>
      <w:tr>
        <w:tblPrEx>
          <w:tblCellMar>
            <w:top w:w="0" w:type="dxa"/>
            <w:left w:w="108" w:type="dxa"/>
            <w:bottom w:w="0" w:type="dxa"/>
            <w:right w:w="108" w:type="dxa"/>
          </w:tblCellMar>
        </w:tblPrEx>
        <w:trPr>
          <w:trHeight w:val="300"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绩效目标</w:t>
            </w:r>
          </w:p>
        </w:tc>
        <w:tc>
          <w:tcPr>
            <w:tcW w:w="4034"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t>纪检监察系统网络安全及信息化建设、办公用房及公务用车管理、干部培训及其他事务管理、机关食堂运行与维护；其他纪检监察事务等工作</w:t>
            </w:r>
            <w:r>
              <w:tab/>
            </w:r>
          </w:p>
        </w:tc>
      </w:tr>
      <w:tr>
        <w:tblPrEx>
          <w:tblCellMar>
            <w:top w:w="0" w:type="dxa"/>
            <w:left w:w="108" w:type="dxa"/>
            <w:bottom w:w="0" w:type="dxa"/>
            <w:right w:w="108" w:type="dxa"/>
          </w:tblCellMar>
        </w:tblPrEx>
        <w:trPr>
          <w:trHeight w:val="300" w:hRule="atLeast"/>
        </w:trPr>
        <w:tc>
          <w:tcPr>
            <w:tcW w:w="43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53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78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24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14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38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48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78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4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38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trPr>
        <w:tc>
          <w:tcPr>
            <w:tcW w:w="43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开展执法检查次数</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开展执法检查情况</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1</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次</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开展执法检查次数</w:t>
            </w:r>
          </w:p>
        </w:tc>
      </w:tr>
      <w:tr>
        <w:tblPrEx>
          <w:tblCellMar>
            <w:top w:w="0" w:type="dxa"/>
            <w:left w:w="108" w:type="dxa"/>
            <w:bottom w:w="0" w:type="dxa"/>
            <w:right w:w="108" w:type="dxa"/>
          </w:tblCellMar>
        </w:tblPrEx>
        <w:trPr>
          <w:trHeight w:val="300"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案件信息录入率</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办案系统中录入案件信息数占全部案件信息数的比例</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90</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按时办结率</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xml:space="preserve">督查督办工作按时办结的比重 </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78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资金执行率</w:t>
            </w:r>
          </w:p>
        </w:tc>
        <w:tc>
          <w:tcPr>
            <w:tcW w:w="124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资金执行率</w:t>
            </w:r>
          </w:p>
        </w:tc>
        <w:tc>
          <w:tcPr>
            <w:tcW w:w="279"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73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8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3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党风廉政效益指标：违纪犯罪率</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发生严重违纪犯罪比例</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10</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维护社会稳定</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减少信访政治事件</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5</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987"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可持续影响指标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继续推动</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进一步</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持续推动政治环境进一步好转</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举报人满意数占总举报人对比重</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Times New Roman" w:hAnsi="宋体"/>
          <w:b/>
          <w:sz w:val="28"/>
        </w:rPr>
      </w:pPr>
      <w:bookmarkStart w:id="10" w:name="_Toc536088149"/>
      <w:r>
        <w:rPr>
          <w:rFonts w:hint="eastAsia" w:ascii="方正仿宋_GBK" w:eastAsia="方正仿宋_GBK"/>
          <w:b/>
          <w:sz w:val="28"/>
          <w:lang w:val="en-US" w:eastAsia="zh-CN"/>
        </w:rPr>
        <w:t>4.中央政法纪检监察转移支付资金</w:t>
      </w:r>
      <w:r>
        <w:rPr>
          <w:rFonts w:ascii="方正仿宋_GBK" w:eastAsia="方正仿宋_GBK"/>
          <w:b/>
          <w:sz w:val="28"/>
        </w:rPr>
        <w:fldChar w:fldCharType="begin"/>
      </w:r>
      <w:r>
        <w:rPr>
          <w:rFonts w:hint="eastAsia" w:ascii="方正仿宋_GBK" w:eastAsia="方正仿宋_GBK"/>
          <w:b/>
          <w:sz w:val="28"/>
        </w:rPr>
        <w:instrText xml:space="preserve">TC 3、纪检监察事务管理绩效目标表 \f C \l 1</w:instrText>
      </w:r>
      <w:r>
        <w:rPr>
          <w:rFonts w:ascii="方正仿宋_GBK" w:eastAsia="方正仿宋_GBK"/>
          <w:b/>
          <w:sz w:val="28"/>
        </w:rPr>
        <w:fldChar w:fldCharType="end"/>
      </w:r>
    </w:p>
    <w:tbl>
      <w:tblPr>
        <w:tblStyle w:val="9"/>
        <w:tblW w:w="5000" w:type="pct"/>
        <w:tblInd w:w="0" w:type="dxa"/>
        <w:tblLayout w:type="fixed"/>
        <w:tblCellMar>
          <w:top w:w="0" w:type="dxa"/>
          <w:left w:w="108" w:type="dxa"/>
          <w:bottom w:w="0" w:type="dxa"/>
          <w:right w:w="108" w:type="dxa"/>
        </w:tblCellMar>
      </w:tblPr>
      <w:tblGrid>
        <w:gridCol w:w="1101"/>
        <w:gridCol w:w="1349"/>
        <w:gridCol w:w="2210"/>
        <w:gridCol w:w="3454"/>
        <w:gridCol w:w="825"/>
        <w:gridCol w:w="555"/>
        <w:gridCol w:w="1934"/>
        <w:gridCol w:w="1107"/>
        <w:gridCol w:w="1402"/>
      </w:tblGrid>
      <w:tr>
        <w:tblPrEx>
          <w:tblCellMar>
            <w:top w:w="0" w:type="dxa"/>
            <w:left w:w="108" w:type="dxa"/>
            <w:bottom w:w="0" w:type="dxa"/>
            <w:right w:w="108" w:type="dxa"/>
          </w:tblCellMar>
        </w:tblPrEx>
        <w:trPr>
          <w:trHeight w:val="300"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w:t>
            </w:r>
            <w:r>
              <w:rPr>
                <w:rFonts w:hint="eastAsia" w:cs="Calibri"/>
                <w:color w:val="000000"/>
                <w:kern w:val="0"/>
                <w:sz w:val="18"/>
                <w:szCs w:val="18"/>
                <w:lang w:val="en-US" w:eastAsia="zh-CN"/>
              </w:rPr>
              <w:t>4</w:t>
            </w:r>
            <w:r>
              <w:rPr>
                <w:rFonts w:cs="Calibri"/>
                <w:color w:val="000000"/>
                <w:kern w:val="0"/>
                <w:sz w:val="18"/>
                <w:szCs w:val="18"/>
              </w:rPr>
              <w:t>)</w:t>
            </w:r>
          </w:p>
        </w:tc>
      </w:tr>
      <w:tr>
        <w:tblPrEx>
          <w:tblCellMar>
            <w:top w:w="0" w:type="dxa"/>
            <w:left w:w="108" w:type="dxa"/>
            <w:bottom w:w="0" w:type="dxa"/>
            <w:right w:w="108" w:type="dxa"/>
          </w:tblCellMar>
        </w:tblPrEx>
        <w:trPr>
          <w:trHeight w:val="300" w:hRule="atLeast"/>
        </w:trPr>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515"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13062324P00939510002P中央政法纪检监察转移支付资金（冀财政法【2023】49号）</w:t>
            </w:r>
          </w:p>
        </w:tc>
        <w:tc>
          <w:tcPr>
            <w:tcW w:w="495"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主管部门</w:t>
            </w:r>
          </w:p>
        </w:tc>
        <w:tc>
          <w:tcPr>
            <w:tcW w:w="159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[222]中国共产党涞水县纪律检查委员会</w:t>
            </w:r>
          </w:p>
        </w:tc>
      </w:tr>
      <w:tr>
        <w:tblPrEx>
          <w:tblCellMar>
            <w:top w:w="0" w:type="dxa"/>
            <w:left w:w="108" w:type="dxa"/>
            <w:bottom w:w="0" w:type="dxa"/>
            <w:right w:w="108" w:type="dxa"/>
          </w:tblCellMar>
        </w:tblPrEx>
        <w:trPr>
          <w:trHeight w:val="300"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515"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[222001]中国共产党涞水县纪律检查委员会本级</w:t>
            </w:r>
          </w:p>
        </w:tc>
        <w:tc>
          <w:tcPr>
            <w:tcW w:w="495"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59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hint="default" w:cs="Calibri"/>
                <w:color w:val="000000"/>
                <w:kern w:val="0"/>
                <w:sz w:val="18"/>
                <w:szCs w:val="18"/>
                <w:lang w:val="en-US"/>
              </w:rPr>
            </w:pPr>
            <w:r>
              <w:rPr>
                <w:rFonts w:hint="eastAsia" w:cs="Calibri"/>
                <w:color w:val="000000"/>
                <w:kern w:val="0"/>
                <w:sz w:val="18"/>
                <w:szCs w:val="18"/>
                <w:lang w:val="en-US" w:eastAsia="zh-CN"/>
              </w:rPr>
              <w:t>70</w:t>
            </w:r>
          </w:p>
        </w:tc>
      </w:tr>
      <w:tr>
        <w:tblPrEx>
          <w:tblCellMar>
            <w:top w:w="0" w:type="dxa"/>
            <w:left w:w="108" w:type="dxa"/>
            <w:bottom w:w="0" w:type="dxa"/>
            <w:right w:w="108" w:type="dxa"/>
          </w:tblCellMar>
        </w:tblPrEx>
        <w:trPr>
          <w:trHeight w:val="600"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605"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通过中央政法纪检监察转移支付资金的有效使用，保障我县纪委各部门办案经费充足，提升各办案单位设备质量，进而保证办案质量，推动我县纪检监察工作高质量发展</w:t>
            </w:r>
          </w:p>
        </w:tc>
      </w:tr>
      <w:tr>
        <w:tblPrEx>
          <w:tblCellMar>
            <w:top w:w="0" w:type="dxa"/>
            <w:left w:w="108" w:type="dxa"/>
            <w:bottom w:w="0" w:type="dxa"/>
            <w:right w:w="108" w:type="dxa"/>
          </w:tblCellMar>
        </w:tblPrEx>
        <w:trPr>
          <w:trHeight w:val="405" w:hRule="atLeast"/>
        </w:trPr>
        <w:tc>
          <w:tcPr>
            <w:tcW w:w="39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tc>
        <w:tc>
          <w:tcPr>
            <w:tcW w:w="127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23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18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90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trPr>
        <w:tc>
          <w:tcPr>
            <w:tcW w:w="39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7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s="Calibri"/>
                <w:color w:val="000000"/>
                <w:kern w:val="0"/>
                <w:sz w:val="18"/>
                <w:szCs w:val="18"/>
                <w:lang w:eastAsia="zh-CN"/>
              </w:rPr>
            </w:pPr>
            <w:r>
              <w:rPr>
                <w:rFonts w:hint="eastAsia" w:cs="Calibri"/>
                <w:color w:val="000000"/>
                <w:kern w:val="0"/>
                <w:sz w:val="18"/>
                <w:szCs w:val="18"/>
                <w:lang w:val="en-US" w:eastAsia="zh-CN"/>
              </w:rPr>
              <w:t>2</w:t>
            </w:r>
          </w:p>
        </w:tc>
        <w:tc>
          <w:tcPr>
            <w:tcW w:w="123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5</w:t>
            </w:r>
          </w:p>
        </w:tc>
        <w:tc>
          <w:tcPr>
            <w:tcW w:w="118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20</w:t>
            </w:r>
          </w:p>
        </w:tc>
        <w:tc>
          <w:tcPr>
            <w:tcW w:w="90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70</w:t>
            </w:r>
          </w:p>
        </w:tc>
      </w:tr>
      <w:tr>
        <w:tblPrEx>
          <w:tblCellMar>
            <w:top w:w="0" w:type="dxa"/>
            <w:left w:w="108" w:type="dxa"/>
            <w:bottom w:w="0" w:type="dxa"/>
            <w:right w:w="108" w:type="dxa"/>
          </w:tblCellMar>
        </w:tblPrEx>
        <w:trPr>
          <w:trHeight w:val="300"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绩效目标</w:t>
            </w:r>
          </w:p>
        </w:tc>
        <w:tc>
          <w:tcPr>
            <w:tcW w:w="4121"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t>通过中央政法纪检监察转移支付资金的有效使用，保障我县纪委各部门办案经费充足，提升各办案单位设备质量，进而保证办案质量，推动我县纪检监察工作高质量发展</w:t>
            </w:r>
            <w:r>
              <w:tab/>
            </w:r>
          </w:p>
        </w:tc>
      </w:tr>
      <w:tr>
        <w:tblPrEx>
          <w:tblCellMar>
            <w:top w:w="0" w:type="dxa"/>
            <w:left w:w="108" w:type="dxa"/>
            <w:bottom w:w="0" w:type="dxa"/>
            <w:right w:w="108" w:type="dxa"/>
          </w:tblCellMar>
        </w:tblPrEx>
        <w:trPr>
          <w:trHeight w:val="300" w:hRule="atLeast"/>
        </w:trPr>
        <w:tc>
          <w:tcPr>
            <w:tcW w:w="39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483"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79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23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18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39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50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trPr>
        <w:tc>
          <w:tcPr>
            <w:tcW w:w="39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79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3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29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9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693"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39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0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trPr>
        <w:tc>
          <w:tcPr>
            <w:tcW w:w="39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792"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购置办公办案设备数量</w:t>
            </w:r>
          </w:p>
        </w:tc>
        <w:tc>
          <w:tcPr>
            <w:tcW w:w="1239"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购置办公办案设备数量、购买专用执法执勤用车2辆</w:t>
            </w:r>
          </w:p>
        </w:tc>
        <w:tc>
          <w:tcPr>
            <w:tcW w:w="29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99"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eastAsia="宋体" w:cs="Calibri"/>
                <w:color w:val="000000"/>
                <w:kern w:val="0"/>
                <w:sz w:val="18"/>
                <w:szCs w:val="18"/>
                <w:lang w:eastAsia="zh-CN"/>
              </w:rPr>
            </w:pPr>
            <w:r>
              <w:rPr>
                <w:rFonts w:hint="eastAsia" w:cs="Calibri"/>
                <w:color w:val="000000"/>
                <w:kern w:val="0"/>
                <w:sz w:val="18"/>
                <w:szCs w:val="18"/>
                <w:lang w:val="en-US" w:eastAsia="zh-CN"/>
              </w:rPr>
              <w:t>5</w:t>
            </w:r>
          </w:p>
        </w:tc>
        <w:tc>
          <w:tcPr>
            <w:tcW w:w="6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台</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文件依据</w:t>
            </w:r>
          </w:p>
        </w:tc>
        <w:tc>
          <w:tcPr>
            <w:tcW w:w="50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w:t>
            </w:r>
          </w:p>
        </w:tc>
      </w:tr>
      <w:tr>
        <w:tblPrEx>
          <w:tblCellMar>
            <w:top w:w="0" w:type="dxa"/>
            <w:left w:w="108" w:type="dxa"/>
            <w:bottom w:w="0" w:type="dxa"/>
            <w:right w:w="108" w:type="dxa"/>
          </w:tblCellMar>
        </w:tblPrEx>
        <w:trPr>
          <w:trHeight w:val="300" w:hRule="atLeast"/>
        </w:trPr>
        <w:tc>
          <w:tcPr>
            <w:tcW w:w="39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792"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购置办公办案设备合格率</w:t>
            </w:r>
          </w:p>
        </w:tc>
        <w:tc>
          <w:tcPr>
            <w:tcW w:w="1239"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购置办公办案设备合格率</w:t>
            </w:r>
          </w:p>
        </w:tc>
        <w:tc>
          <w:tcPr>
            <w:tcW w:w="29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99"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default" w:eastAsia="宋体" w:cs="Calibri"/>
                <w:color w:val="000000"/>
                <w:kern w:val="0"/>
                <w:sz w:val="18"/>
                <w:szCs w:val="18"/>
                <w:lang w:val="en-US" w:eastAsia="zh-CN"/>
              </w:rPr>
            </w:pPr>
            <w:r>
              <w:rPr>
                <w:rFonts w:hint="eastAsia" w:cs="Calibri"/>
                <w:color w:val="000000"/>
                <w:kern w:val="0"/>
                <w:sz w:val="18"/>
                <w:szCs w:val="18"/>
                <w:lang w:val="en-US" w:eastAsia="zh-CN"/>
              </w:rPr>
              <w:t>100</w:t>
            </w:r>
          </w:p>
        </w:tc>
        <w:tc>
          <w:tcPr>
            <w:tcW w:w="6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hint="eastAsia" w:cs="Calibri"/>
                <w:color w:val="000000"/>
                <w:kern w:val="0"/>
                <w:sz w:val="18"/>
                <w:szCs w:val="18"/>
                <w:lang w:eastAsia="zh-CN"/>
              </w:rPr>
              <w:t>文件依据</w:t>
            </w:r>
          </w:p>
        </w:tc>
        <w:tc>
          <w:tcPr>
            <w:tcW w:w="50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39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792"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资金在规定时间下达率</w:t>
            </w:r>
          </w:p>
        </w:tc>
        <w:tc>
          <w:tcPr>
            <w:tcW w:w="1239"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资金在规定时间下达率</w:t>
            </w:r>
          </w:p>
        </w:tc>
        <w:tc>
          <w:tcPr>
            <w:tcW w:w="29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99"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default" w:eastAsia="宋体" w:cs="Calibri"/>
                <w:color w:val="000000"/>
                <w:kern w:val="0"/>
                <w:sz w:val="18"/>
                <w:szCs w:val="18"/>
                <w:lang w:val="en-US" w:eastAsia="zh-CN"/>
              </w:rPr>
            </w:pPr>
            <w:r>
              <w:rPr>
                <w:rFonts w:hint="eastAsia" w:cs="Calibri"/>
                <w:color w:val="000000"/>
                <w:kern w:val="0"/>
                <w:sz w:val="18"/>
                <w:szCs w:val="18"/>
                <w:lang w:val="en-US" w:eastAsia="zh-CN"/>
              </w:rPr>
              <w:t>100</w:t>
            </w:r>
          </w:p>
        </w:tc>
        <w:tc>
          <w:tcPr>
            <w:tcW w:w="6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hint="eastAsia" w:cs="Calibri"/>
                <w:color w:val="000000"/>
                <w:kern w:val="0"/>
                <w:sz w:val="18"/>
                <w:szCs w:val="18"/>
                <w:lang w:eastAsia="zh-CN"/>
              </w:rPr>
              <w:t>文件依据</w:t>
            </w:r>
          </w:p>
        </w:tc>
        <w:tc>
          <w:tcPr>
            <w:tcW w:w="50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39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792"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预算数</w:t>
            </w:r>
          </w:p>
        </w:tc>
        <w:tc>
          <w:tcPr>
            <w:tcW w:w="1239"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预算数</w:t>
            </w:r>
          </w:p>
        </w:tc>
        <w:tc>
          <w:tcPr>
            <w:tcW w:w="29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99"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693" w:type="pct"/>
            <w:tcBorders>
              <w:top w:val="nil"/>
              <w:left w:val="nil"/>
              <w:bottom w:val="single" w:color="auto" w:sz="4" w:space="0"/>
              <w:right w:val="single" w:color="auto" w:sz="4" w:space="0"/>
            </w:tcBorders>
            <w:shd w:val="clear" w:color="auto" w:fill="auto"/>
            <w:noWrap/>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万元</w:t>
            </w:r>
          </w:p>
        </w:tc>
        <w:tc>
          <w:tcPr>
            <w:tcW w:w="397"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hint="eastAsia" w:cs="Calibri"/>
                <w:color w:val="000000"/>
                <w:kern w:val="0"/>
                <w:sz w:val="18"/>
                <w:szCs w:val="18"/>
                <w:lang w:eastAsia="zh-CN"/>
              </w:rPr>
              <w:t>文件依据</w:t>
            </w:r>
          </w:p>
        </w:tc>
        <w:tc>
          <w:tcPr>
            <w:tcW w:w="50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hint="eastAsia" w:cs="Calibri"/>
                <w:color w:val="000000"/>
                <w:kern w:val="0"/>
                <w:sz w:val="18"/>
                <w:szCs w:val="18"/>
                <w:lang w:eastAsia="zh-CN"/>
              </w:rPr>
              <w:t>社会</w:t>
            </w:r>
            <w:r>
              <w:rPr>
                <w:rFonts w:cs="Calibri"/>
                <w:color w:val="000000"/>
                <w:kern w:val="0"/>
                <w:sz w:val="18"/>
                <w:szCs w:val="18"/>
              </w:rPr>
              <w:t>效益指标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完善纪检监察系统建设</w:t>
            </w:r>
          </w:p>
        </w:tc>
        <w:tc>
          <w:tcPr>
            <w:tcW w:w="123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hint="eastAsia" w:cs="Calibri"/>
                <w:color w:val="000000"/>
                <w:kern w:val="0"/>
                <w:sz w:val="18"/>
                <w:szCs w:val="18"/>
                <w:lang w:eastAsia="zh-CN"/>
              </w:rPr>
              <w:t>完善纪检监察系统建设</w:t>
            </w:r>
          </w:p>
        </w:tc>
        <w:tc>
          <w:tcPr>
            <w:tcW w:w="29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99"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default" w:eastAsia="宋体" w:cs="Calibri"/>
                <w:color w:val="000000"/>
                <w:kern w:val="0"/>
                <w:sz w:val="18"/>
                <w:szCs w:val="18"/>
                <w:lang w:val="en-US" w:eastAsia="zh-CN"/>
              </w:rPr>
            </w:pPr>
            <w:r>
              <w:rPr>
                <w:rFonts w:hint="eastAsia" w:cs="Calibri"/>
                <w:color w:val="000000"/>
                <w:kern w:val="0"/>
                <w:sz w:val="18"/>
                <w:szCs w:val="18"/>
                <w:lang w:val="en-US" w:eastAsia="zh-CN"/>
              </w:rPr>
              <w:t>95</w:t>
            </w:r>
          </w:p>
        </w:tc>
        <w:tc>
          <w:tcPr>
            <w:tcW w:w="6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文件依据</w:t>
            </w:r>
          </w:p>
        </w:tc>
        <w:tc>
          <w:tcPr>
            <w:tcW w:w="50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服务对象满意度</w:t>
            </w:r>
          </w:p>
        </w:tc>
        <w:tc>
          <w:tcPr>
            <w:tcW w:w="123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hint="eastAsia" w:cs="Calibri"/>
                <w:color w:val="000000"/>
                <w:kern w:val="0"/>
                <w:sz w:val="18"/>
                <w:szCs w:val="18"/>
                <w:lang w:eastAsia="zh-CN"/>
              </w:rPr>
              <w:t>服务对象满意度</w:t>
            </w:r>
          </w:p>
        </w:tc>
        <w:tc>
          <w:tcPr>
            <w:tcW w:w="29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99"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default" w:eastAsia="宋体" w:cs="Calibri"/>
                <w:color w:val="000000"/>
                <w:kern w:val="0"/>
                <w:sz w:val="18"/>
                <w:szCs w:val="18"/>
                <w:lang w:val="en-US" w:eastAsia="zh-CN"/>
              </w:rPr>
            </w:pPr>
            <w:r>
              <w:rPr>
                <w:rFonts w:hint="eastAsia" w:cs="Calibri"/>
                <w:color w:val="000000"/>
                <w:kern w:val="0"/>
                <w:sz w:val="18"/>
                <w:szCs w:val="18"/>
                <w:lang w:val="en-US" w:eastAsia="zh-CN"/>
              </w:rPr>
              <w:t>95</w:t>
            </w:r>
          </w:p>
        </w:tc>
        <w:tc>
          <w:tcPr>
            <w:tcW w:w="6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文件依据</w:t>
            </w:r>
          </w:p>
        </w:tc>
        <w:tc>
          <w:tcPr>
            <w:tcW w:w="50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完成指标值</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520" w:lineRule="exact"/>
        <w:outlineLvl w:val="0"/>
        <w:rPr>
          <w:rFonts w:ascii="仿宋" w:hAnsi="仿宋" w:eastAsia="仿宋"/>
          <w:sz w:val="32"/>
          <w:szCs w:val="32"/>
        </w:rPr>
      </w:pPr>
      <w:r>
        <w:rPr>
          <w:rFonts w:hint="eastAsia" w:ascii="黑体" w:hAnsi="黑体" w:eastAsia="黑体"/>
          <w:sz w:val="32"/>
          <w:szCs w:val="32"/>
        </w:rPr>
        <w:t>六、政府采购预算情况</w:t>
      </w:r>
    </w:p>
    <w:p>
      <w:pPr>
        <w:spacing w:line="520" w:lineRule="exact"/>
        <w:ind w:firstLine="1285" w:firstLineChars="400"/>
        <w:jc w:val="center"/>
        <w:rPr>
          <w:rFonts w:ascii="仿宋" w:hAnsi="仿宋" w:eastAsia="仿宋"/>
          <w:b/>
          <w:sz w:val="32"/>
          <w:szCs w:val="32"/>
        </w:rPr>
      </w:pPr>
      <w:r>
        <w:rPr>
          <w:rFonts w:ascii="仿宋" w:hAnsi="仿宋" w:eastAsia="仿宋"/>
          <w:b/>
          <w:sz w:val="32"/>
          <w:szCs w:val="32"/>
        </w:rPr>
        <w:t>政府采购预算表</w:t>
      </w:r>
    </w:p>
    <w:tbl>
      <w:tblPr>
        <w:tblStyle w:val="9"/>
        <w:tblW w:w="150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276"/>
        <w:gridCol w:w="709"/>
        <w:gridCol w:w="709"/>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3" w:type="dxa"/>
            <w:gridSpan w:val="7"/>
            <w:tcBorders>
              <w:top w:val="single" w:color="FFFFFF" w:sz="6" w:space="0"/>
              <w:left w:val="single" w:color="FFFFFF" w:sz="6" w:space="0"/>
              <w:right w:val="single" w:color="FFFFFF" w:sz="6" w:space="0"/>
            </w:tcBorders>
            <w:vAlign w:val="center"/>
          </w:tcPr>
          <w:p>
            <w:pPr>
              <w:pStyle w:val="20"/>
            </w:pPr>
            <w:r>
              <w:t>222中国共产党涞水县纪律检查委员会</w:t>
            </w:r>
          </w:p>
        </w:tc>
        <w:tc>
          <w:tcPr>
            <w:tcW w:w="7712"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276" w:type="dxa"/>
            <w:vMerge w:val="restart"/>
            <w:vAlign w:val="center"/>
          </w:tcPr>
          <w:p>
            <w:pPr>
              <w:pStyle w:val="22"/>
            </w:pPr>
            <w:r>
              <w:t>政府采购目录序号</w:t>
            </w:r>
          </w:p>
        </w:tc>
        <w:tc>
          <w:tcPr>
            <w:tcW w:w="709" w:type="dxa"/>
            <w:vMerge w:val="restart"/>
            <w:vAlign w:val="center"/>
          </w:tcPr>
          <w:p>
            <w:pPr>
              <w:pStyle w:val="22"/>
            </w:pPr>
            <w:r>
              <w:t>计量  单位</w:t>
            </w:r>
          </w:p>
        </w:tc>
        <w:tc>
          <w:tcPr>
            <w:tcW w:w="709" w:type="dxa"/>
            <w:vMerge w:val="restart"/>
            <w:vAlign w:val="center"/>
          </w:tcPr>
          <w:p>
            <w:pPr>
              <w:pStyle w:val="22"/>
            </w:pPr>
            <w:r>
              <w:t>数量</w:t>
            </w:r>
          </w:p>
        </w:tc>
        <w:tc>
          <w:tcPr>
            <w:tcW w:w="850" w:type="dxa"/>
            <w:vMerge w:val="restart"/>
            <w:vAlign w:val="center"/>
          </w:tcPr>
          <w:p>
            <w:pPr>
              <w:pStyle w:val="22"/>
            </w:pPr>
            <w:r>
              <w:t>单价</w:t>
            </w:r>
          </w:p>
        </w:tc>
        <w:tc>
          <w:tcPr>
            <w:tcW w:w="6748" w:type="dxa"/>
            <w:gridSpan w:val="7"/>
            <w:vAlign w:val="center"/>
          </w:tcPr>
          <w:p>
            <w:pPr>
              <w:pStyle w:val="22"/>
            </w:pPr>
            <w:r>
              <w:t>政府采购金额（当年部门预算安排资金）</w:t>
            </w:r>
          </w:p>
        </w:tc>
        <w:tc>
          <w:tcPr>
            <w:tcW w:w="964" w:type="dxa"/>
            <w:vMerge w:val="restart"/>
            <w:vAlign w:val="center"/>
          </w:tcPr>
          <w:p>
            <w:pPr>
              <w:pStyle w:val="2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t>项目名称</w:t>
            </w:r>
          </w:p>
        </w:tc>
        <w:tc>
          <w:tcPr>
            <w:tcW w:w="964" w:type="dxa"/>
            <w:vAlign w:val="center"/>
          </w:tcPr>
          <w:p>
            <w:pPr>
              <w:pStyle w:val="22"/>
            </w:pPr>
            <w:r>
              <w:t>预算    资金</w:t>
            </w:r>
          </w:p>
        </w:tc>
        <w:tc>
          <w:tcPr>
            <w:tcW w:w="1134" w:type="dxa"/>
            <w:vMerge w:val="continue"/>
          </w:tcPr>
          <w:p/>
        </w:tc>
        <w:tc>
          <w:tcPr>
            <w:tcW w:w="1276" w:type="dxa"/>
            <w:vMerge w:val="continue"/>
          </w:tcPr>
          <w:p/>
        </w:tc>
        <w:tc>
          <w:tcPr>
            <w:tcW w:w="709" w:type="dxa"/>
            <w:vMerge w:val="continue"/>
          </w:tcPr>
          <w:p/>
        </w:tc>
        <w:tc>
          <w:tcPr>
            <w:tcW w:w="709"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合  计</w:t>
            </w:r>
          </w:p>
        </w:tc>
        <w:tc>
          <w:tcPr>
            <w:tcW w:w="964" w:type="dxa"/>
            <w:vAlign w:val="center"/>
          </w:tcPr>
          <w:p>
            <w:pPr>
              <w:pStyle w:val="24"/>
            </w:pPr>
          </w:p>
        </w:tc>
        <w:tc>
          <w:tcPr>
            <w:tcW w:w="1134" w:type="dxa"/>
            <w:vAlign w:val="center"/>
          </w:tcPr>
          <w:p>
            <w:pPr>
              <w:pStyle w:val="25"/>
            </w:pPr>
          </w:p>
        </w:tc>
        <w:tc>
          <w:tcPr>
            <w:tcW w:w="1276" w:type="dxa"/>
            <w:vAlign w:val="center"/>
          </w:tcPr>
          <w:p>
            <w:pPr>
              <w:pStyle w:val="25"/>
            </w:pPr>
          </w:p>
        </w:tc>
        <w:tc>
          <w:tcPr>
            <w:tcW w:w="709" w:type="dxa"/>
            <w:vAlign w:val="center"/>
          </w:tcPr>
          <w:p>
            <w:pPr>
              <w:pStyle w:val="23"/>
            </w:pPr>
          </w:p>
        </w:tc>
        <w:tc>
          <w:tcPr>
            <w:tcW w:w="709" w:type="dxa"/>
            <w:vAlign w:val="center"/>
          </w:tcPr>
          <w:p>
            <w:pPr>
              <w:pStyle w:val="24"/>
            </w:pPr>
          </w:p>
        </w:tc>
        <w:tc>
          <w:tcPr>
            <w:tcW w:w="850" w:type="dxa"/>
            <w:vAlign w:val="center"/>
          </w:tcPr>
          <w:p>
            <w:pPr>
              <w:pStyle w:val="24"/>
            </w:pPr>
          </w:p>
        </w:tc>
        <w:tc>
          <w:tcPr>
            <w:tcW w:w="964" w:type="dxa"/>
            <w:vAlign w:val="center"/>
          </w:tcPr>
          <w:p>
            <w:pPr>
              <w:pStyle w:val="24"/>
            </w:pPr>
            <w:r>
              <w:t>86.50</w:t>
            </w:r>
          </w:p>
        </w:tc>
        <w:tc>
          <w:tcPr>
            <w:tcW w:w="964" w:type="dxa"/>
            <w:vAlign w:val="center"/>
          </w:tcPr>
          <w:p>
            <w:pPr>
              <w:pStyle w:val="24"/>
            </w:pPr>
            <w:r>
              <w:t>86.50</w:t>
            </w: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r>
              <w:t>86.50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中国共产党涞水县纪律检查委员会本级小计</w:t>
            </w:r>
          </w:p>
        </w:tc>
        <w:tc>
          <w:tcPr>
            <w:tcW w:w="964" w:type="dxa"/>
            <w:vAlign w:val="center"/>
          </w:tcPr>
          <w:p>
            <w:pPr>
              <w:pStyle w:val="24"/>
            </w:pPr>
          </w:p>
        </w:tc>
        <w:tc>
          <w:tcPr>
            <w:tcW w:w="1134" w:type="dxa"/>
            <w:vAlign w:val="center"/>
          </w:tcPr>
          <w:p>
            <w:pPr>
              <w:pStyle w:val="25"/>
            </w:pPr>
          </w:p>
        </w:tc>
        <w:tc>
          <w:tcPr>
            <w:tcW w:w="1276" w:type="dxa"/>
            <w:vAlign w:val="center"/>
          </w:tcPr>
          <w:p>
            <w:pPr>
              <w:pStyle w:val="25"/>
            </w:pPr>
          </w:p>
        </w:tc>
        <w:tc>
          <w:tcPr>
            <w:tcW w:w="709" w:type="dxa"/>
            <w:vAlign w:val="center"/>
          </w:tcPr>
          <w:p>
            <w:pPr>
              <w:pStyle w:val="23"/>
            </w:pPr>
          </w:p>
        </w:tc>
        <w:tc>
          <w:tcPr>
            <w:tcW w:w="709" w:type="dxa"/>
            <w:vAlign w:val="center"/>
          </w:tcPr>
          <w:p>
            <w:pPr>
              <w:pStyle w:val="24"/>
            </w:pPr>
          </w:p>
        </w:tc>
        <w:tc>
          <w:tcPr>
            <w:tcW w:w="850" w:type="dxa"/>
            <w:vAlign w:val="center"/>
          </w:tcPr>
          <w:p>
            <w:pPr>
              <w:pStyle w:val="24"/>
            </w:pPr>
          </w:p>
        </w:tc>
        <w:tc>
          <w:tcPr>
            <w:tcW w:w="964" w:type="dxa"/>
            <w:vAlign w:val="center"/>
          </w:tcPr>
          <w:p>
            <w:pPr>
              <w:pStyle w:val="24"/>
            </w:pPr>
            <w:r>
              <w:t>86.50</w:t>
            </w:r>
          </w:p>
        </w:tc>
        <w:tc>
          <w:tcPr>
            <w:tcW w:w="964" w:type="dxa"/>
            <w:vAlign w:val="center"/>
          </w:tcPr>
          <w:p>
            <w:pPr>
              <w:pStyle w:val="24"/>
            </w:pPr>
            <w:r>
              <w:t>86.50</w:t>
            </w: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r>
              <w:t>86.50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党风廉政建设</w:t>
            </w:r>
          </w:p>
        </w:tc>
        <w:tc>
          <w:tcPr>
            <w:tcW w:w="964" w:type="dxa"/>
            <w:vAlign w:val="center"/>
          </w:tcPr>
          <w:p>
            <w:pPr>
              <w:pStyle w:val="26"/>
            </w:pPr>
            <w:r>
              <w:t>130.00</w:t>
            </w:r>
          </w:p>
        </w:tc>
        <w:tc>
          <w:tcPr>
            <w:tcW w:w="1134" w:type="dxa"/>
            <w:vAlign w:val="center"/>
          </w:tcPr>
          <w:p>
            <w:pPr>
              <w:pStyle w:val="19"/>
            </w:pPr>
            <w:r>
              <w:t>台式计算机</w:t>
            </w:r>
          </w:p>
        </w:tc>
        <w:tc>
          <w:tcPr>
            <w:tcW w:w="1276" w:type="dxa"/>
            <w:vAlign w:val="center"/>
          </w:tcPr>
          <w:p>
            <w:pPr>
              <w:pStyle w:val="19"/>
            </w:pPr>
            <w:r>
              <w:t>A02010105</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0.80</w:t>
            </w:r>
          </w:p>
        </w:tc>
        <w:tc>
          <w:tcPr>
            <w:tcW w:w="964" w:type="dxa"/>
            <w:vAlign w:val="center"/>
          </w:tcPr>
          <w:p>
            <w:pPr>
              <w:pStyle w:val="26"/>
            </w:pPr>
            <w:r>
              <w:t>8.00</w:t>
            </w:r>
          </w:p>
        </w:tc>
        <w:tc>
          <w:tcPr>
            <w:tcW w:w="964" w:type="dxa"/>
            <w:vAlign w:val="center"/>
          </w:tcPr>
          <w:p>
            <w:pPr>
              <w:pStyle w:val="26"/>
            </w:pPr>
            <w:r>
              <w:t>8.00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党风廉政建设</w:t>
            </w:r>
          </w:p>
        </w:tc>
        <w:tc>
          <w:tcPr>
            <w:tcW w:w="964" w:type="dxa"/>
            <w:vAlign w:val="center"/>
          </w:tcPr>
          <w:p>
            <w:pPr>
              <w:pStyle w:val="26"/>
            </w:pPr>
            <w:r>
              <w:t>130.00</w:t>
            </w:r>
          </w:p>
        </w:tc>
        <w:tc>
          <w:tcPr>
            <w:tcW w:w="1134" w:type="dxa"/>
            <w:vAlign w:val="center"/>
          </w:tcPr>
          <w:p>
            <w:pPr>
              <w:pStyle w:val="19"/>
            </w:pPr>
            <w:r>
              <w:t>便携式计算机</w:t>
            </w:r>
          </w:p>
        </w:tc>
        <w:tc>
          <w:tcPr>
            <w:tcW w:w="1276" w:type="dxa"/>
            <w:vAlign w:val="center"/>
          </w:tcPr>
          <w:p>
            <w:pPr>
              <w:pStyle w:val="19"/>
            </w:pPr>
            <w:r>
              <w:t>A02010108</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0.90</w:t>
            </w:r>
          </w:p>
        </w:tc>
        <w:tc>
          <w:tcPr>
            <w:tcW w:w="964" w:type="dxa"/>
            <w:vAlign w:val="center"/>
          </w:tcPr>
          <w:p>
            <w:pPr>
              <w:pStyle w:val="26"/>
            </w:pPr>
            <w:r>
              <w:t>9.00</w:t>
            </w:r>
          </w:p>
        </w:tc>
        <w:tc>
          <w:tcPr>
            <w:tcW w:w="964" w:type="dxa"/>
            <w:vAlign w:val="center"/>
          </w:tcPr>
          <w:p>
            <w:pPr>
              <w:pStyle w:val="26"/>
            </w:pPr>
            <w:r>
              <w:t>9.00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党风廉政建设</w:t>
            </w:r>
          </w:p>
        </w:tc>
        <w:tc>
          <w:tcPr>
            <w:tcW w:w="964" w:type="dxa"/>
            <w:vAlign w:val="center"/>
          </w:tcPr>
          <w:p>
            <w:pPr>
              <w:pStyle w:val="26"/>
            </w:pPr>
            <w:r>
              <w:t>130.00</w:t>
            </w:r>
          </w:p>
        </w:tc>
        <w:tc>
          <w:tcPr>
            <w:tcW w:w="1134" w:type="dxa"/>
            <w:vAlign w:val="center"/>
          </w:tcPr>
          <w:p>
            <w:pPr>
              <w:pStyle w:val="19"/>
            </w:pPr>
            <w:r>
              <w:t>A3 彩色打印机</w:t>
            </w:r>
          </w:p>
        </w:tc>
        <w:tc>
          <w:tcPr>
            <w:tcW w:w="1276" w:type="dxa"/>
            <w:vAlign w:val="center"/>
          </w:tcPr>
          <w:p>
            <w:pPr>
              <w:pStyle w:val="19"/>
            </w:pPr>
            <w:r>
              <w:t>A02021002</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0.80</w:t>
            </w:r>
          </w:p>
        </w:tc>
        <w:tc>
          <w:tcPr>
            <w:tcW w:w="964" w:type="dxa"/>
            <w:vAlign w:val="center"/>
          </w:tcPr>
          <w:p>
            <w:pPr>
              <w:pStyle w:val="26"/>
            </w:pPr>
            <w:r>
              <w:t>8.00</w:t>
            </w:r>
          </w:p>
        </w:tc>
        <w:tc>
          <w:tcPr>
            <w:tcW w:w="964" w:type="dxa"/>
            <w:vAlign w:val="center"/>
          </w:tcPr>
          <w:p>
            <w:pPr>
              <w:pStyle w:val="26"/>
            </w:pPr>
            <w:r>
              <w:t>8.00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党风廉政建设</w:t>
            </w:r>
          </w:p>
        </w:tc>
        <w:tc>
          <w:tcPr>
            <w:tcW w:w="964" w:type="dxa"/>
            <w:vAlign w:val="center"/>
          </w:tcPr>
          <w:p>
            <w:pPr>
              <w:pStyle w:val="26"/>
            </w:pPr>
            <w:r>
              <w:t>130.00</w:t>
            </w:r>
          </w:p>
        </w:tc>
        <w:tc>
          <w:tcPr>
            <w:tcW w:w="1134" w:type="dxa"/>
            <w:vAlign w:val="center"/>
          </w:tcPr>
          <w:p>
            <w:pPr>
              <w:pStyle w:val="19"/>
            </w:pPr>
            <w:r>
              <w:t>A4 黑白打印机</w:t>
            </w:r>
          </w:p>
        </w:tc>
        <w:tc>
          <w:tcPr>
            <w:tcW w:w="1276" w:type="dxa"/>
            <w:vAlign w:val="center"/>
          </w:tcPr>
          <w:p>
            <w:pPr>
              <w:pStyle w:val="19"/>
            </w:pPr>
            <w:r>
              <w:t>A02021003</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0.30</w:t>
            </w:r>
          </w:p>
        </w:tc>
        <w:tc>
          <w:tcPr>
            <w:tcW w:w="964" w:type="dxa"/>
            <w:vAlign w:val="center"/>
          </w:tcPr>
          <w:p>
            <w:pPr>
              <w:pStyle w:val="26"/>
            </w:pPr>
            <w:r>
              <w:t>3.00</w:t>
            </w:r>
          </w:p>
        </w:tc>
        <w:tc>
          <w:tcPr>
            <w:tcW w:w="964" w:type="dxa"/>
            <w:vAlign w:val="center"/>
          </w:tcPr>
          <w:p>
            <w:pPr>
              <w:pStyle w:val="26"/>
            </w:pPr>
            <w:r>
              <w:t>3.00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党风廉政建设</w:t>
            </w:r>
          </w:p>
        </w:tc>
        <w:tc>
          <w:tcPr>
            <w:tcW w:w="964" w:type="dxa"/>
            <w:vAlign w:val="center"/>
          </w:tcPr>
          <w:p>
            <w:pPr>
              <w:pStyle w:val="26"/>
            </w:pPr>
            <w:r>
              <w:t>130.00</w:t>
            </w:r>
          </w:p>
        </w:tc>
        <w:tc>
          <w:tcPr>
            <w:tcW w:w="1134" w:type="dxa"/>
            <w:vAlign w:val="center"/>
          </w:tcPr>
          <w:p>
            <w:pPr>
              <w:pStyle w:val="19"/>
            </w:pPr>
            <w:r>
              <w:t>空调机组</w:t>
            </w:r>
          </w:p>
        </w:tc>
        <w:tc>
          <w:tcPr>
            <w:tcW w:w="1276" w:type="dxa"/>
            <w:vAlign w:val="center"/>
          </w:tcPr>
          <w:p>
            <w:pPr>
              <w:pStyle w:val="19"/>
            </w:pPr>
            <w:r>
              <w:t>A02052305</w:t>
            </w:r>
          </w:p>
        </w:tc>
        <w:tc>
          <w:tcPr>
            <w:tcW w:w="709" w:type="dxa"/>
            <w:vAlign w:val="center"/>
          </w:tcPr>
          <w:p>
            <w:pPr>
              <w:pStyle w:val="27"/>
            </w:pPr>
            <w:r>
              <w:t>台</w:t>
            </w:r>
          </w:p>
        </w:tc>
        <w:tc>
          <w:tcPr>
            <w:tcW w:w="709" w:type="dxa"/>
            <w:vAlign w:val="center"/>
          </w:tcPr>
          <w:p>
            <w:pPr>
              <w:pStyle w:val="27"/>
            </w:pPr>
            <w:r>
              <w:t>5</w:t>
            </w:r>
          </w:p>
        </w:tc>
        <w:tc>
          <w:tcPr>
            <w:tcW w:w="850" w:type="dxa"/>
            <w:vAlign w:val="center"/>
          </w:tcPr>
          <w:p>
            <w:pPr>
              <w:pStyle w:val="26"/>
            </w:pPr>
            <w:r>
              <w:t>0.30</w:t>
            </w:r>
          </w:p>
        </w:tc>
        <w:tc>
          <w:tcPr>
            <w:tcW w:w="964" w:type="dxa"/>
            <w:vAlign w:val="center"/>
          </w:tcPr>
          <w:p>
            <w:pPr>
              <w:pStyle w:val="26"/>
            </w:pPr>
            <w:r>
              <w:t>1.50</w:t>
            </w:r>
          </w:p>
        </w:tc>
        <w:tc>
          <w:tcPr>
            <w:tcW w:w="964" w:type="dxa"/>
            <w:vAlign w:val="center"/>
          </w:tcPr>
          <w:p>
            <w:pPr>
              <w:pStyle w:val="26"/>
            </w:pPr>
            <w:r>
              <w:t>1.50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党风廉政建设</w:t>
            </w:r>
          </w:p>
        </w:tc>
        <w:tc>
          <w:tcPr>
            <w:tcW w:w="964" w:type="dxa"/>
            <w:vAlign w:val="center"/>
          </w:tcPr>
          <w:p>
            <w:pPr>
              <w:pStyle w:val="26"/>
            </w:pPr>
            <w:r>
              <w:t>130.00</w:t>
            </w:r>
          </w:p>
        </w:tc>
        <w:tc>
          <w:tcPr>
            <w:tcW w:w="1134" w:type="dxa"/>
            <w:vAlign w:val="center"/>
          </w:tcPr>
          <w:p>
            <w:pPr>
              <w:pStyle w:val="19"/>
            </w:pPr>
            <w:r>
              <w:t>办公桌</w:t>
            </w:r>
          </w:p>
        </w:tc>
        <w:tc>
          <w:tcPr>
            <w:tcW w:w="1276" w:type="dxa"/>
            <w:vAlign w:val="center"/>
          </w:tcPr>
          <w:p>
            <w:pPr>
              <w:pStyle w:val="19"/>
            </w:pPr>
            <w:r>
              <w:t>A05010201</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0.05</w:t>
            </w:r>
          </w:p>
        </w:tc>
        <w:tc>
          <w:tcPr>
            <w:tcW w:w="964" w:type="dxa"/>
            <w:vAlign w:val="center"/>
          </w:tcPr>
          <w:p>
            <w:pPr>
              <w:pStyle w:val="26"/>
            </w:pPr>
            <w:r>
              <w:t>0.50</w:t>
            </w:r>
          </w:p>
        </w:tc>
        <w:tc>
          <w:tcPr>
            <w:tcW w:w="964" w:type="dxa"/>
            <w:vAlign w:val="center"/>
          </w:tcPr>
          <w:p>
            <w:pPr>
              <w:pStyle w:val="26"/>
            </w:pPr>
            <w:r>
              <w:t>0.50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巡察工作</w:t>
            </w:r>
          </w:p>
        </w:tc>
        <w:tc>
          <w:tcPr>
            <w:tcW w:w="964" w:type="dxa"/>
            <w:vAlign w:val="center"/>
          </w:tcPr>
          <w:p>
            <w:pPr>
              <w:pStyle w:val="26"/>
            </w:pPr>
            <w:r>
              <w:t>40.00</w:t>
            </w:r>
          </w:p>
        </w:tc>
        <w:tc>
          <w:tcPr>
            <w:tcW w:w="1134" w:type="dxa"/>
            <w:vAlign w:val="center"/>
          </w:tcPr>
          <w:p>
            <w:pPr>
              <w:pStyle w:val="19"/>
            </w:pPr>
            <w:r>
              <w:t>台式计算机</w:t>
            </w:r>
          </w:p>
        </w:tc>
        <w:tc>
          <w:tcPr>
            <w:tcW w:w="1276" w:type="dxa"/>
            <w:vAlign w:val="center"/>
          </w:tcPr>
          <w:p>
            <w:pPr>
              <w:pStyle w:val="19"/>
            </w:pPr>
            <w:r>
              <w:t>A02010105</w:t>
            </w:r>
          </w:p>
        </w:tc>
        <w:tc>
          <w:tcPr>
            <w:tcW w:w="709" w:type="dxa"/>
            <w:vAlign w:val="center"/>
          </w:tcPr>
          <w:p>
            <w:pPr>
              <w:pStyle w:val="27"/>
            </w:pPr>
            <w:r>
              <w:t>台</w:t>
            </w:r>
          </w:p>
        </w:tc>
        <w:tc>
          <w:tcPr>
            <w:tcW w:w="709" w:type="dxa"/>
            <w:vAlign w:val="center"/>
          </w:tcPr>
          <w:p>
            <w:pPr>
              <w:pStyle w:val="27"/>
            </w:pPr>
            <w:r>
              <w:t>2</w:t>
            </w:r>
          </w:p>
        </w:tc>
        <w:tc>
          <w:tcPr>
            <w:tcW w:w="850" w:type="dxa"/>
            <w:vAlign w:val="center"/>
          </w:tcPr>
          <w:p>
            <w:pPr>
              <w:pStyle w:val="26"/>
            </w:pPr>
            <w:r>
              <w:t>0.50</w:t>
            </w:r>
          </w:p>
        </w:tc>
        <w:tc>
          <w:tcPr>
            <w:tcW w:w="964" w:type="dxa"/>
            <w:vAlign w:val="center"/>
          </w:tcPr>
          <w:p>
            <w:pPr>
              <w:pStyle w:val="26"/>
            </w:pPr>
            <w:r>
              <w:t>1.00</w:t>
            </w:r>
          </w:p>
        </w:tc>
        <w:tc>
          <w:tcPr>
            <w:tcW w:w="964" w:type="dxa"/>
            <w:vAlign w:val="center"/>
          </w:tcPr>
          <w:p>
            <w:pPr>
              <w:pStyle w:val="26"/>
            </w:pPr>
            <w:r>
              <w:t>1.00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巡察工作</w:t>
            </w:r>
          </w:p>
        </w:tc>
        <w:tc>
          <w:tcPr>
            <w:tcW w:w="964" w:type="dxa"/>
            <w:vAlign w:val="center"/>
          </w:tcPr>
          <w:p>
            <w:pPr>
              <w:pStyle w:val="26"/>
            </w:pPr>
            <w:r>
              <w:t>40.00</w:t>
            </w:r>
          </w:p>
        </w:tc>
        <w:tc>
          <w:tcPr>
            <w:tcW w:w="1134" w:type="dxa"/>
            <w:vAlign w:val="center"/>
          </w:tcPr>
          <w:p>
            <w:pPr>
              <w:pStyle w:val="19"/>
            </w:pPr>
            <w:r>
              <w:t>便携式计算机</w:t>
            </w:r>
          </w:p>
        </w:tc>
        <w:tc>
          <w:tcPr>
            <w:tcW w:w="1276" w:type="dxa"/>
            <w:vAlign w:val="center"/>
          </w:tcPr>
          <w:p>
            <w:pPr>
              <w:pStyle w:val="19"/>
            </w:pPr>
            <w:r>
              <w:t>A02010108</w:t>
            </w:r>
          </w:p>
        </w:tc>
        <w:tc>
          <w:tcPr>
            <w:tcW w:w="709" w:type="dxa"/>
            <w:vAlign w:val="center"/>
          </w:tcPr>
          <w:p>
            <w:pPr>
              <w:pStyle w:val="27"/>
            </w:pPr>
            <w:r>
              <w:t>台</w:t>
            </w:r>
          </w:p>
        </w:tc>
        <w:tc>
          <w:tcPr>
            <w:tcW w:w="709" w:type="dxa"/>
            <w:vAlign w:val="center"/>
          </w:tcPr>
          <w:p>
            <w:pPr>
              <w:pStyle w:val="27"/>
            </w:pPr>
            <w:r>
              <w:t>3</w:t>
            </w:r>
          </w:p>
        </w:tc>
        <w:tc>
          <w:tcPr>
            <w:tcW w:w="850" w:type="dxa"/>
            <w:vAlign w:val="center"/>
          </w:tcPr>
          <w:p>
            <w:pPr>
              <w:pStyle w:val="26"/>
            </w:pPr>
            <w:r>
              <w:t>0.70</w:t>
            </w:r>
          </w:p>
        </w:tc>
        <w:tc>
          <w:tcPr>
            <w:tcW w:w="964" w:type="dxa"/>
            <w:vAlign w:val="center"/>
          </w:tcPr>
          <w:p>
            <w:pPr>
              <w:pStyle w:val="26"/>
            </w:pPr>
            <w:r>
              <w:t>2.10</w:t>
            </w:r>
          </w:p>
        </w:tc>
        <w:tc>
          <w:tcPr>
            <w:tcW w:w="964" w:type="dxa"/>
            <w:vAlign w:val="center"/>
          </w:tcPr>
          <w:p>
            <w:pPr>
              <w:pStyle w:val="26"/>
            </w:pPr>
            <w:r>
              <w:t>2.10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巡察工作</w:t>
            </w:r>
          </w:p>
        </w:tc>
        <w:tc>
          <w:tcPr>
            <w:tcW w:w="964" w:type="dxa"/>
            <w:vAlign w:val="center"/>
          </w:tcPr>
          <w:p>
            <w:pPr>
              <w:pStyle w:val="26"/>
            </w:pPr>
            <w:r>
              <w:t>40.00</w:t>
            </w:r>
          </w:p>
        </w:tc>
        <w:tc>
          <w:tcPr>
            <w:tcW w:w="1134" w:type="dxa"/>
            <w:vAlign w:val="center"/>
          </w:tcPr>
          <w:p>
            <w:pPr>
              <w:pStyle w:val="19"/>
            </w:pPr>
            <w:r>
              <w:t>A4 黑白打印机</w:t>
            </w:r>
          </w:p>
        </w:tc>
        <w:tc>
          <w:tcPr>
            <w:tcW w:w="1276" w:type="dxa"/>
            <w:vAlign w:val="center"/>
          </w:tcPr>
          <w:p>
            <w:pPr>
              <w:pStyle w:val="19"/>
            </w:pPr>
            <w:r>
              <w:t>A02021003</w:t>
            </w:r>
          </w:p>
        </w:tc>
        <w:tc>
          <w:tcPr>
            <w:tcW w:w="709" w:type="dxa"/>
            <w:vAlign w:val="center"/>
          </w:tcPr>
          <w:p>
            <w:pPr>
              <w:pStyle w:val="27"/>
            </w:pPr>
            <w:r>
              <w:t>台</w:t>
            </w:r>
          </w:p>
        </w:tc>
        <w:tc>
          <w:tcPr>
            <w:tcW w:w="709" w:type="dxa"/>
            <w:vAlign w:val="center"/>
          </w:tcPr>
          <w:p>
            <w:pPr>
              <w:pStyle w:val="27"/>
            </w:pPr>
            <w:r>
              <w:t>2</w:t>
            </w:r>
          </w:p>
        </w:tc>
        <w:tc>
          <w:tcPr>
            <w:tcW w:w="850" w:type="dxa"/>
            <w:vAlign w:val="center"/>
          </w:tcPr>
          <w:p>
            <w:pPr>
              <w:pStyle w:val="26"/>
            </w:pPr>
            <w:r>
              <w:t>0.20</w:t>
            </w:r>
          </w:p>
        </w:tc>
        <w:tc>
          <w:tcPr>
            <w:tcW w:w="964" w:type="dxa"/>
            <w:vAlign w:val="center"/>
          </w:tcPr>
          <w:p>
            <w:pPr>
              <w:pStyle w:val="26"/>
            </w:pPr>
            <w:r>
              <w:t>0.40</w:t>
            </w:r>
          </w:p>
        </w:tc>
        <w:tc>
          <w:tcPr>
            <w:tcW w:w="964" w:type="dxa"/>
            <w:vAlign w:val="center"/>
          </w:tcPr>
          <w:p>
            <w:pPr>
              <w:pStyle w:val="26"/>
            </w:pPr>
            <w:r>
              <w:t>0.40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中央政法纪检监察转移支付资金（冀财政法【2023】49号）</w:t>
            </w:r>
          </w:p>
        </w:tc>
        <w:tc>
          <w:tcPr>
            <w:tcW w:w="964" w:type="dxa"/>
            <w:vAlign w:val="center"/>
          </w:tcPr>
          <w:p>
            <w:pPr>
              <w:pStyle w:val="26"/>
            </w:pPr>
            <w:r>
              <w:t>70.00</w:t>
            </w:r>
          </w:p>
        </w:tc>
        <w:tc>
          <w:tcPr>
            <w:tcW w:w="1134" w:type="dxa"/>
            <w:vAlign w:val="center"/>
          </w:tcPr>
          <w:p>
            <w:pPr>
              <w:pStyle w:val="19"/>
            </w:pPr>
            <w:r>
              <w:t>台式计算机</w:t>
            </w:r>
          </w:p>
        </w:tc>
        <w:tc>
          <w:tcPr>
            <w:tcW w:w="1276" w:type="dxa"/>
            <w:vAlign w:val="center"/>
          </w:tcPr>
          <w:p>
            <w:pPr>
              <w:pStyle w:val="19"/>
            </w:pPr>
            <w:r>
              <w:t>A02010105</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0.80</w:t>
            </w:r>
          </w:p>
        </w:tc>
        <w:tc>
          <w:tcPr>
            <w:tcW w:w="964" w:type="dxa"/>
            <w:vAlign w:val="center"/>
          </w:tcPr>
          <w:p>
            <w:pPr>
              <w:pStyle w:val="26"/>
            </w:pPr>
            <w:r>
              <w:t>8.00</w:t>
            </w:r>
          </w:p>
        </w:tc>
        <w:tc>
          <w:tcPr>
            <w:tcW w:w="964" w:type="dxa"/>
            <w:vAlign w:val="center"/>
          </w:tcPr>
          <w:p>
            <w:pPr>
              <w:pStyle w:val="26"/>
            </w:pPr>
            <w:r>
              <w:t>8.00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中央政法纪检监察转移支付资金（冀财政法【2023】49号）</w:t>
            </w:r>
          </w:p>
        </w:tc>
        <w:tc>
          <w:tcPr>
            <w:tcW w:w="964" w:type="dxa"/>
            <w:vAlign w:val="center"/>
          </w:tcPr>
          <w:p>
            <w:pPr>
              <w:pStyle w:val="26"/>
            </w:pPr>
            <w:r>
              <w:t>70.00</w:t>
            </w:r>
          </w:p>
        </w:tc>
        <w:tc>
          <w:tcPr>
            <w:tcW w:w="1134" w:type="dxa"/>
            <w:vAlign w:val="center"/>
          </w:tcPr>
          <w:p>
            <w:pPr>
              <w:pStyle w:val="19"/>
            </w:pPr>
            <w:r>
              <w:t>便携式计算机</w:t>
            </w:r>
          </w:p>
        </w:tc>
        <w:tc>
          <w:tcPr>
            <w:tcW w:w="1276" w:type="dxa"/>
            <w:vAlign w:val="center"/>
          </w:tcPr>
          <w:p>
            <w:pPr>
              <w:pStyle w:val="19"/>
            </w:pPr>
            <w:r>
              <w:t>A02010108</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0.90</w:t>
            </w:r>
          </w:p>
        </w:tc>
        <w:tc>
          <w:tcPr>
            <w:tcW w:w="964" w:type="dxa"/>
            <w:vAlign w:val="center"/>
          </w:tcPr>
          <w:p>
            <w:pPr>
              <w:pStyle w:val="26"/>
            </w:pPr>
            <w:r>
              <w:t>9.00</w:t>
            </w:r>
          </w:p>
        </w:tc>
        <w:tc>
          <w:tcPr>
            <w:tcW w:w="964" w:type="dxa"/>
            <w:vAlign w:val="center"/>
          </w:tcPr>
          <w:p>
            <w:pPr>
              <w:pStyle w:val="26"/>
            </w:pPr>
            <w:r>
              <w:t>9.00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中央政法纪检监察转移支付资金（冀财政法【2023】49号）</w:t>
            </w:r>
          </w:p>
        </w:tc>
        <w:tc>
          <w:tcPr>
            <w:tcW w:w="964" w:type="dxa"/>
            <w:vAlign w:val="center"/>
          </w:tcPr>
          <w:p>
            <w:pPr>
              <w:pStyle w:val="26"/>
            </w:pPr>
            <w:r>
              <w:t>70.00</w:t>
            </w:r>
          </w:p>
        </w:tc>
        <w:tc>
          <w:tcPr>
            <w:tcW w:w="1134" w:type="dxa"/>
            <w:vAlign w:val="center"/>
          </w:tcPr>
          <w:p>
            <w:pPr>
              <w:pStyle w:val="19"/>
            </w:pPr>
            <w:r>
              <w:t>A3 黑白打印机</w:t>
            </w:r>
          </w:p>
        </w:tc>
        <w:tc>
          <w:tcPr>
            <w:tcW w:w="1276" w:type="dxa"/>
            <w:vAlign w:val="center"/>
          </w:tcPr>
          <w:p>
            <w:pPr>
              <w:pStyle w:val="19"/>
            </w:pPr>
            <w:r>
              <w:t>A02021001</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0.30</w:t>
            </w:r>
          </w:p>
        </w:tc>
        <w:tc>
          <w:tcPr>
            <w:tcW w:w="964" w:type="dxa"/>
            <w:vAlign w:val="center"/>
          </w:tcPr>
          <w:p>
            <w:pPr>
              <w:pStyle w:val="26"/>
            </w:pPr>
            <w:r>
              <w:t>3.00</w:t>
            </w:r>
          </w:p>
        </w:tc>
        <w:tc>
          <w:tcPr>
            <w:tcW w:w="964" w:type="dxa"/>
            <w:vAlign w:val="center"/>
          </w:tcPr>
          <w:p>
            <w:pPr>
              <w:pStyle w:val="26"/>
            </w:pPr>
            <w:r>
              <w:t>3.00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中央政法纪检监察转移支付资金（冀财政法【2023】49号）</w:t>
            </w:r>
          </w:p>
        </w:tc>
        <w:tc>
          <w:tcPr>
            <w:tcW w:w="964" w:type="dxa"/>
            <w:vAlign w:val="center"/>
          </w:tcPr>
          <w:p>
            <w:pPr>
              <w:pStyle w:val="26"/>
            </w:pPr>
            <w:r>
              <w:t>70.00</w:t>
            </w:r>
          </w:p>
        </w:tc>
        <w:tc>
          <w:tcPr>
            <w:tcW w:w="1134" w:type="dxa"/>
            <w:vAlign w:val="center"/>
          </w:tcPr>
          <w:p>
            <w:pPr>
              <w:pStyle w:val="19"/>
            </w:pPr>
            <w:r>
              <w:t>A3 彩色打印机</w:t>
            </w:r>
          </w:p>
        </w:tc>
        <w:tc>
          <w:tcPr>
            <w:tcW w:w="1276" w:type="dxa"/>
            <w:vAlign w:val="center"/>
          </w:tcPr>
          <w:p>
            <w:pPr>
              <w:pStyle w:val="19"/>
            </w:pPr>
            <w:r>
              <w:t>A02021002</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0.80</w:t>
            </w:r>
          </w:p>
        </w:tc>
        <w:tc>
          <w:tcPr>
            <w:tcW w:w="964" w:type="dxa"/>
            <w:vAlign w:val="center"/>
          </w:tcPr>
          <w:p>
            <w:pPr>
              <w:pStyle w:val="26"/>
            </w:pPr>
            <w:r>
              <w:t>8.00</w:t>
            </w:r>
          </w:p>
        </w:tc>
        <w:tc>
          <w:tcPr>
            <w:tcW w:w="964" w:type="dxa"/>
            <w:vAlign w:val="center"/>
          </w:tcPr>
          <w:p>
            <w:pPr>
              <w:pStyle w:val="26"/>
            </w:pPr>
            <w:r>
              <w:t>8.00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中央政法纪检监察转移支付资金（冀财政法【2023】49号）</w:t>
            </w:r>
          </w:p>
        </w:tc>
        <w:tc>
          <w:tcPr>
            <w:tcW w:w="964" w:type="dxa"/>
            <w:vAlign w:val="center"/>
          </w:tcPr>
          <w:p>
            <w:pPr>
              <w:pStyle w:val="26"/>
            </w:pPr>
            <w:r>
              <w:t>70.00</w:t>
            </w:r>
          </w:p>
        </w:tc>
        <w:tc>
          <w:tcPr>
            <w:tcW w:w="1134" w:type="dxa"/>
            <w:vAlign w:val="center"/>
          </w:tcPr>
          <w:p>
            <w:pPr>
              <w:pStyle w:val="19"/>
            </w:pPr>
            <w:r>
              <w:t>其他政法、消防、检测设备</w:t>
            </w:r>
          </w:p>
        </w:tc>
        <w:tc>
          <w:tcPr>
            <w:tcW w:w="1276" w:type="dxa"/>
            <w:vAlign w:val="center"/>
          </w:tcPr>
          <w:p>
            <w:pPr>
              <w:pStyle w:val="19"/>
            </w:pPr>
            <w:r>
              <w:t>A02379900</w:t>
            </w:r>
          </w:p>
        </w:tc>
        <w:tc>
          <w:tcPr>
            <w:tcW w:w="709" w:type="dxa"/>
            <w:vAlign w:val="center"/>
          </w:tcPr>
          <w:p>
            <w:pPr>
              <w:pStyle w:val="27"/>
            </w:pPr>
            <w:r>
              <w:t>台</w:t>
            </w:r>
          </w:p>
        </w:tc>
        <w:tc>
          <w:tcPr>
            <w:tcW w:w="709" w:type="dxa"/>
            <w:vAlign w:val="center"/>
          </w:tcPr>
          <w:p>
            <w:pPr>
              <w:pStyle w:val="27"/>
            </w:pPr>
            <w:r>
              <w:t>2</w:t>
            </w:r>
          </w:p>
        </w:tc>
        <w:tc>
          <w:tcPr>
            <w:tcW w:w="850" w:type="dxa"/>
            <w:vAlign w:val="center"/>
          </w:tcPr>
          <w:p>
            <w:pPr>
              <w:pStyle w:val="26"/>
            </w:pPr>
            <w:r>
              <w:t>12.50</w:t>
            </w:r>
          </w:p>
        </w:tc>
        <w:tc>
          <w:tcPr>
            <w:tcW w:w="964" w:type="dxa"/>
            <w:vAlign w:val="center"/>
          </w:tcPr>
          <w:p>
            <w:pPr>
              <w:pStyle w:val="26"/>
            </w:pPr>
            <w:r>
              <w:t>25.00</w:t>
            </w:r>
          </w:p>
        </w:tc>
        <w:tc>
          <w:tcPr>
            <w:tcW w:w="964" w:type="dxa"/>
            <w:vAlign w:val="center"/>
          </w:tcPr>
          <w:p>
            <w:pPr>
              <w:pStyle w:val="26"/>
            </w:pPr>
            <w:r>
              <w:t>25.00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25.00</w:t>
            </w:r>
          </w:p>
        </w:tc>
      </w:tr>
    </w:tbl>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outlineLvl w:val="0"/>
        <w:rPr>
          <w:rFonts w:ascii="黑体" w:hAnsi="黑体" w:eastAsia="黑体"/>
          <w:sz w:val="32"/>
          <w:szCs w:val="32"/>
        </w:rPr>
      </w:pPr>
      <w:r>
        <w:rPr>
          <w:rFonts w:hint="eastAsia" w:ascii="黑体" w:hAnsi="黑体" w:eastAsia="黑体"/>
          <w:sz w:val="32"/>
          <w:szCs w:val="32"/>
        </w:rPr>
        <w:t>七、国有资产信息情况</w:t>
      </w:r>
    </w:p>
    <w:p>
      <w:pPr>
        <w:spacing w:line="520" w:lineRule="exact"/>
        <w:ind w:firstLine="1280" w:firstLineChars="400"/>
        <w:rPr>
          <w:rFonts w:ascii="仿宋" w:hAnsi="仿宋" w:eastAsia="仿宋"/>
          <w:sz w:val="32"/>
          <w:szCs w:val="32"/>
        </w:rPr>
      </w:pPr>
      <w:r>
        <w:rPr>
          <w:rFonts w:ascii="仿宋" w:hAnsi="仿宋" w:eastAsia="仿宋"/>
          <w:sz w:val="32"/>
          <w:szCs w:val="32"/>
        </w:rPr>
        <w:t>我单位</w:t>
      </w:r>
      <w:r>
        <w:rPr>
          <w:rFonts w:hint="eastAsia" w:ascii="仿宋" w:hAnsi="仿宋" w:eastAsia="仿宋"/>
          <w:sz w:val="32"/>
          <w:szCs w:val="32"/>
        </w:rPr>
        <w:t>2022年末固定资产总额为</w:t>
      </w:r>
      <w:r>
        <w:rPr>
          <w:rFonts w:hint="eastAsia" w:ascii="仿宋" w:hAnsi="仿宋" w:eastAsia="仿宋"/>
          <w:sz w:val="32"/>
          <w:szCs w:val="32"/>
          <w:lang w:val="en-US" w:eastAsia="zh-CN"/>
        </w:rPr>
        <w:t>668.26</w:t>
      </w:r>
      <w:r>
        <w:rPr>
          <w:rFonts w:hint="eastAsia" w:ascii="仿宋" w:hAnsi="仿宋" w:eastAsia="仿宋"/>
          <w:sz w:val="32"/>
          <w:szCs w:val="32"/>
        </w:rPr>
        <w:t>万元。202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eastAsia="zh-CN"/>
        </w:rPr>
        <w:t>预计</w:t>
      </w:r>
      <w:r>
        <w:rPr>
          <w:rFonts w:hint="eastAsia" w:ascii="仿宋" w:hAnsi="仿宋" w:eastAsia="仿宋"/>
          <w:sz w:val="32"/>
          <w:szCs w:val="32"/>
        </w:rPr>
        <w:t>购置固定资产</w:t>
      </w:r>
      <w:r>
        <w:rPr>
          <w:rFonts w:hint="eastAsia" w:ascii="仿宋" w:hAnsi="仿宋" w:eastAsia="仿宋"/>
          <w:sz w:val="32"/>
          <w:szCs w:val="32"/>
          <w:lang w:val="en-US" w:eastAsia="zh-CN"/>
        </w:rPr>
        <w:t>86.5万元</w:t>
      </w:r>
      <w:r>
        <w:rPr>
          <w:rFonts w:hint="eastAsia" w:ascii="仿宋" w:hAnsi="仿宋" w:eastAsia="仿宋"/>
          <w:sz w:val="32"/>
          <w:szCs w:val="32"/>
        </w:rPr>
        <w:t>。</w:t>
      </w:r>
    </w:p>
    <w:p>
      <w:pPr>
        <w:spacing w:line="520" w:lineRule="exact"/>
        <w:ind w:firstLine="1280" w:firstLineChars="400"/>
        <w:rPr>
          <w:rFonts w:ascii="仿宋" w:hAnsi="仿宋" w:eastAsia="仿宋"/>
          <w:sz w:val="32"/>
          <w:szCs w:val="32"/>
        </w:rPr>
      </w:pPr>
    </w:p>
    <w:p>
      <w:pPr>
        <w:spacing w:line="520" w:lineRule="exact"/>
        <w:ind w:firstLine="1446" w:firstLineChars="400"/>
        <w:jc w:val="center"/>
        <w:rPr>
          <w:rFonts w:ascii="黑体" w:hAnsi="黑体" w:eastAsia="黑体" w:cs="黑体"/>
          <w:b/>
          <w:bCs/>
          <w:sz w:val="36"/>
          <w:szCs w:val="36"/>
        </w:rPr>
      </w:pPr>
      <w:r>
        <w:rPr>
          <w:rFonts w:hint="eastAsia" w:ascii="黑体" w:hAnsi="黑体" w:eastAsia="黑体" w:cs="黑体"/>
          <w:b/>
          <w:bCs/>
          <w:sz w:val="36"/>
          <w:szCs w:val="36"/>
        </w:rPr>
        <w:t>部门固定资产占用情况表</w:t>
      </w:r>
    </w:p>
    <w:p>
      <w:pPr>
        <w:spacing w:line="520" w:lineRule="exact"/>
        <w:jc w:val="center"/>
        <w:rPr>
          <w:rFonts w:ascii="仿宋" w:hAnsi="仿宋" w:eastAsia="仿宋"/>
          <w:sz w:val="32"/>
          <w:szCs w:val="32"/>
        </w:rPr>
      </w:pPr>
      <w:r>
        <w:rPr>
          <w:rFonts w:hint="eastAsia" w:ascii="仿宋" w:hAnsi="仿宋" w:eastAsia="仿宋"/>
          <w:sz w:val="32"/>
          <w:szCs w:val="32"/>
        </w:rPr>
        <w:t xml:space="preserve">          截止时间：202</w:t>
      </w:r>
      <w:r>
        <w:rPr>
          <w:rFonts w:hint="eastAsia" w:ascii="仿宋" w:hAnsi="仿宋" w:eastAsia="仿宋"/>
          <w:sz w:val="32"/>
          <w:szCs w:val="32"/>
          <w:lang w:val="en-US" w:eastAsia="zh-CN"/>
        </w:rPr>
        <w:t>3</w:t>
      </w:r>
      <w:r>
        <w:rPr>
          <w:rFonts w:hint="eastAsia" w:ascii="仿宋" w:hAnsi="仿宋" w:eastAsia="仿宋"/>
          <w:sz w:val="32"/>
          <w:szCs w:val="32"/>
        </w:rPr>
        <w:t>年12月31日</w:t>
      </w:r>
    </w:p>
    <w:tbl>
      <w:tblPr>
        <w:tblStyle w:val="10"/>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776"/>
        <w:gridCol w:w="4777"/>
        <w:gridCol w:w="47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项目</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数量</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价值（万元）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hint="eastAsia" w:ascii="宋体" w:eastAsia="宋体" w:cs="宋体"/>
                <w:b/>
                <w:bCs/>
                <w:spacing w:val="2"/>
                <w:sz w:val="32"/>
                <w:szCs w:val="32"/>
              </w:rPr>
              <w:t>固定资产总额</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6" w:type="pct"/>
            <w:vAlign w:val="center"/>
          </w:tcPr>
          <w:p>
            <w:pPr>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668.26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8"/>
              <w:ind w:left="103"/>
              <w:jc w:val="center"/>
            </w:pPr>
            <w:r>
              <w:rPr>
                <w:rFonts w:ascii="宋体" w:eastAsia="宋体" w:cs="宋体"/>
                <w:sz w:val="32"/>
                <w:szCs w:val="32"/>
              </w:rPr>
              <w:t>1</w:t>
            </w:r>
            <w:r>
              <w:rPr>
                <w:rFonts w:hint="eastAsia" w:ascii="宋体" w:eastAsia="宋体" w:cs="宋体"/>
                <w:sz w:val="32"/>
                <w:szCs w:val="32"/>
              </w:rPr>
              <w:t>、房屋（平方米）</w:t>
            </w:r>
          </w:p>
        </w:tc>
        <w:tc>
          <w:tcPr>
            <w:tcW w:w="1666" w:type="pct"/>
            <w:vAlign w:val="center"/>
          </w:tcPr>
          <w:p>
            <w:pPr>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117.86</w:t>
            </w:r>
          </w:p>
        </w:tc>
        <w:tc>
          <w:tcPr>
            <w:tcW w:w="1666" w:type="pct"/>
            <w:vAlign w:val="center"/>
          </w:tcPr>
          <w:p>
            <w:pPr>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ascii="宋体" w:eastAsia="宋体" w:cs="宋体"/>
                <w:sz w:val="32"/>
                <w:szCs w:val="32"/>
              </w:rPr>
              <w:t>2</w:t>
            </w:r>
            <w:r>
              <w:rPr>
                <w:rFonts w:hint="eastAsia" w:ascii="宋体" w:eastAsia="宋体" w:cs="宋体"/>
                <w:sz w:val="32"/>
                <w:szCs w:val="32"/>
              </w:rPr>
              <w:t>、车辆（台、辆）</w:t>
            </w:r>
          </w:p>
        </w:tc>
        <w:tc>
          <w:tcPr>
            <w:tcW w:w="1666" w:type="pct"/>
            <w:vAlign w:val="center"/>
          </w:tcPr>
          <w:p>
            <w:pPr>
              <w:spacing w:line="520" w:lineRule="exact"/>
              <w:jc w:val="center"/>
              <w:rPr>
                <w:rFonts w:hint="eastAsia" w:ascii="仿宋" w:hAnsi="仿宋" w:eastAsia="仿宋"/>
                <w:sz w:val="32"/>
                <w:szCs w:val="32"/>
                <w:lang w:eastAsia="zh-CN"/>
              </w:rPr>
            </w:pPr>
            <w:r>
              <w:rPr>
                <w:rFonts w:hint="eastAsia" w:ascii="仿宋" w:hAnsi="仿宋" w:eastAsia="仿宋"/>
                <w:sz w:val="32"/>
                <w:szCs w:val="32"/>
                <w:lang w:val="en-US" w:eastAsia="zh-CN"/>
              </w:rPr>
              <w:t>9</w:t>
            </w:r>
          </w:p>
        </w:tc>
        <w:tc>
          <w:tcPr>
            <w:tcW w:w="1666" w:type="pct"/>
            <w:vAlign w:val="center"/>
          </w:tcPr>
          <w:p>
            <w:pPr>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100.17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ascii="宋体" w:eastAsia="宋体" w:cs="宋体"/>
                <w:sz w:val="32"/>
                <w:szCs w:val="32"/>
              </w:rPr>
              <w:t>3</w:t>
            </w:r>
            <w:r>
              <w:rPr>
                <w:rFonts w:hint="eastAsia" w:ascii="宋体" w:eastAsia="宋体" w:cs="宋体"/>
                <w:sz w:val="32"/>
                <w:szCs w:val="32"/>
              </w:rPr>
              <w:t>、单价在</w:t>
            </w:r>
            <w:r>
              <w:rPr>
                <w:rFonts w:ascii="宋体" w:eastAsia="宋体" w:cs="宋体"/>
                <w:sz w:val="32"/>
                <w:szCs w:val="32"/>
              </w:rPr>
              <w:t>20</w:t>
            </w:r>
            <w:r>
              <w:rPr>
                <w:rFonts w:hint="eastAsia" w:ascii="宋体" w:eastAsia="宋体" w:cs="宋体"/>
                <w:sz w:val="32"/>
                <w:szCs w:val="32"/>
              </w:rPr>
              <w:t>万元以上</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ascii="宋体" w:eastAsia="宋体" w:cs="宋体"/>
                <w:sz w:val="32"/>
                <w:szCs w:val="32"/>
              </w:rPr>
              <w:t>4</w:t>
            </w:r>
            <w:r>
              <w:rPr>
                <w:rFonts w:hint="eastAsia" w:ascii="宋体" w:eastAsia="宋体" w:cs="宋体"/>
                <w:sz w:val="32"/>
                <w:szCs w:val="32"/>
              </w:rPr>
              <w:t>、其他固定资产</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6" w:type="pct"/>
            <w:vAlign w:val="center"/>
          </w:tcPr>
          <w:p>
            <w:pPr>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559.19</w:t>
            </w:r>
          </w:p>
        </w:tc>
      </w:tr>
    </w:tbl>
    <w:p>
      <w:pPr>
        <w:spacing w:line="520" w:lineRule="exact"/>
        <w:ind w:firstLine="1280" w:firstLineChars="400"/>
        <w:rPr>
          <w:rFonts w:ascii="仿宋" w:hAnsi="仿宋" w:eastAsia="仿宋"/>
          <w:sz w:val="32"/>
          <w:szCs w:val="32"/>
        </w:rPr>
      </w:pPr>
    </w:p>
    <w:p>
      <w:pPr>
        <w:ind w:firstLine="627" w:firstLineChars="196"/>
        <w:outlineLvl w:val="0"/>
        <w:rPr>
          <w:rFonts w:ascii="黑体" w:hAnsi="黑体" w:eastAsia="黑体" w:cs="仿宋_GB2312"/>
          <w:sz w:val="32"/>
          <w:szCs w:val="32"/>
        </w:rPr>
      </w:pPr>
      <w:r>
        <w:rPr>
          <w:rFonts w:hint="eastAsia" w:ascii="黑体" w:hAnsi="黑体" w:eastAsia="黑体" w:cs="仿宋_GB2312"/>
          <w:sz w:val="32"/>
          <w:szCs w:val="32"/>
        </w:rPr>
        <w:t>八、专业名词解释</w:t>
      </w:r>
    </w:p>
    <w:p>
      <w:pPr>
        <w:ind w:firstLine="627" w:firstLineChars="196"/>
        <w:rPr>
          <w:rFonts w:ascii="仿宋" w:hAnsi="仿宋" w:eastAsia="仿宋"/>
          <w:sz w:val="32"/>
          <w:szCs w:val="32"/>
        </w:rPr>
      </w:pPr>
      <w:r>
        <w:rPr>
          <w:rFonts w:ascii="仿宋" w:hAnsi="仿宋" w:eastAsia="仿宋"/>
          <w:bCs/>
          <w:sz w:val="32"/>
          <w:szCs w:val="32"/>
        </w:rPr>
        <w:t>1</w:t>
      </w:r>
      <w:r>
        <w:rPr>
          <w:rFonts w:hint="eastAsia" w:ascii="仿宋" w:hAnsi="仿宋" w:eastAsia="仿宋"/>
          <w:bCs/>
          <w:sz w:val="32"/>
          <w:szCs w:val="32"/>
        </w:rPr>
        <w:t>、一般公共预算财政拨款收入：</w:t>
      </w:r>
      <w:r>
        <w:rPr>
          <w:rFonts w:hint="eastAsia" w:ascii="仿宋" w:hAnsi="仿宋" w:eastAsia="仿宋"/>
          <w:sz w:val="32"/>
          <w:szCs w:val="32"/>
        </w:rPr>
        <w:t>县级财政当年拨付的资金。</w:t>
      </w:r>
    </w:p>
    <w:p>
      <w:pPr>
        <w:pStyle w:val="8"/>
        <w:ind w:firstLine="576" w:firstLineChars="180"/>
        <w:rPr>
          <w:rFonts w:ascii="仿宋" w:hAnsi="仿宋" w:eastAsia="仿宋" w:cs="仿宋_GB2312"/>
          <w:sz w:val="32"/>
          <w:szCs w:val="32"/>
        </w:rPr>
      </w:pPr>
      <w:r>
        <w:rPr>
          <w:rStyle w:val="12"/>
          <w:rFonts w:ascii="仿宋" w:hAnsi="仿宋" w:eastAsia="仿宋" w:cs="仿宋_GB2312"/>
          <w:b w:val="0"/>
          <w:sz w:val="32"/>
          <w:szCs w:val="32"/>
          <w:shd w:val="clear" w:color="auto" w:fill="FFFFFF"/>
        </w:rPr>
        <w:t>2</w:t>
      </w:r>
      <w:r>
        <w:rPr>
          <w:rStyle w:val="12"/>
          <w:rFonts w:hint="eastAsia" w:ascii="仿宋" w:hAnsi="仿宋" w:eastAsia="仿宋" w:cs="仿宋_GB2312"/>
          <w:b w:val="0"/>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8"/>
        <w:ind w:firstLine="576" w:firstLineChars="180"/>
        <w:rPr>
          <w:rFonts w:ascii="仿宋" w:hAnsi="仿宋" w:eastAsia="仿宋"/>
          <w:sz w:val="32"/>
          <w:szCs w:val="32"/>
        </w:rPr>
      </w:pPr>
      <w:r>
        <w:rPr>
          <w:rStyle w:val="12"/>
          <w:rFonts w:ascii="仿宋" w:hAnsi="仿宋" w:eastAsia="仿宋" w:cs="仿宋_GB2312"/>
          <w:b w:val="0"/>
          <w:color w:val="000000"/>
          <w:sz w:val="32"/>
          <w:szCs w:val="32"/>
          <w:shd w:val="clear" w:color="auto" w:fill="FFFFFF"/>
        </w:rPr>
        <w:t>3</w:t>
      </w:r>
      <w:r>
        <w:rPr>
          <w:rFonts w:hint="eastAsia" w:ascii="仿宋" w:hAnsi="仿宋" w:eastAsia="仿宋"/>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8"/>
        <w:rPr>
          <w:rFonts w:ascii="仿宋" w:hAnsi="仿宋" w:eastAsia="仿宋"/>
          <w:sz w:val="32"/>
          <w:szCs w:val="32"/>
        </w:rPr>
      </w:pPr>
      <w:r>
        <w:rPr>
          <w:rFonts w:ascii="仿宋" w:hAnsi="仿宋" w:eastAsia="仿宋"/>
          <w:bCs/>
          <w:sz w:val="32"/>
          <w:szCs w:val="32"/>
        </w:rPr>
        <w:t xml:space="preserve">    4</w:t>
      </w:r>
      <w:r>
        <w:rPr>
          <w:rFonts w:hint="eastAsia" w:ascii="仿宋" w:hAnsi="仿宋" w:eastAsia="仿宋"/>
          <w:bCs/>
          <w:sz w:val="32"/>
          <w:szCs w:val="32"/>
        </w:rPr>
        <w:t>、项目支出</w:t>
      </w:r>
      <w:r>
        <w:rPr>
          <w:rFonts w:hint="eastAsia" w:ascii="仿宋" w:hAnsi="仿宋" w:eastAsia="仿宋"/>
          <w:sz w:val="32"/>
          <w:szCs w:val="32"/>
        </w:rPr>
        <w:t>：指在基本支出之外为完成特定行政任务和事业发展目标所发生的支出。</w:t>
      </w:r>
    </w:p>
    <w:p>
      <w:pPr>
        <w:pStyle w:val="8"/>
        <w:ind w:firstLine="640" w:firstLineChars="200"/>
        <w:rPr>
          <w:rFonts w:ascii="仿宋" w:hAnsi="仿宋" w:eastAsia="仿宋"/>
          <w:sz w:val="32"/>
          <w:szCs w:val="32"/>
        </w:rPr>
      </w:pPr>
      <w:r>
        <w:rPr>
          <w:rFonts w:ascii="仿宋" w:hAnsi="仿宋" w:eastAsia="仿宋"/>
          <w:bCs/>
          <w:sz w:val="32"/>
          <w:szCs w:val="32"/>
        </w:rPr>
        <w:t>5</w:t>
      </w:r>
      <w:r>
        <w:rPr>
          <w:rFonts w:hint="eastAsia" w:ascii="仿宋" w:hAnsi="仿宋" w:eastAsia="仿宋"/>
          <w:bCs/>
          <w:sz w:val="32"/>
          <w:szCs w:val="32"/>
        </w:rPr>
        <w:t>、“三公”经费：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ind w:firstLine="640" w:firstLineChars="200"/>
        <w:rPr>
          <w:rFonts w:ascii="仿宋" w:hAnsi="仿宋" w:eastAsia="仿宋"/>
          <w:sz w:val="32"/>
          <w:szCs w:val="32"/>
        </w:rPr>
      </w:pPr>
      <w:r>
        <w:rPr>
          <w:rFonts w:ascii="仿宋" w:hAnsi="仿宋" w:eastAsia="仿宋"/>
          <w:bCs/>
          <w:sz w:val="32"/>
          <w:szCs w:val="32"/>
        </w:rPr>
        <w:t>6</w:t>
      </w:r>
      <w:r>
        <w:rPr>
          <w:rFonts w:hint="eastAsia" w:ascii="仿宋" w:hAnsi="仿宋" w:eastAsia="仿宋"/>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outlineLvl w:val="0"/>
        <w:rPr>
          <w:rFonts w:ascii="黑体" w:hAnsi="黑体" w:eastAsia="黑体" w:cs="黑体"/>
          <w:sz w:val="32"/>
          <w:szCs w:val="32"/>
        </w:rPr>
      </w:pPr>
      <w:r>
        <w:rPr>
          <w:rFonts w:hint="eastAsia" w:ascii="黑体" w:hAnsi="黑体" w:eastAsia="黑体" w:cs="黑体"/>
          <w:sz w:val="32"/>
          <w:szCs w:val="32"/>
        </w:rPr>
        <w:t xml:space="preserve"> 九、其他需要说明的事项</w:t>
      </w:r>
    </w:p>
    <w:p>
      <w:pPr>
        <w:spacing w:line="520" w:lineRule="exact"/>
        <w:ind w:firstLine="640" w:firstLineChars="200"/>
        <w:rPr>
          <w:rFonts w:ascii="仿宋" w:hAnsi="仿宋" w:eastAsia="仿宋"/>
          <w:sz w:val="32"/>
          <w:szCs w:val="32"/>
        </w:rPr>
      </w:pPr>
      <w:bookmarkStart w:id="11" w:name="_GoBack"/>
      <w:bookmarkEnd w:id="11"/>
      <w:r>
        <w:rPr>
          <w:rFonts w:hint="eastAsia" w:ascii="仿宋" w:hAnsi="仿宋" w:eastAsia="仿宋" w:cs="仿宋"/>
          <w:sz w:val="32"/>
          <w:szCs w:val="32"/>
        </w:rPr>
        <w:t>无其他需要说明的事项。</w:t>
      </w: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outlineLvl w:val="0"/>
        <w:rPr>
          <w:rFonts w:ascii="仿宋" w:hAnsi="仿宋" w:eastAsia="仿宋"/>
          <w:sz w:val="32"/>
          <w:szCs w:val="32"/>
        </w:rPr>
        <w:sectPr>
          <w:footerReference r:id="rId7" w:type="default"/>
          <w:pgSz w:w="16839" w:h="11907" w:orient="landscape"/>
          <w:pgMar w:top="1021" w:right="1361" w:bottom="1021" w:left="1361" w:header="851" w:footer="992" w:gutter="0"/>
          <w:cols w:space="720" w:num="1"/>
          <w:docGrid w:type="lines" w:linePitch="312" w:charSpace="0"/>
        </w:sect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30日</w:t>
      </w:r>
    </w:p>
    <w:bookmarkEnd w:id="10"/>
    <w:p/>
    <w:sectPr>
      <w:footerReference r:id="rId8" w:type="default"/>
      <w:pgSz w:w="16839" w:h="11907" w:orient="landscape"/>
      <w:pgMar w:top="1020" w:right="1361" w:bottom="1020" w:left="136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46</w:t>
                </w:r>
                <w:r>
                  <w:rPr>
                    <w:rFonts w:ascii="Times New Roman" w:hAnsi="Times New Roman"/>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_x0000_s1028" o:spid="_x0000_s1028"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4"/>
                  <w:rPr>
                    <w:rStyle w:val="13"/>
                    <w:rFonts w:ascii="Times New Roman" w:hAnsi="Times New Roman"/>
                    <w:sz w:val="24"/>
                    <w:szCs w:val="24"/>
                  </w:rPr>
                </w:pPr>
                <w:r>
                  <w:rPr>
                    <w:rFonts w:ascii="Times New Roman" w:hAnsi="Times New Roman"/>
                    <w:sz w:val="24"/>
                    <w:szCs w:val="24"/>
                  </w:rPr>
                  <w:fldChar w:fldCharType="begin"/>
                </w:r>
                <w:r>
                  <w:rPr>
                    <w:rStyle w:val="13"/>
                    <w:rFonts w:ascii="Times New Roman" w:hAnsi="Times New Roman"/>
                    <w:sz w:val="24"/>
                    <w:szCs w:val="24"/>
                  </w:rPr>
                  <w:instrText xml:space="preserve">PAGE  </w:instrText>
                </w:r>
                <w:r>
                  <w:rPr>
                    <w:rFonts w:ascii="Times New Roman" w:hAnsi="Times New Roman"/>
                    <w:sz w:val="24"/>
                    <w:szCs w:val="24"/>
                  </w:rPr>
                  <w:fldChar w:fldCharType="separate"/>
                </w:r>
                <w:r>
                  <w:rPr>
                    <w:rStyle w:val="13"/>
                    <w:rFonts w:ascii="Times New Roman" w:hAnsi="Times New Roman"/>
                    <w:sz w:val="24"/>
                    <w:szCs w:val="24"/>
                  </w:rPr>
                  <w:t>48</w:t>
                </w:r>
                <w:r>
                  <w:rPr>
                    <w:rFonts w:ascii="Times New Roman" w:hAnsi="Times New Roman"/>
                    <w:sz w:val="24"/>
                    <w:szCs w:val="24"/>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_x0000_s1027" o:spid="_x0000_s1027"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4"/>
                  <w:rPr>
                    <w:rStyle w:val="13"/>
                  </w:rPr>
                </w:pPr>
                <w:r>
                  <w:fldChar w:fldCharType="begin"/>
                </w:r>
                <w:r>
                  <w:rPr>
                    <w:rStyle w:val="13"/>
                  </w:rPr>
                  <w:instrText xml:space="preserve">PAGE  </w:instrText>
                </w:r>
                <w:r>
                  <w:fldChar w:fldCharType="separate"/>
                </w:r>
                <w:r>
                  <w:rPr>
                    <w:rStyle w:val="13"/>
                  </w:rPr>
                  <w:t>51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2E0D31"/>
    <w:multiLevelType w:val="singleLevel"/>
    <w:tmpl w:val="1C2E0D3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YzZTRmYjdkNmViNjI3NGY2ZDc1ZWJmZGViNjVmOGMifQ=="/>
  </w:docVars>
  <w:rsids>
    <w:rsidRoot w:val="20785741"/>
    <w:rsid w:val="00045D96"/>
    <w:rsid w:val="00054F25"/>
    <w:rsid w:val="000600BA"/>
    <w:rsid w:val="000A52FF"/>
    <w:rsid w:val="000A7970"/>
    <w:rsid w:val="000E16C2"/>
    <w:rsid w:val="00111869"/>
    <w:rsid w:val="001270A6"/>
    <w:rsid w:val="0014466F"/>
    <w:rsid w:val="001542DD"/>
    <w:rsid w:val="001E3BF7"/>
    <w:rsid w:val="002041A7"/>
    <w:rsid w:val="002327F6"/>
    <w:rsid w:val="0026670B"/>
    <w:rsid w:val="0027116D"/>
    <w:rsid w:val="0027784B"/>
    <w:rsid w:val="00283556"/>
    <w:rsid w:val="002B3F73"/>
    <w:rsid w:val="002D2624"/>
    <w:rsid w:val="00301352"/>
    <w:rsid w:val="00313042"/>
    <w:rsid w:val="00334F74"/>
    <w:rsid w:val="0039498A"/>
    <w:rsid w:val="00467B21"/>
    <w:rsid w:val="004773FB"/>
    <w:rsid w:val="004944FF"/>
    <w:rsid w:val="00496CEE"/>
    <w:rsid w:val="004D4F25"/>
    <w:rsid w:val="004D7E89"/>
    <w:rsid w:val="004E1763"/>
    <w:rsid w:val="004F641C"/>
    <w:rsid w:val="00510BDC"/>
    <w:rsid w:val="00512052"/>
    <w:rsid w:val="00527D4D"/>
    <w:rsid w:val="00547ABA"/>
    <w:rsid w:val="00563CE5"/>
    <w:rsid w:val="00564DC9"/>
    <w:rsid w:val="00573E03"/>
    <w:rsid w:val="005976F5"/>
    <w:rsid w:val="006203E3"/>
    <w:rsid w:val="0063100C"/>
    <w:rsid w:val="00644C33"/>
    <w:rsid w:val="00645E7B"/>
    <w:rsid w:val="006D75BB"/>
    <w:rsid w:val="007141C0"/>
    <w:rsid w:val="00726485"/>
    <w:rsid w:val="00735496"/>
    <w:rsid w:val="0075371B"/>
    <w:rsid w:val="0077541C"/>
    <w:rsid w:val="007811E5"/>
    <w:rsid w:val="0078437A"/>
    <w:rsid w:val="008047D5"/>
    <w:rsid w:val="00824DE4"/>
    <w:rsid w:val="00824ECE"/>
    <w:rsid w:val="008638F6"/>
    <w:rsid w:val="00875113"/>
    <w:rsid w:val="008768B0"/>
    <w:rsid w:val="00885E84"/>
    <w:rsid w:val="008F4A68"/>
    <w:rsid w:val="008F5ED5"/>
    <w:rsid w:val="00907151"/>
    <w:rsid w:val="00926C80"/>
    <w:rsid w:val="0095551D"/>
    <w:rsid w:val="009B20DF"/>
    <w:rsid w:val="009F14AC"/>
    <w:rsid w:val="00A15A87"/>
    <w:rsid w:val="00A3762C"/>
    <w:rsid w:val="00A41275"/>
    <w:rsid w:val="00A421E0"/>
    <w:rsid w:val="00AD43E6"/>
    <w:rsid w:val="00B339FC"/>
    <w:rsid w:val="00B35BA0"/>
    <w:rsid w:val="00BA38E9"/>
    <w:rsid w:val="00BB0F12"/>
    <w:rsid w:val="00BB7F3D"/>
    <w:rsid w:val="00BE3B36"/>
    <w:rsid w:val="00C16699"/>
    <w:rsid w:val="00C37FFA"/>
    <w:rsid w:val="00C8310D"/>
    <w:rsid w:val="00D44966"/>
    <w:rsid w:val="00D71B22"/>
    <w:rsid w:val="00D84A5B"/>
    <w:rsid w:val="00D864D6"/>
    <w:rsid w:val="00D92F62"/>
    <w:rsid w:val="00DB2FE3"/>
    <w:rsid w:val="00DD18C3"/>
    <w:rsid w:val="00DD6688"/>
    <w:rsid w:val="00DE74D1"/>
    <w:rsid w:val="00E33008"/>
    <w:rsid w:val="00E961CB"/>
    <w:rsid w:val="00ED22C9"/>
    <w:rsid w:val="00ED3786"/>
    <w:rsid w:val="00EE0D55"/>
    <w:rsid w:val="00F10670"/>
    <w:rsid w:val="00F6012D"/>
    <w:rsid w:val="00F7276B"/>
    <w:rsid w:val="00FA350E"/>
    <w:rsid w:val="00FB6602"/>
    <w:rsid w:val="00FF6D19"/>
    <w:rsid w:val="02230C8C"/>
    <w:rsid w:val="0570122F"/>
    <w:rsid w:val="061F126F"/>
    <w:rsid w:val="074505F4"/>
    <w:rsid w:val="07CC62E8"/>
    <w:rsid w:val="0A4A58C2"/>
    <w:rsid w:val="0ACF0A4D"/>
    <w:rsid w:val="0F822F40"/>
    <w:rsid w:val="111D5FE9"/>
    <w:rsid w:val="11FA5057"/>
    <w:rsid w:val="15C001F5"/>
    <w:rsid w:val="17300FF5"/>
    <w:rsid w:val="1BC17CE4"/>
    <w:rsid w:val="1F3001BA"/>
    <w:rsid w:val="1F430AD8"/>
    <w:rsid w:val="20785741"/>
    <w:rsid w:val="220C7862"/>
    <w:rsid w:val="27FC59F5"/>
    <w:rsid w:val="29165D32"/>
    <w:rsid w:val="2C8744D8"/>
    <w:rsid w:val="2C95222E"/>
    <w:rsid w:val="2D3515CB"/>
    <w:rsid w:val="313C67BB"/>
    <w:rsid w:val="32C24615"/>
    <w:rsid w:val="34066581"/>
    <w:rsid w:val="3686284A"/>
    <w:rsid w:val="38023034"/>
    <w:rsid w:val="38AA0C9E"/>
    <w:rsid w:val="3B8D6F81"/>
    <w:rsid w:val="3F165ACD"/>
    <w:rsid w:val="40D56B9A"/>
    <w:rsid w:val="418D5C20"/>
    <w:rsid w:val="44543CD3"/>
    <w:rsid w:val="46452071"/>
    <w:rsid w:val="474C1704"/>
    <w:rsid w:val="47BB41BD"/>
    <w:rsid w:val="49DC0B1E"/>
    <w:rsid w:val="4C5349EE"/>
    <w:rsid w:val="4FF81BE6"/>
    <w:rsid w:val="53D00492"/>
    <w:rsid w:val="5681116D"/>
    <w:rsid w:val="586C6942"/>
    <w:rsid w:val="5A547BA0"/>
    <w:rsid w:val="5C5A61DC"/>
    <w:rsid w:val="5D5725E0"/>
    <w:rsid w:val="64080434"/>
    <w:rsid w:val="67C71ECC"/>
    <w:rsid w:val="69543BB4"/>
    <w:rsid w:val="6A197EDE"/>
    <w:rsid w:val="6ACE43BB"/>
    <w:rsid w:val="6C10344F"/>
    <w:rsid w:val="6E2B4FD7"/>
    <w:rsid w:val="707414BE"/>
    <w:rsid w:val="73356235"/>
    <w:rsid w:val="734343DB"/>
    <w:rsid w:val="76BB4BD7"/>
    <w:rsid w:val="7760671C"/>
    <w:rsid w:val="77B02700"/>
    <w:rsid w:val="7C06069C"/>
    <w:rsid w:val="7D3A1A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60" w:lineRule="exact"/>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line="576" w:lineRule="auto"/>
      <w:jc w:val="center"/>
      <w:outlineLvl w:val="0"/>
    </w:pPr>
    <w:rPr>
      <w:rFonts w:eastAsia="方正小标宋"/>
      <w:b/>
      <w:kern w:val="44"/>
      <w:sz w:val="36"/>
    </w:rPr>
  </w:style>
  <w:style w:type="paragraph" w:styleId="3">
    <w:name w:val="heading 2"/>
    <w:basedOn w:val="1"/>
    <w:next w:val="1"/>
    <w:autoRedefine/>
    <w:unhideWhenUsed/>
    <w:qFormat/>
    <w:uiPriority w:val="0"/>
    <w:pPr>
      <w:keepNext/>
      <w:keepLines/>
      <w:spacing w:line="240" w:lineRule="auto"/>
      <w:jc w:val="center"/>
      <w:outlineLvl w:val="1"/>
    </w:pPr>
    <w:rPr>
      <w:rFonts w:ascii="Arial" w:hAnsi="Arial" w:eastAsia="方正小标宋"/>
      <w:b/>
      <w:sz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jc w:val="center"/>
    </w:pPr>
    <w:rPr>
      <w:rFonts w:eastAsia="方正小标宋"/>
      <w:sz w:val="36"/>
    </w:rPr>
  </w:style>
  <w:style w:type="paragraph" w:styleId="7">
    <w:name w:val="toc 2"/>
    <w:basedOn w:val="1"/>
    <w:next w:val="1"/>
    <w:autoRedefine/>
    <w:qFormat/>
    <w:uiPriority w:val="0"/>
    <w:pPr>
      <w:ind w:left="420" w:leftChars="200"/>
    </w:pPr>
  </w:style>
  <w:style w:type="paragraph" w:styleId="8">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autoRedefine/>
    <w:qFormat/>
    <w:uiPriority w:val="0"/>
    <w:rPr>
      <w:b/>
    </w:rPr>
  </w:style>
  <w:style w:type="character" w:styleId="13">
    <w:name w:val="page number"/>
    <w:basedOn w:val="11"/>
    <w:autoRedefine/>
    <w:unhideWhenUsed/>
    <w:qFormat/>
    <w:uiPriority w:val="99"/>
  </w:style>
  <w:style w:type="character" w:customStyle="1" w:styleId="14">
    <w:name w:val="页眉 Char"/>
    <w:basedOn w:val="11"/>
    <w:link w:val="5"/>
    <w:autoRedefine/>
    <w:qFormat/>
    <w:uiPriority w:val="0"/>
    <w:rPr>
      <w:rFonts w:ascii="Calibri" w:hAnsi="Calibri"/>
      <w:kern w:val="2"/>
      <w:sz w:val="18"/>
      <w:szCs w:val="18"/>
    </w:rPr>
  </w:style>
  <w:style w:type="paragraph" w:customStyle="1" w:styleId="15">
    <w:name w:val="Heading 2"/>
    <w:basedOn w:val="1"/>
    <w:autoRedefine/>
    <w:qFormat/>
    <w:uiPriority w:val="1"/>
    <w:pPr>
      <w:autoSpaceDE w:val="0"/>
      <w:autoSpaceDN w:val="0"/>
      <w:adjustRightInd w:val="0"/>
      <w:spacing w:before="181"/>
      <w:ind w:left="103"/>
      <w:jc w:val="left"/>
      <w:outlineLvl w:val="1"/>
    </w:pPr>
    <w:rPr>
      <w:rFonts w:ascii="仿宋" w:hAnsi="Times New Roman" w:eastAsia="仿宋" w:cs="仿宋"/>
      <w:kern w:val="0"/>
      <w:sz w:val="32"/>
      <w:szCs w:val="32"/>
    </w:rPr>
  </w:style>
  <w:style w:type="paragraph" w:customStyle="1" w:styleId="16">
    <w:name w:val="Table Paragraph"/>
    <w:basedOn w:val="1"/>
    <w:autoRedefine/>
    <w:qFormat/>
    <w:uiPriority w:val="1"/>
    <w:pPr>
      <w:autoSpaceDE w:val="0"/>
      <w:autoSpaceDN w:val="0"/>
      <w:adjustRightInd w:val="0"/>
      <w:spacing w:line="240" w:lineRule="auto"/>
      <w:jc w:val="left"/>
    </w:pPr>
    <w:rPr>
      <w:rFonts w:ascii="Times New Roman" w:hAnsi="Times New Roman" w:eastAsiaTheme="minorEastAsia"/>
      <w:kern w:val="0"/>
      <w:sz w:val="24"/>
      <w:szCs w:val="24"/>
    </w:rPr>
  </w:style>
  <w:style w:type="paragraph" w:customStyle="1" w:styleId="17">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18">
    <w:name w:val="WPSOffice手动目录 1"/>
    <w:autoRedefine/>
    <w:qFormat/>
    <w:uiPriority w:val="0"/>
    <w:rPr>
      <w:rFonts w:ascii="Times New Roman" w:hAnsi="Times New Roman" w:eastAsia="宋体" w:cs="Times New Roman"/>
      <w:lang w:val="en-US" w:eastAsia="zh-CN" w:bidi="ar-SA"/>
    </w:rPr>
  </w:style>
  <w:style w:type="paragraph" w:customStyle="1" w:styleId="19">
    <w:name w:val="单元格样式2"/>
    <w:basedOn w:val="1"/>
    <w:autoRedefine/>
    <w:qFormat/>
    <w:uiPriority w:val="0"/>
    <w:rPr>
      <w:rFonts w:ascii="方正书宋_GBK" w:hAnsi="方正书宋_GBK" w:eastAsia="方正书宋_GBK" w:cs="方正书宋_GBK"/>
      <w:sz w:val="21"/>
    </w:rPr>
  </w:style>
  <w:style w:type="paragraph" w:customStyle="1" w:styleId="20">
    <w:name w:val="单元格样式20"/>
    <w:basedOn w:val="1"/>
    <w:autoRedefine/>
    <w:qFormat/>
    <w:uiPriority w:val="0"/>
    <w:rPr>
      <w:rFonts w:ascii="方正小标宋_GBK" w:hAnsi="方正小标宋_GBK" w:eastAsia="方正小标宋_GBK" w:cs="方正小标宋_GBK"/>
    </w:rPr>
  </w:style>
  <w:style w:type="paragraph" w:customStyle="1" w:styleId="21">
    <w:name w:val="单元格样式23"/>
    <w:basedOn w:val="1"/>
    <w:autoRedefine/>
    <w:qFormat/>
    <w:uiPriority w:val="0"/>
    <w:pPr>
      <w:jc w:val="right"/>
    </w:pPr>
    <w:rPr>
      <w:rFonts w:ascii="方正书宋_GBK" w:hAnsi="方正书宋_GBK" w:eastAsia="方正书宋_GBK" w:cs="方正书宋_GBK"/>
    </w:rPr>
  </w:style>
  <w:style w:type="paragraph" w:customStyle="1" w:styleId="22">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23">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4">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5">
    <w:name w:val="单元格样式5"/>
    <w:basedOn w:val="1"/>
    <w:autoRedefine/>
    <w:qFormat/>
    <w:uiPriority w:val="0"/>
    <w:rPr>
      <w:rFonts w:ascii="方正书宋_GBK" w:hAnsi="方正书宋_GBK" w:eastAsia="方正书宋_GBK" w:cs="方正书宋_GBK"/>
      <w:b/>
      <w:sz w:val="21"/>
    </w:rPr>
  </w:style>
  <w:style w:type="paragraph" w:customStyle="1" w:styleId="26">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27">
    <w:name w:val="单元格样式3"/>
    <w:basedOn w:val="1"/>
    <w:autoRedefine/>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F00D28-B60B-4E2C-AF43-3370EF1A6458}">
  <ds:schemaRefs/>
</ds:datastoreItem>
</file>

<file path=docProps/app.xml><?xml version="1.0" encoding="utf-8"?>
<Properties xmlns="http://schemas.openxmlformats.org/officeDocument/2006/extended-properties" xmlns:vt="http://schemas.openxmlformats.org/officeDocument/2006/docPropsVTypes">
  <Template>Normal</Template>
  <Pages>50</Pages>
  <Words>14477</Words>
  <Characters>16169</Characters>
  <Lines>139</Lines>
  <Paragraphs>39</Paragraphs>
  <TotalTime>12</TotalTime>
  <ScaleCrop>false</ScaleCrop>
  <LinksUpToDate>false</LinksUpToDate>
  <CharactersWithSpaces>16322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2022-02-22T04:47:00Z</dcterms:created>
  <dc:creator>lil</dc:creator>
  <cp:lastModifiedBy>Administrator</cp:lastModifiedBy>
  <cp:lastPrinted>2022-06-23T01:09:00Z</cp:lastPrinted>
  <dcterms:modified xsi:type="dcterms:W3CDTF">2024-01-30T09:10:09Z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CE07C770150141F8A23AD275E1EEEB28</vt:lpwstr>
  </property>
</Properties>
</file>