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仿宋" w:hAnsi="仿宋" w:eastAsia="仿宋" w:cs="仿宋"/>
          <w:b/>
          <w:bCs/>
          <w:kern w:val="0"/>
          <w:sz w:val="44"/>
          <w:szCs w:val="44"/>
        </w:rPr>
      </w:pPr>
      <w:r>
        <w:rPr>
          <w:rFonts w:hint="eastAsia" w:ascii="仿宋" w:hAnsi="仿宋" w:eastAsia="仿宋" w:cs="仿宋"/>
          <w:b/>
          <w:bCs/>
          <w:kern w:val="0"/>
          <w:sz w:val="44"/>
          <w:szCs w:val="44"/>
        </w:rPr>
        <w:t>涞水县交通运输局</w:t>
      </w:r>
    </w:p>
    <w:p>
      <w:pPr>
        <w:widowControl/>
        <w:spacing w:line="560" w:lineRule="exact"/>
        <w:jc w:val="center"/>
        <w:rPr>
          <w:rFonts w:ascii="仿宋" w:hAnsi="仿宋" w:eastAsia="仿宋" w:cs="仿宋"/>
          <w:kern w:val="0"/>
          <w:sz w:val="44"/>
          <w:szCs w:val="44"/>
        </w:rPr>
      </w:pPr>
      <w:r>
        <w:rPr>
          <w:rFonts w:hint="eastAsia" w:ascii="仿宋" w:hAnsi="仿宋" w:eastAsia="仿宋" w:cs="仿宋"/>
          <w:b/>
          <w:bCs/>
          <w:kern w:val="0"/>
          <w:sz w:val="44"/>
          <w:szCs w:val="44"/>
        </w:rPr>
        <w:t>部门预算公开有关事项的说明</w:t>
      </w:r>
    </w:p>
    <w:p>
      <w:pPr>
        <w:widowControl/>
        <w:spacing w:line="560" w:lineRule="exact"/>
        <w:rPr>
          <w:rFonts w:ascii="仿宋" w:hAnsi="仿宋" w:eastAsia="仿宋" w:cs="仿宋"/>
          <w:kern w:val="0"/>
          <w:sz w:val="32"/>
          <w:szCs w:val="32"/>
        </w:rPr>
      </w:pPr>
    </w:p>
    <w:p>
      <w:pPr>
        <w:widowControl/>
        <w:spacing w:line="560" w:lineRule="exact"/>
        <w:rPr>
          <w:rFonts w:ascii="仿宋" w:hAnsi="仿宋" w:eastAsia="仿宋" w:cs="仿宋"/>
          <w:b/>
          <w:bCs/>
          <w:kern w:val="0"/>
          <w:sz w:val="32"/>
          <w:szCs w:val="32"/>
          <w:lang w:bidi="ar"/>
        </w:rPr>
      </w:pPr>
      <w:r>
        <w:rPr>
          <w:rFonts w:hint="eastAsia" w:ascii="仿宋" w:hAnsi="仿宋" w:eastAsia="仿宋" w:cs="仿宋"/>
          <w:b/>
          <w:bCs/>
          <w:kern w:val="0"/>
          <w:sz w:val="32"/>
          <w:szCs w:val="32"/>
        </w:rPr>
        <w:t xml:space="preserve"> </w:t>
      </w:r>
      <w:r>
        <w:rPr>
          <w:rFonts w:hint="eastAsia" w:ascii="仿宋" w:hAnsi="仿宋" w:eastAsia="仿宋" w:cs="仿宋"/>
          <w:b/>
          <w:bCs/>
          <w:kern w:val="0"/>
          <w:sz w:val="32"/>
          <w:szCs w:val="32"/>
          <w:lang w:bidi="ar"/>
        </w:rPr>
        <w:t>一、部门职责、机构设置等基本情况</w:t>
      </w:r>
    </w:p>
    <w:p>
      <w:pPr>
        <w:widowControl/>
        <w:spacing w:line="560" w:lineRule="exact"/>
        <w:ind w:firstLine="640"/>
        <w:rPr>
          <w:rFonts w:ascii="仿宋" w:hAnsi="仿宋" w:eastAsia="仿宋" w:cs="仿宋"/>
          <w:kern w:val="0"/>
          <w:sz w:val="32"/>
          <w:szCs w:val="32"/>
          <w:lang w:bidi="ar"/>
        </w:rPr>
      </w:pPr>
      <w:r>
        <w:rPr>
          <w:rFonts w:hint="eastAsia" w:ascii="仿宋" w:hAnsi="仿宋" w:eastAsia="仿宋" w:cs="仿宋"/>
          <w:kern w:val="0"/>
          <w:sz w:val="32"/>
          <w:szCs w:val="32"/>
          <w:lang w:bidi="ar"/>
        </w:rPr>
        <w:t>1、部门职责</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（一）承担全县综合运输体系的规划协调责任，会同有关部门组织编制全县综合运输体系规划。</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（二）组织拟定并监督实施全县公路建设、道路运输等交通运输行业发展规划，引导交通运输行业优化结构，统筹城乡交通运输协调发展。</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（三）承担《中华人民共和国公路法》及相关法律法规的宣传与贯彻实施责任。</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（四）承担全县公路工程建设、公路工程质量监管责任，负责县级以上公路养护，指导乡（镇）公路养护所开展乡村公路养护工作。</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（五）承担全县道路运输市场的监管责任，负责运输市场、运输服务、车辆维修、机动车性能检测、机动车驾驶学校、机动车驾驶员培训等行业管理工作。</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（六）承担全县公路路政监管责任，依法维护公路路产路权，保障公路安全畅通。</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（七）承担全县水域水上交通安全监管责任，负责辖区水域船舶签证核准、船员培训、防止水域污染及遇险救助工作，组织或参与水上事故调查处理。</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（八）承担全县出租汽车和城市公交监管责任，负责出租汽车和城市公交行业站点规划、市场运营、人员培训、资质管理、投诉受理、依法查处违法违规运营行为等行业管理工作。</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（九）负责全县交通运输行业国有资产管理和保值增值监督，负责交通专项资金的管理、使用，负责行业内部审计及人员培训工作。</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（十）负责全县交通运输行业科技、信息化建设，监测分析运行情况，开展行业统计，发布相关信息。</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（十一）会同相关部门开展各类专项整顿活动，维护交通运输行业健康有序发展。</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（十二）承担交通战备相关工作。</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（十三）承办县政府交办的其他事项。</w:t>
      </w:r>
    </w:p>
    <w:p>
      <w:pPr>
        <w:widowControl/>
        <w:spacing w:line="560" w:lineRule="exact"/>
        <w:ind w:firstLine="640"/>
        <w:rPr>
          <w:rFonts w:ascii="仿宋" w:hAnsi="仿宋" w:eastAsia="仿宋" w:cs="仿宋"/>
          <w:kern w:val="0"/>
          <w:sz w:val="32"/>
          <w:szCs w:val="32"/>
          <w:lang w:bidi="ar"/>
        </w:rPr>
      </w:pPr>
      <w:r>
        <w:rPr>
          <w:rFonts w:hint="eastAsia" w:ascii="仿宋" w:hAnsi="仿宋" w:eastAsia="仿宋" w:cs="仿宋"/>
          <w:sz w:val="32"/>
          <w:szCs w:val="32"/>
        </w:rPr>
        <w:t>安排补助资金，组织实施各项公路建设、完成投资任务。组织实施客货运场站工程建设。监管全县公路有关重点工程建设、工程质量和安全生产进行监督和管理，做好建设过程中的协调管理工作。其他与县级建设任务紧密相关的交通基础设施建设。通过以奖代补等形式对农村公路保养与维护进行资金补助，引导带动各地加强农村公路养护。对公路建设、养护、运营与路政、治理超限超载进行管理。对全县道路旅客运输、货物运输、从业人员、道路运输相关业务进行行业管理，市场监管及安全检查。</w:t>
      </w:r>
    </w:p>
    <w:p>
      <w:pPr>
        <w:widowControl/>
        <w:spacing w:line="560" w:lineRule="exact"/>
        <w:ind w:firstLine="640"/>
        <w:rPr>
          <w:rFonts w:ascii="仿宋" w:hAnsi="仿宋" w:eastAsia="仿宋" w:cs="仿宋"/>
          <w:kern w:val="0"/>
          <w:sz w:val="32"/>
          <w:szCs w:val="32"/>
        </w:rPr>
      </w:pPr>
    </w:p>
    <w:p>
      <w:pPr>
        <w:widowControl/>
        <w:spacing w:line="560" w:lineRule="exact"/>
        <w:rPr>
          <w:rFonts w:ascii="仿宋" w:hAnsi="仿宋" w:eastAsia="仿宋" w:cs="仿宋"/>
          <w:kern w:val="0"/>
          <w:sz w:val="32"/>
          <w:szCs w:val="32"/>
        </w:rPr>
      </w:pPr>
      <w:r>
        <w:rPr>
          <w:rFonts w:hint="eastAsia" w:ascii="仿宋" w:hAnsi="仿宋" w:eastAsia="仿宋" w:cs="仿宋"/>
          <w:kern w:val="0"/>
          <w:sz w:val="32"/>
          <w:szCs w:val="32"/>
        </w:rPr>
        <w:t>2、机构设置</w:t>
      </w:r>
    </w:p>
    <w:p>
      <w:pPr>
        <w:spacing w:line="560" w:lineRule="exact"/>
        <w:jc w:val="center"/>
        <w:rPr>
          <w:rFonts w:ascii="仿宋" w:hAnsi="仿宋" w:eastAsia="仿宋" w:cs="仿宋"/>
          <w:b/>
          <w:color w:val="000000"/>
          <w:kern w:val="0"/>
          <w:sz w:val="32"/>
          <w:szCs w:val="32"/>
        </w:rPr>
      </w:pPr>
      <w:r>
        <w:rPr>
          <w:rFonts w:hint="eastAsia" w:ascii="仿宋" w:hAnsi="仿宋" w:eastAsia="仿宋" w:cs="仿宋"/>
          <w:b/>
          <w:color w:val="000000"/>
          <w:kern w:val="0"/>
          <w:sz w:val="32"/>
          <w:szCs w:val="32"/>
        </w:rPr>
        <w:t>部门机构设置情况</w:t>
      </w:r>
    </w:p>
    <w:tbl>
      <w:tblPr>
        <w:tblStyle w:val="6"/>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1692"/>
        <w:gridCol w:w="1692"/>
        <w:gridCol w:w="1692"/>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92" w:type="dxa"/>
            <w:vAlign w:val="center"/>
          </w:tcPr>
          <w:p>
            <w:pPr>
              <w:widowControl/>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序号</w:t>
            </w:r>
          </w:p>
        </w:tc>
        <w:tc>
          <w:tcPr>
            <w:tcW w:w="1692" w:type="dxa"/>
            <w:vAlign w:val="center"/>
          </w:tcPr>
          <w:p>
            <w:pPr>
              <w:widowControl/>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单位名称</w:t>
            </w:r>
          </w:p>
        </w:tc>
        <w:tc>
          <w:tcPr>
            <w:tcW w:w="1692" w:type="dxa"/>
            <w:vAlign w:val="center"/>
          </w:tcPr>
          <w:p>
            <w:pPr>
              <w:widowControl/>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单位性质</w:t>
            </w:r>
          </w:p>
        </w:tc>
        <w:tc>
          <w:tcPr>
            <w:tcW w:w="1692" w:type="dxa"/>
            <w:vAlign w:val="center"/>
          </w:tcPr>
          <w:p>
            <w:pPr>
              <w:widowControl/>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单位规格</w:t>
            </w:r>
          </w:p>
        </w:tc>
        <w:tc>
          <w:tcPr>
            <w:tcW w:w="2022" w:type="dxa"/>
            <w:vAlign w:val="center"/>
          </w:tcPr>
          <w:p>
            <w:pPr>
              <w:widowControl/>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1</w:t>
            </w:r>
          </w:p>
        </w:tc>
        <w:tc>
          <w:tcPr>
            <w:tcW w:w="1692" w:type="dxa"/>
            <w:vAlign w:val="center"/>
          </w:tcPr>
          <w:p>
            <w:pPr>
              <w:widowControl/>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涞水县交通运输局</w:t>
            </w:r>
          </w:p>
        </w:tc>
        <w:tc>
          <w:tcPr>
            <w:tcW w:w="1692" w:type="dxa"/>
            <w:vAlign w:val="center"/>
          </w:tcPr>
          <w:p>
            <w:pPr>
              <w:widowControl/>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事业</w:t>
            </w:r>
          </w:p>
        </w:tc>
        <w:tc>
          <w:tcPr>
            <w:tcW w:w="1692" w:type="dxa"/>
            <w:vAlign w:val="center"/>
          </w:tcPr>
          <w:p>
            <w:pPr>
              <w:widowControl/>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正科级</w:t>
            </w:r>
          </w:p>
        </w:tc>
        <w:tc>
          <w:tcPr>
            <w:tcW w:w="2022" w:type="dxa"/>
            <w:vAlign w:val="center"/>
          </w:tcPr>
          <w:p>
            <w:pPr>
              <w:widowControl/>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财政性资金基本保障</w:t>
            </w:r>
          </w:p>
        </w:tc>
      </w:tr>
    </w:tbl>
    <w:p>
      <w:pPr>
        <w:widowControl/>
        <w:numPr>
          <w:ilvl w:val="0"/>
          <w:numId w:val="1"/>
        </w:numPr>
        <w:spacing w:line="560" w:lineRule="exact"/>
        <w:ind w:firstLine="640"/>
        <w:rPr>
          <w:rFonts w:ascii="仿宋" w:hAnsi="仿宋" w:eastAsia="仿宋" w:cs="仿宋"/>
          <w:b/>
          <w:bCs/>
          <w:kern w:val="0"/>
          <w:sz w:val="32"/>
          <w:szCs w:val="32"/>
        </w:rPr>
      </w:pPr>
      <w:r>
        <w:rPr>
          <w:rFonts w:hint="eastAsia" w:ascii="仿宋" w:hAnsi="仿宋" w:eastAsia="仿宋" w:cs="仿宋"/>
          <w:b/>
          <w:bCs/>
          <w:kern w:val="0"/>
          <w:sz w:val="32"/>
          <w:szCs w:val="32"/>
        </w:rPr>
        <w:t>部门预算安排总体情况</w:t>
      </w:r>
    </w:p>
    <w:p>
      <w:pPr>
        <w:widowControl/>
        <w:spacing w:line="560" w:lineRule="exact"/>
        <w:ind w:firstLine="641"/>
        <w:rPr>
          <w:rFonts w:ascii="仿宋" w:hAnsi="仿宋" w:eastAsia="仿宋" w:cs="仿宋"/>
          <w:kern w:val="0"/>
          <w:sz w:val="32"/>
          <w:szCs w:val="32"/>
        </w:rPr>
      </w:pPr>
      <w:r>
        <w:rPr>
          <w:rFonts w:hint="eastAsia" w:ascii="仿宋" w:hAnsi="仿宋" w:eastAsia="仿宋" w:cs="仿宋"/>
          <w:kern w:val="0"/>
          <w:sz w:val="32"/>
          <w:szCs w:val="32"/>
        </w:rPr>
        <w:t>我单位2018年一般公共预算拨款收入共计8118.32万元。其中，财政拨款2720.22万元，国有资产有偿使用收入437.6万元，中央财政提前通知转移支付资金2608.5万元，其他资金232万元，基金预算拨款2120万元。</w:t>
      </w:r>
    </w:p>
    <w:p>
      <w:pPr>
        <w:widowControl/>
        <w:spacing w:line="560" w:lineRule="exact"/>
        <w:ind w:firstLine="641"/>
        <w:rPr>
          <w:rFonts w:hint="eastAsia" w:ascii="仿宋" w:hAnsi="仿宋" w:eastAsia="仿宋" w:cs="仿宋"/>
          <w:kern w:val="0"/>
          <w:sz w:val="32"/>
          <w:szCs w:val="32"/>
        </w:rPr>
      </w:pPr>
      <w:r>
        <w:rPr>
          <w:rFonts w:hint="eastAsia" w:ascii="仿宋" w:hAnsi="仿宋" w:eastAsia="仿宋" w:cs="仿宋"/>
          <w:kern w:val="0"/>
          <w:sz w:val="32"/>
          <w:szCs w:val="32"/>
        </w:rPr>
        <w:t>预算支出8118.32万元。其中，人员经费1512.52万元，日常公用经费192.32万元，项目支出6413.48万元。</w:t>
      </w:r>
    </w:p>
    <w:p>
      <w:pPr>
        <w:widowControl/>
        <w:spacing w:line="560" w:lineRule="exact"/>
        <w:ind w:firstLine="641"/>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与上年增减变化情况</w:t>
      </w:r>
    </w:p>
    <w:p>
      <w:pPr>
        <w:widowControl/>
        <w:spacing w:line="560" w:lineRule="exact"/>
        <w:ind w:firstLine="641"/>
        <w:rPr>
          <w:rFonts w:hint="eastAsia" w:ascii="仿宋" w:hAnsi="仿宋" w:eastAsia="仿宋" w:cs="仿宋"/>
          <w:kern w:val="0"/>
          <w:sz w:val="32"/>
          <w:szCs w:val="32"/>
          <w:lang w:eastAsia="zh-CN"/>
        </w:rPr>
      </w:pPr>
      <w:r>
        <w:rPr>
          <w:rFonts w:hint="eastAsia" w:ascii="仿宋_GB2312" w:hAnsi="仿宋_GB2312" w:eastAsia="仿宋_GB2312" w:cs="仿宋_GB2312"/>
          <w:sz w:val="32"/>
          <w:szCs w:val="32"/>
        </w:rPr>
        <w:t>本年度预算安排</w:t>
      </w:r>
      <w:r>
        <w:rPr>
          <w:rFonts w:hint="eastAsia" w:ascii="仿宋_GB2312" w:hAnsi="仿宋_GB2312" w:eastAsia="仿宋_GB2312" w:cs="仿宋_GB2312"/>
          <w:sz w:val="32"/>
          <w:szCs w:val="32"/>
          <w:lang w:val="en-US" w:eastAsia="zh-CN"/>
        </w:rPr>
        <w:t>8118.32</w:t>
      </w:r>
      <w:r>
        <w:rPr>
          <w:rFonts w:hint="eastAsia" w:ascii="仿宋_GB2312" w:hAnsi="仿宋_GB2312" w:eastAsia="仿宋_GB2312" w:cs="仿宋_GB2312"/>
          <w:sz w:val="32"/>
          <w:szCs w:val="32"/>
        </w:rPr>
        <w:t>万元，较上年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694.44</w:t>
      </w:r>
      <w:r>
        <w:rPr>
          <w:rFonts w:hint="eastAsia" w:ascii="仿宋_GB2312" w:hAnsi="仿宋_GB2312" w:eastAsia="仿宋_GB2312" w:cs="仿宋_GB2312"/>
          <w:sz w:val="32"/>
          <w:szCs w:val="32"/>
        </w:rPr>
        <w:t>万元，其中，基本支出增加</w:t>
      </w:r>
      <w:r>
        <w:rPr>
          <w:rFonts w:hint="eastAsia" w:ascii="仿宋_GB2312" w:hAnsi="仿宋_GB2312" w:eastAsia="仿宋_GB2312" w:cs="仿宋_GB2312"/>
          <w:sz w:val="32"/>
          <w:szCs w:val="32"/>
          <w:lang w:val="en-US" w:eastAsia="zh-CN"/>
        </w:rPr>
        <w:t>76.64</w:t>
      </w:r>
      <w:r>
        <w:rPr>
          <w:rFonts w:hint="eastAsia" w:ascii="仿宋_GB2312" w:hAnsi="仿宋_GB2312" w:eastAsia="仿宋_GB2312" w:cs="仿宋_GB2312"/>
          <w:sz w:val="32"/>
          <w:szCs w:val="32"/>
        </w:rPr>
        <w:t>万元。主要原因职工上调工资。项目支出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620.8</w:t>
      </w:r>
      <w:r>
        <w:rPr>
          <w:rFonts w:hint="eastAsia" w:ascii="仿宋_GB2312" w:hAnsi="仿宋_GB2312" w:eastAsia="仿宋_GB2312" w:cs="仿宋_GB2312"/>
          <w:sz w:val="32"/>
          <w:szCs w:val="32"/>
        </w:rPr>
        <w:t>万元，主要</w:t>
      </w:r>
      <w:r>
        <w:rPr>
          <w:rFonts w:hint="eastAsia" w:ascii="仿宋_GB2312" w:hAnsi="仿宋_GB2312" w:eastAsia="仿宋_GB2312" w:cs="仿宋_GB2312"/>
          <w:sz w:val="32"/>
          <w:szCs w:val="32"/>
          <w:lang w:eastAsia="zh-CN"/>
        </w:rPr>
        <w:t>增加了基金预算基础设施建设项目。</w:t>
      </w:r>
    </w:p>
    <w:p>
      <w:pPr>
        <w:widowControl/>
        <w:spacing w:line="560" w:lineRule="exact"/>
        <w:rPr>
          <w:rFonts w:ascii="仿宋" w:hAnsi="仿宋" w:eastAsia="仿宋" w:cs="仿宋"/>
          <w:b/>
          <w:bCs/>
          <w:kern w:val="0"/>
          <w:sz w:val="32"/>
          <w:szCs w:val="32"/>
        </w:rPr>
      </w:pPr>
      <w:r>
        <w:rPr>
          <w:rFonts w:hint="eastAsia" w:ascii="仿宋" w:hAnsi="仿宋" w:eastAsia="仿宋" w:cs="仿宋"/>
          <w:b/>
          <w:bCs/>
          <w:kern w:val="0"/>
          <w:sz w:val="32"/>
          <w:szCs w:val="32"/>
        </w:rPr>
        <w:t>三、机关运行经费安排情况</w:t>
      </w:r>
    </w:p>
    <w:p>
      <w:pPr>
        <w:widowControl/>
        <w:spacing w:line="560" w:lineRule="exact"/>
        <w:ind w:firstLine="640" w:firstLineChars="200"/>
        <w:rPr>
          <w:rFonts w:ascii="仿宋" w:hAnsi="仿宋" w:eastAsia="仿宋" w:cs="仿宋"/>
          <w:b/>
          <w:bCs/>
          <w:kern w:val="0"/>
          <w:sz w:val="32"/>
          <w:szCs w:val="32"/>
        </w:rPr>
      </w:pPr>
      <w:r>
        <w:rPr>
          <w:rFonts w:hint="eastAsia" w:ascii="仿宋" w:hAnsi="仿宋" w:eastAsia="仿宋" w:cs="仿宋"/>
          <w:kern w:val="0"/>
          <w:sz w:val="32"/>
          <w:szCs w:val="32"/>
        </w:rPr>
        <w:t>我单位2018年公用经费支出安排192.32万元，其中办公费33.92万元，邮电费2.16万元，取暖费28.08万元，差旅费1.10万元，公务用车运行维护费66.5万元，公务交通补贴4.74万元，工会经费18.19万元，职工福利费37.63万元。</w:t>
      </w:r>
    </w:p>
    <w:p>
      <w:pPr>
        <w:widowControl/>
        <w:spacing w:line="560" w:lineRule="exact"/>
        <w:rPr>
          <w:rFonts w:ascii="仿宋" w:hAnsi="仿宋" w:eastAsia="仿宋" w:cs="仿宋"/>
          <w:kern w:val="0"/>
          <w:sz w:val="32"/>
          <w:szCs w:val="32"/>
        </w:rPr>
      </w:pPr>
      <w:r>
        <w:rPr>
          <w:rFonts w:hint="eastAsia" w:ascii="仿宋" w:hAnsi="仿宋" w:eastAsia="仿宋" w:cs="仿宋"/>
          <w:b/>
          <w:bCs/>
          <w:kern w:val="0"/>
          <w:sz w:val="32"/>
          <w:szCs w:val="32"/>
        </w:rPr>
        <w:t>四、财政拨款“三公”经费预算情况</w:t>
      </w:r>
    </w:p>
    <w:p>
      <w:pPr>
        <w:widowControl/>
        <w:spacing w:line="560" w:lineRule="exact"/>
        <w:ind w:firstLine="640"/>
        <w:rPr>
          <w:rFonts w:hint="eastAsia" w:ascii="仿宋" w:hAnsi="仿宋" w:eastAsia="仿宋" w:cs="仿宋"/>
          <w:kern w:val="0"/>
          <w:sz w:val="32"/>
          <w:szCs w:val="32"/>
        </w:rPr>
      </w:pPr>
      <w:r>
        <w:rPr>
          <w:rFonts w:hint="eastAsia" w:ascii="仿宋" w:hAnsi="仿宋" w:eastAsia="仿宋" w:cs="仿宋"/>
          <w:kern w:val="0"/>
          <w:sz w:val="32"/>
          <w:szCs w:val="32"/>
        </w:rPr>
        <w:t>我单位2018年“三公”经费支出66.5万元。其中，公务用车运行维护费66.5万元。</w:t>
      </w:r>
    </w:p>
    <w:p>
      <w:pPr>
        <w:widowControl/>
        <w:spacing w:line="560" w:lineRule="exact"/>
        <w:ind w:firstLine="640"/>
        <w:rPr>
          <w:rFonts w:hint="eastAsia" w:ascii="仿宋" w:hAnsi="仿宋" w:eastAsia="仿宋" w:cs="仿宋"/>
          <w:kern w:val="0"/>
          <w:sz w:val="32"/>
          <w:szCs w:val="32"/>
          <w:lang w:eastAsia="zh-CN"/>
        </w:rPr>
      </w:pPr>
      <w:r>
        <w:rPr>
          <w:rFonts w:hint="eastAsia" w:ascii="仿宋" w:hAnsi="仿宋" w:eastAsia="仿宋" w:cs="仿宋"/>
          <w:kern w:val="0"/>
          <w:sz w:val="32"/>
          <w:szCs w:val="32"/>
        </w:rPr>
        <w:t>2017年预算中三公经费总额46.03万元，其中：招待费0.97万元，公务运行维护费45.02元</w:t>
      </w:r>
      <w:r>
        <w:rPr>
          <w:rFonts w:hint="eastAsia" w:ascii="仿宋" w:hAnsi="仿宋" w:eastAsia="仿宋" w:cs="仿宋"/>
          <w:kern w:val="0"/>
          <w:sz w:val="32"/>
          <w:szCs w:val="32"/>
          <w:lang w:eastAsia="zh-CN"/>
        </w:rPr>
        <w:t>。</w:t>
      </w:r>
    </w:p>
    <w:p>
      <w:pPr>
        <w:widowControl/>
        <w:spacing w:line="560" w:lineRule="exact"/>
        <w:ind w:firstLine="640"/>
        <w:rPr>
          <w:rFonts w:ascii="仿宋" w:hAnsi="仿宋" w:eastAsia="仿宋" w:cs="仿宋"/>
          <w:sz w:val="32"/>
          <w:szCs w:val="32"/>
        </w:rPr>
      </w:pPr>
      <w:r>
        <w:rPr>
          <w:rFonts w:hint="eastAsia" w:ascii="仿宋" w:hAnsi="仿宋" w:eastAsia="仿宋" w:cs="仿宋"/>
          <w:kern w:val="0"/>
          <w:sz w:val="32"/>
          <w:szCs w:val="32"/>
        </w:rPr>
        <w:t>2018年预算中三公经费总额66.5万元，其中：公务运行维护费66.5万</w:t>
      </w:r>
      <w:r>
        <w:rPr>
          <w:rFonts w:hint="eastAsia" w:ascii="仿宋" w:hAnsi="仿宋" w:eastAsia="仿宋" w:cs="仿宋"/>
          <w:sz w:val="32"/>
          <w:szCs w:val="32"/>
        </w:rPr>
        <w:t>元。2018年同2017年相比增加20.</w:t>
      </w:r>
      <w:r>
        <w:rPr>
          <w:rFonts w:hint="eastAsia" w:ascii="仿宋" w:hAnsi="仿宋" w:eastAsia="仿宋" w:cs="仿宋"/>
          <w:sz w:val="32"/>
          <w:szCs w:val="32"/>
          <w:lang w:val="en-US" w:eastAsia="zh-CN"/>
        </w:rPr>
        <w:t>51</w:t>
      </w:r>
      <w:r>
        <w:rPr>
          <w:rFonts w:hint="eastAsia" w:ascii="仿宋" w:hAnsi="仿宋" w:eastAsia="仿宋" w:cs="仿宋"/>
          <w:sz w:val="32"/>
          <w:szCs w:val="32"/>
        </w:rPr>
        <w:t>万元，主要因为2018年</w:t>
      </w:r>
      <w:r>
        <w:rPr>
          <w:rFonts w:hint="eastAsia" w:ascii="仿宋" w:hAnsi="仿宋" w:eastAsia="仿宋" w:cs="仿宋"/>
          <w:kern w:val="0"/>
          <w:sz w:val="32"/>
          <w:szCs w:val="32"/>
        </w:rPr>
        <w:t>我局扶贫项目全部在山区，因此增加公车运行经费。</w:t>
      </w:r>
    </w:p>
    <w:p>
      <w:pPr>
        <w:widowControl/>
        <w:spacing w:line="560" w:lineRule="exact"/>
        <w:ind w:firstLine="640"/>
        <w:jc w:val="center"/>
        <w:rPr>
          <w:rFonts w:ascii="仿宋" w:hAnsi="仿宋" w:eastAsia="仿宋" w:cs="仿宋"/>
          <w:b/>
          <w:sz w:val="32"/>
          <w:szCs w:val="32"/>
        </w:rPr>
      </w:pPr>
      <w:r>
        <w:rPr>
          <w:rFonts w:hint="eastAsia" w:ascii="仿宋" w:hAnsi="仿宋" w:eastAsia="仿宋" w:cs="仿宋"/>
          <w:b/>
          <w:sz w:val="32"/>
          <w:szCs w:val="32"/>
        </w:rPr>
        <w:t>“三公”经费预算情况及增减变化原因</w:t>
      </w:r>
    </w:p>
    <w:p>
      <w:pPr>
        <w:widowControl/>
        <w:spacing w:line="560" w:lineRule="exact"/>
        <w:ind w:firstLine="640"/>
        <w:jc w:val="right"/>
        <w:rPr>
          <w:rFonts w:ascii="仿宋" w:hAnsi="仿宋" w:eastAsia="仿宋" w:cs="仿宋"/>
          <w:sz w:val="32"/>
          <w:szCs w:val="32"/>
        </w:rPr>
      </w:pPr>
      <w:r>
        <w:rPr>
          <w:rFonts w:hint="eastAsia" w:ascii="仿宋" w:hAnsi="仿宋" w:eastAsia="仿宋" w:cs="仿宋"/>
          <w:sz w:val="32"/>
          <w:szCs w:val="32"/>
        </w:rPr>
        <w:t>单位：万元</w:t>
      </w:r>
    </w:p>
    <w:tbl>
      <w:tblPr>
        <w:tblStyle w:val="6"/>
        <w:tblW w:w="9301" w:type="dxa"/>
        <w:tblInd w:w="-7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3"/>
        <w:gridCol w:w="1012"/>
        <w:gridCol w:w="1110"/>
        <w:gridCol w:w="1395"/>
        <w:gridCol w:w="3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项目名称</w:t>
            </w:r>
          </w:p>
        </w:tc>
        <w:tc>
          <w:tcPr>
            <w:tcW w:w="1012"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2017年度预算</w:t>
            </w:r>
          </w:p>
        </w:tc>
        <w:tc>
          <w:tcPr>
            <w:tcW w:w="1110"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2018年度预算</w:t>
            </w:r>
          </w:p>
        </w:tc>
        <w:tc>
          <w:tcPr>
            <w:tcW w:w="1395"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增减金额</w:t>
            </w:r>
          </w:p>
        </w:tc>
        <w:tc>
          <w:tcPr>
            <w:tcW w:w="3301"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因公出国经费</w:t>
            </w:r>
          </w:p>
        </w:tc>
        <w:tc>
          <w:tcPr>
            <w:tcW w:w="1012"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0</w:t>
            </w:r>
          </w:p>
        </w:tc>
        <w:tc>
          <w:tcPr>
            <w:tcW w:w="1110"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0</w:t>
            </w:r>
          </w:p>
        </w:tc>
        <w:tc>
          <w:tcPr>
            <w:tcW w:w="1395"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0</w:t>
            </w:r>
          </w:p>
        </w:tc>
        <w:tc>
          <w:tcPr>
            <w:tcW w:w="3301"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公务用车购置经费</w:t>
            </w:r>
          </w:p>
        </w:tc>
        <w:tc>
          <w:tcPr>
            <w:tcW w:w="1012"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0</w:t>
            </w:r>
          </w:p>
        </w:tc>
        <w:tc>
          <w:tcPr>
            <w:tcW w:w="1110"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0</w:t>
            </w:r>
          </w:p>
        </w:tc>
        <w:tc>
          <w:tcPr>
            <w:tcW w:w="1395"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0</w:t>
            </w:r>
          </w:p>
        </w:tc>
        <w:tc>
          <w:tcPr>
            <w:tcW w:w="3301"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公务用车运行经费</w:t>
            </w:r>
          </w:p>
        </w:tc>
        <w:tc>
          <w:tcPr>
            <w:tcW w:w="1012"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45.02</w:t>
            </w:r>
          </w:p>
        </w:tc>
        <w:tc>
          <w:tcPr>
            <w:tcW w:w="1110"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66.5</w:t>
            </w:r>
          </w:p>
        </w:tc>
        <w:tc>
          <w:tcPr>
            <w:tcW w:w="1395"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+21.48</w:t>
            </w:r>
          </w:p>
        </w:tc>
        <w:tc>
          <w:tcPr>
            <w:tcW w:w="3301"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2018年扶贫项目全部在山区，因此增加公车运行经费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公务接待费支出</w:t>
            </w:r>
          </w:p>
        </w:tc>
        <w:tc>
          <w:tcPr>
            <w:tcW w:w="1012"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0.97</w:t>
            </w:r>
          </w:p>
        </w:tc>
        <w:tc>
          <w:tcPr>
            <w:tcW w:w="1110"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0</w:t>
            </w:r>
          </w:p>
        </w:tc>
        <w:tc>
          <w:tcPr>
            <w:tcW w:w="1395"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-0.97</w:t>
            </w:r>
          </w:p>
        </w:tc>
        <w:tc>
          <w:tcPr>
            <w:tcW w:w="3301" w:type="dxa"/>
          </w:tcPr>
          <w:p>
            <w:pPr>
              <w:widowControl/>
              <w:spacing w:line="560" w:lineRule="exact"/>
              <w:rPr>
                <w:rFonts w:ascii="仿宋" w:hAnsi="仿宋" w:eastAsia="仿宋" w:cs="仿宋"/>
                <w:kern w:val="0"/>
                <w:sz w:val="24"/>
              </w:rPr>
            </w:pPr>
            <w:r>
              <w:rPr>
                <w:rFonts w:hint="eastAsia" w:ascii="仿宋" w:hAnsi="仿宋" w:eastAsia="仿宋" w:cs="仿宋"/>
                <w:sz w:val="24"/>
              </w:rPr>
              <w:t>2018年我局严格按照上级文件精神要求，我局例行勤俭节约，压缩开支的原则，大力减少公务接待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合计</w:t>
            </w:r>
          </w:p>
        </w:tc>
        <w:tc>
          <w:tcPr>
            <w:tcW w:w="1012"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45.99</w:t>
            </w:r>
          </w:p>
        </w:tc>
        <w:tc>
          <w:tcPr>
            <w:tcW w:w="1110"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66.5</w:t>
            </w:r>
          </w:p>
        </w:tc>
        <w:tc>
          <w:tcPr>
            <w:tcW w:w="1395"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+20.51</w:t>
            </w:r>
          </w:p>
        </w:tc>
        <w:tc>
          <w:tcPr>
            <w:tcW w:w="3301"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2018年扶贫项目全部在山区，因此增加公车运行经费</w:t>
            </w:r>
          </w:p>
        </w:tc>
      </w:tr>
    </w:tbl>
    <w:p>
      <w:pPr>
        <w:widowControl/>
        <w:spacing w:line="560" w:lineRule="exact"/>
        <w:ind w:firstLine="640"/>
        <w:rPr>
          <w:rFonts w:ascii="仿宋" w:hAnsi="仿宋" w:eastAsia="仿宋" w:cs="仿宋"/>
          <w:kern w:val="0"/>
          <w:sz w:val="32"/>
          <w:szCs w:val="32"/>
        </w:rPr>
      </w:pPr>
    </w:p>
    <w:p>
      <w:pPr>
        <w:widowControl/>
        <w:spacing w:line="560" w:lineRule="exact"/>
        <w:ind w:firstLine="642"/>
        <w:rPr>
          <w:rFonts w:ascii="仿宋" w:hAnsi="仿宋" w:eastAsia="仿宋" w:cs="仿宋"/>
          <w:b/>
          <w:bCs/>
          <w:kern w:val="0"/>
          <w:sz w:val="32"/>
          <w:szCs w:val="32"/>
        </w:rPr>
      </w:pPr>
      <w:r>
        <w:rPr>
          <w:rFonts w:hint="eastAsia" w:ascii="仿宋" w:hAnsi="仿宋" w:eastAsia="仿宋" w:cs="仿宋"/>
          <w:b/>
          <w:bCs/>
          <w:kern w:val="0"/>
          <w:sz w:val="32"/>
          <w:szCs w:val="32"/>
        </w:rPr>
        <w:t>五、绩效预算信息情况</w:t>
      </w:r>
    </w:p>
    <w:p>
      <w:pPr>
        <w:widowControl/>
        <w:spacing w:line="560" w:lineRule="exact"/>
        <w:ind w:firstLine="642"/>
        <w:rPr>
          <w:rFonts w:ascii="仿宋" w:hAnsi="仿宋" w:eastAsia="仿宋" w:cs="仿宋"/>
          <w:b/>
          <w:bCs/>
          <w:kern w:val="0"/>
          <w:sz w:val="32"/>
          <w:szCs w:val="32"/>
        </w:rPr>
      </w:pPr>
      <w:r>
        <w:rPr>
          <w:rFonts w:hint="eastAsia" w:ascii="仿宋" w:hAnsi="仿宋" w:eastAsia="仿宋" w:cs="仿宋"/>
          <w:b/>
          <w:bCs/>
          <w:kern w:val="0"/>
          <w:sz w:val="32"/>
          <w:szCs w:val="32"/>
        </w:rPr>
        <w:t>1、总体绩效目标</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2018年，是全面推进依法治国的开局之年，是全面深化改革的关键之年。</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总体上看，国内外发展形势错综复杂，机遇和挑战并存。世界经济仍处于国际金融危机后的深度调整期，低迷疲弱态势虽略有回暖，但没有根本改观迹象。国内经济发展进入新常态，处于增长速度换档期、结构调整阵痛期、前期刺激政策消化期“三期”叠加区间，经济下行压力依然很大。</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从我县看，京津冀协同发展带来历史性机遇，但经济基础薄弱、结构不合理、运行质量和效益偏低、支柱型增长点匮乏的总体态势，一定时期内，仍将延续。国家持续实施的一系列宏观调控政策，尤其是铁腕环保治理，对我县采掘、制造等支柱行业发展和税收的影响很大。再加上“营改增”即将全面扩围，全县财政收入形势更加严峻。同时，机关事业单位养老保险制度改革、完善工资制度、民生政策提标扩面以及大气污染防治、环境综合治理、产业结构调整、县城建设、社会维稳等刚性增支需求，远远超出可用财力增长，财政收支矛盾更加突出，全县财政运行面临新的严峻考验。2018年我局发展规划目标：</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（一）脱贫攻坚。继续配合县扶贫办完成好各项脱贫攻坚工作，全局以脱贫攻坚为第一任务，人力、物力、精力全部放在脱贫攻坚工作上，坚决打好这一关键性战役。</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（二）保野路二期建设。保野路二期施工将逐步进行，我局将积极协调工程外部施工环境，为工程顺利实施奠定良好基础。</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 xml:space="preserve">（三）G112线绕城。继续完成G112线绕城项目的前期工作，为来年项目的开工建设提供有力保障。 </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（四）京昆高速洛平连接线变更项目。该变更项目全长9.9公里，二级路标准，概算投资1.86亿元。目前，初步设计已通过省高管局审查，下一步主要是省交通厅研究批准。</w:t>
      </w:r>
    </w:p>
    <w:p>
      <w:pPr>
        <w:spacing w:line="560" w:lineRule="exact"/>
        <w:ind w:firstLine="560"/>
        <w:rPr>
          <w:rFonts w:ascii="仿宋" w:hAnsi="仿宋" w:eastAsia="仿宋" w:cs="仿宋"/>
          <w:b/>
          <w:bCs/>
          <w:kern w:val="0"/>
          <w:sz w:val="32"/>
          <w:szCs w:val="32"/>
        </w:rPr>
      </w:pPr>
      <w:r>
        <w:rPr>
          <w:rFonts w:hint="eastAsia" w:ascii="仿宋" w:hAnsi="仿宋" w:eastAsia="仿宋" w:cs="仿宋"/>
          <w:sz w:val="32"/>
          <w:szCs w:val="32"/>
        </w:rPr>
        <w:t xml:space="preserve">   （五）进一步加强道路运输市场管理、加大治超监管力度。严厉打击违法营运行为，维护运输市场秩序；扎实开展治理超限超载活动，组织联合治超行动；加强执法队伍建设，提高交通行政执法人员整体素质，增强服务发展能力。</w:t>
      </w:r>
    </w:p>
    <w:p>
      <w:pPr>
        <w:spacing w:line="560" w:lineRule="exact"/>
        <w:jc w:val="left"/>
        <w:outlineLvl w:val="0"/>
        <w:rPr>
          <w:rFonts w:ascii="仿宋" w:hAnsi="仿宋" w:eastAsia="仿宋" w:cs="仿宋"/>
          <w:kern w:val="0"/>
          <w:sz w:val="32"/>
          <w:szCs w:val="32"/>
          <w:lang w:bidi="ar"/>
        </w:rPr>
      </w:pPr>
      <w:bookmarkStart w:id="0" w:name="_Toc477161312"/>
      <w:r>
        <w:rPr>
          <w:rFonts w:hint="eastAsia" w:ascii="仿宋" w:hAnsi="仿宋" w:eastAsia="仿宋" w:cs="仿宋"/>
          <w:kern w:val="0"/>
          <w:sz w:val="32"/>
          <w:szCs w:val="32"/>
          <w:lang w:bidi="ar"/>
        </w:rPr>
        <w:t>我单位2018年交通运输基础设施建设年度预算数5366.82万元。其中，主要包括农村公路建设2428.42万元，公路客运站（场）及城乡客运基础设施建设793万元，交通配套设施建设2145.4万元。交通运输基础设施养护、维护438万元，其中，公路养护392万元，农村公路以奖代补46万元。交通运输管理126.1万元，交通政务管理482.56万元，内容描述：农村公路建设按照上级补助资金额度，组织实施农村公路建设，完成投资任务。公路客运站（场）及城乡客运基础设施建设，组织实施汽车客运站场新改（扩）建工程（含综合客运枢纽、等级客运站、简易站、候车亭、招呼牌等）建设。绩效目标：预计达到普通干线公路投资总额6.29亿元，在建里程22.6公里；预计农村公路投资总额4323万元，建里程22.9公里</w:t>
      </w:r>
      <w:bookmarkEnd w:id="0"/>
      <w:r>
        <w:rPr>
          <w:rFonts w:hint="eastAsia" w:ascii="仿宋" w:hAnsi="仿宋" w:eastAsia="仿宋" w:cs="仿宋"/>
          <w:kern w:val="0"/>
          <w:sz w:val="32"/>
          <w:szCs w:val="32"/>
          <w:lang w:bidi="ar"/>
        </w:rPr>
        <w:t>。</w:t>
      </w:r>
    </w:p>
    <w:p>
      <w:pPr>
        <w:spacing w:line="560" w:lineRule="exact"/>
        <w:jc w:val="left"/>
        <w:outlineLvl w:val="0"/>
        <w:rPr>
          <w:rFonts w:ascii="仿宋" w:hAnsi="仿宋" w:eastAsia="仿宋" w:cs="仿宋"/>
          <w:kern w:val="0"/>
          <w:sz w:val="32"/>
          <w:szCs w:val="32"/>
          <w:lang w:bidi="ar"/>
        </w:rPr>
      </w:pPr>
    </w:p>
    <w:p>
      <w:pPr>
        <w:spacing w:line="560" w:lineRule="exact"/>
        <w:jc w:val="left"/>
        <w:outlineLvl w:val="0"/>
        <w:rPr>
          <w:rFonts w:ascii="仿宋" w:hAnsi="仿宋" w:eastAsia="仿宋" w:cs="仿宋"/>
          <w:kern w:val="0"/>
          <w:sz w:val="32"/>
          <w:szCs w:val="32"/>
          <w:lang w:bidi="ar"/>
        </w:rPr>
      </w:pPr>
    </w:p>
    <w:p>
      <w:pPr>
        <w:spacing w:line="560" w:lineRule="exact"/>
        <w:jc w:val="left"/>
        <w:outlineLvl w:val="0"/>
        <w:rPr>
          <w:rFonts w:ascii="仿宋" w:hAnsi="仿宋" w:eastAsia="仿宋" w:cs="仿宋"/>
          <w:kern w:val="0"/>
          <w:sz w:val="32"/>
          <w:szCs w:val="32"/>
          <w:lang w:bidi="ar"/>
        </w:rPr>
      </w:pPr>
    </w:p>
    <w:p>
      <w:pPr>
        <w:spacing w:line="560" w:lineRule="exact"/>
        <w:jc w:val="left"/>
        <w:outlineLvl w:val="0"/>
        <w:rPr>
          <w:rFonts w:ascii="仿宋" w:hAnsi="仿宋" w:eastAsia="仿宋" w:cs="仿宋"/>
          <w:kern w:val="0"/>
          <w:sz w:val="32"/>
          <w:szCs w:val="32"/>
          <w:lang w:bidi="ar"/>
        </w:rPr>
      </w:pPr>
    </w:p>
    <w:p>
      <w:pPr>
        <w:spacing w:line="560" w:lineRule="exact"/>
        <w:jc w:val="left"/>
        <w:outlineLvl w:val="0"/>
        <w:rPr>
          <w:rFonts w:ascii="仿宋" w:hAnsi="仿宋" w:eastAsia="仿宋" w:cs="仿宋"/>
          <w:kern w:val="0"/>
          <w:sz w:val="32"/>
          <w:szCs w:val="32"/>
          <w:lang w:bidi="ar"/>
        </w:rPr>
      </w:pPr>
    </w:p>
    <w:p>
      <w:pPr>
        <w:spacing w:line="560" w:lineRule="exact"/>
        <w:jc w:val="left"/>
        <w:outlineLvl w:val="0"/>
        <w:rPr>
          <w:rFonts w:ascii="仿宋" w:hAnsi="仿宋" w:eastAsia="仿宋" w:cs="仿宋"/>
          <w:kern w:val="0"/>
          <w:sz w:val="32"/>
          <w:szCs w:val="32"/>
          <w:lang w:bidi="ar"/>
        </w:rPr>
      </w:pPr>
    </w:p>
    <w:p>
      <w:pPr>
        <w:spacing w:line="560" w:lineRule="exact"/>
        <w:jc w:val="left"/>
        <w:outlineLvl w:val="0"/>
        <w:rPr>
          <w:rFonts w:ascii="仿宋" w:hAnsi="仿宋" w:eastAsia="仿宋" w:cs="仿宋"/>
          <w:kern w:val="0"/>
          <w:sz w:val="32"/>
          <w:szCs w:val="32"/>
          <w:lang w:bidi="ar"/>
        </w:rPr>
      </w:pPr>
    </w:p>
    <w:p>
      <w:pPr>
        <w:spacing w:line="560" w:lineRule="exact"/>
        <w:jc w:val="left"/>
        <w:outlineLvl w:val="0"/>
        <w:rPr>
          <w:rFonts w:ascii="仿宋" w:hAnsi="仿宋" w:eastAsia="仿宋" w:cs="仿宋"/>
          <w:kern w:val="0"/>
          <w:sz w:val="32"/>
          <w:szCs w:val="32"/>
          <w:lang w:bidi="ar"/>
        </w:rPr>
        <w:sectPr>
          <w:pgSz w:w="11906" w:h="16838"/>
          <w:pgMar w:top="1440" w:right="1800" w:bottom="1440" w:left="1800" w:header="851" w:footer="992" w:gutter="0"/>
          <w:cols w:space="720" w:num="1"/>
          <w:docGrid w:type="lines" w:linePitch="312" w:charSpace="0"/>
        </w:sectPr>
      </w:pPr>
    </w:p>
    <w:tbl>
      <w:tblPr>
        <w:tblStyle w:val="5"/>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outlineLvl w:val="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lang w:bidi="ar"/>
              </w:rPr>
              <w:t xml:space="preserve">           </w:t>
            </w:r>
            <w:r>
              <w:rPr>
                <w:rFonts w:ascii="方正小标宋_GBK" w:hAnsi="方正小标宋_GBK" w:eastAsia="方正小标宋_GBK" w:cs="方正小标宋_GBK"/>
                <w:sz w:val="32"/>
                <w:szCs w:val="32"/>
                <w:lang w:bidi="ar"/>
              </w:rPr>
              <w:t>部门职责-工作活动绩效目标</w:t>
            </w:r>
          </w:p>
          <w:p>
            <w:pPr>
              <w:spacing w:line="300" w:lineRule="exact"/>
              <w:jc w:val="left"/>
              <w:rPr>
                <w:rFonts w:ascii="方正小标宋_GBK" w:eastAsia="方正小标宋_GBK"/>
                <w:sz w:val="24"/>
              </w:rPr>
            </w:pPr>
          </w:p>
          <w:p>
            <w:pPr>
              <w:spacing w:line="300" w:lineRule="exact"/>
              <w:jc w:val="left"/>
              <w:rPr>
                <w:rFonts w:ascii="方正小标宋_GBK" w:eastAsia="方正小标宋_GBK"/>
                <w:sz w:val="24"/>
              </w:rPr>
            </w:pPr>
            <w:r>
              <w:rPr>
                <w:rFonts w:ascii="方正小标宋_GBK" w:eastAsia="方正小标宋_GBK"/>
                <w:sz w:val="24"/>
              </w:rPr>
              <w:t>348</w:t>
            </w:r>
            <w:r>
              <w:rPr>
                <w:rFonts w:hint="eastAsia" w:ascii="方正小标宋_GBK" w:eastAsia="方正小标宋_GBK"/>
                <w:sz w:val="24"/>
              </w:rPr>
              <w:t>涞水县交通运输局</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一、交通运输基础设施建设</w:t>
            </w:r>
          </w:p>
        </w:tc>
        <w:tc>
          <w:tcPr>
            <w:tcW w:w="1276" w:type="dxa"/>
            <w:vAlign w:val="center"/>
          </w:tcPr>
          <w:p>
            <w:pPr>
              <w:spacing w:line="300" w:lineRule="exact"/>
              <w:jc w:val="left"/>
              <w:rPr>
                <w:rFonts w:ascii="方正书宋_GBK" w:eastAsia="方正书宋_GBK"/>
              </w:rPr>
            </w:pPr>
            <w:r>
              <w:rPr>
                <w:rFonts w:ascii="方正书宋_GBK" w:eastAsia="方正书宋_GBK"/>
              </w:rPr>
              <w:t>5366.82</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提出全县交通运输行业固定资产投资规模和方向</w:t>
            </w:r>
            <w:r>
              <w:rPr>
                <w:rFonts w:ascii="方正书宋_GBK" w:eastAsia="方正书宋_GBK"/>
              </w:rPr>
              <w:t>,</w:t>
            </w:r>
            <w:r>
              <w:rPr>
                <w:rFonts w:hint="eastAsia" w:ascii="方正书宋_GBK" w:eastAsia="方正书宋_GBK"/>
              </w:rPr>
              <w:t>按县政府规定权限审批、核准县规划内和年度计划规模内的固定资产投资项目，完成交通基础设施投资；对重点工程建设、工程质量和安全生产进行监管，对招投标活动进行监督管理。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普通干线公路投资总额</w:t>
            </w:r>
            <w:r>
              <w:rPr>
                <w:rFonts w:ascii="方正书宋_GBK" w:eastAsia="方正书宋_GBK"/>
              </w:rPr>
              <w:t>6.29</w:t>
            </w:r>
            <w:r>
              <w:rPr>
                <w:rFonts w:hint="eastAsia" w:ascii="方正书宋_GBK" w:eastAsia="方正书宋_GBK"/>
              </w:rPr>
              <w:t>亿元，在建里程</w:t>
            </w:r>
            <w:r>
              <w:rPr>
                <w:rFonts w:ascii="方正书宋_GBK" w:eastAsia="方正书宋_GBK"/>
              </w:rPr>
              <w:t>22.6</w:t>
            </w:r>
            <w:r>
              <w:rPr>
                <w:rFonts w:hint="eastAsia" w:ascii="方正书宋_GBK" w:eastAsia="方正书宋_GBK"/>
              </w:rPr>
              <w:t>公里</w:t>
            </w:r>
            <w:r>
              <w:rPr>
                <w:rFonts w:ascii="方正书宋_GBK" w:eastAsia="方正书宋_GBK"/>
              </w:rPr>
              <w:t>;</w:t>
            </w:r>
            <w:r>
              <w:rPr>
                <w:rFonts w:hint="eastAsia" w:ascii="方正书宋_GBK" w:eastAsia="方正书宋_GBK"/>
              </w:rPr>
              <w:t>农村公路投资总额</w:t>
            </w:r>
            <w:r>
              <w:rPr>
                <w:rFonts w:ascii="方正书宋_GBK" w:eastAsia="方正书宋_GBK"/>
              </w:rPr>
              <w:t>4323</w:t>
            </w:r>
            <w:r>
              <w:rPr>
                <w:rFonts w:hint="eastAsia" w:ascii="方正书宋_GBK" w:eastAsia="方正书宋_GBK"/>
              </w:rPr>
              <w:t>万元，建设里程</w:t>
            </w:r>
            <w:r>
              <w:rPr>
                <w:rFonts w:ascii="方正书宋_GBK" w:eastAsia="方正书宋_GBK"/>
              </w:rPr>
              <w:t>22.9</w:t>
            </w:r>
            <w:r>
              <w:rPr>
                <w:rFonts w:hint="eastAsia" w:ascii="方正书宋_GBK" w:eastAsia="方正书宋_GBK"/>
              </w:rPr>
              <w:t>公里</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、普通干线公路建设</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按照上级补助资金额度，组织实施各项普通国县干线公路建设，完成投资任务。</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普通干线公路投资总额</w:t>
            </w:r>
            <w:r>
              <w:rPr>
                <w:rFonts w:ascii="方正书宋_GBK" w:eastAsia="方正书宋_GBK"/>
              </w:rPr>
              <w:t>6.29</w:t>
            </w:r>
            <w:r>
              <w:rPr>
                <w:rFonts w:hint="eastAsia" w:ascii="方正书宋_GBK" w:eastAsia="方正书宋_GBK"/>
              </w:rPr>
              <w:t>亿元，在建里程</w:t>
            </w:r>
            <w:r>
              <w:rPr>
                <w:rFonts w:ascii="方正书宋_GBK" w:eastAsia="方正书宋_GBK"/>
              </w:rPr>
              <w:t>22.6</w:t>
            </w:r>
            <w:r>
              <w:rPr>
                <w:rFonts w:hint="eastAsia" w:ascii="方正书宋_GBK" w:eastAsia="方正书宋_GBK"/>
              </w:rPr>
              <w:t>公里</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年度普通干线公路建设项目投资完成率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年度普通干线公路建设项目工程质量合格率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、农村公路建设</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2428.42</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按照上级补助资金额度，组织实施农村公路建设，完成投资任务。</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农村公路投资总额</w:t>
            </w:r>
            <w:r>
              <w:rPr>
                <w:rFonts w:ascii="方正书宋_GBK" w:eastAsia="方正书宋_GBK"/>
              </w:rPr>
              <w:t>3550</w:t>
            </w:r>
            <w:r>
              <w:rPr>
                <w:rFonts w:hint="eastAsia" w:ascii="方正书宋_GBK" w:eastAsia="方正书宋_GBK"/>
              </w:rPr>
              <w:t>万元，建设里程</w:t>
            </w:r>
            <w:r>
              <w:rPr>
                <w:rFonts w:ascii="方正书宋_GBK" w:eastAsia="方正书宋_GBK"/>
              </w:rPr>
              <w:t>35.5</w:t>
            </w:r>
            <w:r>
              <w:rPr>
                <w:rFonts w:hint="eastAsia" w:ascii="方正书宋_GBK" w:eastAsia="方正书宋_GBK"/>
              </w:rPr>
              <w:t>公里。</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年度农村公路建设项目工程质量合格率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年度农村公路建设工程量</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年度农村公路建设投资完成率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、归还公路建设贷款</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归还县级公路建设贷款。</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按时偿还到期公路建设贷款，无贷款违约发生</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贷款违约率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年度偿还本息金额</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、公路客运站（场）及城乡客运基础设施建设</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793.00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组织实施汽车客运站场新改（扩）建工程（含综合客货运枢纽、等级客运站、简易站、候车亭、招呼牌等）建设。</w:t>
            </w:r>
          </w:p>
        </w:tc>
        <w:tc>
          <w:tcPr>
            <w:tcW w:w="2976" w:type="dxa"/>
            <w:vMerge w:val="restart"/>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客运站覆盖率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年度客货运场站建设工程量（万元）</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年度客货运场站建设投资完成率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、交通基础设施建设的协调、监督和管理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监管全县公路、水路、地方铁路建设市场，对公路、水路、地方铁路等有关重点工程建设、工程质量和安全生产及行业招投标活动进行监督和管理，做好建设过程中的协调管理工作。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交通基础设施建设市场运转有序，各项业务顺利开展，工作任务按时完成。</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交通基础设施建设重点项目监督检查率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、交通配套设施建设</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2145.40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其他与县级建设任务紧密相关的交通基础设施建设。</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其他各项业务顺利开展，工作任务按时完成。</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年度交通配套设施项目工程质量合格率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年度交通配套设施建设工程量</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交通配套设施建设投资完成率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二、交通运输基础设施养护、维护</w:t>
            </w:r>
          </w:p>
        </w:tc>
        <w:tc>
          <w:tcPr>
            <w:tcW w:w="1276" w:type="dxa"/>
            <w:vAlign w:val="center"/>
          </w:tcPr>
          <w:p>
            <w:pPr>
              <w:spacing w:line="300" w:lineRule="exact"/>
              <w:jc w:val="left"/>
              <w:rPr>
                <w:rFonts w:ascii="方正书宋_GBK" w:eastAsia="方正书宋_GBK"/>
              </w:rPr>
            </w:pPr>
            <w:r>
              <w:rPr>
                <w:rFonts w:ascii="方正书宋_GBK" w:eastAsia="方正书宋_GBK"/>
              </w:rPr>
              <w:t>438.00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组织交通运输基础设施养护、维护，对招投标活动进行监督管理。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农村公路养护、以奖代补总投资</w:t>
            </w:r>
            <w:r>
              <w:rPr>
                <w:rFonts w:ascii="方正书宋_GBK" w:eastAsia="方正书宋_GBK"/>
              </w:rPr>
              <w:t>497</w:t>
            </w:r>
            <w:r>
              <w:rPr>
                <w:rFonts w:hint="eastAsia" w:ascii="方正书宋_GBK" w:eastAsia="方正书宋_GBK"/>
              </w:rPr>
              <w:t>万，里程</w:t>
            </w:r>
            <w:r>
              <w:rPr>
                <w:rFonts w:ascii="方正书宋_GBK" w:eastAsia="方正书宋_GBK"/>
              </w:rPr>
              <w:t>14.2</w:t>
            </w:r>
            <w:r>
              <w:rPr>
                <w:rFonts w:hint="eastAsia" w:ascii="方正书宋_GBK" w:eastAsia="方正书宋_GBK"/>
              </w:rPr>
              <w:t>公里</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、公路养护</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392.00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公路主体及其附属设施、设备进行保养中修、大修、维护等。</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总投资</w:t>
            </w:r>
            <w:r>
              <w:rPr>
                <w:rFonts w:ascii="方正书宋_GBK" w:eastAsia="方正书宋_GBK"/>
              </w:rPr>
              <w:t>392</w:t>
            </w:r>
            <w:r>
              <w:rPr>
                <w:rFonts w:hint="eastAsia" w:ascii="方正书宋_GBK" w:eastAsia="方正书宋_GBK"/>
              </w:rPr>
              <w:t>万，里程</w:t>
            </w:r>
            <w:r>
              <w:rPr>
                <w:rFonts w:ascii="方正书宋_GBK" w:eastAsia="方正书宋_GBK"/>
              </w:rPr>
              <w:t>11.2</w:t>
            </w:r>
            <w:r>
              <w:rPr>
                <w:rFonts w:hint="eastAsia" w:ascii="方正书宋_GBK" w:eastAsia="方正书宋_GBK"/>
              </w:rPr>
              <w:t>公里</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年度普通干线公路养护投资完成率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养护工程合格率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普通干线公路养护比</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5"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年度普通干线公路养护工程量（万元）</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、农村公路养护以奖代补</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46.00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使用上级以奖代补资金对农村公路保养与维护进行资金补助，加强农村公路养护。</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总投资</w:t>
            </w:r>
            <w:r>
              <w:rPr>
                <w:rFonts w:ascii="方正书宋_GBK" w:eastAsia="方正书宋_GBK"/>
              </w:rPr>
              <w:t>105</w:t>
            </w:r>
            <w:r>
              <w:rPr>
                <w:rFonts w:hint="eastAsia" w:ascii="方正书宋_GBK" w:eastAsia="方正书宋_GBK"/>
              </w:rPr>
              <w:t>万，里程</w:t>
            </w:r>
            <w:r>
              <w:rPr>
                <w:rFonts w:ascii="方正书宋_GBK" w:eastAsia="方正书宋_GBK"/>
              </w:rPr>
              <w:t>3</w:t>
            </w:r>
            <w:r>
              <w:rPr>
                <w:rFonts w:hint="eastAsia" w:ascii="方正书宋_GBK" w:eastAsia="方正书宋_GBK"/>
              </w:rPr>
              <w:t>公里</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年度农村公路养护工程质量合格率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路面完好率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农村公路养护比</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年度农村公路养护投资完成率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年度农村公路养护工程量（万元）</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、水运工程维护</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航道、航标等水上设施维护。</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维护沿海航道、航标，恢复、提升原有技术标准和使用功能，保持良好的技术状况和服务能力。</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航道、航标运行正常率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航道、航标合格率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航道维护里程（公里）</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航道、航标巡查率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、公路建设管理养护基础数据采集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通过公路各项指标数据采集及桥梁隧道检测、交通量调查等方式，适时采集相关数据并及时更新；管理维护设备及数据采集信息系统。</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按时、保质、保量完成数据采集分析，为公路管理提供依据和支持。</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公路基础信息数据使用率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公路基础信息数据更新率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、公路、水运工程养护监督和管理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对公路、水运工程及其设施养护工程质量安全及招投标活动进行监督和管理。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各项业务顺利开展，按时完成工作。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项目质量合格率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、交通配套设施养护</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其他与县级建设任务紧密相关的交通基础设施建设养护。</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恢复、提升公路、水路原有技术标准，维护、完善附属设施，保持良好的技术状况，保障通行能力和服务水平，资金使用合规。</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项目质量合格率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设施（设备）运行正常率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三、交通运输管理</w:t>
            </w:r>
          </w:p>
        </w:tc>
        <w:tc>
          <w:tcPr>
            <w:tcW w:w="1276" w:type="dxa"/>
            <w:vAlign w:val="center"/>
          </w:tcPr>
          <w:p>
            <w:pPr>
              <w:spacing w:line="300" w:lineRule="exact"/>
              <w:jc w:val="left"/>
              <w:rPr>
                <w:rFonts w:ascii="方正书宋_GBK" w:eastAsia="方正书宋_GBK"/>
              </w:rPr>
            </w:pPr>
            <w:r>
              <w:rPr>
                <w:rFonts w:ascii="方正书宋_GBK" w:eastAsia="方正书宋_GBK"/>
              </w:rPr>
              <w:t>126.10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对全县公路及其设施的建设和养护进行管理；对全县交通运输市场进行监管，指导城乡客运及有关设施规划和管理，指导出租汽车行业管理。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保障道路通畅，完成运输生产任务，确保安全生产，提高服务保障水平，交通运输统计、调查业务顺利开展。</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、公路管理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100.00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对公路建设、养护、运营及路政、治理超限超载进行管理。依法行使公路方面行政处罚权，对公路超限治理进行监督管理。</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提高公路运行能力，缓解繁忙路段交通压力；维护路产路权，治理超限运输，保障通行能力，提高服务水平</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超限超载率</w:t>
            </w:r>
          </w:p>
        </w:tc>
        <w:tc>
          <w:tcPr>
            <w:tcW w:w="737" w:type="dxa"/>
            <w:vAlign w:val="center"/>
          </w:tcPr>
          <w:p>
            <w:pPr>
              <w:spacing w:line="300" w:lineRule="exact"/>
              <w:jc w:val="center"/>
              <w:rPr>
                <w:rFonts w:ascii="方正书宋_GBK" w:eastAsia="方正书宋_GBK"/>
              </w:rPr>
            </w:pPr>
            <w:r>
              <w:rPr>
                <w:rFonts w:ascii="方正书宋_GBK" w:eastAsia="方正书宋_GBK"/>
              </w:rPr>
              <w:t>&lt;2.5%</w:t>
            </w:r>
          </w:p>
        </w:tc>
        <w:tc>
          <w:tcPr>
            <w:tcW w:w="737" w:type="dxa"/>
            <w:vAlign w:val="center"/>
          </w:tcPr>
          <w:p>
            <w:pPr>
              <w:spacing w:line="300" w:lineRule="exact"/>
              <w:jc w:val="center"/>
              <w:rPr>
                <w:rFonts w:ascii="方正书宋_GBK" w:eastAsia="方正书宋_GBK"/>
              </w:rPr>
            </w:pPr>
            <w:r>
              <w:rPr>
                <w:rFonts w:ascii="方正书宋_GBK" w:eastAsia="方正书宋_GBK"/>
              </w:rPr>
              <w:t>&lt;3%</w:t>
            </w:r>
          </w:p>
        </w:tc>
        <w:tc>
          <w:tcPr>
            <w:tcW w:w="737" w:type="dxa"/>
            <w:vAlign w:val="center"/>
          </w:tcPr>
          <w:p>
            <w:pPr>
              <w:spacing w:line="300" w:lineRule="exact"/>
              <w:jc w:val="center"/>
              <w:rPr>
                <w:rFonts w:ascii="方正书宋_GBK" w:eastAsia="方正书宋_GBK"/>
              </w:rPr>
            </w:pPr>
            <w:r>
              <w:rPr>
                <w:rFonts w:ascii="方正书宋_GBK" w:eastAsia="方正书宋_GBK"/>
              </w:rPr>
              <w:t>&lt;3.5%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行政处罚事项完成率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、道路运输管理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对全县道路旅客运输、农村客运公交化改造、货运业发展转型升级、从业人员、道路运输相关业务进行行业管理、市场监管及安全检查，依法行使道路运输行政许可、行政处罚强制权，监督检查有关道路运输法律法规的执行情况，对全县货运源头治超工作进行监督检查。</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道路运输管理旅客周转量</w:t>
            </w:r>
            <w:r>
              <w:rPr>
                <w:rFonts w:ascii="方正书宋_GBK" w:eastAsia="方正书宋_GBK"/>
              </w:rPr>
              <w:t>50</w:t>
            </w:r>
            <w:r>
              <w:rPr>
                <w:rFonts w:hint="eastAsia" w:ascii="方正书宋_GBK" w:eastAsia="方正书宋_GBK"/>
              </w:rPr>
              <w:t>万人公里，公路货物周转量</w:t>
            </w:r>
            <w:r>
              <w:rPr>
                <w:rFonts w:ascii="方正书宋_GBK" w:eastAsia="方正书宋_GBK"/>
              </w:rPr>
              <w:t>1</w:t>
            </w:r>
            <w:r>
              <w:rPr>
                <w:rFonts w:hint="eastAsia" w:ascii="方正书宋_GBK" w:eastAsia="方正书宋_GBK"/>
              </w:rPr>
              <w:t>万吨公里。</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超限超载率</w:t>
            </w:r>
          </w:p>
        </w:tc>
        <w:tc>
          <w:tcPr>
            <w:tcW w:w="737" w:type="dxa"/>
            <w:vAlign w:val="center"/>
          </w:tcPr>
          <w:p>
            <w:pPr>
              <w:spacing w:line="300" w:lineRule="exact"/>
              <w:jc w:val="center"/>
              <w:rPr>
                <w:rFonts w:ascii="方正书宋_GBK" w:eastAsia="方正书宋_GBK"/>
              </w:rPr>
            </w:pPr>
            <w:r>
              <w:rPr>
                <w:rFonts w:ascii="方正书宋_GBK" w:eastAsia="方正书宋_GBK"/>
              </w:rPr>
              <w:t>&lt;2.5%</w:t>
            </w:r>
          </w:p>
        </w:tc>
        <w:tc>
          <w:tcPr>
            <w:tcW w:w="737" w:type="dxa"/>
            <w:vAlign w:val="center"/>
          </w:tcPr>
          <w:p>
            <w:pPr>
              <w:spacing w:line="300" w:lineRule="exact"/>
              <w:jc w:val="center"/>
              <w:rPr>
                <w:rFonts w:ascii="方正书宋_GBK" w:eastAsia="方正书宋_GBK"/>
              </w:rPr>
            </w:pPr>
            <w:r>
              <w:rPr>
                <w:rFonts w:ascii="方正书宋_GBK" w:eastAsia="方正书宋_GBK"/>
              </w:rPr>
              <w:t>&lt;3%</w:t>
            </w:r>
          </w:p>
        </w:tc>
        <w:tc>
          <w:tcPr>
            <w:tcW w:w="737" w:type="dxa"/>
            <w:vAlign w:val="center"/>
          </w:tcPr>
          <w:p>
            <w:pPr>
              <w:spacing w:line="300" w:lineRule="exact"/>
              <w:jc w:val="center"/>
              <w:rPr>
                <w:rFonts w:ascii="方正书宋_GBK" w:eastAsia="方正书宋_GBK"/>
              </w:rPr>
            </w:pPr>
            <w:r>
              <w:rPr>
                <w:rFonts w:ascii="方正书宋_GBK" w:eastAsia="方正书宋_GBK"/>
              </w:rPr>
              <w:t>&lt;3.5%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营业性客货运周转量目标完成率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、城市客运管理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26.10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对全县城市客运（含公共汽电车、轨道交通、出租汽车、汽车租赁）进行行业管理。</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城市客运管理业务顺利开展，按时完成工作。并保障行业安全稳与稳定。</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安全生产维稳控制目标是否实现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管理车辆数</w:t>
            </w:r>
          </w:p>
        </w:tc>
        <w:tc>
          <w:tcPr>
            <w:tcW w:w="737" w:type="dxa"/>
            <w:vAlign w:val="center"/>
          </w:tcPr>
          <w:p>
            <w:pPr>
              <w:spacing w:line="300" w:lineRule="exact"/>
              <w:jc w:val="center"/>
              <w:rPr>
                <w:rFonts w:ascii="方正书宋_GBK" w:eastAsia="方正书宋_GBK"/>
              </w:rPr>
            </w:pPr>
            <w:r>
              <w:rPr>
                <w:rFonts w:ascii="方正书宋_GBK" w:eastAsia="方正书宋_GBK"/>
              </w:rPr>
              <w:t>&lt;2.5%</w:t>
            </w:r>
          </w:p>
        </w:tc>
        <w:tc>
          <w:tcPr>
            <w:tcW w:w="737" w:type="dxa"/>
            <w:vAlign w:val="center"/>
          </w:tcPr>
          <w:p>
            <w:pPr>
              <w:spacing w:line="300" w:lineRule="exact"/>
              <w:jc w:val="center"/>
              <w:rPr>
                <w:rFonts w:ascii="方正书宋_GBK" w:eastAsia="方正书宋_GBK"/>
              </w:rPr>
            </w:pPr>
            <w:r>
              <w:rPr>
                <w:rFonts w:ascii="方正书宋_GBK" w:eastAsia="方正书宋_GBK"/>
              </w:rPr>
              <w:t>&lt;3%</w:t>
            </w:r>
          </w:p>
        </w:tc>
        <w:tc>
          <w:tcPr>
            <w:tcW w:w="737" w:type="dxa"/>
            <w:vAlign w:val="center"/>
          </w:tcPr>
          <w:p>
            <w:pPr>
              <w:spacing w:line="300" w:lineRule="exact"/>
              <w:jc w:val="center"/>
              <w:rPr>
                <w:rFonts w:ascii="方正书宋_GBK" w:eastAsia="方正书宋_GBK"/>
              </w:rPr>
            </w:pPr>
            <w:r>
              <w:rPr>
                <w:rFonts w:ascii="方正书宋_GBK" w:eastAsia="方正书宋_GBK"/>
              </w:rPr>
              <w:t>&lt;3.5%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运送旅客数增长率</w:t>
            </w:r>
          </w:p>
        </w:tc>
        <w:tc>
          <w:tcPr>
            <w:tcW w:w="737" w:type="dxa"/>
            <w:vAlign w:val="center"/>
          </w:tcPr>
          <w:p>
            <w:pPr>
              <w:spacing w:line="300" w:lineRule="exact"/>
              <w:jc w:val="center"/>
              <w:rPr>
                <w:rFonts w:ascii="方正书宋_GBK" w:eastAsia="方正书宋_GBK"/>
              </w:rPr>
            </w:pPr>
            <w:r>
              <w:rPr>
                <w:rFonts w:ascii="方正书宋_GBK" w:eastAsia="方正书宋_GBK"/>
              </w:rPr>
              <w:t>&lt;2.5%</w:t>
            </w:r>
          </w:p>
        </w:tc>
        <w:tc>
          <w:tcPr>
            <w:tcW w:w="737" w:type="dxa"/>
            <w:vAlign w:val="center"/>
          </w:tcPr>
          <w:p>
            <w:pPr>
              <w:spacing w:line="300" w:lineRule="exact"/>
              <w:jc w:val="center"/>
              <w:rPr>
                <w:rFonts w:ascii="方正书宋_GBK" w:eastAsia="方正书宋_GBK"/>
              </w:rPr>
            </w:pPr>
            <w:r>
              <w:rPr>
                <w:rFonts w:ascii="方正书宋_GBK" w:eastAsia="方正书宋_GBK"/>
              </w:rPr>
              <w:t>&lt;3%</w:t>
            </w:r>
          </w:p>
        </w:tc>
        <w:tc>
          <w:tcPr>
            <w:tcW w:w="737" w:type="dxa"/>
            <w:vAlign w:val="center"/>
          </w:tcPr>
          <w:p>
            <w:pPr>
              <w:spacing w:line="300" w:lineRule="exact"/>
              <w:jc w:val="center"/>
              <w:rPr>
                <w:rFonts w:ascii="方正书宋_GBK" w:eastAsia="方正书宋_GBK"/>
              </w:rPr>
            </w:pPr>
            <w:r>
              <w:rPr>
                <w:rFonts w:ascii="方正书宋_GBK" w:eastAsia="方正书宋_GBK"/>
              </w:rPr>
              <w:t>&lt;3.5%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、交通运输统计及调查</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组织业务培训，统计、分析、评估、价格监测，发布相关信息。</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交通运输统计、调查业务顺利开展，按时完成工作，数据科学准确。</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统计数据发布率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年度统计工作完成率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四、交通政务管理</w:t>
            </w:r>
          </w:p>
        </w:tc>
        <w:tc>
          <w:tcPr>
            <w:tcW w:w="1276" w:type="dxa"/>
            <w:vAlign w:val="center"/>
          </w:tcPr>
          <w:p>
            <w:pPr>
              <w:spacing w:line="300" w:lineRule="exact"/>
              <w:jc w:val="left"/>
              <w:rPr>
                <w:rFonts w:ascii="方正书宋_GBK" w:eastAsia="方正书宋_GBK"/>
              </w:rPr>
            </w:pPr>
            <w:r>
              <w:rPr>
                <w:rFonts w:ascii="方正书宋_GBK" w:eastAsia="方正书宋_GBK"/>
              </w:rPr>
              <w:t>482.56</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负责交通运输综合交通运输体系建设，综合业务管理和综合事物管理。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各项业务工作畅通，机关正常高效运转，应急事项处理及时。</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vAlign w:val="center"/>
          </w:tcPr>
          <w:p>
            <w:pPr>
              <w:spacing w:line="300" w:lineRule="exact"/>
              <w:jc w:val="left"/>
              <w:rPr>
                <w:rFonts w:ascii="方正书宋_GBK" w:eastAsia="方正书宋_GBK"/>
              </w:rPr>
            </w:pPr>
            <w:r>
              <w:rPr>
                <w:rFonts w:ascii="方正书宋_GBK" w:eastAsia="方正书宋_GBK"/>
              </w:rPr>
              <w:t>400.00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调研提出规划和建议，工作部署、协调推动、普查统计、督促指导、行政审批、业务监管及县委、</w:t>
            </w:r>
            <w:r>
              <w:rPr>
                <w:rFonts w:hint="eastAsia" w:ascii="方正书宋_GBK" w:eastAsia="方正书宋_GBK"/>
                <w:lang w:eastAsia="zh-CN"/>
              </w:rPr>
              <w:t>县</w:t>
            </w:r>
            <w:r>
              <w:rPr>
                <w:rFonts w:hint="eastAsia" w:ascii="方正书宋_GBK" w:eastAsia="方正书宋_GBK"/>
              </w:rPr>
              <w:t>政府交办的其他事项等行政管理事项。</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加强管理，圆满满完成</w:t>
            </w:r>
            <w:bookmarkStart w:id="1" w:name="_GoBack"/>
            <w:bookmarkEnd w:id="1"/>
            <w:r>
              <w:rPr>
                <w:rFonts w:hint="eastAsia" w:ascii="方正书宋_GBK" w:eastAsia="方正书宋_GBK"/>
              </w:rPr>
              <w:t>县委、县政府交办任务</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vAlign w:val="center"/>
          </w:tcPr>
          <w:p>
            <w:pPr>
              <w:spacing w:line="300" w:lineRule="exact"/>
              <w:jc w:val="left"/>
              <w:rPr>
                <w:rFonts w:ascii="方正书宋_GBK" w:eastAsia="方正书宋_GBK"/>
              </w:rPr>
            </w:pPr>
            <w:r>
              <w:rPr>
                <w:rFonts w:ascii="方正书宋_GBK" w:eastAsia="方正书宋_GBK"/>
              </w:rPr>
              <w:t>82.56</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加强机关事务性管理，开展机关自身能力建设。</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加强机关事务性管理，提高机关自身工作能力。</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bl>
    <w:p>
      <w:pPr>
        <w:spacing w:line="560" w:lineRule="exact"/>
        <w:jc w:val="left"/>
        <w:outlineLvl w:val="0"/>
        <w:rPr>
          <w:rFonts w:ascii="仿宋" w:hAnsi="仿宋" w:eastAsia="仿宋" w:cs="仿宋"/>
          <w:kern w:val="0"/>
          <w:sz w:val="32"/>
          <w:szCs w:val="32"/>
          <w:lang w:bidi="ar"/>
        </w:rPr>
        <w:sectPr>
          <w:pgSz w:w="16838" w:h="11906" w:orient="landscape"/>
          <w:pgMar w:top="1800" w:right="1440" w:bottom="1800" w:left="1440" w:header="851" w:footer="992" w:gutter="0"/>
          <w:cols w:space="720" w:num="1"/>
          <w:docGrid w:type="lines" w:linePitch="312" w:charSpace="0"/>
        </w:sectPr>
      </w:pPr>
    </w:p>
    <w:p>
      <w:pPr>
        <w:spacing w:line="560" w:lineRule="exact"/>
        <w:ind w:firstLine="643" w:firstLineChars="200"/>
        <w:jc w:val="left"/>
        <w:outlineLvl w:val="0"/>
        <w:rPr>
          <w:rFonts w:hint="eastAsia" w:ascii="仿宋" w:hAnsi="仿宋" w:eastAsia="仿宋" w:cs="仿宋"/>
          <w:b/>
          <w:kern w:val="0"/>
          <w:sz w:val="32"/>
          <w:szCs w:val="32"/>
          <w:lang w:bidi="ar"/>
        </w:rPr>
      </w:pPr>
      <w:r>
        <w:rPr>
          <w:rFonts w:hint="eastAsia" w:ascii="仿宋" w:hAnsi="仿宋" w:eastAsia="仿宋" w:cs="仿宋"/>
          <w:b/>
          <w:kern w:val="0"/>
          <w:sz w:val="32"/>
          <w:szCs w:val="32"/>
          <w:lang w:bidi="ar"/>
        </w:rPr>
        <w:t>六、政府采购预算情况</w:t>
      </w:r>
    </w:p>
    <w:p>
      <w:pPr>
        <w:spacing w:line="560" w:lineRule="exact"/>
        <w:ind w:firstLine="640" w:firstLineChars="200"/>
        <w:jc w:val="left"/>
        <w:outlineLvl w:val="0"/>
        <w:rPr>
          <w:rFonts w:ascii="仿宋" w:hAnsi="仿宋" w:eastAsia="仿宋" w:cs="仿宋"/>
          <w:kern w:val="0"/>
          <w:sz w:val="32"/>
          <w:szCs w:val="32"/>
          <w:lang w:bidi="ar"/>
        </w:rPr>
      </w:pPr>
      <w:r>
        <w:rPr>
          <w:rFonts w:hint="eastAsia" w:ascii="仿宋" w:hAnsi="仿宋" w:eastAsia="仿宋" w:cs="仿宋"/>
          <w:kern w:val="0"/>
          <w:sz w:val="32"/>
          <w:szCs w:val="32"/>
          <w:lang w:bidi="ar"/>
        </w:rPr>
        <w:t>2018年我部门无政府采购预算。</w:t>
      </w:r>
    </w:p>
    <w:p>
      <w:pPr>
        <w:spacing w:line="560" w:lineRule="exact"/>
        <w:jc w:val="left"/>
        <w:outlineLvl w:val="0"/>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    </w:t>
      </w:r>
      <w:r>
        <w:rPr>
          <w:rFonts w:hint="eastAsia" w:ascii="仿宋" w:hAnsi="仿宋" w:eastAsia="仿宋" w:cs="仿宋"/>
          <w:b/>
          <w:bCs/>
          <w:kern w:val="0"/>
          <w:sz w:val="32"/>
          <w:szCs w:val="32"/>
          <w:lang w:bidi="ar"/>
        </w:rPr>
        <w:t>七、国有资产信息情况</w:t>
      </w:r>
    </w:p>
    <w:p>
      <w:pPr>
        <w:spacing w:line="560" w:lineRule="exact"/>
        <w:jc w:val="left"/>
        <w:outlineLvl w:val="0"/>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    2018年年末我单位固定资产总额1274.9万元，其中，房屋及构筑物653.92万元，占用数量8924平方米；专用设备427.68万元，其中车辆占用数32辆，价值226.14万元；通用设备105.71万元，文物和陈列品42.49万元，家具、用具、装具45.1万元。无单价20万元以上的设备。2018年无拟购置固定资产。</w:t>
      </w:r>
    </w:p>
    <w:p>
      <w:pPr>
        <w:pStyle w:val="4"/>
        <w:shd w:val="clear" w:color="auto" w:fill="FFFFFF"/>
        <w:spacing w:line="560" w:lineRule="exact"/>
        <w:ind w:firstLine="640"/>
        <w:rPr>
          <w:rFonts w:ascii="仿宋" w:hAnsi="仿宋" w:eastAsia="仿宋" w:cs="仿宋"/>
          <w:b/>
          <w:sz w:val="32"/>
          <w:szCs w:val="32"/>
        </w:rPr>
      </w:pPr>
      <w:r>
        <w:rPr>
          <w:rFonts w:hint="eastAsia" w:ascii="仿宋" w:hAnsi="仿宋" w:eastAsia="仿宋" w:cs="仿宋"/>
          <w:b/>
          <w:sz w:val="32"/>
          <w:szCs w:val="32"/>
        </w:rPr>
        <w:t>涞水县交通运输局固定资产占用情况表</w:t>
      </w:r>
    </w:p>
    <w:p>
      <w:pPr>
        <w:pStyle w:val="4"/>
        <w:shd w:val="clear" w:color="auto" w:fill="FFFFFF"/>
        <w:spacing w:line="560" w:lineRule="exact"/>
        <w:ind w:firstLine="640"/>
        <w:jc w:val="right"/>
        <w:rPr>
          <w:rFonts w:ascii="仿宋" w:hAnsi="仿宋" w:eastAsia="仿宋" w:cs="仿宋"/>
          <w:sz w:val="32"/>
          <w:szCs w:val="32"/>
        </w:rPr>
      </w:pPr>
      <w:r>
        <w:rPr>
          <w:rFonts w:hint="eastAsia" w:ascii="仿宋" w:hAnsi="仿宋" w:eastAsia="仿宋" w:cs="仿宋"/>
          <w:bCs/>
          <w:color w:val="000000"/>
          <w:sz w:val="32"/>
          <w:szCs w:val="32"/>
        </w:rPr>
        <w:t>截止时间：2017年12月31日</w:t>
      </w:r>
    </w:p>
    <w:tbl>
      <w:tblPr>
        <w:tblStyle w:val="6"/>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033"/>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spacing w:line="560" w:lineRule="exact"/>
              <w:jc w:val="center"/>
              <w:rPr>
                <w:rFonts w:ascii="仿宋" w:hAnsi="仿宋" w:eastAsia="仿宋" w:cs="仿宋"/>
                <w:sz w:val="32"/>
                <w:szCs w:val="32"/>
              </w:rPr>
            </w:pPr>
            <w:r>
              <w:rPr>
                <w:rFonts w:hint="eastAsia" w:ascii="仿宋" w:hAnsi="仿宋" w:eastAsia="仿宋" w:cs="仿宋"/>
                <w:b/>
                <w:bCs/>
                <w:color w:val="000000"/>
                <w:kern w:val="0"/>
                <w:sz w:val="32"/>
                <w:szCs w:val="32"/>
              </w:rPr>
              <w:t>项　　目</w:t>
            </w:r>
          </w:p>
        </w:tc>
        <w:tc>
          <w:tcPr>
            <w:tcW w:w="1033" w:type="dxa"/>
            <w:vAlign w:val="center"/>
          </w:tcPr>
          <w:p>
            <w:pPr>
              <w:widowControl/>
              <w:spacing w:line="560" w:lineRule="exact"/>
              <w:jc w:val="center"/>
              <w:rPr>
                <w:rFonts w:ascii="仿宋" w:hAnsi="仿宋" w:eastAsia="仿宋" w:cs="仿宋"/>
                <w:sz w:val="32"/>
                <w:szCs w:val="32"/>
              </w:rPr>
            </w:pPr>
            <w:r>
              <w:rPr>
                <w:rFonts w:hint="eastAsia" w:ascii="仿宋" w:hAnsi="仿宋" w:eastAsia="仿宋" w:cs="仿宋"/>
                <w:b/>
                <w:bCs/>
                <w:color w:val="000000"/>
                <w:kern w:val="0"/>
                <w:sz w:val="32"/>
                <w:szCs w:val="32"/>
              </w:rPr>
              <w:t>数量</w:t>
            </w:r>
          </w:p>
        </w:tc>
        <w:tc>
          <w:tcPr>
            <w:tcW w:w="3902" w:type="dxa"/>
            <w:vAlign w:val="center"/>
          </w:tcPr>
          <w:p>
            <w:pPr>
              <w:widowControl/>
              <w:spacing w:line="560" w:lineRule="exact"/>
              <w:jc w:val="center"/>
              <w:rPr>
                <w:rFonts w:ascii="仿宋" w:hAnsi="仿宋" w:eastAsia="仿宋" w:cs="仿宋"/>
                <w:sz w:val="32"/>
                <w:szCs w:val="32"/>
              </w:rPr>
            </w:pPr>
            <w:r>
              <w:rPr>
                <w:rFonts w:hint="eastAsia" w:ascii="仿宋" w:hAnsi="仿宋" w:eastAsia="仿宋" w:cs="仿宋"/>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spacing w:line="560" w:lineRule="exact"/>
              <w:jc w:val="center"/>
              <w:rPr>
                <w:rFonts w:ascii="仿宋" w:hAnsi="仿宋" w:eastAsia="仿宋" w:cs="仿宋"/>
                <w:sz w:val="32"/>
                <w:szCs w:val="32"/>
              </w:rPr>
            </w:pPr>
            <w:r>
              <w:rPr>
                <w:rFonts w:hint="eastAsia" w:ascii="仿宋" w:hAnsi="仿宋" w:eastAsia="仿宋" w:cs="仿宋"/>
                <w:b/>
                <w:bCs/>
                <w:color w:val="000000"/>
                <w:kern w:val="0"/>
                <w:sz w:val="32"/>
                <w:szCs w:val="32"/>
              </w:rPr>
              <w:t>固定资产总额</w:t>
            </w:r>
          </w:p>
        </w:tc>
        <w:tc>
          <w:tcPr>
            <w:tcW w:w="1033" w:type="dxa"/>
            <w:vAlign w:val="center"/>
          </w:tcPr>
          <w:p>
            <w:pPr>
              <w:widowControl/>
              <w:spacing w:line="560" w:lineRule="exact"/>
              <w:jc w:val="center"/>
              <w:rPr>
                <w:rFonts w:ascii="仿宋" w:hAnsi="仿宋" w:eastAsia="仿宋" w:cs="仿宋"/>
                <w:sz w:val="32"/>
                <w:szCs w:val="32"/>
              </w:rPr>
            </w:pPr>
            <w:r>
              <w:rPr>
                <w:rFonts w:hint="eastAsia" w:ascii="仿宋" w:hAnsi="仿宋" w:eastAsia="仿宋" w:cs="仿宋"/>
                <w:color w:val="000000"/>
                <w:kern w:val="0"/>
                <w:sz w:val="32"/>
                <w:szCs w:val="32"/>
              </w:rPr>
              <w:t>—</w:t>
            </w:r>
          </w:p>
        </w:tc>
        <w:tc>
          <w:tcPr>
            <w:tcW w:w="3902" w:type="dxa"/>
            <w:vAlign w:val="center"/>
          </w:tcPr>
          <w:p>
            <w:pPr>
              <w:widowControl/>
              <w:spacing w:line="560" w:lineRule="exact"/>
              <w:jc w:val="center"/>
              <w:rPr>
                <w:rFonts w:ascii="仿宋" w:hAnsi="仿宋" w:eastAsia="仿宋" w:cs="仿宋"/>
                <w:sz w:val="32"/>
                <w:szCs w:val="32"/>
              </w:rPr>
            </w:pPr>
            <w:r>
              <w:rPr>
                <w:rFonts w:hint="eastAsia" w:ascii="仿宋" w:hAnsi="仿宋" w:eastAsia="仿宋" w:cs="仿宋"/>
                <w:b/>
                <w:color w:val="000000"/>
                <w:kern w:val="0"/>
                <w:sz w:val="32"/>
                <w:szCs w:val="32"/>
              </w:rPr>
              <w:t>1274.9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spacing w:line="560" w:lineRule="exact"/>
              <w:jc w:val="left"/>
              <w:rPr>
                <w:rFonts w:ascii="仿宋" w:hAnsi="仿宋" w:eastAsia="仿宋" w:cs="仿宋"/>
                <w:sz w:val="32"/>
                <w:szCs w:val="32"/>
              </w:rPr>
            </w:pPr>
            <w:r>
              <w:rPr>
                <w:rFonts w:hint="eastAsia" w:ascii="仿宋" w:hAnsi="仿宋" w:eastAsia="仿宋" w:cs="仿宋"/>
                <w:color w:val="000000"/>
                <w:kern w:val="0"/>
                <w:sz w:val="32"/>
                <w:szCs w:val="32"/>
              </w:rPr>
              <w:t xml:space="preserve">  1、房屋（平方米）</w:t>
            </w:r>
          </w:p>
        </w:tc>
        <w:tc>
          <w:tcPr>
            <w:tcW w:w="1033" w:type="dxa"/>
            <w:vAlign w:val="center"/>
          </w:tcPr>
          <w:p>
            <w:pPr>
              <w:widowControl/>
              <w:spacing w:line="560" w:lineRule="exact"/>
              <w:jc w:val="center"/>
              <w:rPr>
                <w:rFonts w:ascii="仿宋" w:hAnsi="仿宋" w:eastAsia="仿宋" w:cs="仿宋"/>
                <w:sz w:val="32"/>
                <w:szCs w:val="32"/>
              </w:rPr>
            </w:pPr>
            <w:r>
              <w:rPr>
                <w:rFonts w:hint="eastAsia" w:ascii="仿宋" w:hAnsi="仿宋" w:eastAsia="仿宋" w:cs="仿宋"/>
                <w:sz w:val="32"/>
                <w:szCs w:val="32"/>
              </w:rPr>
              <w:t>8924</w:t>
            </w:r>
          </w:p>
        </w:tc>
        <w:tc>
          <w:tcPr>
            <w:tcW w:w="3902" w:type="dxa"/>
            <w:vAlign w:val="center"/>
          </w:tcPr>
          <w:p>
            <w:pPr>
              <w:widowControl/>
              <w:spacing w:line="560" w:lineRule="exact"/>
              <w:jc w:val="center"/>
              <w:rPr>
                <w:rFonts w:ascii="仿宋" w:hAnsi="仿宋" w:eastAsia="仿宋" w:cs="仿宋"/>
                <w:sz w:val="32"/>
                <w:szCs w:val="32"/>
              </w:rPr>
            </w:pPr>
            <w:r>
              <w:rPr>
                <w:rFonts w:hint="eastAsia" w:ascii="仿宋" w:hAnsi="仿宋" w:eastAsia="仿宋" w:cs="仿宋"/>
                <w:sz w:val="32"/>
                <w:szCs w:val="32"/>
              </w:rPr>
              <w:t>653.92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spacing w:line="560" w:lineRule="exact"/>
              <w:jc w:val="left"/>
              <w:rPr>
                <w:rFonts w:ascii="仿宋" w:hAnsi="仿宋" w:eastAsia="仿宋" w:cs="仿宋"/>
                <w:sz w:val="32"/>
                <w:szCs w:val="32"/>
              </w:rPr>
            </w:pPr>
            <w:r>
              <w:rPr>
                <w:rFonts w:hint="eastAsia" w:ascii="仿宋" w:hAnsi="仿宋" w:eastAsia="仿宋" w:cs="仿宋"/>
                <w:color w:val="000000"/>
                <w:kern w:val="0"/>
                <w:sz w:val="32"/>
                <w:szCs w:val="32"/>
              </w:rPr>
              <w:t xml:space="preserve">   其中：办公用房（平方米）</w:t>
            </w:r>
          </w:p>
        </w:tc>
        <w:tc>
          <w:tcPr>
            <w:tcW w:w="1033"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8924</w:t>
            </w:r>
          </w:p>
        </w:tc>
        <w:tc>
          <w:tcPr>
            <w:tcW w:w="3902"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653.92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spacing w:line="560" w:lineRule="exact"/>
              <w:jc w:val="left"/>
              <w:rPr>
                <w:rFonts w:ascii="仿宋" w:hAnsi="仿宋" w:eastAsia="仿宋" w:cs="仿宋"/>
                <w:sz w:val="32"/>
                <w:szCs w:val="32"/>
              </w:rPr>
            </w:pPr>
            <w:r>
              <w:rPr>
                <w:rFonts w:hint="eastAsia" w:ascii="仿宋" w:hAnsi="仿宋" w:eastAsia="仿宋" w:cs="仿宋"/>
                <w:color w:val="000000"/>
                <w:kern w:val="0"/>
                <w:sz w:val="32"/>
                <w:szCs w:val="32"/>
              </w:rPr>
              <w:t xml:space="preserve">  2、车辆（台、辆）</w:t>
            </w:r>
          </w:p>
        </w:tc>
        <w:tc>
          <w:tcPr>
            <w:tcW w:w="1033" w:type="dxa"/>
            <w:vAlign w:val="center"/>
          </w:tcPr>
          <w:p>
            <w:pPr>
              <w:widowControl/>
              <w:spacing w:line="560" w:lineRule="exact"/>
              <w:jc w:val="center"/>
              <w:rPr>
                <w:rFonts w:ascii="仿宋" w:hAnsi="仿宋" w:eastAsia="仿宋" w:cs="仿宋"/>
                <w:sz w:val="32"/>
                <w:szCs w:val="32"/>
              </w:rPr>
            </w:pPr>
            <w:r>
              <w:rPr>
                <w:rFonts w:hint="eastAsia" w:ascii="仿宋" w:hAnsi="仿宋" w:eastAsia="仿宋" w:cs="仿宋"/>
                <w:color w:val="000000"/>
                <w:kern w:val="0"/>
                <w:sz w:val="32"/>
                <w:szCs w:val="32"/>
              </w:rPr>
              <w:t>32</w:t>
            </w:r>
          </w:p>
        </w:tc>
        <w:tc>
          <w:tcPr>
            <w:tcW w:w="3902" w:type="dxa"/>
            <w:vAlign w:val="center"/>
          </w:tcPr>
          <w:p>
            <w:pPr>
              <w:widowControl/>
              <w:spacing w:line="560" w:lineRule="exact"/>
              <w:jc w:val="center"/>
              <w:rPr>
                <w:rFonts w:ascii="仿宋" w:hAnsi="仿宋" w:eastAsia="仿宋" w:cs="仿宋"/>
                <w:sz w:val="32"/>
                <w:szCs w:val="32"/>
              </w:rPr>
            </w:pPr>
            <w:r>
              <w:rPr>
                <w:rFonts w:hint="eastAsia" w:ascii="仿宋" w:hAnsi="仿宋" w:eastAsia="仿宋" w:cs="仿宋"/>
                <w:color w:val="000000"/>
                <w:kern w:val="0"/>
                <w:sz w:val="32"/>
                <w:szCs w:val="32"/>
              </w:rPr>
              <w:t>226.14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spacing w:line="560" w:lineRule="exact"/>
              <w:jc w:val="left"/>
              <w:rPr>
                <w:rFonts w:ascii="仿宋" w:hAnsi="仿宋" w:eastAsia="仿宋" w:cs="仿宋"/>
                <w:sz w:val="32"/>
                <w:szCs w:val="32"/>
              </w:rPr>
            </w:pPr>
            <w:r>
              <w:rPr>
                <w:rFonts w:hint="eastAsia" w:ascii="仿宋" w:hAnsi="仿宋" w:eastAsia="仿宋" w:cs="仿宋"/>
                <w:color w:val="000000"/>
                <w:kern w:val="0"/>
                <w:sz w:val="32"/>
                <w:szCs w:val="32"/>
              </w:rPr>
              <w:t xml:space="preserve">  3、单价在20万元以上的设备</w:t>
            </w:r>
          </w:p>
        </w:tc>
        <w:tc>
          <w:tcPr>
            <w:tcW w:w="1033" w:type="dxa"/>
            <w:vAlign w:val="center"/>
          </w:tcPr>
          <w:p>
            <w:pPr>
              <w:widowControl/>
              <w:spacing w:line="560" w:lineRule="exact"/>
              <w:jc w:val="center"/>
              <w:rPr>
                <w:rFonts w:ascii="仿宋" w:hAnsi="仿宋" w:eastAsia="仿宋" w:cs="仿宋"/>
                <w:sz w:val="32"/>
                <w:szCs w:val="32"/>
              </w:rPr>
            </w:pPr>
            <w:r>
              <w:rPr>
                <w:rFonts w:hint="eastAsia" w:ascii="仿宋" w:hAnsi="仿宋" w:eastAsia="仿宋" w:cs="仿宋"/>
                <w:color w:val="000000"/>
                <w:kern w:val="0"/>
                <w:sz w:val="32"/>
                <w:szCs w:val="32"/>
              </w:rPr>
              <w:t>—</w:t>
            </w:r>
          </w:p>
        </w:tc>
        <w:tc>
          <w:tcPr>
            <w:tcW w:w="3902" w:type="dxa"/>
            <w:vAlign w:val="center"/>
          </w:tcPr>
          <w:p>
            <w:pPr>
              <w:widowControl/>
              <w:spacing w:line="560" w:lineRule="exact"/>
              <w:jc w:val="center"/>
              <w:rPr>
                <w:rFonts w:ascii="仿宋" w:hAnsi="仿宋" w:eastAsia="仿宋" w:cs="仿宋"/>
                <w:sz w:val="32"/>
                <w:szCs w:val="32"/>
              </w:rPr>
            </w:pPr>
            <w:r>
              <w:rPr>
                <w:rFonts w:hint="eastAsia" w:ascii="仿宋" w:hAnsi="仿宋" w:eastAsia="仿宋" w:cs="仿宋"/>
                <w:color w:val="000000"/>
                <w:kern w:val="0"/>
                <w:sz w:val="32"/>
                <w:szCs w:val="3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spacing w:line="560" w:lineRule="exact"/>
              <w:jc w:val="left"/>
              <w:rPr>
                <w:rFonts w:ascii="仿宋" w:hAnsi="仿宋" w:eastAsia="仿宋" w:cs="仿宋"/>
                <w:sz w:val="32"/>
                <w:szCs w:val="32"/>
              </w:rPr>
            </w:pPr>
            <w:r>
              <w:rPr>
                <w:rFonts w:hint="eastAsia" w:ascii="仿宋" w:hAnsi="仿宋" w:eastAsia="仿宋" w:cs="仿宋"/>
                <w:color w:val="000000"/>
                <w:kern w:val="0"/>
                <w:sz w:val="32"/>
                <w:szCs w:val="32"/>
              </w:rPr>
              <w:t xml:space="preserve">  4、其他固定资产</w:t>
            </w:r>
          </w:p>
        </w:tc>
        <w:tc>
          <w:tcPr>
            <w:tcW w:w="1033" w:type="dxa"/>
            <w:vAlign w:val="center"/>
          </w:tcPr>
          <w:p>
            <w:pPr>
              <w:spacing w:line="560" w:lineRule="exact"/>
              <w:jc w:val="center"/>
              <w:rPr>
                <w:rFonts w:ascii="仿宋" w:hAnsi="仿宋" w:eastAsia="仿宋" w:cs="仿宋"/>
                <w:sz w:val="32"/>
                <w:szCs w:val="32"/>
              </w:rPr>
            </w:pPr>
            <w:r>
              <w:rPr>
                <w:rFonts w:hint="eastAsia" w:ascii="仿宋" w:hAnsi="仿宋" w:eastAsia="仿宋" w:cs="仿宋"/>
                <w:color w:val="000000"/>
                <w:kern w:val="0"/>
                <w:sz w:val="32"/>
                <w:szCs w:val="32"/>
              </w:rPr>
              <w:t>—</w:t>
            </w:r>
          </w:p>
        </w:tc>
        <w:tc>
          <w:tcPr>
            <w:tcW w:w="3902" w:type="dxa"/>
            <w:vAlign w:val="center"/>
          </w:tcPr>
          <w:p>
            <w:pPr>
              <w:spacing w:line="560" w:lineRule="exact"/>
              <w:jc w:val="center"/>
              <w:rPr>
                <w:rFonts w:ascii="仿宋" w:hAnsi="仿宋" w:eastAsia="仿宋" w:cs="仿宋"/>
                <w:sz w:val="32"/>
                <w:szCs w:val="32"/>
              </w:rPr>
            </w:pPr>
            <w:r>
              <w:rPr>
                <w:rFonts w:hint="eastAsia" w:ascii="仿宋" w:hAnsi="仿宋" w:eastAsia="仿宋" w:cs="仿宋"/>
                <w:color w:val="000000"/>
                <w:kern w:val="0"/>
                <w:sz w:val="32"/>
                <w:szCs w:val="32"/>
              </w:rPr>
              <w:t>394.84</w:t>
            </w:r>
          </w:p>
        </w:tc>
      </w:tr>
    </w:tbl>
    <w:p>
      <w:pPr>
        <w:widowControl/>
        <w:spacing w:line="560" w:lineRule="exact"/>
        <w:rPr>
          <w:rFonts w:ascii="仿宋" w:hAnsi="仿宋" w:eastAsia="仿宋" w:cs="仿宋"/>
          <w:kern w:val="0"/>
          <w:sz w:val="32"/>
          <w:szCs w:val="32"/>
        </w:rPr>
      </w:pPr>
    </w:p>
    <w:p>
      <w:pPr>
        <w:spacing w:line="560" w:lineRule="exact"/>
        <w:ind w:firstLine="630" w:firstLineChars="196"/>
        <w:rPr>
          <w:rFonts w:ascii="仿宋" w:hAnsi="仿宋" w:eastAsia="仿宋" w:cs="仿宋"/>
          <w:b/>
          <w:sz w:val="32"/>
          <w:szCs w:val="32"/>
        </w:rPr>
      </w:pPr>
      <w:r>
        <w:rPr>
          <w:rFonts w:hint="eastAsia" w:ascii="仿宋" w:hAnsi="仿宋" w:eastAsia="仿宋" w:cs="仿宋"/>
          <w:b/>
          <w:sz w:val="32"/>
          <w:szCs w:val="32"/>
        </w:rPr>
        <w:t>八、专业名词解释</w:t>
      </w:r>
    </w:p>
    <w:p>
      <w:pPr>
        <w:spacing w:line="560" w:lineRule="exact"/>
        <w:ind w:firstLine="630" w:firstLineChars="196"/>
        <w:rPr>
          <w:rFonts w:ascii="仿宋" w:hAnsi="仿宋" w:eastAsia="仿宋" w:cs="仿宋"/>
          <w:sz w:val="32"/>
          <w:szCs w:val="32"/>
        </w:rPr>
      </w:pPr>
      <w:r>
        <w:rPr>
          <w:rFonts w:hint="eastAsia" w:ascii="仿宋" w:hAnsi="仿宋" w:eastAsia="仿宋" w:cs="仿宋"/>
          <w:b/>
          <w:bCs/>
          <w:sz w:val="32"/>
          <w:szCs w:val="32"/>
        </w:rPr>
        <w:t>1、一般公共预算财政拨款收入：</w:t>
      </w:r>
      <w:r>
        <w:rPr>
          <w:rFonts w:hint="eastAsia" w:ascii="仿宋" w:hAnsi="仿宋" w:eastAsia="仿宋" w:cs="仿宋"/>
          <w:sz w:val="32"/>
          <w:szCs w:val="32"/>
        </w:rPr>
        <w:t>县级财政当年拨付的资金。</w:t>
      </w:r>
    </w:p>
    <w:p>
      <w:pPr>
        <w:pStyle w:val="4"/>
        <w:widowControl/>
        <w:spacing w:line="560" w:lineRule="exact"/>
        <w:ind w:firstLine="578" w:firstLineChars="180"/>
        <w:rPr>
          <w:rFonts w:ascii="仿宋" w:hAnsi="仿宋" w:eastAsia="仿宋" w:cs="仿宋"/>
          <w:sz w:val="32"/>
          <w:szCs w:val="32"/>
        </w:rPr>
      </w:pPr>
      <w:r>
        <w:rPr>
          <w:rStyle w:val="8"/>
          <w:rFonts w:hint="eastAsia" w:ascii="仿宋" w:hAnsi="仿宋" w:eastAsia="仿宋" w:cs="仿宋"/>
          <w:sz w:val="32"/>
          <w:szCs w:val="32"/>
          <w:shd w:val="clear" w:color="auto" w:fill="FFFFFF"/>
        </w:rPr>
        <w:t>2、其他收入：</w:t>
      </w:r>
      <w:r>
        <w:rPr>
          <w:rFonts w:hint="eastAsia" w:ascii="仿宋" w:hAnsi="仿宋" w:eastAsia="仿宋" w:cs="仿宋"/>
          <w:sz w:val="32"/>
          <w:szCs w:val="32"/>
          <w:shd w:val="clear" w:color="auto" w:fill="FFFFFF"/>
        </w:rPr>
        <w:t>指除上述财政拨款收入以外的收入。主要是存款利息收入。</w:t>
      </w:r>
    </w:p>
    <w:p>
      <w:pPr>
        <w:pStyle w:val="4"/>
        <w:widowControl/>
        <w:spacing w:line="560" w:lineRule="exact"/>
        <w:ind w:firstLine="578" w:firstLineChars="180"/>
        <w:rPr>
          <w:rFonts w:ascii="仿宋" w:hAnsi="仿宋" w:eastAsia="仿宋" w:cs="仿宋"/>
          <w:sz w:val="32"/>
          <w:szCs w:val="32"/>
        </w:rPr>
      </w:pPr>
      <w:r>
        <w:rPr>
          <w:rStyle w:val="8"/>
          <w:rFonts w:hint="eastAsia" w:ascii="仿宋" w:hAnsi="仿宋" w:eastAsia="仿宋" w:cs="仿宋"/>
          <w:color w:val="000000"/>
          <w:sz w:val="32"/>
          <w:szCs w:val="32"/>
          <w:shd w:val="clear" w:color="auto" w:fill="FFFFFF"/>
        </w:rPr>
        <w:t>3</w:t>
      </w:r>
      <w:r>
        <w:rPr>
          <w:rFonts w:hint="eastAsia" w:ascii="仿宋" w:hAnsi="仿宋" w:eastAsia="仿宋" w:cs="仿宋"/>
          <w:b/>
          <w:bCs/>
          <w:sz w:val="32"/>
          <w:szCs w:val="32"/>
        </w:rPr>
        <w:t>、基本支出：</w:t>
      </w:r>
      <w:r>
        <w:rPr>
          <w:rFonts w:hint="eastAsia" w:ascii="仿宋" w:hAnsi="仿宋" w:eastAsia="仿宋" w:cs="仿宋"/>
          <w:sz w:val="32"/>
          <w:szCs w:val="32"/>
        </w:rPr>
        <w:t>指为保障机构正常运转、完成日常工作任务而发生的人员支出和公用支出。</w:t>
      </w:r>
    </w:p>
    <w:p>
      <w:pPr>
        <w:pStyle w:val="4"/>
        <w:widowControl/>
        <w:spacing w:line="560" w:lineRule="exact"/>
        <w:rPr>
          <w:rFonts w:ascii="仿宋" w:hAnsi="仿宋" w:eastAsia="仿宋" w:cs="仿宋"/>
          <w:sz w:val="32"/>
          <w:szCs w:val="32"/>
        </w:rPr>
      </w:pPr>
      <w:r>
        <w:rPr>
          <w:rFonts w:hint="eastAsia" w:ascii="仿宋" w:hAnsi="仿宋" w:eastAsia="仿宋" w:cs="仿宋"/>
          <w:b/>
          <w:bCs/>
          <w:sz w:val="32"/>
          <w:szCs w:val="32"/>
        </w:rPr>
        <w:t xml:space="preserve">    4、项目支出</w:t>
      </w:r>
      <w:r>
        <w:rPr>
          <w:rFonts w:hint="eastAsia" w:ascii="仿宋" w:hAnsi="仿宋" w:eastAsia="仿宋" w:cs="仿宋"/>
          <w:sz w:val="32"/>
          <w:szCs w:val="32"/>
        </w:rPr>
        <w:t>：指在基本支出之外为完成特定行政任务和事业发展目标所发生的支出。</w:t>
      </w:r>
    </w:p>
    <w:p>
      <w:pPr>
        <w:pStyle w:val="4"/>
        <w:widowControl/>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5、“三公”经费：</w:t>
      </w:r>
      <w:r>
        <w:rPr>
          <w:rFonts w:hint="eastAsia" w:ascii="仿宋" w:hAnsi="仿宋" w:eastAsia="仿宋" w:cs="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widowControl/>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6、机关运行经费：</w:t>
      </w:r>
      <w:r>
        <w:rPr>
          <w:rFonts w:hint="eastAsia" w:ascii="仿宋" w:hAnsi="仿宋" w:eastAsia="仿宋" w:cs="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ascii="仿宋" w:hAnsi="仿宋" w:eastAsia="仿宋" w:cs="仿宋"/>
          <w:b/>
          <w:sz w:val="32"/>
          <w:szCs w:val="32"/>
        </w:rPr>
      </w:pPr>
      <w:r>
        <w:rPr>
          <w:rFonts w:hint="eastAsia" w:ascii="仿宋" w:hAnsi="仿宋" w:eastAsia="仿宋" w:cs="仿宋"/>
          <w:b/>
          <w:sz w:val="32"/>
          <w:szCs w:val="32"/>
        </w:rPr>
        <w:t>九、其他需要说明的事项</w:t>
      </w:r>
    </w:p>
    <w:p>
      <w:pPr>
        <w:spacing w:line="560" w:lineRule="exact"/>
        <w:rPr>
          <w:rFonts w:ascii="仿宋" w:hAnsi="仿宋" w:eastAsia="仿宋" w:cs="仿宋"/>
          <w:sz w:val="32"/>
          <w:szCs w:val="32"/>
        </w:rPr>
      </w:pPr>
      <w:r>
        <w:rPr>
          <w:rFonts w:hint="eastAsia" w:ascii="仿宋" w:hAnsi="仿宋" w:eastAsia="仿宋" w:cs="仿宋"/>
          <w:sz w:val="32"/>
          <w:szCs w:val="32"/>
        </w:rPr>
        <w:t>我部门无国有资本经营预算，空表列示。</w:t>
      </w:r>
    </w:p>
    <w:p>
      <w:pPr>
        <w:widowControl/>
        <w:spacing w:line="560" w:lineRule="exact"/>
        <w:rPr>
          <w:rFonts w:ascii="仿宋" w:hAnsi="仿宋" w:eastAsia="仿宋" w:cs="仿宋"/>
          <w:kern w:val="0"/>
          <w:sz w:val="32"/>
          <w:szCs w:val="32"/>
        </w:rPr>
      </w:pPr>
    </w:p>
    <w:p>
      <w:pPr>
        <w:widowControl/>
        <w:spacing w:line="560" w:lineRule="exact"/>
        <w:jc w:val="right"/>
        <w:rPr>
          <w:rFonts w:ascii="仿宋" w:hAnsi="仿宋" w:eastAsia="仿宋" w:cs="仿宋"/>
          <w:kern w:val="0"/>
          <w:sz w:val="32"/>
          <w:szCs w:val="32"/>
        </w:rPr>
      </w:pPr>
      <w:r>
        <w:rPr>
          <w:rFonts w:hint="eastAsia" w:ascii="仿宋" w:hAnsi="仿宋" w:eastAsia="仿宋" w:cs="仿宋"/>
          <w:kern w:val="0"/>
          <w:sz w:val="32"/>
          <w:szCs w:val="32"/>
        </w:rPr>
        <w:t>2018年3月5日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79D2A2"/>
    <w:multiLevelType w:val="singleLevel"/>
    <w:tmpl w:val="5879D2A2"/>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5B373A8F"/>
    <w:rsid w:val="00043011"/>
    <w:rsid w:val="00137399"/>
    <w:rsid w:val="001539CE"/>
    <w:rsid w:val="001E5B1B"/>
    <w:rsid w:val="00235AEE"/>
    <w:rsid w:val="003D1DFD"/>
    <w:rsid w:val="003F7B24"/>
    <w:rsid w:val="004A2AFB"/>
    <w:rsid w:val="0050333C"/>
    <w:rsid w:val="0053617F"/>
    <w:rsid w:val="00637CCD"/>
    <w:rsid w:val="007054AD"/>
    <w:rsid w:val="008F0638"/>
    <w:rsid w:val="009923FF"/>
    <w:rsid w:val="00AE7643"/>
    <w:rsid w:val="00B11605"/>
    <w:rsid w:val="00BC281E"/>
    <w:rsid w:val="00D337A7"/>
    <w:rsid w:val="00DD3C32"/>
    <w:rsid w:val="00DF21DA"/>
    <w:rsid w:val="00E4030D"/>
    <w:rsid w:val="00F967C6"/>
    <w:rsid w:val="00FB2885"/>
    <w:rsid w:val="00FD58EA"/>
    <w:rsid w:val="035B6EE2"/>
    <w:rsid w:val="046D32B3"/>
    <w:rsid w:val="05AF09FF"/>
    <w:rsid w:val="07403395"/>
    <w:rsid w:val="077E66DF"/>
    <w:rsid w:val="09174977"/>
    <w:rsid w:val="0A681BF6"/>
    <w:rsid w:val="0C60671B"/>
    <w:rsid w:val="0ECA2E39"/>
    <w:rsid w:val="101F73E1"/>
    <w:rsid w:val="1A2B3B17"/>
    <w:rsid w:val="1A8D03D8"/>
    <w:rsid w:val="1A9218F6"/>
    <w:rsid w:val="1EA62255"/>
    <w:rsid w:val="1EAA00AF"/>
    <w:rsid w:val="21420B15"/>
    <w:rsid w:val="227262D2"/>
    <w:rsid w:val="22C16EE8"/>
    <w:rsid w:val="24606F50"/>
    <w:rsid w:val="299063D2"/>
    <w:rsid w:val="29E543B3"/>
    <w:rsid w:val="2A664DE8"/>
    <w:rsid w:val="2C0C5543"/>
    <w:rsid w:val="2C2F5CEA"/>
    <w:rsid w:val="2D0A4D3A"/>
    <w:rsid w:val="2D853CB7"/>
    <w:rsid w:val="2E380B0C"/>
    <w:rsid w:val="2ED62284"/>
    <w:rsid w:val="3C3D0E38"/>
    <w:rsid w:val="405F7975"/>
    <w:rsid w:val="421265FB"/>
    <w:rsid w:val="461A13D0"/>
    <w:rsid w:val="4740710D"/>
    <w:rsid w:val="48F40D32"/>
    <w:rsid w:val="49795A5B"/>
    <w:rsid w:val="4A014F20"/>
    <w:rsid w:val="4A9161EC"/>
    <w:rsid w:val="4AD71B81"/>
    <w:rsid w:val="4F8F22B8"/>
    <w:rsid w:val="51D625DB"/>
    <w:rsid w:val="52242D09"/>
    <w:rsid w:val="53F7061A"/>
    <w:rsid w:val="55D3350D"/>
    <w:rsid w:val="580A0408"/>
    <w:rsid w:val="58BC5F69"/>
    <w:rsid w:val="59137579"/>
    <w:rsid w:val="5B373A8F"/>
    <w:rsid w:val="5C8F584A"/>
    <w:rsid w:val="5E603BB4"/>
    <w:rsid w:val="5F1E4198"/>
    <w:rsid w:val="65337E0A"/>
    <w:rsid w:val="67E9250A"/>
    <w:rsid w:val="6A0E6936"/>
    <w:rsid w:val="6AE929A4"/>
    <w:rsid w:val="6D9C0384"/>
    <w:rsid w:val="6D9C2543"/>
    <w:rsid w:val="6DFF21DE"/>
    <w:rsid w:val="710C34BB"/>
    <w:rsid w:val="72556339"/>
    <w:rsid w:val="72A536EF"/>
    <w:rsid w:val="73074BBB"/>
    <w:rsid w:val="78E14FFD"/>
    <w:rsid w:val="7EA14C2B"/>
    <w:rsid w:val="7ED2532E"/>
    <w:rsid w:val="7F6D4A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7">
    <w:name w:val="Default Paragraph Font"/>
    <w:autoRedefine/>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paragraph" w:customStyle="1" w:styleId="9">
    <w:name w:val="p15"/>
    <w:basedOn w:val="1"/>
    <w:qFormat/>
    <w:uiPriority w:val="0"/>
    <w:pPr>
      <w:widowControl/>
    </w:pPr>
    <w:rPr>
      <w:kern w:val="0"/>
      <w:szCs w:val="21"/>
    </w:rPr>
  </w:style>
  <w:style w:type="character" w:customStyle="1" w:styleId="10">
    <w:name w:val="页眉 Char"/>
    <w:basedOn w:val="7"/>
    <w:link w:val="3"/>
    <w:qFormat/>
    <w:uiPriority w:val="0"/>
    <w:rPr>
      <w:rFonts w:asciiTheme="minorHAnsi" w:hAnsiTheme="minorHAnsi" w:cstheme="minorBidi"/>
      <w:kern w:val="2"/>
      <w:sz w:val="18"/>
      <w:szCs w:val="18"/>
    </w:rPr>
  </w:style>
  <w:style w:type="character" w:customStyle="1" w:styleId="11">
    <w:name w:val="页脚 Char"/>
    <w:basedOn w:val="7"/>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209E8-D6DE-4A45-A4E6-D765115127E3}">
  <ds:schemaRefs/>
</ds:datastoreItem>
</file>

<file path=docProps/app.xml><?xml version="1.0" encoding="utf-8"?>
<Properties xmlns="http://schemas.openxmlformats.org/officeDocument/2006/extended-properties" xmlns:vt="http://schemas.openxmlformats.org/officeDocument/2006/docPropsVTypes">
  <Template>Normal</Template>
  <Pages>16</Pages>
  <Words>1136</Words>
  <Characters>6477</Characters>
  <Lines>53</Lines>
  <Paragraphs>15</Paragraphs>
  <TotalTime>0</TotalTime>
  <ScaleCrop>false</ScaleCrop>
  <LinksUpToDate>false</LinksUpToDate>
  <CharactersWithSpaces>7598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2018-03-07T06:59:00Z</dcterms:created>
  <dc:creator>P</dc:creator>
  <cp:lastModifiedBy>八爪小鱼</cp:lastModifiedBy>
  <cp:lastPrinted>2018-03-06T06:58:00Z</cp:lastPrinted>
  <dcterms:modified xsi:type="dcterms:W3CDTF">2024-02-07T04:17:51Z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83BFF5871B99473CB5B74EC6FD25EF79_12</vt:lpwstr>
  </property>
</Properties>
</file>