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val="en-US" w:eastAsia="zh-CN"/>
        </w:rPr>
        <w:t>涞水县水利</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45</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8</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3917.54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197.84</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291.04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iCs w:val="0"/>
                <w:color w:val="000000"/>
                <w:kern w:val="0"/>
                <w:sz w:val="20"/>
                <w:szCs w:val="20"/>
                <w:u w:val="none"/>
                <w:lang w:val="en-US" w:eastAsia="zh-CN" w:bidi="ar"/>
              </w:rPr>
              <w:t>3789.63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b/>
                <w:bCs/>
                <w:i w:val="0"/>
                <w:iCs w:val="0"/>
                <w:color w:val="000000"/>
                <w:kern w:val="0"/>
                <w:sz w:val="20"/>
                <w:szCs w:val="20"/>
                <w:u w:val="none"/>
                <w:lang w:val="en-US" w:eastAsia="zh-CN" w:bidi="ar"/>
              </w:rPr>
              <w:t>4115.38</w:t>
            </w:r>
          </w:p>
        </w:tc>
        <w:tc>
          <w:tcPr>
            <w:tcW w:w="4535" w:type="dxa"/>
            <w:vAlign w:val="center"/>
          </w:tcPr>
          <w:p>
            <w:pPr>
              <w:pStyle w:val="18"/>
            </w:pPr>
            <w:r>
              <w:t>本年支出合计</w:t>
            </w:r>
          </w:p>
        </w:tc>
        <w:tc>
          <w:tcPr>
            <w:tcW w:w="2126" w:type="dxa"/>
            <w:vAlign w:val="center"/>
          </w:tcPr>
          <w:p>
            <w:pPr>
              <w:keepNext w:val="0"/>
              <w:keepLines w:val="0"/>
              <w:widowControl/>
              <w:suppressLineNumbers w:val="0"/>
              <w:jc w:val="right"/>
              <w:textAlignment w:val="center"/>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4115.38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tc>
        <w:tc>
          <w:tcPr>
            <w:tcW w:w="4535" w:type="dxa"/>
            <w:vAlign w:val="center"/>
          </w:tcPr>
          <w:p>
            <w:pPr>
              <w:pStyle w:val="16"/>
            </w:pPr>
            <w:r>
              <w:t>年终结转结余</w:t>
            </w:r>
          </w:p>
        </w:tc>
        <w:tc>
          <w:tcPr>
            <w:tcW w:w="2126" w:type="dxa"/>
            <w:vAlign w:val="center"/>
          </w:tcPr>
          <w:p>
            <w:pP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b/>
                <w:bCs/>
                <w:i w:val="0"/>
                <w:iCs w:val="0"/>
                <w:color w:val="000000"/>
                <w:kern w:val="0"/>
                <w:sz w:val="20"/>
                <w:szCs w:val="20"/>
                <w:u w:val="none"/>
                <w:lang w:val="en-US" w:eastAsia="zh-CN" w:bidi="ar"/>
              </w:rPr>
              <w:t>4115.38</w:t>
            </w:r>
          </w:p>
        </w:tc>
        <w:tc>
          <w:tcPr>
            <w:tcW w:w="4535" w:type="dxa"/>
            <w:vAlign w:val="center"/>
          </w:tcPr>
          <w:p>
            <w:pPr>
              <w:pStyle w:val="18"/>
            </w:pPr>
            <w:r>
              <w:t>支出总计</w:t>
            </w:r>
          </w:p>
        </w:tc>
        <w:tc>
          <w:tcPr>
            <w:tcW w:w="2126" w:type="dxa"/>
            <w:vAlign w:val="center"/>
          </w:tcPr>
          <w:p>
            <w:pPr>
              <w:keepNext w:val="0"/>
              <w:keepLines w:val="0"/>
              <w:widowControl/>
              <w:suppressLineNumbers w:val="0"/>
              <w:jc w:val="right"/>
              <w:textAlignment w:val="center"/>
              <w:rPr>
                <w:rFonts w:hint="default" w:eastAsia="方正书宋_GBK"/>
                <w:b/>
                <w:bCs/>
                <w:lang w:val="en-US" w:eastAsia="zh-CN"/>
              </w:rPr>
            </w:pPr>
            <w:r>
              <w:rPr>
                <w:rFonts w:hint="eastAsia" w:ascii="宋体" w:hAnsi="宋体" w:eastAsia="宋体" w:cs="宋体"/>
                <w:b/>
                <w:bCs/>
                <w:i w:val="0"/>
                <w:iCs w:val="0"/>
                <w:color w:val="000000"/>
                <w:kern w:val="0"/>
                <w:sz w:val="20"/>
                <w:szCs w:val="20"/>
                <w:u w:val="none"/>
                <w:lang w:val="en-US" w:eastAsia="zh-CN" w:bidi="ar"/>
              </w:rPr>
              <w:t>4115.38</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宋体" w:hAnsi="宋体" w:eastAsia="宋体" w:cs="宋体"/>
                <w:b/>
                <w:bCs/>
                <w:i w:val="0"/>
                <w:iCs w:val="0"/>
                <w:color w:val="000000"/>
                <w:kern w:val="0"/>
                <w:sz w:val="20"/>
                <w:szCs w:val="20"/>
                <w:u w:val="none"/>
                <w:lang w:val="en-US" w:eastAsia="zh-CN" w:bidi="ar"/>
              </w:rPr>
              <w:t>4115.38</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宋体" w:hAnsi="宋体" w:eastAsia="宋体" w:cs="宋体"/>
                <w:b/>
                <w:bCs/>
                <w:i w:val="0"/>
                <w:iCs w:val="0"/>
                <w:color w:val="000000"/>
                <w:kern w:val="0"/>
                <w:sz w:val="20"/>
                <w:szCs w:val="20"/>
                <w:u w:val="none"/>
                <w:lang w:val="en-US" w:eastAsia="zh-CN" w:bidi="ar"/>
              </w:rPr>
              <w:t>4115.38</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宋体" w:hAnsi="宋体" w:eastAsia="宋体" w:cs="宋体"/>
                <w:b/>
                <w:bCs/>
                <w:i w:val="0"/>
                <w:iCs w:val="0"/>
                <w:color w:val="000000"/>
                <w:kern w:val="0"/>
                <w:sz w:val="20"/>
                <w:szCs w:val="20"/>
                <w:u w:val="none"/>
                <w:lang w:val="en-US" w:eastAsia="zh-CN" w:bidi="ar"/>
              </w:rPr>
              <w:t>4115.38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291.04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291.04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291.04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93.20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93.20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93.20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66.47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66.47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66.47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26.73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26.73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20822</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大中型水库移民后期扶持基金支出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2082201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移民补助</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150.84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20823</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小型水库移民扶助基金安排的支出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9</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2082302</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基础设施建设和经济发展</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10</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11</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26.58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3789.63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470.43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470.43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470.43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2130302</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42.00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42.00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2130304</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水利行业业务管理</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58.20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58.20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58.20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2130305</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水利工程建设</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1486.83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1486.83</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1486.83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19</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2130306</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水利工程运行与维护</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40.00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40.00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40.00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20</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2130308</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水利前期工作</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28.00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28.00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21</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2130314</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防汛</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10.00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10.00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2130319</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江河湖库水系综合整治</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1315.17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1315.17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1315.17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2130321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大中型水库移民后期扶持专项支出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116.00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116.00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116.00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21399</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其他农林水支出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2139999</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其他农林水支出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223.00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1559"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8.13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332涞水县水利</w:t>
            </w:r>
            <w:r>
              <w:t>局</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w:t>
            </w:r>
          </w:p>
        </w:tc>
        <w:tc>
          <w:tcPr>
            <w:tcW w:w="992" w:type="dxa"/>
            <w:vAlign w:val="center"/>
          </w:tcP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合计</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4115.38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598.34</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3517.04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291.04</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93.20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197.84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93.20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93.20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66.47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66.47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26.73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26.73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20822</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大中型水库移民后期扶持基金支出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2082201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移民补助</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20823</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小型水库移民扶助基金安排的支出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9</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2082302</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基础设施建设和经济发展</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10</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11</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3319.20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3319.20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2130302</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42.00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2130304</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水利行业业务管理</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58.20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2130305</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水利工程建设</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1486.83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1486.83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19</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2130306</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水利工程运行与维护</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20</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2130308</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水利前期工作</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21</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2130314</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防汛</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22</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2130319</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江河湖库水系综合整治</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1315.17</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1315.17</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23</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2130321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大中型水库移民后期扶持专项支出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116.00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116.00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21399</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其他农林水支出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223.00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223.00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25</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2139999</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其他农林水支出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223.00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223.00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26</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27</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28</w:t>
            </w:r>
          </w:p>
        </w:tc>
        <w:tc>
          <w:tcPr>
            <w:tcW w:w="992"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6"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136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3917.54</w:t>
            </w:r>
          </w:p>
        </w:tc>
        <w:tc>
          <w:tcPr>
            <w:tcW w:w="3402" w:type="dxa"/>
            <w:vAlign w:val="center"/>
          </w:tcPr>
          <w:p>
            <w:pPr>
              <w:pStyle w:val="16"/>
            </w:pPr>
            <w:r>
              <w:t>一、一般公共服务支出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197.84</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top"/>
          </w:tcPr>
          <w:p>
            <w:pPr>
              <w:pStyle w:val="15"/>
              <w:rPr>
                <w:rFonts w:hint="default"/>
                <w:lang w:val="en-US" w:eastAsia="zh-CN"/>
              </w:rPr>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291.04</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93.20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197.84</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rPr>
                <w:rFonts w:hint="default"/>
                <w:b/>
                <w:bCs/>
                <w:lang w:val="en-US" w:eastAsia="zh-CN"/>
              </w:rPr>
            </w:pPr>
          </w:p>
        </w:tc>
        <w:tc>
          <w:tcPr>
            <w:tcW w:w="3402" w:type="dxa"/>
            <w:vAlign w:val="center"/>
          </w:tcPr>
          <w:p>
            <w:pPr>
              <w:pStyle w:val="16"/>
            </w:pPr>
            <w:r>
              <w:t>三十、抗疫特别国债安排的支出</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474"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pStyle w:val="15"/>
              <w:rPr>
                <w:rFonts w:hint="default"/>
                <w:b/>
                <w:bCs/>
                <w:lang w:val="en-US" w:eastAsia="zh-CN"/>
              </w:rPr>
            </w:pPr>
            <w:r>
              <w:rPr>
                <w:rFonts w:hint="eastAsia"/>
                <w:b/>
                <w:bCs/>
                <w:lang w:val="en-US" w:eastAsia="zh-CN"/>
              </w:rPr>
              <w:t>4115.38</w:t>
            </w:r>
          </w:p>
        </w:tc>
        <w:tc>
          <w:tcPr>
            <w:tcW w:w="3402" w:type="dxa"/>
            <w:vAlign w:val="center"/>
          </w:tcPr>
          <w:p>
            <w:pPr>
              <w:pStyle w:val="18"/>
            </w:pPr>
            <w:r>
              <w:t>本年支出合计</w:t>
            </w:r>
          </w:p>
        </w:tc>
        <w:tc>
          <w:tcPr>
            <w:tcW w:w="1474" w:type="dxa"/>
            <w:vAlign w:val="center"/>
          </w:tcPr>
          <w:p>
            <w:pPr>
              <w:keepNext w:val="0"/>
              <w:keepLines w:val="0"/>
              <w:widowControl/>
              <w:suppressLineNumbers w:val="0"/>
              <w:jc w:val="right"/>
              <w:textAlignment w:val="center"/>
              <w:rPr>
                <w:rFonts w:hint="default"/>
                <w:b/>
                <w:bCs/>
                <w:lang w:val="en-US" w:eastAsia="uk-UA"/>
              </w:rPr>
            </w:pPr>
            <w:r>
              <w:rPr>
                <w:rFonts w:hint="eastAsia" w:ascii="方正书宋_GBK" w:hAnsi="方正书宋_GBK" w:eastAsia="方正书宋_GBK" w:cs="方正书宋_GBK"/>
                <w:b/>
                <w:bCs/>
                <w:sz w:val="21"/>
                <w:szCs w:val="24"/>
                <w:lang w:val="en-US" w:eastAsia="zh-CN" w:bidi="ar-SA"/>
              </w:rPr>
              <w:t>4115.38</w:t>
            </w:r>
          </w:p>
        </w:tc>
        <w:tc>
          <w:tcPr>
            <w:tcW w:w="1474" w:type="dxa"/>
            <w:vAlign w:val="center"/>
          </w:tcPr>
          <w:p>
            <w:pPr>
              <w:keepNext w:val="0"/>
              <w:keepLines w:val="0"/>
              <w:widowControl/>
              <w:suppressLineNumbers w:val="0"/>
              <w:jc w:val="right"/>
              <w:textAlignment w:val="center"/>
              <w:rPr>
                <w:rFonts w:hint="default"/>
                <w:b/>
                <w:bCs/>
                <w:lang w:val="en-US" w:eastAsia="uk-UA"/>
              </w:rPr>
            </w:pPr>
            <w:r>
              <w:rPr>
                <w:rFonts w:hint="eastAsia" w:ascii="宋体" w:hAnsi="宋体" w:eastAsia="宋体" w:cs="宋体"/>
                <w:b/>
                <w:bCs/>
                <w:i w:val="0"/>
                <w:iCs w:val="0"/>
                <w:color w:val="000000"/>
                <w:kern w:val="0"/>
                <w:sz w:val="20"/>
                <w:szCs w:val="20"/>
                <w:u w:val="none"/>
                <w:lang w:val="en-US" w:eastAsia="zh-CN" w:bidi="ar"/>
              </w:rPr>
              <w:t>3917.54</w:t>
            </w:r>
          </w:p>
        </w:tc>
        <w:tc>
          <w:tcPr>
            <w:tcW w:w="1474" w:type="dxa"/>
            <w:vAlign w:val="center"/>
          </w:tcPr>
          <w:p>
            <w:pPr>
              <w:keepNext w:val="0"/>
              <w:keepLines w:val="0"/>
              <w:widowControl/>
              <w:suppressLineNumbers w:val="0"/>
              <w:jc w:val="right"/>
              <w:textAlignment w:val="center"/>
              <w:rPr>
                <w:rFonts w:hint="default"/>
                <w:b/>
                <w:bCs/>
                <w:lang w:val="en-US" w:eastAsia="zh-CN"/>
              </w:rPr>
            </w:pPr>
            <w:r>
              <w:rPr>
                <w:rFonts w:hint="eastAsia" w:ascii="宋体" w:hAnsi="宋体" w:eastAsia="宋体" w:cs="宋体"/>
                <w:b/>
                <w:bCs/>
                <w:i w:val="0"/>
                <w:iCs w:val="0"/>
                <w:color w:val="000000"/>
                <w:kern w:val="0"/>
                <w:sz w:val="20"/>
                <w:szCs w:val="20"/>
                <w:u w:val="none"/>
                <w:lang w:val="en-US" w:eastAsia="zh-CN" w:bidi="ar"/>
              </w:rPr>
              <w:t>197.84</w:t>
            </w: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pStyle w:val="15"/>
              <w:rPr>
                <w:rFonts w:hint="default"/>
                <w:b/>
                <w:bCs/>
                <w:lang w:val="en-US" w:eastAsia="zh-CN"/>
              </w:rPr>
            </w:pPr>
          </w:p>
        </w:tc>
        <w:tc>
          <w:tcPr>
            <w:tcW w:w="3402" w:type="dxa"/>
            <w:vAlign w:val="center"/>
          </w:tcPr>
          <w:p>
            <w:pPr>
              <w:pStyle w:val="16"/>
            </w:pPr>
            <w:r>
              <w:t>年末财政拨款结转和结余</w:t>
            </w: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pStyle w:val="15"/>
              <w:rPr>
                <w:rFonts w:hint="default"/>
                <w:b/>
                <w:bCs/>
                <w:lang w:val="en-US" w:eastAsia="zh-CN"/>
              </w:rPr>
            </w:pPr>
          </w:p>
        </w:tc>
        <w:tc>
          <w:tcPr>
            <w:tcW w:w="3402" w:type="dxa"/>
            <w:vAlign w:val="center"/>
          </w:tcPr>
          <w:p>
            <w:pPr>
              <w:pStyle w:val="16"/>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pStyle w:val="15"/>
              <w:rPr>
                <w:rFonts w:hint="default"/>
                <w:b/>
                <w:bCs/>
                <w:lang w:val="en-US" w:eastAsia="zh-CN"/>
              </w:rPr>
            </w:pPr>
          </w:p>
        </w:tc>
        <w:tc>
          <w:tcPr>
            <w:tcW w:w="1474"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pStyle w:val="15"/>
              <w:rPr>
                <w:rFonts w:hint="default"/>
                <w:b/>
                <w:bCs/>
                <w:lang w:val="en-US" w:eastAsia="zh-CN"/>
              </w:rPr>
            </w:pPr>
            <w:r>
              <w:rPr>
                <w:rFonts w:hint="eastAsia"/>
                <w:b/>
                <w:bCs/>
                <w:lang w:val="en-US" w:eastAsia="zh-CN"/>
              </w:rPr>
              <w:t>4115.38</w:t>
            </w:r>
            <w:r>
              <w:rPr>
                <w:rFonts w:hint="default"/>
                <w:b/>
                <w:bCs/>
                <w:lang w:val="en-US" w:eastAsia="zh-CN"/>
              </w:rPr>
              <w:t xml:space="preserve"> </w:t>
            </w:r>
          </w:p>
        </w:tc>
        <w:tc>
          <w:tcPr>
            <w:tcW w:w="3402" w:type="dxa"/>
            <w:vAlign w:val="center"/>
          </w:tcPr>
          <w:p>
            <w:pPr>
              <w:pStyle w:val="18"/>
            </w:pPr>
            <w:r>
              <w:t>支出总计</w:t>
            </w:r>
          </w:p>
        </w:tc>
        <w:tc>
          <w:tcPr>
            <w:tcW w:w="1474" w:type="dxa"/>
            <w:vAlign w:val="top"/>
          </w:tcPr>
          <w:p>
            <w:pPr>
              <w:pStyle w:val="15"/>
              <w:rPr>
                <w:rFonts w:hint="default"/>
                <w:b/>
                <w:bCs/>
                <w:lang w:val="en-US" w:eastAsia="uk-UA"/>
              </w:rPr>
            </w:pPr>
            <w:r>
              <w:rPr>
                <w:rFonts w:hint="eastAsia"/>
                <w:b/>
                <w:bCs/>
                <w:lang w:val="en-US" w:eastAsia="zh-CN"/>
              </w:rPr>
              <w:t>4115.38</w:t>
            </w:r>
            <w:r>
              <w:rPr>
                <w:rFonts w:hint="default"/>
                <w:b/>
                <w:bCs/>
                <w:lang w:val="en-US" w:eastAsia="zh-CN"/>
              </w:rPr>
              <w:t xml:space="preserve"> </w:t>
            </w:r>
          </w:p>
        </w:tc>
        <w:tc>
          <w:tcPr>
            <w:tcW w:w="1474" w:type="dxa"/>
            <w:vAlign w:val="center"/>
          </w:tcPr>
          <w:p>
            <w:pPr>
              <w:keepNext w:val="0"/>
              <w:keepLines w:val="0"/>
              <w:widowControl/>
              <w:suppressLineNumbers w:val="0"/>
              <w:jc w:val="right"/>
              <w:textAlignment w:val="center"/>
              <w:rPr>
                <w:rFonts w:hint="default"/>
                <w:b/>
                <w:bCs/>
                <w:lang w:val="en-US" w:eastAsia="uk-UA"/>
              </w:rPr>
            </w:pPr>
            <w:r>
              <w:rPr>
                <w:rFonts w:hint="eastAsia" w:ascii="宋体" w:hAnsi="宋体" w:eastAsia="宋体" w:cs="宋体"/>
                <w:b/>
                <w:bCs/>
                <w:i w:val="0"/>
                <w:iCs w:val="0"/>
                <w:color w:val="000000"/>
                <w:kern w:val="0"/>
                <w:sz w:val="20"/>
                <w:szCs w:val="20"/>
                <w:u w:val="none"/>
                <w:lang w:val="en-US" w:eastAsia="zh-CN" w:bidi="ar"/>
              </w:rPr>
              <w:t>3917.54</w:t>
            </w:r>
          </w:p>
        </w:tc>
        <w:tc>
          <w:tcPr>
            <w:tcW w:w="1474" w:type="dxa"/>
            <w:vAlign w:val="center"/>
          </w:tcPr>
          <w:p>
            <w:pPr>
              <w:keepNext w:val="0"/>
              <w:keepLines w:val="0"/>
              <w:widowControl/>
              <w:suppressLineNumbers w:val="0"/>
              <w:jc w:val="right"/>
              <w:textAlignment w:val="center"/>
              <w:rPr>
                <w:rFonts w:hint="default"/>
                <w:b/>
                <w:bCs/>
                <w:lang w:val="en-US" w:eastAsia="zh-CN"/>
              </w:rPr>
            </w:pPr>
            <w:r>
              <w:rPr>
                <w:rFonts w:hint="eastAsia" w:ascii="宋体" w:hAnsi="宋体" w:eastAsia="宋体" w:cs="宋体"/>
                <w:b/>
                <w:bCs/>
                <w:i w:val="0"/>
                <w:iCs w:val="0"/>
                <w:color w:val="000000"/>
                <w:kern w:val="0"/>
                <w:sz w:val="20"/>
                <w:szCs w:val="20"/>
                <w:u w:val="none"/>
                <w:lang w:val="en-US" w:eastAsia="zh-CN" w:bidi="ar"/>
              </w:rPr>
              <w:t>197.84</w:t>
            </w:r>
          </w:p>
        </w:tc>
        <w:tc>
          <w:tcPr>
            <w:tcW w:w="1474" w:type="dxa"/>
            <w:vAlign w:val="top"/>
          </w:tcPr>
          <w:p>
            <w:pPr>
              <w:jc w:val="cente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3917.54</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598.34</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3319.20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93.20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93.20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93.20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93.20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66.47</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66.47</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26.73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26.73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6415.40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3789.63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3319.20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470.43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2130302</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42.00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2130304</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水利行业业务管理</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58.20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2130305</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水利工程建设</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1486.83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1486.83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2130306</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水利工程运行与维护</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2130308</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水利前期工作</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2130314</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防汛</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2130319</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江河湖库水系综合整治</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1315.17</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2130321</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大中型水库移民后期扶持专项支出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116.00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21399</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其他农林水支出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223.00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w:t>
            </w:r>
          </w:p>
        </w:tc>
        <w:tc>
          <w:tcPr>
            <w:tcW w:w="1191"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2139999</w:t>
            </w:r>
          </w:p>
        </w:tc>
        <w:tc>
          <w:tcPr>
            <w:tcW w:w="4535"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其他农林水支出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223.00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23</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2551" w:type="dxa"/>
            <w:vAlign w:val="top"/>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598.34</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541.47</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56.87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537.11</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537.11</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254.73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254.73</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40.12</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40.12</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30103</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奖金</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3.09</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3.09</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106.63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106.63</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66.47</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66.47</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30109</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职业年金缴费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26.73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26.73</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26.58</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8.13</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56.87</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15.16</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30207</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邮电费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0.36</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30208</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取暖费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16</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7.80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30217</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9.50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30231</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10.00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30239</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其他交通费用</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4.80</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30299</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0.44</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23</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4.36</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4.36</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30305</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生活补助</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2"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p>
        </w:tc>
        <w:tc>
          <w:tcPr>
            <w:tcW w:w="4535" w:type="dxa"/>
            <w:vAlign w:val="top"/>
          </w:tcPr>
          <w:p>
            <w:pPr>
              <w:pStyle w:val="18"/>
              <w:rPr>
                <w:rFonts w:hint="eastAsia"/>
                <w:lang w:val="en-US" w:eastAsia="zh-CN"/>
              </w:rPr>
            </w:pPr>
            <w:r>
              <w:rPr>
                <w:rFonts w:hint="default"/>
                <w:lang w:val="en-US" w:eastAsia="zh-CN"/>
              </w:rPr>
              <w:t>合计</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197.84</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b/>
                <w:bCs/>
                <w:sz w:val="21"/>
                <w:szCs w:val="24"/>
                <w:lang w:val="en-US" w:eastAsia="zh-CN" w:bidi="ar-SA"/>
              </w:rPr>
            </w:pP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197.84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197.84</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20822</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大中型水库移民后期扶持基金支出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2082201</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移民补助</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1191"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20823</w:t>
            </w:r>
          </w:p>
        </w:tc>
        <w:tc>
          <w:tcPr>
            <w:tcW w:w="4535"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小型水库移民扶助基金安排的支出</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bookmarkStart w:id="6" w:name="_Toc_2_2_0000000008"/>
            <w:r>
              <w:rPr>
                <w:rFonts w:hint="eastAsia" w:ascii="方正书宋_GBK" w:hAnsi="方正书宋_GBK" w:eastAsia="方正书宋_GBK" w:cs="方正书宋_GBK"/>
                <w:sz w:val="21"/>
                <w:szCs w:val="24"/>
                <w:lang w:val="en-US" w:eastAsia="zh-CN" w:bidi="ar-SA"/>
              </w:rPr>
              <w:t>6</w:t>
            </w:r>
          </w:p>
        </w:tc>
        <w:tc>
          <w:tcPr>
            <w:tcW w:w="1191"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2082302</w:t>
            </w:r>
          </w:p>
        </w:tc>
        <w:tc>
          <w:tcPr>
            <w:tcW w:w="4535" w:type="dxa"/>
            <w:vAlign w:val="center"/>
          </w:tcPr>
          <w:p>
            <w:pPr>
              <w:keepNext w:val="0"/>
              <w:keepLines w:val="0"/>
              <w:widowControl/>
              <w:suppressLineNumbers w:val="0"/>
              <w:jc w:val="lef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基础设施建设和经济发展</w:t>
            </w: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2551"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szCs w:val="24"/>
                <w:lang w:val="en-US" w:eastAsia="zh-CN" w:bidi="ar-SA"/>
              </w:rPr>
            </w:pPr>
          </w:p>
        </w:tc>
        <w:tc>
          <w:tcPr>
            <w:tcW w:w="2551"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16.40</w:t>
            </w:r>
          </w:p>
        </w:tc>
        <w:tc>
          <w:tcPr>
            <w:tcW w:w="2381" w:type="dxa"/>
            <w:vAlign w:val="center"/>
          </w:tcPr>
          <w:p>
            <w:pPr>
              <w:pStyle w:val="19"/>
              <w:rPr>
                <w:rFonts w:hint="default" w:eastAsia="方正书宋_GBK"/>
                <w:lang w:val="en-US" w:eastAsia="zh-CN"/>
              </w:rPr>
            </w:pPr>
            <w:r>
              <w:rPr>
                <w:rFonts w:hint="eastAsia"/>
                <w:lang w:val="en-US" w:eastAsia="zh-CN"/>
              </w:rPr>
              <w:t>16.40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16.40</w:t>
            </w:r>
          </w:p>
        </w:tc>
        <w:tc>
          <w:tcPr>
            <w:tcW w:w="238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16.40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eastAsia="方正书宋_GBK"/>
                <w:lang w:val="en-US" w:eastAsia="zh-CN"/>
              </w:rPr>
            </w:pPr>
            <w:r>
              <w:rPr>
                <w:rFonts w:hint="eastAsia"/>
                <w:lang w:val="en-US" w:eastAsia="zh-CN"/>
              </w:rPr>
              <w:t>14.40</w:t>
            </w:r>
          </w:p>
        </w:tc>
        <w:tc>
          <w:tcPr>
            <w:tcW w:w="2381" w:type="dxa"/>
            <w:vAlign w:val="center"/>
          </w:tcPr>
          <w:p>
            <w:pPr>
              <w:pStyle w:val="15"/>
              <w:rPr>
                <w:rFonts w:hint="default" w:eastAsia="方正书宋_GBK"/>
                <w:lang w:val="en-US" w:eastAsia="zh-CN"/>
              </w:rPr>
            </w:pPr>
            <w:r>
              <w:rPr>
                <w:rFonts w:hint="eastAsia"/>
                <w:lang w:val="en-US"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rPr>
                <w:rFonts w:ascii="方正书宋_GBK" w:hAnsi="方正书宋_GBK" w:eastAsia="方正书宋_GBK" w:cs="方正书宋_GBK"/>
                <w:color w:val="0000FF"/>
                <w:sz w:val="21"/>
                <w:szCs w:val="24"/>
                <w:lang w:val="en-US" w:eastAsia="uk-UA" w:bidi="ar-SA"/>
              </w:rPr>
            </w:pPr>
          </w:p>
        </w:tc>
        <w:tc>
          <w:tcPr>
            <w:tcW w:w="2381" w:type="dxa"/>
            <w:vAlign w:val="center"/>
          </w:tcPr>
          <w:p>
            <w:pPr>
              <w:pStyle w:val="15"/>
              <w:rPr>
                <w:rFonts w:ascii="方正书宋_GBK" w:hAnsi="方正书宋_GBK" w:eastAsia="方正书宋_GBK" w:cs="方正书宋_GBK"/>
                <w:color w:val="0000FF"/>
                <w:sz w:val="21"/>
                <w:szCs w:val="24"/>
                <w:lang w:val="en-US" w:eastAsia="uk-UA" w:bidi="ar-SA"/>
              </w:rPr>
            </w:pP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b w:val="0"/>
                <w:bCs w:val="0"/>
                <w:lang w:val="en-US" w:eastAsia="zh-CN"/>
              </w:rPr>
            </w:pPr>
            <w:r>
              <w:rPr>
                <w:rFonts w:hint="eastAsia"/>
                <w:b w:val="0"/>
                <w:bCs w:val="0"/>
                <w:lang w:val="en-US" w:eastAsia="zh-CN"/>
              </w:rPr>
              <w:t>14.40</w:t>
            </w:r>
          </w:p>
        </w:tc>
        <w:tc>
          <w:tcPr>
            <w:tcW w:w="2381" w:type="dxa"/>
            <w:vAlign w:val="center"/>
          </w:tcPr>
          <w:p>
            <w:pPr>
              <w:pStyle w:val="15"/>
              <w:rPr>
                <w:rFonts w:hint="default"/>
                <w:b w:val="0"/>
                <w:bCs w:val="0"/>
                <w:lang w:val="en-US" w:eastAsia="zh-CN"/>
              </w:rPr>
            </w:pPr>
            <w:r>
              <w:rPr>
                <w:rFonts w:hint="eastAsia"/>
                <w:b w:val="0"/>
                <w:bCs w:val="0"/>
                <w:lang w:val="en-US" w:eastAsia="zh-CN"/>
              </w:rPr>
              <w:t>14.40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b w:val="0"/>
                <w:bCs w:val="0"/>
                <w:lang w:val="en-US" w:eastAsia="zh-CN"/>
              </w:rPr>
            </w:pPr>
            <w:r>
              <w:rPr>
                <w:rFonts w:hint="eastAsia"/>
                <w:b w:val="0"/>
                <w:bCs w:val="0"/>
                <w:lang w:val="en-US" w:eastAsia="zh-CN"/>
              </w:rPr>
              <w:t>2.00</w:t>
            </w:r>
          </w:p>
        </w:tc>
        <w:tc>
          <w:tcPr>
            <w:tcW w:w="2381" w:type="dxa"/>
            <w:vAlign w:val="center"/>
          </w:tcPr>
          <w:p>
            <w:pPr>
              <w:pStyle w:val="15"/>
              <w:rPr>
                <w:rFonts w:hint="default"/>
                <w:b w:val="0"/>
                <w:bCs w:val="0"/>
                <w:lang w:val="en-US" w:eastAsia="zh-CN"/>
              </w:rPr>
            </w:pPr>
            <w:r>
              <w:rPr>
                <w:rFonts w:hint="eastAsia"/>
                <w:b w:val="0"/>
                <w:bCs w:val="0"/>
                <w:lang w:val="en-US" w:eastAsia="zh-CN"/>
              </w:rPr>
              <w:t>2.00</w:t>
            </w:r>
          </w:p>
        </w:tc>
        <w:tc>
          <w:tcPr>
            <w:tcW w:w="2381" w:type="dxa"/>
            <w:vAlign w:val="center"/>
          </w:tcPr>
          <w:p>
            <w:pPr>
              <w:pStyle w:val="15"/>
              <w:rPr>
                <w:color w:val="0000FF"/>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rPr>
                <w:rFonts w:hint="default"/>
                <w:b w:val="0"/>
                <w:bCs w:val="0"/>
                <w:lang w:val="en-US" w:eastAsia="uk-UA"/>
              </w:rPr>
            </w:pPr>
          </w:p>
        </w:tc>
        <w:tc>
          <w:tcPr>
            <w:tcW w:w="2381" w:type="dxa"/>
            <w:vAlign w:val="center"/>
          </w:tcPr>
          <w:p>
            <w:pPr>
              <w:pStyle w:val="15"/>
              <w:rPr>
                <w:rFonts w:hint="default"/>
                <w:b w:val="0"/>
                <w:bCs w:val="0"/>
                <w:lang w:val="en-US" w:eastAsia="uk-UA"/>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rPr>
                <w:rFonts w:ascii="方正书宋_GBK" w:hAnsi="方正书宋_GBK" w:eastAsia="方正书宋_GBK" w:cs="方正书宋_GBK"/>
                <w:sz w:val="21"/>
                <w:szCs w:val="24"/>
                <w:lang w:val="en-US" w:eastAsia="uk-UA" w:bidi="ar-SA"/>
              </w:rPr>
            </w:pPr>
          </w:p>
        </w:tc>
        <w:tc>
          <w:tcPr>
            <w:tcW w:w="2381" w:type="dxa"/>
            <w:vAlign w:val="center"/>
          </w:tcPr>
          <w:p>
            <w:pPr>
              <w:pStyle w:val="15"/>
              <w:rPr>
                <w:rFonts w:ascii="方正书宋_GBK" w:hAnsi="方正书宋_GBK" w:eastAsia="方正书宋_GBK" w:cs="方正书宋_GBK"/>
                <w:sz w:val="21"/>
                <w:szCs w:val="24"/>
                <w:lang w:val="en-US" w:eastAsia="uk-UA" w:bidi="ar-SA"/>
              </w:rPr>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val="en-US" w:eastAsia="zh-CN"/>
        </w:rPr>
        <w:t>涞水县水利</w:t>
      </w:r>
      <w:r>
        <w:rPr>
          <w:rFonts w:ascii="方正小标宋_GBK" w:hAnsi="方正小标宋_GBK" w:eastAsia="方正小标宋_GBK" w:cs="方正小标宋_GBK"/>
          <w:color w:val="000000"/>
          <w:sz w:val="44"/>
        </w:rPr>
        <w:t>局20</w:t>
      </w:r>
      <w:r>
        <w:rPr>
          <w:rFonts w:hint="eastAsia" w:ascii="方正小标宋_GBK" w:hAnsi="方正小标宋_GBK" w:eastAsia="方正小标宋_GBK" w:cs="方正小标宋_GBK"/>
          <w:color w:val="000000"/>
          <w:sz w:val="44"/>
          <w:lang w:val="en-US" w:eastAsia="zh-CN"/>
        </w:rPr>
        <w:t>21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17" w:name="_GoBack"/>
      <w:bookmarkEnd w:id="17"/>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涞水县水利</w:t>
      </w:r>
      <w:r>
        <w:rPr>
          <w:rFonts w:eastAsia="方正仿宋_GBK"/>
          <w:color w:val="000000"/>
          <w:sz w:val="28"/>
        </w:rPr>
        <w:t>局202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涞水县水利局</w:t>
      </w:r>
      <w:r>
        <w:t>部门职责</w:t>
      </w:r>
    </w:p>
    <w:p>
      <w:pPr>
        <w:pStyle w:val="21"/>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拟定全县水利工作的有关政策、发展战略和中长期规划；负责《水法》、《防洪法》、《水土保持法》法律法规的宣传贯彻、组织实施和水行政复议。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1"/>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1"/>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left"/>
              <w:rPr>
                <w:rFonts w:hint="eastAsia" w:eastAsia="方正书宋_GBK"/>
                <w:lang w:eastAsia="zh-CN"/>
              </w:rPr>
            </w:pPr>
            <w:r>
              <w:rPr>
                <w:rFonts w:hint="eastAsia"/>
                <w:lang w:val="en-US" w:eastAsia="zh-CN"/>
              </w:rPr>
              <w:t>涞水县水利</w:t>
            </w:r>
            <w:r>
              <w:t>局</w:t>
            </w:r>
            <w:r>
              <w:rPr>
                <w:rFonts w:hint="eastAsia"/>
                <w:lang w:eastAsia="zh-CN"/>
              </w:rPr>
              <w:t>（</w:t>
            </w:r>
            <w:r>
              <w:rPr>
                <w:rFonts w:hint="eastAsia"/>
                <w:lang w:val="en-US" w:eastAsia="zh-CN"/>
              </w:rPr>
              <w:t>本级</w:t>
            </w:r>
            <w:r>
              <w:rPr>
                <w:rFonts w:hint="eastAsia"/>
                <w:lang w:eastAsia="zh-CN"/>
              </w:rPr>
              <w:t>）</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jc w:val="left"/>
              <w:rPr>
                <w:rFonts w:hint="default"/>
                <w:lang w:val="en-US" w:eastAsia="zh-CN"/>
              </w:rPr>
            </w:pPr>
            <w:bookmarkStart w:id="9" w:name="_Toc_3_3_0000000011"/>
            <w:r>
              <w:rPr>
                <w:rFonts w:hint="eastAsia"/>
                <w:lang w:val="en-US" w:eastAsia="zh-CN"/>
              </w:rPr>
              <w:t>涞水县水利局事业</w:t>
            </w:r>
          </w:p>
        </w:tc>
        <w:tc>
          <w:tcPr>
            <w:tcW w:w="1843" w:type="dxa"/>
            <w:vAlign w:val="center"/>
          </w:tcPr>
          <w:p>
            <w:pPr>
              <w:pStyle w:val="17"/>
              <w:rPr>
                <w:rFonts w:hint="default" w:eastAsia="方正书宋_GBK"/>
                <w:lang w:val="en-US" w:eastAsia="zh-CN"/>
              </w:rPr>
            </w:pPr>
            <w:r>
              <w:rPr>
                <w:rFonts w:hint="eastAsia"/>
                <w:lang w:val="en-US" w:eastAsia="zh-CN"/>
              </w:rPr>
              <w:t>事业</w:t>
            </w:r>
          </w:p>
        </w:tc>
        <w:tc>
          <w:tcPr>
            <w:tcW w:w="2126" w:type="dxa"/>
            <w:vAlign w:val="center"/>
          </w:tcPr>
          <w:p>
            <w:pPr>
              <w:pStyle w:val="17"/>
              <w:rPr>
                <w:rFonts w:hint="eastAsia" w:eastAsia="方正书宋_GBK"/>
                <w:lang w:val="en-US" w:eastAsia="zh-CN"/>
              </w:rPr>
            </w:pPr>
            <w:r>
              <w:rPr>
                <w:rFonts w:hint="eastAsia"/>
                <w:lang w:val="en-US" w:eastAsia="zh-CN"/>
              </w:rPr>
              <w:t>股级</w:t>
            </w:r>
          </w:p>
        </w:tc>
        <w:tc>
          <w:tcPr>
            <w:tcW w:w="3827" w:type="dxa"/>
            <w:vAlign w:val="center"/>
          </w:tcPr>
          <w:p>
            <w:pPr>
              <w:pStyle w:val="17"/>
              <w:rPr>
                <w:rFonts w:hint="default" w:eastAsia="方正书宋_GBK"/>
                <w:lang w:val="en-US" w:eastAsia="zh-CN"/>
              </w:rPr>
            </w:pPr>
            <w:r>
              <w:rPr>
                <w:rFonts w:hint="eastAsia"/>
                <w:lang w:val="en-US" w:eastAsia="zh-CN"/>
              </w:rPr>
              <w:t>财政性资金基本保证</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年预算收入总额</w:t>
      </w:r>
      <w:r>
        <w:rPr>
          <w:rFonts w:hint="eastAsia" w:eastAsia="方正仿宋_GBK" w:cs="Times New Roman"/>
          <w:sz w:val="28"/>
          <w:szCs w:val="24"/>
          <w:lang w:val="en-US" w:eastAsia="zh-CN" w:bidi="ar-SA"/>
        </w:rPr>
        <w:t>4115.38</w:t>
      </w:r>
      <w:r>
        <w:rPr>
          <w:rFonts w:hint="eastAsia" w:ascii="Times New Roman" w:hAnsi="Times New Roman" w:eastAsia="方正仿宋_GBK" w:cs="Times New Roman"/>
          <w:sz w:val="28"/>
          <w:szCs w:val="24"/>
          <w:lang w:val="en-US" w:eastAsia="zh-CN" w:bidi="ar-SA"/>
        </w:rPr>
        <w:t>万元。均为财政拨款收入。202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年度预算收入</w:t>
      </w:r>
      <w:r>
        <w:rPr>
          <w:rFonts w:hint="eastAsia" w:eastAsia="方正仿宋_GBK" w:cs="Times New Roman"/>
          <w:sz w:val="28"/>
          <w:szCs w:val="24"/>
          <w:lang w:val="en-US" w:eastAsia="zh-CN" w:bidi="ar-SA"/>
        </w:rPr>
        <w:t>4115.38</w:t>
      </w:r>
      <w:r>
        <w:rPr>
          <w:rFonts w:hint="eastAsia" w:ascii="Times New Roman" w:hAnsi="Times New Roman" w:eastAsia="方正仿宋_GBK" w:cs="Times New Roman"/>
          <w:sz w:val="28"/>
          <w:szCs w:val="24"/>
          <w:lang w:val="en-US" w:eastAsia="zh-CN" w:bidi="ar-SA"/>
        </w:rPr>
        <w:t>万元中：一般公共预算拨款</w:t>
      </w:r>
      <w:r>
        <w:rPr>
          <w:rFonts w:hint="eastAsia" w:eastAsia="方正仿宋_GBK" w:cs="Times New Roman"/>
          <w:sz w:val="28"/>
          <w:szCs w:val="24"/>
          <w:lang w:val="en-US" w:eastAsia="zh-CN" w:bidi="ar-SA"/>
        </w:rPr>
        <w:t>3917.54</w:t>
      </w:r>
      <w:r>
        <w:rPr>
          <w:rFonts w:hint="eastAsia" w:ascii="Times New Roman" w:hAnsi="Times New Roman" w:eastAsia="方正仿宋_GBK" w:cs="Times New Roman"/>
          <w:sz w:val="28"/>
          <w:szCs w:val="24"/>
          <w:lang w:val="en-US" w:eastAsia="zh-CN" w:bidi="ar-SA"/>
        </w:rPr>
        <w:t>万元，政府性基金预算拨款</w:t>
      </w:r>
      <w:r>
        <w:rPr>
          <w:rFonts w:hint="eastAsia" w:eastAsia="方正仿宋_GBK" w:cs="Times New Roman"/>
          <w:sz w:val="28"/>
          <w:szCs w:val="24"/>
          <w:lang w:val="en-US" w:eastAsia="zh-CN" w:bidi="ar-SA"/>
        </w:rPr>
        <w:t>197.84</w:t>
      </w:r>
      <w:r>
        <w:rPr>
          <w:rFonts w:hint="eastAsia" w:ascii="Times New Roman" w:hAnsi="Times New Roman" w:eastAsia="方正仿宋_GBK" w:cs="Times New Roman"/>
          <w:sz w:val="28"/>
          <w:szCs w:val="24"/>
          <w:lang w:val="en-US" w:eastAsia="zh-CN" w:bidi="ar-SA"/>
        </w:rPr>
        <w:t>万元，国有资本经营预算拨款0万元，上级补助收入0万元，事业收入0万元，经营收入0万元，附属单位上缴收入0万元，其他收入0万元。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年预算支出总额</w:t>
      </w:r>
      <w:r>
        <w:rPr>
          <w:rFonts w:hint="eastAsia" w:eastAsia="方正仿宋_GBK" w:cs="Times New Roman"/>
          <w:sz w:val="28"/>
          <w:szCs w:val="24"/>
          <w:lang w:val="en-US" w:eastAsia="zh-CN" w:bidi="ar-SA"/>
        </w:rPr>
        <w:t>4115.38</w:t>
      </w:r>
      <w:r>
        <w:rPr>
          <w:rFonts w:hint="eastAsia" w:ascii="Times New Roman" w:hAnsi="Times New Roman" w:eastAsia="方正仿宋_GBK" w:cs="Times New Roman"/>
          <w:sz w:val="28"/>
          <w:szCs w:val="24"/>
          <w:lang w:val="en-US" w:eastAsia="zh-CN" w:bidi="ar-SA"/>
        </w:rPr>
        <w:t>万元，其中：基本支出</w:t>
      </w:r>
      <w:r>
        <w:rPr>
          <w:rFonts w:hint="eastAsia" w:eastAsia="方正仿宋_GBK" w:cs="Times New Roman"/>
          <w:sz w:val="28"/>
          <w:szCs w:val="24"/>
          <w:lang w:val="en-US" w:eastAsia="zh-CN" w:bidi="ar-SA"/>
        </w:rPr>
        <w:t>598.34</w:t>
      </w:r>
      <w:r>
        <w:rPr>
          <w:rFonts w:hint="eastAsia" w:ascii="Times New Roman" w:hAnsi="Times New Roman" w:eastAsia="方正仿宋_GBK" w:cs="Times New Roman"/>
          <w:sz w:val="28"/>
          <w:szCs w:val="24"/>
          <w:lang w:val="en-US" w:eastAsia="zh-CN" w:bidi="ar-SA"/>
        </w:rPr>
        <w:t>万元（人员经费：</w:t>
      </w:r>
      <w:r>
        <w:rPr>
          <w:rFonts w:hint="eastAsia" w:eastAsia="方正仿宋_GBK" w:cs="Times New Roman"/>
          <w:sz w:val="28"/>
          <w:szCs w:val="24"/>
          <w:lang w:val="en-US" w:eastAsia="zh-CN" w:bidi="ar-SA"/>
        </w:rPr>
        <w:t>541.47</w:t>
      </w:r>
      <w:r>
        <w:rPr>
          <w:rFonts w:hint="eastAsia" w:ascii="Times New Roman" w:hAnsi="Times New Roman" w:eastAsia="方正仿宋_GBK" w:cs="Times New Roman"/>
          <w:sz w:val="28"/>
          <w:szCs w:val="24"/>
          <w:lang w:val="en-US" w:eastAsia="zh-CN" w:bidi="ar-SA"/>
        </w:rPr>
        <w:t>万元，日常公用经费：</w:t>
      </w:r>
      <w:r>
        <w:rPr>
          <w:rFonts w:hint="eastAsia" w:eastAsia="方正仿宋_GBK" w:cs="Times New Roman"/>
          <w:sz w:val="28"/>
          <w:szCs w:val="24"/>
          <w:lang w:val="en-US" w:eastAsia="zh-CN" w:bidi="ar-SA"/>
        </w:rPr>
        <w:t>56.87</w:t>
      </w:r>
      <w:r>
        <w:rPr>
          <w:rFonts w:hint="eastAsia" w:ascii="Times New Roman" w:hAnsi="Times New Roman" w:eastAsia="方正仿宋_GBK" w:cs="Times New Roman"/>
          <w:sz w:val="28"/>
          <w:szCs w:val="24"/>
          <w:lang w:val="en-US" w:eastAsia="zh-CN" w:bidi="ar-SA"/>
        </w:rPr>
        <w:t>万元），项目支出</w:t>
      </w:r>
      <w:r>
        <w:rPr>
          <w:rFonts w:hint="eastAsia" w:eastAsia="方正仿宋_GBK" w:cs="Times New Roman"/>
          <w:sz w:val="28"/>
          <w:szCs w:val="24"/>
          <w:lang w:val="en-US" w:eastAsia="zh-CN" w:bidi="ar-SA"/>
        </w:rPr>
        <w:t>3517.04</w:t>
      </w:r>
      <w:r>
        <w:rPr>
          <w:rFonts w:hint="eastAsia" w:ascii="Times New Roman" w:hAnsi="Times New Roman" w:eastAsia="方正仿宋_GBK" w:cs="Times New Roman"/>
          <w:sz w:val="28"/>
          <w:szCs w:val="24"/>
          <w:lang w:val="en-US" w:eastAsia="zh-CN" w:bidi="ar-SA"/>
        </w:rPr>
        <w:t>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hint="eastAsia" w:ascii="Times New Roman" w:hAnsi="Times New Roman" w:eastAsia="方正仿宋_GBK" w:cs="Times New Roman"/>
          <w:sz w:val="28"/>
          <w:szCs w:val="24"/>
          <w:highlight w:val="green"/>
          <w:lang w:val="en-US" w:eastAsia="zh-CN" w:bidi="ar-SA"/>
        </w:rPr>
      </w:pPr>
      <w:bookmarkStart w:id="10" w:name="_Toc_3_3_0000000012"/>
      <w:r>
        <w:rPr>
          <w:rFonts w:hint="eastAsia" w:ascii="Times New Roman" w:hAnsi="Times New Roman" w:eastAsia="方正仿宋_GBK" w:cs="Times New Roman"/>
          <w:sz w:val="28"/>
          <w:szCs w:val="24"/>
          <w:highlight w:val="none"/>
          <w:lang w:val="en-US" w:eastAsia="zh-CN" w:bidi="ar-SA"/>
        </w:rPr>
        <w:t>本年度预算收支安排</w:t>
      </w:r>
      <w:r>
        <w:rPr>
          <w:rFonts w:hint="eastAsia" w:eastAsia="方正仿宋_GBK" w:cs="Times New Roman"/>
          <w:sz w:val="28"/>
          <w:szCs w:val="24"/>
          <w:highlight w:val="none"/>
          <w:lang w:val="en-US" w:eastAsia="zh-CN" w:bidi="ar-SA"/>
        </w:rPr>
        <w:t>4115.38</w:t>
      </w:r>
      <w:r>
        <w:rPr>
          <w:rFonts w:hint="eastAsia" w:ascii="Times New Roman" w:hAnsi="Times New Roman" w:eastAsia="方正仿宋_GBK" w:cs="Times New Roman"/>
          <w:sz w:val="28"/>
          <w:szCs w:val="24"/>
          <w:highlight w:val="none"/>
          <w:lang w:val="en-US" w:eastAsia="zh-CN" w:bidi="ar-SA"/>
        </w:rPr>
        <w:t>万元，较上年2298.82万元增加</w:t>
      </w:r>
      <w:r>
        <w:rPr>
          <w:rFonts w:hint="eastAsia" w:eastAsia="方正仿宋_GBK" w:cs="Times New Roman"/>
          <w:sz w:val="28"/>
          <w:szCs w:val="24"/>
          <w:highlight w:val="none"/>
          <w:lang w:val="en-US" w:eastAsia="zh-CN" w:bidi="ar-SA"/>
        </w:rPr>
        <w:t>1816.56</w:t>
      </w:r>
      <w:r>
        <w:rPr>
          <w:rFonts w:hint="eastAsia" w:ascii="Times New Roman" w:hAnsi="Times New Roman" w:eastAsia="方正仿宋_GBK" w:cs="Times New Roman"/>
          <w:sz w:val="28"/>
          <w:szCs w:val="24"/>
          <w:highlight w:val="none"/>
          <w:lang w:val="en-US" w:eastAsia="zh-CN" w:bidi="ar-SA"/>
        </w:rPr>
        <w:t>万元。其中:项目支出增加</w:t>
      </w:r>
      <w:r>
        <w:rPr>
          <w:rFonts w:hint="eastAsia" w:eastAsia="方正仿宋_GBK" w:cs="Times New Roman"/>
          <w:sz w:val="28"/>
          <w:szCs w:val="24"/>
          <w:highlight w:val="none"/>
          <w:lang w:val="en-US" w:eastAsia="zh-CN" w:bidi="ar-SA"/>
        </w:rPr>
        <w:t>1816.56</w:t>
      </w:r>
      <w:r>
        <w:rPr>
          <w:rFonts w:hint="eastAsia" w:ascii="Times New Roman" w:hAnsi="Times New Roman" w:eastAsia="方正仿宋_GBK" w:cs="Times New Roman"/>
          <w:sz w:val="28"/>
          <w:szCs w:val="24"/>
          <w:highlight w:val="none"/>
          <w:lang w:val="en-US" w:eastAsia="zh-CN" w:bidi="ar-SA"/>
        </w:rPr>
        <w:t>万元，主要由于县级财力安排的河道清理增加和上级下达水利项目（农村水源置换）经费增加。</w:t>
      </w: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涞水县水利</w:t>
      </w:r>
      <w:r>
        <w:rPr>
          <w:rFonts w:hint="eastAsia" w:eastAsia="方正仿宋_GBK"/>
          <w:color w:val="000000"/>
          <w:sz w:val="28"/>
        </w:rPr>
        <w:t>局部门预算安排机关运行经费支出</w:t>
      </w:r>
      <w:r>
        <w:rPr>
          <w:rFonts w:hint="eastAsia" w:eastAsia="方正仿宋_GBK"/>
          <w:color w:val="000000"/>
          <w:sz w:val="28"/>
          <w:lang w:val="en-US" w:eastAsia="zh-CN"/>
        </w:rPr>
        <w:t>56.87</w:t>
      </w:r>
      <w:r>
        <w:rPr>
          <w:rFonts w:hint="eastAsia" w:eastAsia="方正仿宋_GBK"/>
          <w:color w:val="000000"/>
          <w:sz w:val="28"/>
        </w:rPr>
        <w:t>万元，其中包括</w:t>
      </w:r>
      <w:r>
        <w:rPr>
          <w:rFonts w:hint="eastAsia" w:ascii="Times New Roman" w:hAnsi="Times New Roman" w:eastAsia="方正仿宋_GBK" w:cs="Times New Roman"/>
          <w:color w:val="000000"/>
          <w:sz w:val="28"/>
        </w:rPr>
        <w:t>办公费</w:t>
      </w:r>
      <w:r>
        <w:rPr>
          <w:rFonts w:hint="eastAsia" w:eastAsia="方正仿宋_GBK" w:cs="Times New Roman"/>
          <w:color w:val="000000"/>
          <w:sz w:val="28"/>
          <w:lang w:val="en-US" w:eastAsia="zh-CN"/>
        </w:rPr>
        <w:t>15.16</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邮电费0.36万元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取暖费2.08万元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差旅费</w:t>
      </w:r>
      <w:r>
        <w:rPr>
          <w:rFonts w:hint="eastAsia" w:eastAsia="方正仿宋_GBK" w:cs="Times New Roman"/>
          <w:color w:val="000000"/>
          <w:sz w:val="28"/>
          <w:lang w:val="en-US" w:eastAsia="zh-CN"/>
        </w:rPr>
        <w:t>7.80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公务接待费2</w:t>
      </w:r>
      <w:r>
        <w:rPr>
          <w:rFonts w:hint="eastAsia" w:eastAsia="方正仿宋_GBK" w:cs="Times New Roman"/>
          <w:color w:val="000000"/>
          <w:sz w:val="28"/>
          <w:lang w:val="en-US" w:eastAsia="zh-CN"/>
        </w:rPr>
        <w:t>.00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公务用车运行维护费</w:t>
      </w:r>
      <w:r>
        <w:rPr>
          <w:rFonts w:hint="eastAsia" w:ascii="Times New Roman" w:hAnsi="Times New Roman" w:eastAsia="方正仿宋_GBK" w:cs="Times New Roman"/>
          <w:color w:val="000000"/>
          <w:sz w:val="28"/>
          <w:lang w:val="en-US" w:eastAsia="zh-CN"/>
        </w:rPr>
        <w:t>10.00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公务交通补贴</w:t>
      </w:r>
      <w:r>
        <w:rPr>
          <w:rFonts w:hint="eastAsia" w:eastAsia="方正仿宋_GBK" w:cs="Times New Roman"/>
          <w:color w:val="000000"/>
          <w:sz w:val="28"/>
          <w:lang w:val="en-US" w:eastAsia="zh-CN"/>
        </w:rPr>
        <w:t>4.80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工会经费</w:t>
      </w:r>
      <w:r>
        <w:rPr>
          <w:rFonts w:hint="eastAsia" w:eastAsia="方正仿宋_GBK" w:cs="Times New Roman"/>
          <w:color w:val="000000"/>
          <w:sz w:val="28"/>
          <w:lang w:val="en-US" w:eastAsia="zh-CN"/>
        </w:rPr>
        <w:t>4.73</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职工福利费</w:t>
      </w:r>
      <w:r>
        <w:rPr>
          <w:rFonts w:hint="eastAsia" w:eastAsia="方正仿宋_GBK" w:cs="Times New Roman"/>
          <w:color w:val="000000"/>
          <w:sz w:val="28"/>
          <w:lang w:val="en-US" w:eastAsia="zh-CN"/>
        </w:rPr>
        <w:t>9.50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其他商品和服务支出</w:t>
      </w:r>
      <w:r>
        <w:rPr>
          <w:rFonts w:hint="eastAsia" w:eastAsia="方正仿宋_GBK" w:cs="Times New Roman"/>
          <w:color w:val="000000"/>
          <w:sz w:val="28"/>
          <w:lang w:val="en-US" w:eastAsia="zh-CN"/>
        </w:rPr>
        <w:t>0.44</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000000"/>
          <w:sz w:val="28"/>
        </w:rPr>
        <w:t>。</w:t>
      </w:r>
    </w:p>
    <w:p>
      <w:pPr>
        <w:spacing w:before="10" w:after="10" w:line="360" w:lineRule="auto"/>
        <w:ind w:firstLine="640"/>
        <w:outlineLvl w:val="2"/>
        <w:rPr>
          <w:rFonts w:ascii="黑体" w:hAnsi="黑体" w:eastAsia="黑体" w:cs="黑体"/>
          <w:color w:val="000000"/>
          <w:sz w:val="32"/>
        </w:rPr>
      </w:pPr>
      <w:bookmarkStart w:id="11" w:name="_Toc_3_3_0000000013"/>
    </w:p>
    <w:p>
      <w:pPr>
        <w:numPr>
          <w:ilvl w:val="0"/>
          <w:numId w:val="0"/>
        </w:numPr>
        <w:spacing w:before="10" w:after="10" w:line="360" w:lineRule="auto"/>
        <w:ind w:firstLine="640" w:firstLineChars="200"/>
        <w:outlineLvl w:val="2"/>
        <w:rPr>
          <w:rFonts w:hint="eastAsia" w:ascii="Times New Roman" w:hAnsi="Times New Roman" w:eastAsia="方正仿宋_GBK" w:cs="Times New Roman"/>
          <w:color w:val="000000"/>
          <w:sz w:val="28"/>
          <w:lang w:val="en-US" w:eastAsia="zh-CN"/>
        </w:rPr>
      </w:pPr>
      <w:r>
        <w:rPr>
          <w:rFonts w:hint="eastAsia" w:ascii="黑体" w:hAnsi="黑体" w:eastAsia="黑体" w:cs="黑体"/>
          <w:color w:val="000000"/>
          <w:sz w:val="32"/>
          <w:lang w:val="en-US" w:eastAsia="zh-CN"/>
        </w:rPr>
        <w:t>四、</w:t>
      </w:r>
      <w:r>
        <w:rPr>
          <w:rFonts w:ascii="黑体" w:hAnsi="黑体" w:eastAsia="黑体" w:cs="黑体"/>
          <w:color w:val="000000"/>
          <w:sz w:val="32"/>
        </w:rPr>
        <w:t>财政拨款“三公”经费预算情况及增减变化原因</w:t>
      </w:r>
      <w:bookmarkEnd w:id="11"/>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年涞水县水利局部门预算“三公”经费支出16.40万元，其中：公车运行维护费14.40万元，公务接待费2.00万元，预计接待20批次，共计328人，因公出国出境0万元。202</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年我单位预算安排“三公”经费支出16.40万元，其中：公车运行维护费14.40万元，公务接待费2.00万元，因公出国出境0万元。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年我局严格控制“三公”经费支出，严格执行八项规定，公务用车维护费、公务接待费、因公出国出境与202</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部门预算一致。</w:t>
      </w:r>
    </w:p>
    <w:tbl>
      <w:tblPr>
        <w:tblStyle w:val="8"/>
        <w:tblpPr w:leftFromText="180" w:rightFromText="180" w:vertAnchor="text" w:horzAnchor="page" w:tblpX="1547" w:tblpY="508"/>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rPr>
            </w:pPr>
            <w:r>
              <w:rPr>
                <w:rFonts w:hint="eastAsia"/>
              </w:rPr>
              <w:t>项目名称</w:t>
            </w:r>
          </w:p>
        </w:tc>
        <w:tc>
          <w:tcPr>
            <w:tcW w:w="171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202</w:t>
            </w:r>
            <w:r>
              <w:rPr>
                <w:rFonts w:hint="eastAsia"/>
                <w:lang w:val="en-US" w:eastAsia="zh-CN"/>
              </w:rPr>
              <w:t>0</w:t>
            </w:r>
            <w:r>
              <w:rPr>
                <w:rFonts w:hint="eastAsia"/>
              </w:rPr>
              <w:t>年度预算</w:t>
            </w:r>
          </w:p>
        </w:tc>
        <w:tc>
          <w:tcPr>
            <w:tcW w:w="171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202</w:t>
            </w:r>
            <w:r>
              <w:rPr>
                <w:rFonts w:hint="eastAsia"/>
                <w:lang w:val="en-US" w:eastAsia="zh-CN"/>
              </w:rPr>
              <w:t>1</w:t>
            </w:r>
            <w:r>
              <w:rPr>
                <w:rFonts w:hint="eastAsia"/>
              </w:rPr>
              <w:t>年度预算</w:t>
            </w:r>
          </w:p>
        </w:tc>
        <w:tc>
          <w:tcPr>
            <w:tcW w:w="1177"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增减金额</w:t>
            </w:r>
          </w:p>
        </w:tc>
        <w:tc>
          <w:tcPr>
            <w:tcW w:w="3108" w:type="dxa"/>
            <w:tcBorders>
              <w:top w:val="single" w:color="auto" w:sz="4" w:space="0"/>
              <w:left w:val="nil"/>
              <w:bottom w:val="single" w:color="auto" w:sz="4" w:space="0"/>
              <w:right w:val="single" w:color="auto" w:sz="4" w:space="0"/>
            </w:tcBorders>
            <w:vAlign w:val="center"/>
          </w:tcPr>
          <w:p>
            <w:pPr>
              <w:pStyle w:val="16"/>
              <w:jc w:val="center"/>
              <w:rPr>
                <w:rFonts w:hint="eastAsia"/>
              </w:rPr>
            </w:pPr>
            <w:r>
              <w:rPr>
                <w:rFonts w:hint="eastAsia"/>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因公出国经费</w:t>
            </w:r>
          </w:p>
        </w:tc>
        <w:tc>
          <w:tcPr>
            <w:tcW w:w="171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171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117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公务用车购置经费</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117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lang w:eastAsia="zh-CN"/>
              </w:rPr>
            </w:pPr>
            <w:r>
              <w:rPr>
                <w:rFonts w:hint="eastAsia"/>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公务用车运行经费</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14.4</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14.4</w:t>
            </w:r>
          </w:p>
        </w:tc>
        <w:tc>
          <w:tcPr>
            <w:tcW w:w="1177" w:type="dxa"/>
            <w:tcBorders>
              <w:top w:val="nil"/>
              <w:left w:val="nil"/>
              <w:bottom w:val="single" w:color="auto" w:sz="4" w:space="0"/>
              <w:right w:val="single" w:color="auto" w:sz="4" w:space="0"/>
            </w:tcBorders>
            <w:vAlign w:val="center"/>
          </w:tcPr>
          <w:p>
            <w:pPr>
              <w:pStyle w:val="16"/>
              <w:jc w:val="right"/>
              <w:rPr>
                <w:rFonts w:hint="eastAsia"/>
              </w:rPr>
            </w:pPr>
            <w:r>
              <w:rPr>
                <w:rFonts w:hint="eastAsia"/>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pStyle w:val="16"/>
              <w:rPr>
                <w:rFonts w:hint="eastAsia"/>
              </w:rPr>
            </w:pPr>
            <w:r>
              <w:rPr>
                <w:rFonts w:hint="eastAsia"/>
              </w:rPr>
              <w:t>公务接待费支出</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2.00</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2.00</w:t>
            </w:r>
          </w:p>
        </w:tc>
        <w:tc>
          <w:tcPr>
            <w:tcW w:w="117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lang w:eastAsia="zh-CN"/>
              </w:rPr>
            </w:pPr>
            <w:r>
              <w:rPr>
                <w:rFonts w:hint="eastAsia"/>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pStyle w:val="16"/>
              <w:jc w:val="center"/>
              <w:rPr>
                <w:rFonts w:hint="eastAsia"/>
              </w:rPr>
            </w:pPr>
            <w:r>
              <w:rPr>
                <w:rFonts w:hint="eastAsia"/>
              </w:rPr>
              <w:t>合计</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16.4</w:t>
            </w:r>
          </w:p>
        </w:tc>
        <w:tc>
          <w:tcPr>
            <w:tcW w:w="1717" w:type="dxa"/>
            <w:tcBorders>
              <w:top w:val="nil"/>
              <w:left w:val="nil"/>
              <w:bottom w:val="single" w:color="auto" w:sz="4" w:space="0"/>
              <w:right w:val="single" w:color="auto" w:sz="4" w:space="0"/>
            </w:tcBorders>
            <w:vAlign w:val="center"/>
          </w:tcPr>
          <w:p>
            <w:pPr>
              <w:pStyle w:val="16"/>
              <w:jc w:val="right"/>
              <w:rPr>
                <w:rFonts w:hint="eastAsia"/>
                <w:lang w:val="en-US" w:eastAsia="zh-CN"/>
              </w:rPr>
            </w:pPr>
            <w:r>
              <w:rPr>
                <w:rFonts w:hint="eastAsia"/>
                <w:lang w:val="en-US" w:eastAsia="zh-CN"/>
              </w:rPr>
              <w:t>16.4</w:t>
            </w:r>
          </w:p>
        </w:tc>
        <w:tc>
          <w:tcPr>
            <w:tcW w:w="1177" w:type="dxa"/>
            <w:tcBorders>
              <w:top w:val="nil"/>
              <w:left w:val="nil"/>
              <w:bottom w:val="single" w:color="auto" w:sz="4" w:space="0"/>
              <w:right w:val="single" w:color="auto" w:sz="4" w:space="0"/>
            </w:tcBorders>
            <w:vAlign w:val="center"/>
          </w:tcPr>
          <w:p>
            <w:pPr>
              <w:pStyle w:val="16"/>
              <w:jc w:val="right"/>
              <w:rPr>
                <w:rFonts w:hint="eastAsia"/>
                <w:lang w:eastAsia="zh-CN"/>
              </w:rPr>
            </w:pPr>
            <w:r>
              <w:rPr>
                <w:rFonts w:hint="eastAsia"/>
                <w:lang w:val="en-US" w:eastAsia="zh-CN"/>
              </w:rPr>
              <w:t>0</w:t>
            </w:r>
          </w:p>
        </w:tc>
        <w:tc>
          <w:tcPr>
            <w:tcW w:w="3108" w:type="dxa"/>
            <w:tcBorders>
              <w:top w:val="nil"/>
              <w:left w:val="nil"/>
              <w:bottom w:val="single" w:color="auto" w:sz="4" w:space="0"/>
              <w:right w:val="single" w:color="auto" w:sz="4" w:space="0"/>
            </w:tcBorders>
            <w:vAlign w:val="center"/>
          </w:tcPr>
          <w:p>
            <w:pPr>
              <w:pStyle w:val="16"/>
              <w:rPr>
                <w:rFonts w:hint="eastAsia"/>
              </w:rPr>
            </w:pPr>
            <w:r>
              <w:rPr>
                <w:rFonts w:hint="eastAsia"/>
              </w:rPr>
              <w:t>无增减变化</w:t>
            </w:r>
          </w:p>
        </w:tc>
      </w:tr>
    </w:tbl>
    <w:p>
      <w:pPr>
        <w:numPr>
          <w:ilvl w:val="0"/>
          <w:numId w:val="0"/>
        </w:numPr>
        <w:spacing w:before="10" w:after="10" w:line="360" w:lineRule="auto"/>
        <w:outlineLvl w:val="2"/>
        <w:rPr>
          <w:rFonts w:ascii="黑体" w:hAnsi="黑体" w:eastAsia="黑体" w:cs="黑体"/>
          <w:color w:val="000000"/>
          <w:sz w:val="32"/>
        </w:rPr>
      </w:pPr>
    </w:p>
    <w:p>
      <w:pPr>
        <w:pStyle w:val="24"/>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202</w:t>
      </w:r>
      <w:r>
        <w:rPr>
          <w:rFonts w:hint="eastAsia" w:cs="Times New Roman"/>
          <w:lang w:val="en-US" w:eastAsia="zh-CN"/>
        </w:rPr>
        <w:t>1</w:t>
      </w:r>
      <w:r>
        <w:rPr>
          <w:rFonts w:hint="eastAsia" w:ascii="Times New Roman" w:hAnsi="Times New Roman" w:cs="Times New Roman"/>
          <w:lang w:val="en-US" w:eastAsia="zh-CN"/>
        </w:rPr>
        <w:t>年，在县委、县政府的正确领导下，我局紧紧围绕我县发展规划和总体部署，进一步推进水利工程项目建设进展，努力做到“水利工程补短板，水利行业强监管”的总体要求。202</w:t>
      </w:r>
      <w:r>
        <w:rPr>
          <w:rFonts w:hint="eastAsia" w:cs="Times New Roman"/>
          <w:lang w:val="en-US" w:eastAsia="zh-CN"/>
        </w:rPr>
        <w:t>1</w:t>
      </w:r>
      <w:r>
        <w:rPr>
          <w:rFonts w:hint="eastAsia" w:ascii="Times New Roman" w:hAnsi="Times New Roman" w:cs="Times New Roman"/>
          <w:lang w:val="en-US" w:eastAsia="zh-CN"/>
        </w:rPr>
        <w:t>年主要做好以下水利工作：</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1、按要求完成工程建设任务。</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2、积极谋划项目，争取上级专项资金的支持。</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3、进一步抓好防汛抗旱工作。</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4、加强水资源管理，大力推进农业、工业节水。</w:t>
      </w:r>
    </w:p>
    <w:p>
      <w:pPr>
        <w:pStyle w:val="25"/>
        <w:rPr>
          <w:rFonts w:hint="eastAsia" w:ascii="Times New Roman" w:hAnsi="Times New Roman" w:cs="Times New Roman"/>
          <w:lang w:val="en-US" w:eastAsia="zh-CN"/>
        </w:rPr>
      </w:pPr>
      <w:r>
        <w:rPr>
          <w:rFonts w:hint="eastAsia" w:ascii="Times New Roman" w:hAnsi="Times New Roman" w:cs="Times New Roman"/>
          <w:lang w:val="en-US" w:eastAsia="zh-CN"/>
        </w:rPr>
        <w:t>5、继续落实河长制责任，推进河湖清理深度治理。</w:t>
      </w:r>
    </w:p>
    <w:p>
      <w:pPr>
        <w:pStyle w:val="25"/>
      </w:pPr>
      <w:r>
        <w:rPr>
          <w:rFonts w:hint="eastAsia" w:ascii="Times New Roman" w:hAnsi="Times New Roman" w:cs="Times New Roman"/>
          <w:lang w:val="en-US" w:eastAsia="zh-CN"/>
        </w:rPr>
        <w:t>6、严格</w:t>
      </w:r>
      <w:r>
        <w:rPr>
          <w:rFonts w:hint="eastAsia" w:cs="Times New Roman"/>
          <w:lang w:val="en-US" w:eastAsia="zh-CN"/>
        </w:rPr>
        <w:t>水利行政执法</w:t>
      </w:r>
      <w:r>
        <w:rPr>
          <w:rFonts w:hint="eastAsia" w:ascii="Times New Roman" w:hAnsi="Times New Roman" w:cs="Times New Roman"/>
          <w:lang w:val="en-US" w:eastAsia="zh-CN"/>
        </w:rPr>
        <w:t>，保护水生态环境。</w:t>
      </w:r>
    </w:p>
    <w:p>
      <w:pPr>
        <w:spacing w:line="500" w:lineRule="exact"/>
        <w:ind w:firstLine="560"/>
      </w:pPr>
      <w:r>
        <w:rPr>
          <w:rFonts w:eastAsia="方正仿宋_GBK"/>
          <w:color w:val="000000"/>
          <w:sz w:val="28"/>
        </w:rPr>
        <w:t>（二）分项绩效目标</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1、确保城区居民饮用合格江水。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绩效目标：完成上级核定消纳江水量420万方的任务，确保城区居民喝上合格江水。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绩效指标：按时缴纳引江水费，不超过年初预算数，使公众满意度在90%以上。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2、加强对山洪灾害的预警，确保全县人民安全度汛。</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绩效目标：确保该系统发挥正常预警作用，确保人民群众生命财产安全。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绩效指标：加强有效预警预报，确保正常运行，公众满意度在90%以上。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3、2021年继续对大中型水库移民进行直补资金发放和项目建设。</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绩效目标：按时发放移民直补资金，落实水库移民政策，对水库移民村基础设施进行有效改善。</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绩效指标：水库移民按照每人每年600元标准及时足额发放，加强项目管理，不断提高水库移民的生产生活水平，使水库移民满意度不低于90%。</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4、积极推进峨峪水库除险加固工程。</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绩效目标：消除病险水库的安全隐患，确保水库安全运行。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绩效指标：确保工程质量合格，减少事故发生。公众满意度在90%以上。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5、完成非农用水户在线监测系统安装。</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绩效目标：对超采地下水监控、监测，防治超采地下水。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绩效指标：填埋城区供水覆盖范围内的自备井，使地下水位稳步回升。使公众满意度在90%以上。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6、全面落实河长制工作制度，积极推进河湖综合治理。</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绩效目标：加强对河湖管理，全面落实责任制。</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绩效指标：加强对河湖巡查，发现问题及时处理。公众满意度在90%以上。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7、宋各庄、垒子、蔡家井三座水库进行日常维修养护。</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绩效目标：加强水库日常维养，发现问题及时处理，确保水库安全运行。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绩效指标：清理水库护坡，维修维养启闭机闸门，不超出年初预算数。使公众满意度在90%以上。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8、落实安全度汛防护措施。</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绩效目标：全面落实防汛责任，确保人民群众的生命财产安全。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绩效指标：及时购置水库必备防汛物资，不超年初预算数，及时发布水情预报。使公众满意度在90%以上。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9、依法对已完工的水利项目进行审计。</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绩效目标：加强对完工项目的审计，确保财政资金的安全。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绩效指标：完成配水管网、移民、农水等项目的审计，确保资金发挥最大效益。使公众满意度在90%以上。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10、做好中小河流治理后续项目</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绩效目标：加强拒马河两岸护堤建设，确保人民群众生命财产安全。</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绩效指标：建护堤350米，资金不超过年初预算数，群众满意度在90%以上。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11、实施4条河道复核划界。</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绩效目标：依法有序管理河道，保障水利工程设施完整。</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绩效指标：完成4条河道复核划界，资金不超过年初预算数，群众满意度在90%以上。</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12、河道清理整治项目。</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绩效目标：保障河道清洁畅通和行洪安全，进一步提高河道补水蓄水能力。</w:t>
      </w:r>
    </w:p>
    <w:p>
      <w:pPr>
        <w:pStyle w:val="26"/>
        <w:rPr>
          <w:rFonts w:hint="eastAsia" w:ascii="Times New Roman" w:hAnsi="Times New Roman" w:cs="Times New Roman"/>
          <w:lang w:val="en-US" w:eastAsia="zh-CN"/>
        </w:rPr>
      </w:pPr>
      <w:r>
        <w:rPr>
          <w:rFonts w:hint="eastAsia" w:ascii="Times New Roman" w:hAnsi="Times New Roman" w:cs="Times New Roman"/>
          <w:lang w:val="en-US" w:eastAsia="zh-CN"/>
        </w:rPr>
        <w:t>绩效指标：治理河道16条，资金不超过年初预算数，群众满意度在90%以上。</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、完善制度建设。</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完善预算绩效管理制度。加强项目的预算绩效管理，紧紧围绕年初制定的绩效目标，真正实现花钱必有效，充分发挥资金的最大效益，防治浪费财政资金。倒排工期，为全年预算绩效目标奠定制度基础。</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、加强支出管理。</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通过优化支出结构，编细遍实预算，加快履行政府采购手续，尽快启动项目，及时指出资金，确保水利工程如期完工。加强项目督导检查，加快预算执行，及时解决存在的问题，提高资金的使用效率。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、加强绩效运行监控。</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按要求开展绩效运行监控，发现问题及时采取措解决，确保绩效目标如期保质实现。</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、做好绩效自评</w:t>
      </w:r>
    </w:p>
    <w:p>
      <w:pPr>
        <w:pStyle w:val="27"/>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按要求开展上年度部门预算绩效自评和重点评价工作，对评价中发现的问题及时整改，调整优化支出结构，提高财政资金使用效益。</w:t>
      </w:r>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left="0" w:leftChars="0" w:firstLine="479" w:firstLineChars="171"/>
        <w:jc w:val="both"/>
        <w:outlineLvl w:val="3"/>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2021年水库移民直补项目（冀财农[2020]126号）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1.按政策及时足额发放水库移民直补资金</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lang w:val="en-US" w:eastAsia="uk-UA"/>
              </w:rPr>
            </w:pPr>
            <w:r>
              <w:rPr>
                <w:rFonts w:hint="eastAsia"/>
                <w:lang w:val="en-US" w:eastAsia="uk-UA"/>
              </w:rPr>
              <w:t>一级指标</w:t>
            </w:r>
          </w:p>
        </w:tc>
        <w:tc>
          <w:tcPr>
            <w:tcW w:w="2268" w:type="dxa"/>
            <w:vAlign w:val="center"/>
          </w:tcPr>
          <w:p>
            <w:pPr>
              <w:pStyle w:val="14"/>
              <w:rPr>
                <w:rFonts w:hint="eastAsia"/>
                <w:lang w:val="en-US" w:eastAsia="uk-UA"/>
              </w:rPr>
            </w:pPr>
            <w:r>
              <w:rPr>
                <w:rFonts w:hint="eastAsia"/>
                <w:lang w:val="en-US" w:eastAsia="uk-UA"/>
              </w:rPr>
              <w:t>二级指标</w:t>
            </w:r>
          </w:p>
        </w:tc>
        <w:tc>
          <w:tcPr>
            <w:tcW w:w="2835" w:type="dxa"/>
            <w:vAlign w:val="center"/>
          </w:tcPr>
          <w:p>
            <w:pPr>
              <w:pStyle w:val="14"/>
              <w:rPr>
                <w:rFonts w:hint="eastAsia"/>
                <w:lang w:val="en-US" w:eastAsia="uk-UA"/>
              </w:rPr>
            </w:pPr>
            <w:r>
              <w:rPr>
                <w:rFonts w:hint="eastAsia"/>
                <w:lang w:val="en-US" w:eastAsia="uk-UA"/>
              </w:rPr>
              <w:t>三级指标</w:t>
            </w:r>
          </w:p>
        </w:tc>
        <w:tc>
          <w:tcPr>
            <w:tcW w:w="2835" w:type="dxa"/>
            <w:vAlign w:val="center"/>
          </w:tcPr>
          <w:p>
            <w:pPr>
              <w:pStyle w:val="14"/>
              <w:rPr>
                <w:rFonts w:hint="eastAsia"/>
                <w:lang w:val="en-US" w:eastAsia="uk-UA"/>
              </w:rPr>
            </w:pPr>
            <w:r>
              <w:rPr>
                <w:rFonts w:hint="eastAsia"/>
                <w:lang w:val="en-US" w:eastAsia="uk-UA"/>
              </w:rPr>
              <w:t>绩效指标描述</w:t>
            </w:r>
          </w:p>
        </w:tc>
        <w:tc>
          <w:tcPr>
            <w:tcW w:w="2551" w:type="dxa"/>
            <w:vAlign w:val="center"/>
          </w:tcPr>
          <w:p>
            <w:pPr>
              <w:pStyle w:val="14"/>
              <w:rPr>
                <w:rFonts w:hint="eastAsia"/>
                <w:lang w:val="en-US" w:eastAsia="uk-UA"/>
              </w:rPr>
            </w:pPr>
            <w:r>
              <w:rPr>
                <w:rFonts w:hint="eastAsia"/>
                <w:lang w:val="en-US" w:eastAsia="uk-UA"/>
              </w:rPr>
              <w:t>指标值</w:t>
            </w:r>
          </w:p>
        </w:tc>
        <w:tc>
          <w:tcPr>
            <w:tcW w:w="2268" w:type="dxa"/>
            <w:vAlign w:val="center"/>
          </w:tcPr>
          <w:p>
            <w:pPr>
              <w:pStyle w:val="14"/>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发放人数</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发放直补资金人数</w:t>
            </w:r>
          </w:p>
        </w:tc>
        <w:tc>
          <w:tcPr>
            <w:tcW w:w="2551"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≥2150人</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覆盖率</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水库移民覆盖率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支付及时率</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不超年初预算数支付及时率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≤150.84万元</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增加收入</w:t>
            </w: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移民人均年增加收入</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600元</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835"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268"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hint="eastAsia"/>
                <w:lang w:val="en-US" w:eastAsia="uk-UA"/>
              </w:rPr>
            </w:pPr>
            <w:r>
              <w:rPr>
                <w:rFonts w:hint="eastAsia"/>
              </w:rPr>
              <w:t>服务对象满意度指标</w:t>
            </w:r>
          </w:p>
        </w:tc>
        <w:tc>
          <w:tcPr>
            <w:tcW w:w="2835" w:type="dxa"/>
            <w:vAlign w:val="center"/>
          </w:tcPr>
          <w:p>
            <w:pPr>
              <w:pStyle w:val="16"/>
              <w:rPr>
                <w:rFonts w:hint="eastAsia"/>
                <w:lang w:val="en-US" w:eastAsia="uk-UA"/>
              </w:rPr>
            </w:pPr>
            <w:r>
              <w:rPr>
                <w:rFonts w:hint="eastAsia"/>
              </w:rPr>
              <w:t>满意率</w:t>
            </w:r>
          </w:p>
        </w:tc>
        <w:tc>
          <w:tcPr>
            <w:tcW w:w="2835" w:type="dxa"/>
            <w:vAlign w:val="center"/>
          </w:tcPr>
          <w:p>
            <w:pPr>
              <w:pStyle w:val="16"/>
              <w:rPr>
                <w:rFonts w:hint="eastAsia"/>
                <w:lang w:val="en-US" w:eastAsia="uk-UA"/>
              </w:rPr>
            </w:pPr>
            <w:r>
              <w:rPr>
                <w:rFonts w:hint="eastAsia"/>
              </w:rPr>
              <w:t>满意率</w:t>
            </w:r>
          </w:p>
        </w:tc>
        <w:tc>
          <w:tcPr>
            <w:tcW w:w="2551" w:type="dxa"/>
            <w:vAlign w:val="center"/>
          </w:tcPr>
          <w:p>
            <w:pPr>
              <w:pStyle w:val="16"/>
              <w:rPr>
                <w:rFonts w:hint="eastAsia"/>
                <w:lang w:val="en-US" w:eastAsia="uk-UA"/>
              </w:rPr>
            </w:pPr>
            <w:r>
              <w:rPr>
                <w:rFonts w:hint="eastAsia"/>
              </w:rPr>
              <w:t>≥90%</w:t>
            </w:r>
          </w:p>
        </w:tc>
        <w:tc>
          <w:tcPr>
            <w:tcW w:w="2268" w:type="dxa"/>
            <w:vAlign w:val="center"/>
          </w:tcPr>
          <w:p>
            <w:pPr>
              <w:pStyle w:val="16"/>
              <w:rPr>
                <w:rFonts w:hint="eastAsia"/>
                <w:lang w:val="en-US" w:eastAsia="uk-UA"/>
              </w:rPr>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2021年大中型水库移民后扶项目(冀财农[2020]127号)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1.改善移民村基础设施</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lang w:val="en-US" w:eastAsia="uk-UA"/>
              </w:rPr>
            </w:pPr>
            <w:r>
              <w:rPr>
                <w:rFonts w:hint="eastAsia"/>
                <w:lang w:val="en-US" w:eastAsia="uk-UA"/>
              </w:rPr>
              <w:t>一级指标</w:t>
            </w:r>
          </w:p>
        </w:tc>
        <w:tc>
          <w:tcPr>
            <w:tcW w:w="2268" w:type="dxa"/>
            <w:vAlign w:val="center"/>
          </w:tcPr>
          <w:p>
            <w:pPr>
              <w:pStyle w:val="14"/>
              <w:rPr>
                <w:rFonts w:hint="eastAsia"/>
                <w:lang w:val="en-US" w:eastAsia="uk-UA"/>
              </w:rPr>
            </w:pPr>
            <w:r>
              <w:rPr>
                <w:rFonts w:hint="eastAsia"/>
                <w:lang w:val="en-US" w:eastAsia="uk-UA"/>
              </w:rPr>
              <w:t>二级指标</w:t>
            </w:r>
          </w:p>
        </w:tc>
        <w:tc>
          <w:tcPr>
            <w:tcW w:w="2835" w:type="dxa"/>
            <w:vAlign w:val="center"/>
          </w:tcPr>
          <w:p>
            <w:pPr>
              <w:pStyle w:val="14"/>
              <w:rPr>
                <w:rFonts w:hint="eastAsia"/>
                <w:lang w:val="en-US" w:eastAsia="uk-UA"/>
              </w:rPr>
            </w:pPr>
            <w:r>
              <w:rPr>
                <w:rFonts w:hint="eastAsia"/>
                <w:lang w:val="en-US" w:eastAsia="uk-UA"/>
              </w:rPr>
              <w:t>三级指标</w:t>
            </w:r>
          </w:p>
        </w:tc>
        <w:tc>
          <w:tcPr>
            <w:tcW w:w="2835" w:type="dxa"/>
            <w:vAlign w:val="center"/>
          </w:tcPr>
          <w:p>
            <w:pPr>
              <w:pStyle w:val="14"/>
              <w:rPr>
                <w:rFonts w:hint="eastAsia"/>
                <w:lang w:val="en-US" w:eastAsia="uk-UA"/>
              </w:rPr>
            </w:pPr>
            <w:r>
              <w:rPr>
                <w:rFonts w:hint="eastAsia"/>
                <w:lang w:val="en-US" w:eastAsia="uk-UA"/>
              </w:rPr>
              <w:t>绩效指标描述</w:t>
            </w:r>
          </w:p>
        </w:tc>
        <w:tc>
          <w:tcPr>
            <w:tcW w:w="2551" w:type="dxa"/>
            <w:vAlign w:val="center"/>
          </w:tcPr>
          <w:p>
            <w:pPr>
              <w:pStyle w:val="14"/>
              <w:rPr>
                <w:rFonts w:hint="eastAsia"/>
                <w:lang w:val="en-US" w:eastAsia="uk-UA"/>
              </w:rPr>
            </w:pPr>
            <w:r>
              <w:rPr>
                <w:rFonts w:hint="eastAsia"/>
                <w:lang w:val="en-US" w:eastAsia="uk-UA"/>
              </w:rPr>
              <w:t>指标值</w:t>
            </w:r>
          </w:p>
        </w:tc>
        <w:tc>
          <w:tcPr>
            <w:tcW w:w="2268" w:type="dxa"/>
            <w:vAlign w:val="center"/>
          </w:tcPr>
          <w:p>
            <w:pPr>
              <w:pStyle w:val="14"/>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项目数</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水库移民村项目数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≥1个</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项目验收率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验收率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≥90%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完成及时率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完成及时率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≥90%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≤116万元</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受益村数量</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项目支持项目村数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≥1个</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拒马河引水补偿工程</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uk-UA" w:bidi="ar-SA"/>
              </w:rPr>
              <w:t>1.用于解决农村饮水</w:t>
            </w:r>
            <w:r>
              <w:rPr>
                <w:rFonts w:hint="eastAsia" w:ascii="方正书宋_GBK" w:hAnsi="方正书宋_GBK" w:eastAsia="方正书宋_GBK" w:cs="方正书宋_GBK"/>
                <w:b w:val="0"/>
                <w:sz w:val="21"/>
                <w:szCs w:val="24"/>
                <w:lang w:val="en-US" w:eastAsia="zh-CN" w:bidi="ar-SA"/>
              </w:rPr>
              <w:t>问题</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hint="eastAsia"/>
                <w:lang w:val="en-US" w:eastAsia="uk-UA"/>
              </w:rPr>
            </w:pPr>
            <w:r>
              <w:rPr>
                <w:rFonts w:hint="eastAsia"/>
                <w:lang w:val="en-US" w:eastAsia="uk-UA"/>
              </w:rPr>
              <w:t>一级指标</w:t>
            </w:r>
          </w:p>
        </w:tc>
        <w:tc>
          <w:tcPr>
            <w:tcW w:w="2268" w:type="dxa"/>
            <w:vAlign w:val="center"/>
          </w:tcPr>
          <w:p>
            <w:pPr>
              <w:pStyle w:val="14"/>
              <w:rPr>
                <w:rFonts w:hint="eastAsia"/>
                <w:lang w:val="en-US" w:eastAsia="uk-UA"/>
              </w:rPr>
            </w:pPr>
            <w:r>
              <w:rPr>
                <w:rFonts w:hint="eastAsia"/>
                <w:lang w:val="en-US" w:eastAsia="uk-UA"/>
              </w:rPr>
              <w:t>二级指标</w:t>
            </w:r>
          </w:p>
        </w:tc>
        <w:tc>
          <w:tcPr>
            <w:tcW w:w="2835" w:type="dxa"/>
            <w:vAlign w:val="center"/>
          </w:tcPr>
          <w:p>
            <w:pPr>
              <w:pStyle w:val="14"/>
              <w:rPr>
                <w:rFonts w:hint="eastAsia"/>
                <w:lang w:val="en-US" w:eastAsia="uk-UA"/>
              </w:rPr>
            </w:pPr>
            <w:r>
              <w:rPr>
                <w:rFonts w:hint="eastAsia"/>
                <w:lang w:val="en-US" w:eastAsia="uk-UA"/>
              </w:rPr>
              <w:t>三级指标</w:t>
            </w:r>
          </w:p>
        </w:tc>
        <w:tc>
          <w:tcPr>
            <w:tcW w:w="2835" w:type="dxa"/>
            <w:vAlign w:val="center"/>
          </w:tcPr>
          <w:p>
            <w:pPr>
              <w:pStyle w:val="14"/>
              <w:rPr>
                <w:rFonts w:hint="eastAsia"/>
                <w:lang w:val="en-US" w:eastAsia="uk-UA"/>
              </w:rPr>
            </w:pPr>
            <w:r>
              <w:rPr>
                <w:rFonts w:hint="eastAsia"/>
                <w:lang w:val="en-US" w:eastAsia="uk-UA"/>
              </w:rPr>
              <w:t>绩效指标描述</w:t>
            </w:r>
          </w:p>
        </w:tc>
        <w:tc>
          <w:tcPr>
            <w:tcW w:w="2551" w:type="dxa"/>
            <w:vAlign w:val="center"/>
          </w:tcPr>
          <w:p>
            <w:pPr>
              <w:pStyle w:val="14"/>
              <w:rPr>
                <w:rFonts w:hint="eastAsia"/>
                <w:lang w:val="en-US" w:eastAsia="uk-UA"/>
              </w:rPr>
            </w:pPr>
            <w:r>
              <w:rPr>
                <w:rFonts w:hint="eastAsia"/>
                <w:lang w:val="en-US" w:eastAsia="uk-UA"/>
              </w:rPr>
              <w:t>指标值</w:t>
            </w:r>
          </w:p>
        </w:tc>
        <w:tc>
          <w:tcPr>
            <w:tcW w:w="2268" w:type="dxa"/>
            <w:vAlign w:val="center"/>
          </w:tcPr>
          <w:p>
            <w:pPr>
              <w:pStyle w:val="14"/>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新建水源数量</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小型水源数量2处</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≥2处</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项目工程验收合格率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项目工程完成及时率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项目总成本</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项目总预算控制额</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31.1万元</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农村集中供水率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供水率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≥80%</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可持续影响指标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工程设计使用年限</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使用年限</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≥5年</w:t>
            </w: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6"/>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6"/>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2021年度省级地下水超采综合治理项目（冀财农【2020】156号）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1.减少地下水开采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农村水源置换村数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工程完工及时率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≤159万元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减少地下水开采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地下水位止跌回升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地下水位止跌回升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中小河流治理</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1.保护两岸群众生命财产安全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护岸护坡长度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加固长度</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≥1公里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工程验收合格率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实际发生成本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不超预算支出数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≤146.13万元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收益人口</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收益人口数量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≥20000人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2021年中央水利发展资金（冀财农【2020】135号）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1.农村生活水源置换</w:t>
            </w:r>
          </w:p>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2.维修维养小型水库</w:t>
            </w:r>
          </w:p>
          <w:p>
            <w:pPr>
              <w:spacing w:line="300" w:lineRule="exact"/>
              <w:jc w:val="left"/>
            </w:pPr>
            <w:r>
              <w:rPr>
                <w:rFonts w:hint="eastAsia" w:ascii="方正书宋_GBK" w:hAnsi="方正书宋_GBK" w:eastAsia="方正书宋_GBK" w:cs="方正书宋_GBK"/>
                <w:sz w:val="21"/>
                <w:szCs w:val="24"/>
                <w:lang w:val="en-US" w:eastAsia="uk-UA" w:bidi="ar-SA"/>
              </w:rPr>
              <w:t>3.山洪灾害防治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农村水源置换村个数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114个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各项任务完成及时率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各项任务完成及时率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≤1195.6万元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spacing w:line="300" w:lineRule="exact"/>
              <w:jc w:val="left"/>
            </w:pPr>
            <w:r>
              <w:rPr>
                <w:rFonts w:hint="eastAsia" w:ascii="方正书宋_GBK" w:hAnsi="方正书宋_GBK" w:eastAsia="方正书宋_GBK" w:cs="方正书宋_GBK"/>
                <w:sz w:val="21"/>
                <w:szCs w:val="24"/>
                <w:lang w:val="en-US" w:eastAsia="uk-UA" w:bidi="ar-SA"/>
              </w:rPr>
              <w:t>经济效益指标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对社会经济发展的影响</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对社会经济发展的影响</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通过水源置换，提高农村饮水安全水平</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lang w:val="en-US" w:eastAsia="uk-UA"/>
        </w:rPr>
      </w:pPr>
      <w: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河道集中清理整治项目</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1.河道整洁修复河道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河道数量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清理整治河道数量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16条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完成的及时性</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≤1315.17万元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生态环境得到保护</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生态环境得到保护</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保护生态环境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2021年省级水库移民后期扶持基金项目（冀财农【2020】147号）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1.改善移民村基础设施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移民村个数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改善移民村个数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按时完工率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≤47万元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ascii="方正书宋_GBK" w:hAnsi="方正书宋_GBK" w:eastAsia="方正书宋_GBK" w:cs="方正书宋_GBK"/>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改善移民村生活条件</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改善移民村村民生活条件</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改善移民村村民生活条件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tabs>
          <w:tab w:val="left" w:pos="838"/>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法律顾问费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1.依法履职，依法行政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开展法律咨询次数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开展法律咨询次数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≥5次</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案件办结率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办结率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按期完成情况</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培训工作的及时程度和效率情况</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sectPr>
          <w:pgSz w:w="16840" w:h="11900" w:orient="landscape"/>
          <w:pgMar w:top="1361" w:right="1020" w:bottom="1134" w:left="1020" w:header="720" w:footer="720" w:gutter="0"/>
          <w:cols w:space="720" w:num="1"/>
        </w:sect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1.更新河长公示牌</w:t>
            </w:r>
          </w:p>
          <w:p>
            <w:pPr>
              <w:spacing w:line="300" w:lineRule="exact"/>
              <w:jc w:val="left"/>
            </w:pPr>
            <w:r>
              <w:rPr>
                <w:rFonts w:hint="eastAsia" w:ascii="方正书宋_GBK" w:hAnsi="方正书宋_GBK" w:eastAsia="方正书宋_GBK" w:cs="方正书宋_GBK"/>
                <w:sz w:val="21"/>
                <w:szCs w:val="24"/>
                <w:lang w:val="en-US" w:eastAsia="uk-UA" w:bidi="ar-SA"/>
              </w:rPr>
              <w:t>2.购买航拍设备，对河道监控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更新公示牌</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更新河长制公示牌</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150块</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服务的改善和提升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服务的改善与提升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服务改善与提升</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水库日常维养经费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1.确保水库正常运转</w:t>
            </w:r>
          </w:p>
          <w:p>
            <w:pPr>
              <w:spacing w:line="300" w:lineRule="exact"/>
              <w:jc w:val="left"/>
            </w:pPr>
            <w:r>
              <w:rPr>
                <w:rFonts w:hint="eastAsia" w:ascii="方正书宋_GBK" w:hAnsi="方正书宋_GBK" w:eastAsia="方正书宋_GBK" w:cs="方正书宋_GBK"/>
                <w:sz w:val="21"/>
                <w:szCs w:val="24"/>
                <w:lang w:val="en-US" w:eastAsia="uk-UA" w:bidi="ar-SA"/>
              </w:rPr>
              <w:t>2.日常维修管护水库3座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维修水库数量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日常维修管护</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3座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年度内完成</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2021年完成</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1年</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≤25万元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雨水径流总量控制率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雨水径流总量控制率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&gt;80%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村级巡河员补助</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1.建立长效机制，保障河长制工作落实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保洁人员数量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聘请巡河员的数量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194人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巡河率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巡河率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完成时效</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完成工作时限</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58.2万元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对环境的保护</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保护环境</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保护环境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水土保持规划编制</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rPr>
            </w:pPr>
            <w:r>
              <w:rPr>
                <w:rFonts w:hint="eastAsia"/>
              </w:rPr>
              <w:t>1.水土保持方案编制及长期规划</w:t>
            </w:r>
          </w:p>
          <w:p>
            <w:pPr>
              <w:pStyle w:val="16"/>
            </w:pPr>
            <w:r>
              <w:rPr>
                <w:rFonts w:hint="eastAsia"/>
              </w:rPr>
              <w:t>2.防治水土流失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rPr>
                <w:rFonts w:hint="eastAsia"/>
              </w:rPr>
            </w:pPr>
            <w:r>
              <w:rPr>
                <w:rFonts w:hint="eastAsia"/>
              </w:rPr>
              <w:t>编制报告数量</w:t>
            </w:r>
          </w:p>
        </w:tc>
        <w:tc>
          <w:tcPr>
            <w:tcW w:w="2835" w:type="dxa"/>
            <w:vAlign w:val="center"/>
          </w:tcPr>
          <w:p>
            <w:pPr>
              <w:pStyle w:val="16"/>
              <w:rPr>
                <w:rFonts w:hint="eastAsia"/>
              </w:rPr>
            </w:pPr>
            <w:r>
              <w:rPr>
                <w:rFonts w:hint="eastAsia"/>
              </w:rPr>
              <w:t>水保方案编制数</w:t>
            </w:r>
          </w:p>
        </w:tc>
        <w:tc>
          <w:tcPr>
            <w:tcW w:w="2551" w:type="dxa"/>
            <w:vAlign w:val="center"/>
          </w:tcPr>
          <w:p>
            <w:pPr>
              <w:pStyle w:val="16"/>
              <w:rPr>
                <w:rFonts w:hint="eastAsia"/>
              </w:rPr>
            </w:pPr>
            <w:r>
              <w:rPr>
                <w:rFonts w:hint="eastAsia"/>
              </w:rPr>
              <w:t>≥1册</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rPr>
                <w:rFonts w:hint="eastAsia"/>
              </w:rPr>
            </w:pPr>
            <w:r>
              <w:rPr>
                <w:rFonts w:hint="eastAsia"/>
              </w:rPr>
              <w:t>报告合格率</w:t>
            </w:r>
          </w:p>
        </w:tc>
        <w:tc>
          <w:tcPr>
            <w:tcW w:w="2835" w:type="dxa"/>
            <w:vAlign w:val="center"/>
          </w:tcPr>
          <w:p>
            <w:pPr>
              <w:pStyle w:val="16"/>
              <w:rPr>
                <w:rFonts w:hint="eastAsia"/>
              </w:rPr>
            </w:pPr>
            <w:r>
              <w:rPr>
                <w:rFonts w:hint="eastAsia"/>
              </w:rPr>
              <w:t>项目报告合格率</w:t>
            </w:r>
          </w:p>
        </w:tc>
        <w:tc>
          <w:tcPr>
            <w:tcW w:w="2551" w:type="dxa"/>
            <w:vAlign w:val="center"/>
          </w:tcPr>
          <w:p>
            <w:pPr>
              <w:pStyle w:val="16"/>
              <w:rPr>
                <w:rFonts w:hint="eastAsia"/>
              </w:rPr>
            </w:pPr>
            <w:r>
              <w:rPr>
                <w:rFonts w:hint="eastAsia"/>
              </w:rP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rPr>
                <w:rFonts w:hint="eastAsia"/>
              </w:rPr>
            </w:pPr>
            <w:r>
              <w:rPr>
                <w:rFonts w:hint="eastAsia"/>
              </w:rPr>
              <w:t>完成率</w:t>
            </w:r>
          </w:p>
        </w:tc>
        <w:tc>
          <w:tcPr>
            <w:tcW w:w="2835" w:type="dxa"/>
            <w:vAlign w:val="center"/>
          </w:tcPr>
          <w:p>
            <w:pPr>
              <w:pStyle w:val="16"/>
              <w:rPr>
                <w:rFonts w:hint="eastAsia"/>
              </w:rPr>
            </w:pPr>
            <w:r>
              <w:rPr>
                <w:rFonts w:hint="eastAsia"/>
              </w:rPr>
              <w:t>项目报告编制完成率</w:t>
            </w:r>
          </w:p>
        </w:tc>
        <w:tc>
          <w:tcPr>
            <w:tcW w:w="2551" w:type="dxa"/>
            <w:vAlign w:val="center"/>
          </w:tcPr>
          <w:p>
            <w:pPr>
              <w:pStyle w:val="16"/>
              <w:rPr>
                <w:rFonts w:hint="eastAsia"/>
              </w:rPr>
            </w:pPr>
            <w:r>
              <w:rPr>
                <w:rFonts w:hint="eastAsia"/>
              </w:rP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rPr>
                <w:rFonts w:hint="eastAsia"/>
              </w:rPr>
            </w:pPr>
            <w:r>
              <w:rPr>
                <w:rFonts w:hint="eastAsia"/>
              </w:rPr>
              <w:t>资金成本</w:t>
            </w:r>
          </w:p>
        </w:tc>
        <w:tc>
          <w:tcPr>
            <w:tcW w:w="2835" w:type="dxa"/>
            <w:vAlign w:val="center"/>
          </w:tcPr>
          <w:p>
            <w:pPr>
              <w:pStyle w:val="16"/>
              <w:rPr>
                <w:rFonts w:hint="eastAsia"/>
              </w:rPr>
            </w:pPr>
            <w:r>
              <w:rPr>
                <w:rFonts w:hint="eastAsia"/>
              </w:rPr>
              <w:t>不超过预算数</w:t>
            </w:r>
          </w:p>
        </w:tc>
        <w:tc>
          <w:tcPr>
            <w:tcW w:w="2551" w:type="dxa"/>
            <w:vAlign w:val="center"/>
          </w:tcPr>
          <w:p>
            <w:pPr>
              <w:pStyle w:val="16"/>
              <w:rPr>
                <w:rFonts w:hint="eastAsia"/>
              </w:rPr>
            </w:pPr>
            <w:r>
              <w:rPr>
                <w:rFonts w:hint="eastAsia"/>
              </w:rPr>
              <w:t>≤8万元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可持续影响指标</w:t>
            </w:r>
          </w:p>
        </w:tc>
        <w:tc>
          <w:tcPr>
            <w:tcW w:w="2835" w:type="dxa"/>
            <w:vAlign w:val="center"/>
          </w:tcPr>
          <w:p>
            <w:pPr>
              <w:pStyle w:val="16"/>
              <w:rPr>
                <w:rFonts w:hint="eastAsia"/>
              </w:rPr>
            </w:pPr>
            <w:r>
              <w:rPr>
                <w:rFonts w:hint="eastAsia"/>
              </w:rPr>
              <w:t>使用年限</w:t>
            </w:r>
          </w:p>
        </w:tc>
        <w:tc>
          <w:tcPr>
            <w:tcW w:w="2835" w:type="dxa"/>
            <w:vAlign w:val="center"/>
          </w:tcPr>
          <w:p>
            <w:pPr>
              <w:pStyle w:val="16"/>
              <w:rPr>
                <w:rFonts w:hint="eastAsia"/>
              </w:rPr>
            </w:pPr>
            <w:r>
              <w:rPr>
                <w:rFonts w:hint="eastAsia"/>
              </w:rPr>
              <w:t>设计使用年限</w:t>
            </w:r>
          </w:p>
        </w:tc>
        <w:tc>
          <w:tcPr>
            <w:tcW w:w="2551" w:type="dxa"/>
            <w:vAlign w:val="center"/>
          </w:tcPr>
          <w:p>
            <w:pPr>
              <w:pStyle w:val="16"/>
              <w:rPr>
                <w:rFonts w:hint="eastAsia"/>
              </w:rPr>
            </w:pPr>
            <w:r>
              <w:rPr>
                <w:rFonts w:hint="eastAsia"/>
              </w:rPr>
              <w:t>≥3年</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峨峪水库除险加固</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1.消除隐患，确保水库安全运行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rPr>
                <w:rFonts w:hint="eastAsia"/>
              </w:rPr>
            </w:pPr>
            <w:r>
              <w:rPr>
                <w:rFonts w:hint="eastAsia"/>
              </w:rPr>
              <w:t>加固数量</w:t>
            </w:r>
          </w:p>
        </w:tc>
        <w:tc>
          <w:tcPr>
            <w:tcW w:w="2835" w:type="dxa"/>
            <w:vAlign w:val="center"/>
          </w:tcPr>
          <w:p>
            <w:pPr>
              <w:pStyle w:val="16"/>
              <w:rPr>
                <w:rFonts w:hint="eastAsia"/>
              </w:rPr>
            </w:pPr>
            <w:r>
              <w:rPr>
                <w:rFonts w:hint="eastAsia"/>
              </w:rPr>
              <w:t>小型病险水库除险加固数量</w:t>
            </w:r>
          </w:p>
        </w:tc>
        <w:tc>
          <w:tcPr>
            <w:tcW w:w="2551" w:type="dxa"/>
            <w:vAlign w:val="center"/>
          </w:tcPr>
          <w:p>
            <w:pPr>
              <w:pStyle w:val="16"/>
              <w:rPr>
                <w:rFonts w:hint="eastAsia"/>
              </w:rPr>
            </w:pPr>
            <w:r>
              <w:rPr>
                <w:rFonts w:hint="eastAsia"/>
              </w:rPr>
              <w:t>≥1座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rPr>
                <w:rFonts w:hint="eastAsia"/>
              </w:rPr>
            </w:pPr>
            <w:r>
              <w:rPr>
                <w:rFonts w:hint="eastAsia"/>
              </w:rPr>
              <w:t>合格率</w:t>
            </w:r>
          </w:p>
        </w:tc>
        <w:tc>
          <w:tcPr>
            <w:tcW w:w="2835" w:type="dxa"/>
            <w:vAlign w:val="center"/>
          </w:tcPr>
          <w:p>
            <w:pPr>
              <w:pStyle w:val="16"/>
              <w:rPr>
                <w:rFonts w:hint="eastAsia"/>
              </w:rPr>
            </w:pPr>
            <w:r>
              <w:rPr>
                <w:rFonts w:hint="eastAsia"/>
              </w:rPr>
              <w:t>项目工程验收合格率</w:t>
            </w:r>
          </w:p>
        </w:tc>
        <w:tc>
          <w:tcPr>
            <w:tcW w:w="2551" w:type="dxa"/>
            <w:vAlign w:val="center"/>
          </w:tcPr>
          <w:p>
            <w:pPr>
              <w:pStyle w:val="16"/>
              <w:rPr>
                <w:rFonts w:hint="eastAsia"/>
              </w:rPr>
            </w:pPr>
            <w:r>
              <w:rPr>
                <w:rFonts w:hint="eastAsia"/>
              </w:rP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rPr>
                <w:rFonts w:hint="eastAsia"/>
              </w:rPr>
            </w:pPr>
            <w:r>
              <w:rPr>
                <w:rFonts w:hint="eastAsia"/>
              </w:rPr>
              <w:t>完工率</w:t>
            </w:r>
          </w:p>
        </w:tc>
        <w:tc>
          <w:tcPr>
            <w:tcW w:w="2835" w:type="dxa"/>
            <w:vAlign w:val="center"/>
          </w:tcPr>
          <w:p>
            <w:pPr>
              <w:pStyle w:val="16"/>
              <w:rPr>
                <w:rFonts w:hint="eastAsia"/>
              </w:rPr>
            </w:pPr>
            <w:r>
              <w:rPr>
                <w:rFonts w:hint="eastAsia"/>
              </w:rPr>
              <w:t>项目工程完成及时率</w:t>
            </w:r>
          </w:p>
        </w:tc>
        <w:tc>
          <w:tcPr>
            <w:tcW w:w="2551" w:type="dxa"/>
            <w:vAlign w:val="center"/>
          </w:tcPr>
          <w:p>
            <w:pPr>
              <w:pStyle w:val="16"/>
              <w:rPr>
                <w:rFonts w:hint="eastAsi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rPr>
                <w:rFonts w:hint="eastAsia"/>
              </w:rPr>
            </w:pPr>
            <w:r>
              <w:rPr>
                <w:rFonts w:hint="eastAsia"/>
              </w:rPr>
              <w:t>资金成本</w:t>
            </w:r>
          </w:p>
        </w:tc>
        <w:tc>
          <w:tcPr>
            <w:tcW w:w="2835" w:type="dxa"/>
            <w:vAlign w:val="center"/>
          </w:tcPr>
          <w:p>
            <w:pPr>
              <w:pStyle w:val="16"/>
              <w:rPr>
                <w:rFonts w:hint="eastAsia"/>
              </w:rPr>
            </w:pPr>
            <w:r>
              <w:rPr>
                <w:rFonts w:hint="eastAsia"/>
              </w:rPr>
              <w:t>不超过预算数</w:t>
            </w:r>
          </w:p>
        </w:tc>
        <w:tc>
          <w:tcPr>
            <w:tcW w:w="2551" w:type="dxa"/>
            <w:vAlign w:val="center"/>
          </w:tcPr>
          <w:p>
            <w:pPr>
              <w:pStyle w:val="16"/>
              <w:rPr>
                <w:rFonts w:hint="eastAsia"/>
              </w:rPr>
            </w:pPr>
            <w:r>
              <w:rPr>
                <w:rFonts w:hint="eastAsia"/>
              </w:rPr>
              <w:t>≤100万元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社会效益指标</w:t>
            </w:r>
          </w:p>
        </w:tc>
        <w:tc>
          <w:tcPr>
            <w:tcW w:w="2835" w:type="dxa"/>
            <w:vAlign w:val="center"/>
          </w:tcPr>
          <w:p>
            <w:pPr>
              <w:pStyle w:val="16"/>
              <w:rPr>
                <w:rFonts w:hint="eastAsia"/>
              </w:rPr>
            </w:pPr>
            <w:r>
              <w:rPr>
                <w:rFonts w:hint="eastAsia"/>
              </w:rPr>
              <w:t>满意度</w:t>
            </w:r>
          </w:p>
        </w:tc>
        <w:tc>
          <w:tcPr>
            <w:tcW w:w="2835" w:type="dxa"/>
            <w:vAlign w:val="center"/>
          </w:tcPr>
          <w:p>
            <w:pPr>
              <w:pStyle w:val="16"/>
              <w:rPr>
                <w:rFonts w:hint="eastAsia"/>
              </w:rPr>
            </w:pPr>
            <w:r>
              <w:rPr>
                <w:rFonts w:hint="eastAsia"/>
              </w:rPr>
              <w:t>受益人口满意度</w:t>
            </w:r>
          </w:p>
        </w:tc>
        <w:tc>
          <w:tcPr>
            <w:tcW w:w="2551" w:type="dxa"/>
            <w:vAlign w:val="center"/>
          </w:tcPr>
          <w:p>
            <w:pPr>
              <w:pStyle w:val="16"/>
              <w:rPr>
                <w:rFonts w:hint="eastAsia"/>
              </w:rPr>
            </w:pPr>
            <w:r>
              <w:rPr>
                <w:rFonts w:hint="eastAsia"/>
              </w:rPr>
              <w:t>≥90%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2021年度省级地下水超采综合治理项目（冀财农【2020】146号）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1.减少地下水开采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rPr>
                <w:rFonts w:hint="eastAsia"/>
              </w:rPr>
            </w:pPr>
            <w:r>
              <w:rPr>
                <w:rFonts w:hint="eastAsia"/>
              </w:rPr>
              <w:t>农村水源置换</w:t>
            </w:r>
          </w:p>
        </w:tc>
        <w:tc>
          <w:tcPr>
            <w:tcW w:w="2835" w:type="dxa"/>
            <w:vAlign w:val="center"/>
          </w:tcPr>
          <w:p>
            <w:pPr>
              <w:pStyle w:val="16"/>
              <w:rPr>
                <w:rFonts w:hint="eastAsia"/>
              </w:rPr>
            </w:pPr>
            <w:r>
              <w:rPr>
                <w:rFonts w:hint="eastAsia"/>
              </w:rPr>
              <w:t>农村水源置换村数</w:t>
            </w:r>
          </w:p>
        </w:tc>
        <w:tc>
          <w:tcPr>
            <w:tcW w:w="2551" w:type="dxa"/>
            <w:vAlign w:val="center"/>
          </w:tcPr>
          <w:p>
            <w:pPr>
              <w:pStyle w:val="16"/>
              <w:rPr>
                <w:rFonts w:hint="eastAsia"/>
              </w:rPr>
            </w:pPr>
            <w:r>
              <w:rPr>
                <w:rFonts w:hint="eastAsia"/>
              </w:rPr>
              <w:t>≥3个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rPr>
                <w:rFonts w:hint="eastAsia"/>
              </w:rPr>
            </w:pPr>
            <w:r>
              <w:rPr>
                <w:rFonts w:hint="eastAsia"/>
              </w:rPr>
              <w:t>合格率</w:t>
            </w:r>
          </w:p>
        </w:tc>
        <w:tc>
          <w:tcPr>
            <w:tcW w:w="2835" w:type="dxa"/>
            <w:vAlign w:val="center"/>
          </w:tcPr>
          <w:p>
            <w:pPr>
              <w:pStyle w:val="16"/>
              <w:rPr>
                <w:rFonts w:hint="eastAsia"/>
              </w:rPr>
            </w:pPr>
            <w:r>
              <w:rPr>
                <w:rFonts w:hint="eastAsia"/>
              </w:rPr>
              <w:t>工程质量合格率</w:t>
            </w:r>
          </w:p>
        </w:tc>
        <w:tc>
          <w:tcPr>
            <w:tcW w:w="2551" w:type="dxa"/>
            <w:vAlign w:val="center"/>
          </w:tcPr>
          <w:p>
            <w:pPr>
              <w:pStyle w:val="16"/>
              <w:rPr>
                <w:rFonts w:hint="eastAsi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rPr>
                <w:rFonts w:hint="eastAsia"/>
              </w:rPr>
            </w:pPr>
            <w:r>
              <w:rPr>
                <w:rFonts w:hint="eastAsia"/>
              </w:rPr>
              <w:t>完工率</w:t>
            </w:r>
          </w:p>
        </w:tc>
        <w:tc>
          <w:tcPr>
            <w:tcW w:w="2835" w:type="dxa"/>
            <w:vAlign w:val="center"/>
          </w:tcPr>
          <w:p>
            <w:pPr>
              <w:pStyle w:val="16"/>
              <w:rPr>
                <w:rFonts w:hint="eastAsia"/>
              </w:rPr>
            </w:pPr>
            <w:r>
              <w:rPr>
                <w:rFonts w:hint="eastAsia"/>
              </w:rPr>
              <w:t>工程完工及时率</w:t>
            </w:r>
          </w:p>
        </w:tc>
        <w:tc>
          <w:tcPr>
            <w:tcW w:w="2551" w:type="dxa"/>
            <w:vAlign w:val="center"/>
          </w:tcPr>
          <w:p>
            <w:pPr>
              <w:pStyle w:val="16"/>
              <w:rPr>
                <w:rFonts w:hint="eastAsi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rPr>
                <w:rFonts w:hint="eastAsia"/>
              </w:rPr>
            </w:pPr>
            <w:r>
              <w:rPr>
                <w:rFonts w:hint="eastAsia"/>
              </w:rPr>
              <w:t>资金成本</w:t>
            </w:r>
          </w:p>
        </w:tc>
        <w:tc>
          <w:tcPr>
            <w:tcW w:w="2835" w:type="dxa"/>
            <w:vAlign w:val="center"/>
          </w:tcPr>
          <w:p>
            <w:pPr>
              <w:pStyle w:val="16"/>
              <w:rPr>
                <w:rFonts w:hint="eastAsia"/>
              </w:rPr>
            </w:pPr>
            <w:r>
              <w:rPr>
                <w:rFonts w:hint="eastAsia"/>
              </w:rPr>
              <w:t>不超过预算数</w:t>
            </w:r>
          </w:p>
        </w:tc>
        <w:tc>
          <w:tcPr>
            <w:tcW w:w="2551" w:type="dxa"/>
            <w:vAlign w:val="center"/>
          </w:tcPr>
          <w:p>
            <w:pPr>
              <w:pStyle w:val="16"/>
              <w:rPr>
                <w:rFonts w:hint="eastAsia"/>
              </w:rPr>
            </w:pPr>
            <w:r>
              <w:rPr>
                <w:rFonts w:hint="eastAsia"/>
              </w:rPr>
              <w:t>≤64万元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社会效益指标</w:t>
            </w:r>
          </w:p>
        </w:tc>
        <w:tc>
          <w:tcPr>
            <w:tcW w:w="2835" w:type="dxa"/>
            <w:vAlign w:val="center"/>
          </w:tcPr>
          <w:p>
            <w:pPr>
              <w:pStyle w:val="16"/>
              <w:rPr>
                <w:rFonts w:hint="eastAsia"/>
              </w:rPr>
            </w:pPr>
            <w:r>
              <w:rPr>
                <w:rFonts w:hint="eastAsia"/>
              </w:rPr>
              <w:t>改善农村生活条件</w:t>
            </w:r>
          </w:p>
        </w:tc>
        <w:tc>
          <w:tcPr>
            <w:tcW w:w="2835" w:type="dxa"/>
            <w:vAlign w:val="center"/>
          </w:tcPr>
          <w:p>
            <w:pPr>
              <w:pStyle w:val="16"/>
              <w:rPr>
                <w:rFonts w:hint="eastAsia"/>
              </w:rPr>
            </w:pPr>
            <w:r>
              <w:rPr>
                <w:rFonts w:hint="eastAsia"/>
              </w:rPr>
              <w:t>改善农村居民生产生活条件</w:t>
            </w:r>
          </w:p>
        </w:tc>
        <w:tc>
          <w:tcPr>
            <w:tcW w:w="2551" w:type="dxa"/>
            <w:vAlign w:val="center"/>
          </w:tcPr>
          <w:p>
            <w:pPr>
              <w:pStyle w:val="16"/>
              <w:rPr>
                <w:rFonts w:hint="eastAsia"/>
              </w:rPr>
            </w:pPr>
            <w:r>
              <w:rPr>
                <w:rFonts w:hint="eastAsia"/>
              </w:rPr>
              <w:t>改善农村居民生产生活条件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hint="eastAsia"/>
              </w:rPr>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水利项目评审、审计费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1.依法依规项目建设</w:t>
            </w:r>
          </w:p>
          <w:p>
            <w:pPr>
              <w:spacing w:line="300" w:lineRule="exact"/>
              <w:jc w:val="left"/>
            </w:pPr>
            <w:r>
              <w:rPr>
                <w:rFonts w:hint="eastAsia" w:ascii="方正书宋_GBK" w:hAnsi="方正书宋_GBK" w:eastAsia="方正书宋_GBK" w:cs="方正书宋_GBK"/>
                <w:sz w:val="21"/>
                <w:szCs w:val="24"/>
                <w:lang w:val="en-US" w:eastAsia="uk-UA" w:bidi="ar-SA"/>
              </w:rPr>
              <w:t>2.节约财政资金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项目评审、审计数量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水利项目评审及审计数量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≥10件</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审计报告合格率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报告合格率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工作按时完成率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≤30万元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保障工作顺利开展</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为圆满完成工作任务提供有力保障</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保障工作顺利开展</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客户满意度</w:t>
            </w:r>
          </w:p>
        </w:tc>
        <w:tc>
          <w:tcPr>
            <w:tcW w:w="2835" w:type="dxa"/>
            <w:vAlign w:val="center"/>
          </w:tcPr>
          <w:p>
            <w:pPr>
              <w:pStyle w:val="16"/>
            </w:pPr>
            <w:r>
              <w:rPr>
                <w:rFonts w:hint="eastAsia"/>
              </w:rPr>
              <w:t>客户满意度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山洪灾害防治非工程措施</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1. 完善山洪灾害预警系统，保护群众生命财产安全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rPr>
                <w:rFonts w:hint="eastAsia"/>
              </w:rPr>
            </w:pPr>
            <w:r>
              <w:rPr>
                <w:rFonts w:hint="eastAsia"/>
              </w:rPr>
              <w:t>项目建设数</w:t>
            </w:r>
          </w:p>
        </w:tc>
        <w:tc>
          <w:tcPr>
            <w:tcW w:w="2835" w:type="dxa"/>
            <w:vAlign w:val="center"/>
          </w:tcPr>
          <w:p>
            <w:pPr>
              <w:pStyle w:val="16"/>
              <w:rPr>
                <w:rFonts w:hint="eastAsia"/>
              </w:rPr>
            </w:pPr>
            <w:r>
              <w:rPr>
                <w:rFonts w:hint="eastAsia"/>
              </w:rPr>
              <w:t>山洪灾害防治运行维护数量</w:t>
            </w:r>
          </w:p>
        </w:tc>
        <w:tc>
          <w:tcPr>
            <w:tcW w:w="2551" w:type="dxa"/>
            <w:vAlign w:val="center"/>
          </w:tcPr>
          <w:p>
            <w:pPr>
              <w:pStyle w:val="16"/>
              <w:rPr>
                <w:rFonts w:hint="eastAsia"/>
              </w:rPr>
            </w:pPr>
            <w:r>
              <w:rPr>
                <w:rFonts w:hint="eastAsia"/>
              </w:rPr>
              <w:t>≥1个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rPr>
                <w:rFonts w:hint="eastAsia"/>
              </w:rPr>
            </w:pPr>
            <w:r>
              <w:rPr>
                <w:rFonts w:hint="eastAsia"/>
              </w:rPr>
              <w:t>工程验收合格率</w:t>
            </w:r>
          </w:p>
        </w:tc>
        <w:tc>
          <w:tcPr>
            <w:tcW w:w="2835" w:type="dxa"/>
            <w:vAlign w:val="center"/>
          </w:tcPr>
          <w:p>
            <w:pPr>
              <w:pStyle w:val="16"/>
              <w:rPr>
                <w:rFonts w:hint="eastAsia"/>
              </w:rPr>
            </w:pPr>
            <w:r>
              <w:rPr>
                <w:rFonts w:hint="eastAsia"/>
              </w:rPr>
              <w:t>合格率</w:t>
            </w:r>
          </w:p>
        </w:tc>
        <w:tc>
          <w:tcPr>
            <w:tcW w:w="2551" w:type="dxa"/>
            <w:vAlign w:val="center"/>
          </w:tcPr>
          <w:p>
            <w:pPr>
              <w:pStyle w:val="16"/>
              <w:rPr>
                <w:rFonts w:hint="eastAsi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rPr>
                <w:rFonts w:hint="eastAsia"/>
              </w:rPr>
            </w:pPr>
            <w:r>
              <w:rPr>
                <w:rFonts w:hint="eastAsia"/>
              </w:rPr>
              <w:t>按时完成率</w:t>
            </w:r>
          </w:p>
        </w:tc>
        <w:tc>
          <w:tcPr>
            <w:tcW w:w="2835" w:type="dxa"/>
            <w:vAlign w:val="center"/>
          </w:tcPr>
          <w:p>
            <w:pPr>
              <w:pStyle w:val="16"/>
              <w:rPr>
                <w:rFonts w:hint="eastAsia"/>
              </w:rPr>
            </w:pPr>
            <w:r>
              <w:rPr>
                <w:rFonts w:hint="eastAsia"/>
              </w:rPr>
              <w:t>圆满完成的比率</w:t>
            </w:r>
          </w:p>
        </w:tc>
        <w:tc>
          <w:tcPr>
            <w:tcW w:w="2551" w:type="dxa"/>
            <w:vAlign w:val="center"/>
          </w:tcPr>
          <w:p>
            <w:pPr>
              <w:pStyle w:val="16"/>
              <w:rPr>
                <w:rFonts w:hint="eastAsi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rPr>
                <w:rFonts w:hint="eastAsia"/>
              </w:rPr>
            </w:pPr>
            <w:r>
              <w:rPr>
                <w:rFonts w:hint="eastAsia"/>
              </w:rPr>
              <w:t>项目总成本</w:t>
            </w:r>
          </w:p>
        </w:tc>
        <w:tc>
          <w:tcPr>
            <w:tcW w:w="2835" w:type="dxa"/>
            <w:vAlign w:val="center"/>
          </w:tcPr>
          <w:p>
            <w:pPr>
              <w:pStyle w:val="16"/>
              <w:rPr>
                <w:rFonts w:hint="eastAsia"/>
              </w:rPr>
            </w:pPr>
            <w:r>
              <w:rPr>
                <w:rFonts w:hint="eastAsia"/>
              </w:rPr>
              <w:t>项目总预算控制额度</w:t>
            </w:r>
          </w:p>
        </w:tc>
        <w:tc>
          <w:tcPr>
            <w:tcW w:w="2551" w:type="dxa"/>
            <w:vAlign w:val="center"/>
          </w:tcPr>
          <w:p>
            <w:pPr>
              <w:pStyle w:val="16"/>
              <w:rPr>
                <w:rFonts w:hint="eastAsia"/>
              </w:rPr>
            </w:pPr>
            <w:r>
              <w:rPr>
                <w:rFonts w:hint="eastAsia"/>
              </w:rPr>
              <w:t>≤15万元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经济效益指标</w:t>
            </w:r>
          </w:p>
        </w:tc>
        <w:tc>
          <w:tcPr>
            <w:tcW w:w="2835" w:type="dxa"/>
            <w:vAlign w:val="center"/>
          </w:tcPr>
          <w:p>
            <w:pPr>
              <w:pStyle w:val="16"/>
              <w:rPr>
                <w:rFonts w:hint="eastAsia"/>
              </w:rPr>
            </w:pPr>
            <w:r>
              <w:rPr>
                <w:rFonts w:hint="eastAsia"/>
              </w:rPr>
              <w:t>保护人口数量</w:t>
            </w:r>
          </w:p>
        </w:tc>
        <w:tc>
          <w:tcPr>
            <w:tcW w:w="2835" w:type="dxa"/>
            <w:vAlign w:val="center"/>
          </w:tcPr>
          <w:p>
            <w:pPr>
              <w:pStyle w:val="16"/>
              <w:rPr>
                <w:rFonts w:hint="eastAsia"/>
              </w:rPr>
            </w:pPr>
            <w:r>
              <w:rPr>
                <w:rFonts w:hint="eastAsia"/>
              </w:rPr>
              <w:t>山洪灾害防治保护人口数量</w:t>
            </w:r>
          </w:p>
        </w:tc>
        <w:tc>
          <w:tcPr>
            <w:tcW w:w="2551" w:type="dxa"/>
            <w:vAlign w:val="center"/>
          </w:tcPr>
          <w:p>
            <w:pPr>
              <w:pStyle w:val="16"/>
              <w:rPr>
                <w:rFonts w:hint="eastAsia"/>
              </w:rPr>
            </w:pPr>
            <w:r>
              <w:rPr>
                <w:rFonts w:hint="eastAsia"/>
              </w:rPr>
              <w:t>≥20万人</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hint="eastAsia"/>
              </w:rPr>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河道及水库划界</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rPr>
            </w:pPr>
            <w:r>
              <w:rPr>
                <w:rFonts w:hint="eastAsia"/>
              </w:rPr>
              <w:t>1.复核划定河道界限</w:t>
            </w:r>
          </w:p>
          <w:p>
            <w:pPr>
              <w:pStyle w:val="16"/>
            </w:pPr>
            <w:r>
              <w:rPr>
                <w:rFonts w:hint="eastAsia"/>
              </w:rPr>
              <w:t>2.复核划定水库界限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pStyle w:val="16"/>
              <w:rPr>
                <w:rFonts w:hint="eastAsia"/>
                <w:lang w:val="en-US" w:eastAsia="uk-UA"/>
              </w:rPr>
            </w:pPr>
            <w:r>
              <w:rPr>
                <w:rFonts w:hint="eastAsia"/>
              </w:rPr>
              <w:t>水库复核划定数</w:t>
            </w:r>
          </w:p>
        </w:tc>
        <w:tc>
          <w:tcPr>
            <w:tcW w:w="2835" w:type="dxa"/>
            <w:vAlign w:val="center"/>
          </w:tcPr>
          <w:p>
            <w:pPr>
              <w:pStyle w:val="16"/>
              <w:rPr>
                <w:rFonts w:hint="eastAsia"/>
                <w:lang w:val="en-US" w:eastAsia="uk-UA"/>
              </w:rPr>
            </w:pPr>
            <w:r>
              <w:rPr>
                <w:rFonts w:hint="eastAsia"/>
              </w:rPr>
              <w:t>水库复核划定数量</w:t>
            </w:r>
          </w:p>
        </w:tc>
        <w:tc>
          <w:tcPr>
            <w:tcW w:w="2551" w:type="dxa"/>
            <w:vAlign w:val="center"/>
          </w:tcPr>
          <w:p>
            <w:pPr>
              <w:pStyle w:val="16"/>
              <w:rPr>
                <w:rFonts w:hint="eastAsia"/>
                <w:lang w:val="en-US" w:eastAsia="uk-UA"/>
              </w:rPr>
            </w:pPr>
            <w:r>
              <w:rPr>
                <w:rFonts w:hint="eastAsia"/>
              </w:rPr>
              <w:t>3座</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rPr>
                <w:rFonts w:hint="eastAsia"/>
                <w:lang w:val="en-US" w:eastAsia="uk-UA"/>
              </w:rPr>
            </w:pPr>
            <w:r>
              <w:rPr>
                <w:rFonts w:hint="eastAsia"/>
              </w:rPr>
              <w:t>报告编制合格率</w:t>
            </w:r>
          </w:p>
        </w:tc>
        <w:tc>
          <w:tcPr>
            <w:tcW w:w="2835" w:type="dxa"/>
            <w:vAlign w:val="center"/>
          </w:tcPr>
          <w:p>
            <w:pPr>
              <w:pStyle w:val="16"/>
              <w:rPr>
                <w:rFonts w:hint="eastAsia"/>
                <w:lang w:val="en-US" w:eastAsia="uk-UA"/>
              </w:rPr>
            </w:pPr>
            <w:r>
              <w:rPr>
                <w:rFonts w:hint="eastAsia"/>
              </w:rPr>
              <w:t>合格率</w:t>
            </w:r>
          </w:p>
        </w:tc>
        <w:tc>
          <w:tcPr>
            <w:tcW w:w="2551" w:type="dxa"/>
            <w:vAlign w:val="center"/>
          </w:tcPr>
          <w:p>
            <w:pPr>
              <w:pStyle w:val="16"/>
              <w:rPr>
                <w:rFonts w:hint="eastAsia"/>
                <w:lang w:val="en-US" w:eastAsia="uk-U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rPr>
                <w:rFonts w:hint="eastAsia"/>
                <w:lang w:val="en-US" w:eastAsia="uk-UA"/>
              </w:rPr>
            </w:pPr>
            <w:r>
              <w:rPr>
                <w:rFonts w:hint="eastAsia"/>
              </w:rPr>
              <w:t>按期完成率</w:t>
            </w:r>
          </w:p>
        </w:tc>
        <w:tc>
          <w:tcPr>
            <w:tcW w:w="2835" w:type="dxa"/>
            <w:vAlign w:val="center"/>
          </w:tcPr>
          <w:p>
            <w:pPr>
              <w:pStyle w:val="16"/>
              <w:rPr>
                <w:rFonts w:hint="eastAsia"/>
                <w:lang w:val="en-US" w:eastAsia="uk-UA"/>
              </w:rPr>
            </w:pPr>
            <w:r>
              <w:rPr>
                <w:rFonts w:hint="eastAsia"/>
              </w:rPr>
              <w:t>按期完成项率</w:t>
            </w:r>
          </w:p>
        </w:tc>
        <w:tc>
          <w:tcPr>
            <w:tcW w:w="2551" w:type="dxa"/>
            <w:vAlign w:val="center"/>
          </w:tcPr>
          <w:p>
            <w:pPr>
              <w:pStyle w:val="16"/>
              <w:rPr>
                <w:rFonts w:hint="eastAsia"/>
                <w:lang w:val="en-US" w:eastAsia="uk-UA"/>
              </w:rPr>
            </w:pPr>
            <w:r>
              <w:rPr>
                <w:rFonts w:hint="eastAsi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rPr>
                <w:rFonts w:hint="eastAsia"/>
                <w:lang w:val="en-US" w:eastAsia="uk-UA"/>
              </w:rPr>
            </w:pPr>
            <w:r>
              <w:rPr>
                <w:rFonts w:hint="eastAsia"/>
              </w:rPr>
              <w:t>项目总成本</w:t>
            </w:r>
          </w:p>
        </w:tc>
        <w:tc>
          <w:tcPr>
            <w:tcW w:w="2835" w:type="dxa"/>
            <w:vAlign w:val="center"/>
          </w:tcPr>
          <w:p>
            <w:pPr>
              <w:pStyle w:val="16"/>
              <w:rPr>
                <w:rFonts w:hint="eastAsia"/>
                <w:lang w:val="en-US" w:eastAsia="uk-UA"/>
              </w:rPr>
            </w:pPr>
            <w:r>
              <w:rPr>
                <w:rFonts w:hint="eastAsia"/>
              </w:rPr>
              <w:t>项目预算控制额</w:t>
            </w:r>
          </w:p>
        </w:tc>
        <w:tc>
          <w:tcPr>
            <w:tcW w:w="2551" w:type="dxa"/>
            <w:vAlign w:val="center"/>
          </w:tcPr>
          <w:p>
            <w:pPr>
              <w:pStyle w:val="16"/>
              <w:rPr>
                <w:rFonts w:hint="eastAsia"/>
                <w:lang w:val="en-US" w:eastAsia="uk-UA"/>
              </w:rPr>
            </w:pPr>
            <w:r>
              <w:rPr>
                <w:rFonts w:hint="eastAsia"/>
              </w:rPr>
              <w:t>≤20万元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经济效益指标</w:t>
            </w:r>
          </w:p>
        </w:tc>
        <w:tc>
          <w:tcPr>
            <w:tcW w:w="2835" w:type="dxa"/>
            <w:vAlign w:val="center"/>
          </w:tcPr>
          <w:p>
            <w:pPr>
              <w:pStyle w:val="16"/>
              <w:rPr>
                <w:rFonts w:hint="eastAsia"/>
                <w:lang w:val="en-US" w:eastAsia="uk-UA"/>
              </w:rPr>
            </w:pPr>
            <w:r>
              <w:rPr>
                <w:rFonts w:hint="eastAsia"/>
              </w:rPr>
              <w:t>避免财产损失减少</w:t>
            </w:r>
          </w:p>
        </w:tc>
        <w:tc>
          <w:tcPr>
            <w:tcW w:w="2835" w:type="dxa"/>
            <w:vAlign w:val="center"/>
          </w:tcPr>
          <w:p>
            <w:pPr>
              <w:pStyle w:val="16"/>
              <w:rPr>
                <w:rFonts w:hint="eastAsia"/>
                <w:lang w:val="en-US" w:eastAsia="uk-UA"/>
              </w:rPr>
            </w:pPr>
            <w:r>
              <w:rPr>
                <w:rFonts w:hint="eastAsia"/>
              </w:rPr>
              <w:t>减少损失</w:t>
            </w:r>
          </w:p>
        </w:tc>
        <w:tc>
          <w:tcPr>
            <w:tcW w:w="2551" w:type="dxa"/>
            <w:vAlign w:val="center"/>
          </w:tcPr>
          <w:p>
            <w:pPr>
              <w:pStyle w:val="16"/>
              <w:rPr>
                <w:rFonts w:hint="eastAsia"/>
                <w:lang w:val="en-US" w:eastAsia="uk-UA"/>
              </w:rPr>
            </w:pPr>
            <w:r>
              <w:rPr>
                <w:rFonts w:hint="eastAsia"/>
              </w:rPr>
              <w:t>确定范围，减少损失</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hint="eastAsia"/>
              </w:rPr>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满意率</w:t>
            </w:r>
          </w:p>
        </w:tc>
        <w:tc>
          <w:tcPr>
            <w:tcW w:w="2835" w:type="dxa"/>
            <w:vAlign w:val="center"/>
          </w:tcPr>
          <w:p>
            <w:pPr>
              <w:pStyle w:val="16"/>
            </w:pPr>
            <w:r>
              <w:rPr>
                <w:rFonts w:hint="eastAsia"/>
              </w:rPr>
              <w:t>满意率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防汛经费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1.发布防汛预警</w:t>
            </w:r>
          </w:p>
          <w:p>
            <w:pPr>
              <w:spacing w:line="300" w:lineRule="exact"/>
              <w:jc w:val="left"/>
            </w:pPr>
            <w:r>
              <w:rPr>
                <w:rFonts w:hint="eastAsia" w:ascii="方正书宋_GBK" w:hAnsi="方正书宋_GBK" w:eastAsia="方正书宋_GBK" w:cs="方正书宋_GBK"/>
                <w:sz w:val="21"/>
                <w:szCs w:val="24"/>
                <w:lang w:val="en-US" w:eastAsia="uk-UA" w:bidi="ar-SA"/>
              </w:rPr>
              <w:t>2.提供应急抢险技术支撑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发布防汛信息</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发布防汛信息</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≥10次</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信息准确率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准确率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按期完成情况</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≤10万元</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rPr>
                <w:rFonts w:hint="eastAsia"/>
              </w:rPr>
            </w:pPr>
            <w:r>
              <w:rPr>
                <w:rFonts w:hint="eastAsia"/>
              </w:rPr>
              <w:t>经济效益指标</w:t>
            </w:r>
          </w:p>
        </w:tc>
        <w:tc>
          <w:tcPr>
            <w:tcW w:w="2835" w:type="dxa"/>
            <w:vAlign w:val="center"/>
          </w:tcPr>
          <w:p>
            <w:pPr>
              <w:pStyle w:val="16"/>
              <w:rPr>
                <w:rFonts w:hint="eastAsia"/>
              </w:rPr>
            </w:pPr>
            <w:r>
              <w:rPr>
                <w:rFonts w:hint="eastAsia"/>
              </w:rPr>
              <w:t>有价值信息采用率</w:t>
            </w:r>
          </w:p>
        </w:tc>
        <w:tc>
          <w:tcPr>
            <w:tcW w:w="2835" w:type="dxa"/>
            <w:vAlign w:val="center"/>
          </w:tcPr>
          <w:p>
            <w:pPr>
              <w:pStyle w:val="16"/>
              <w:rPr>
                <w:rFonts w:hint="eastAsia"/>
              </w:rPr>
            </w:pPr>
            <w:r>
              <w:rPr>
                <w:rFonts w:hint="eastAsia"/>
              </w:rPr>
              <w:t>采用率</w:t>
            </w:r>
          </w:p>
        </w:tc>
        <w:tc>
          <w:tcPr>
            <w:tcW w:w="2551" w:type="dxa"/>
            <w:vAlign w:val="center"/>
          </w:tcPr>
          <w:p>
            <w:pPr>
              <w:pStyle w:val="16"/>
              <w:rPr>
                <w:rFonts w:hint="eastAsia"/>
              </w:rPr>
            </w:pPr>
            <w:r>
              <w:rPr>
                <w:rFonts w:hint="eastAsia"/>
              </w:rPr>
              <w:t>≥90%</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hint="eastAsia"/>
              </w:rPr>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95%</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2021年省级水利发展资金项目（冀财农【2020】145号）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ascii="方正书宋_GBK" w:hAnsi="方正书宋_GBK" w:eastAsia="方正书宋_GBK" w:cs="方正书宋_GBK"/>
                <w:sz w:val="21"/>
                <w:szCs w:val="24"/>
                <w:lang w:val="en-US" w:eastAsia="uk-UA" w:bidi="ar-SA"/>
              </w:rPr>
              <w:t>1.农村饮水水源置换</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江水置换</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江水置换村数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≥1个</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完工及时率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工程完工及时率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≤14万元</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饮水安全合格率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6"/>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rPr>
                <w:rFonts w:hint="eastAsia"/>
              </w:rPr>
            </w:pPr>
          </w:p>
        </w:tc>
        <w:tc>
          <w:tcPr>
            <w:tcW w:w="2835" w:type="dxa"/>
            <w:vAlign w:val="center"/>
          </w:tcPr>
          <w:p>
            <w:pPr>
              <w:pStyle w:val="16"/>
              <w:rPr>
                <w:rFonts w:hint="eastAsia"/>
              </w:rPr>
            </w:pPr>
          </w:p>
        </w:tc>
        <w:tc>
          <w:tcPr>
            <w:tcW w:w="2551" w:type="dxa"/>
            <w:vAlign w:val="center"/>
          </w:tcPr>
          <w:p>
            <w:pPr>
              <w:pStyle w:val="16"/>
              <w:rPr>
                <w:rFonts w:hint="eastAsia"/>
              </w:rPr>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p>
        </w:tc>
        <w:tc>
          <w:tcPr>
            <w:tcW w:w="2835" w:type="dxa"/>
            <w:vAlign w:val="center"/>
          </w:tcPr>
          <w:p>
            <w:pPr>
              <w:pStyle w:val="16"/>
            </w:pPr>
          </w:p>
        </w:tc>
        <w:tc>
          <w:tcPr>
            <w:tcW w:w="2835" w:type="dxa"/>
            <w:vAlign w:val="center"/>
          </w:tcPr>
          <w:p>
            <w:pPr>
              <w:pStyle w:val="16"/>
            </w:pPr>
          </w:p>
        </w:tc>
        <w:tc>
          <w:tcPr>
            <w:tcW w:w="2551" w:type="dxa"/>
            <w:vAlign w:val="center"/>
          </w:tcPr>
          <w:p>
            <w:pPr>
              <w:pStyle w:val="16"/>
            </w:pP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活动参与人员满意度</w:t>
            </w:r>
          </w:p>
        </w:tc>
        <w:tc>
          <w:tcPr>
            <w:tcW w:w="2835" w:type="dxa"/>
            <w:vAlign w:val="center"/>
          </w:tcPr>
          <w:p>
            <w:pPr>
              <w:pStyle w:val="16"/>
            </w:pPr>
            <w:r>
              <w:rPr>
                <w:rFonts w:hint="eastAsia"/>
              </w:rPr>
              <w:t>活动参与人员满意度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涞水县水利局</w:t>
      </w:r>
      <w:r>
        <w:rPr>
          <w:rFonts w:eastAsia="方正仿宋_GBK"/>
          <w:color w:val="000000"/>
          <w:sz w:val="28"/>
        </w:rPr>
        <w:t>安排政府采购预算</w:t>
      </w:r>
      <w:r>
        <w:rPr>
          <w:rFonts w:hint="eastAsia" w:eastAsia="方正仿宋_GBK"/>
          <w:color w:val="000000"/>
          <w:sz w:val="28"/>
          <w:lang w:val="en-US" w:eastAsia="zh-CN"/>
        </w:rPr>
        <w:t>1461</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1031"/>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1031" w:type="dxa"/>
            <w:vAlign w:val="center"/>
          </w:tcPr>
          <w:p>
            <w:pPr>
              <w:pStyle w:val="14"/>
            </w:pPr>
            <w:r>
              <w:t>一般公共预算拨款</w:t>
            </w:r>
          </w:p>
        </w:tc>
        <w:tc>
          <w:tcPr>
            <w:tcW w:w="897"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rPr>
                <w:rFonts w:hint="eastAsia"/>
                <w:lang w:val="en-US" w:eastAsia="zh-CN"/>
              </w:rPr>
              <w:t>1461.00</w:t>
            </w:r>
          </w:p>
        </w:tc>
        <w:tc>
          <w:tcPr>
            <w:tcW w:w="1031" w:type="dxa"/>
            <w:vAlign w:val="center"/>
          </w:tcPr>
          <w:p>
            <w:pPr>
              <w:pStyle w:val="19"/>
              <w:rPr>
                <w:rFonts w:hint="default"/>
                <w:lang w:val="en-US"/>
              </w:rPr>
            </w:pPr>
            <w:r>
              <w:rPr>
                <w:rFonts w:hint="eastAsia"/>
                <w:b/>
                <w:lang w:val="en-US" w:eastAsia="zh-CN"/>
              </w:rPr>
              <w:t>1461.00</w:t>
            </w:r>
          </w:p>
        </w:tc>
        <w:tc>
          <w:tcPr>
            <w:tcW w:w="897" w:type="dxa"/>
            <w:vAlign w:val="center"/>
          </w:tcPr>
          <w:p>
            <w:pPr>
              <w:pStyle w:val="19"/>
              <w:rPr>
                <w:rFonts w:hint="default"/>
                <w:lang w:val="en-US"/>
              </w:rPr>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1461.00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lang w:val="en-US" w:eastAsia="zh-CN"/>
              </w:rPr>
              <w:t>涞水县水利</w:t>
            </w:r>
            <w:r>
              <w:t>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1461.00</w:t>
            </w:r>
          </w:p>
        </w:tc>
        <w:tc>
          <w:tcPr>
            <w:tcW w:w="1031" w:type="dxa"/>
            <w:vAlign w:val="center"/>
          </w:tcPr>
          <w:p>
            <w:pPr>
              <w:pStyle w:val="19"/>
              <w:rPr>
                <w:rFonts w:hint="default"/>
                <w:lang w:val="en-US"/>
              </w:rPr>
            </w:pPr>
            <w:r>
              <w:rPr>
                <w:rFonts w:hint="eastAsia"/>
                <w:b/>
                <w:lang w:val="en-US" w:eastAsia="zh-CN"/>
              </w:rPr>
              <w:t>1461.00</w:t>
            </w:r>
          </w:p>
        </w:tc>
        <w:tc>
          <w:tcPr>
            <w:tcW w:w="897" w:type="dxa"/>
            <w:vAlign w:val="center"/>
          </w:tcPr>
          <w:p>
            <w:pPr>
              <w:pStyle w:val="19"/>
              <w:rPr>
                <w:rFonts w:hint="default"/>
                <w:lang w:val="en-US"/>
              </w:rPr>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1461.00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2021年中央水利发展资金（冀财农【2020】135号）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1195.60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水利工程总承包服务</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C100710</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座</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897"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r>
              <w:rPr>
                <w:rFonts w:hint="eastAsia" w:cs="方正书宋_GBK"/>
                <w:b w:val="0"/>
                <w:bCs/>
                <w:sz w:val="21"/>
                <w:szCs w:val="24"/>
                <w:lang w:val="en-US" w:eastAsia="zh-CN" w:bidi="ar-SA"/>
              </w:rPr>
              <w:t>1122.00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2021年度省级地下水超采综合治理项目（冀财农【2020】146号）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流量仪表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A02100103</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套</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2021年大中型水库移民后扶项目（冀财农【2020】127号）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条</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2021年度省级地下水超采综合治理项目（冀财农【2020】156号）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流量仪表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A02100103</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套</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5"/>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159.00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eastAsia="方正仿宋_GBK"/>
          <w:color w:val="000000"/>
          <w:sz w:val="32"/>
        </w:rPr>
      </w:pPr>
      <w:r>
        <w:rPr>
          <w:rFonts w:eastAsia="方正仿宋_GBK"/>
          <w:color w:val="000000"/>
          <w:sz w:val="32"/>
        </w:rPr>
        <w:br w:type="page"/>
      </w:r>
    </w:p>
    <w:p>
      <w:pPr>
        <w:spacing w:before="10" w:after="10"/>
        <w:ind w:firstLine="640"/>
        <w:outlineLvl w:val="2"/>
      </w:pPr>
      <w:bookmarkStart w:id="14" w:name="_Toc_3_3_0000000016"/>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val="en-US" w:eastAsia="zh-CN"/>
        </w:rPr>
        <w:t>涞水县水利</w:t>
      </w:r>
      <w:r>
        <w:rPr>
          <w:rFonts w:eastAsia="方正仿宋_GBK"/>
          <w:color w:val="000000"/>
          <w:sz w:val="28"/>
        </w:rPr>
        <w:t>局（含所属单位）上年末固定资产金额为</w:t>
      </w:r>
      <w:r>
        <w:rPr>
          <w:rFonts w:hint="eastAsia" w:eastAsia="方正仿宋_GBK"/>
          <w:color w:val="000000"/>
          <w:sz w:val="28"/>
          <w:lang w:val="en-US" w:eastAsia="zh-CN"/>
        </w:rPr>
        <w:t>6000.66</w:t>
      </w:r>
      <w:r>
        <w:rPr>
          <w:rFonts w:eastAsia="方正仿宋_GBK"/>
          <w:color w:val="000000"/>
          <w:sz w:val="28"/>
        </w:rPr>
        <w:t>万元（详见下表）。</w:t>
      </w:r>
      <w:r>
        <w:rPr>
          <w:rFonts w:hint="eastAsia" w:ascii="Times New Roman" w:hAnsi="Times New Roman" w:eastAsia="方正仿宋_GBK" w:cs="Times New Roman"/>
          <w:color w:val="000000"/>
          <w:sz w:val="28"/>
          <w:lang w:val="en-US" w:eastAsia="zh-CN"/>
        </w:rPr>
        <w:t>本年无固定资产购置预算。</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w:t>
            </w:r>
            <w:r>
              <w:rPr>
                <w:rFonts w:hint="eastAsia"/>
                <w:lang w:val="en-US" w:eastAsia="zh-CN"/>
              </w:rPr>
              <w:t>32涞水县水利</w:t>
            </w:r>
            <w:r>
              <w:t>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（一）房屋（平方米）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5179.9</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630" w:firstLineChars="3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其中：办公用房（平方米）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800</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（二）车辆（台、辆）</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（四）其他固定资产</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5521.94</w:t>
            </w:r>
          </w:p>
        </w:tc>
      </w:tr>
    </w:tbl>
    <w:p>
      <w:pPr>
        <w:rPr>
          <w:rFonts w:ascii="黑体" w:hAnsi="黑体" w:eastAsia="黑体" w:cs="黑体"/>
          <w:color w:val="000000"/>
          <w:sz w:val="32"/>
        </w:rPr>
      </w:pPr>
      <w:bookmarkStart w:id="15" w:name="_Toc_3_3_0000000017"/>
      <w:r>
        <w:rPr>
          <w:rFonts w:ascii="黑体" w:hAnsi="黑体" w:eastAsia="黑体" w:cs="黑体"/>
          <w:color w:val="000000"/>
          <w:sz w:val="32"/>
        </w:rPr>
        <w:br w:type="page"/>
      </w: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U0YTkwMGYyOTgyYmEzMDJkNDdjMzQyMWM5YzAzMzQ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8515DAD"/>
    <w:rsid w:val="0D977B84"/>
    <w:rsid w:val="107B1788"/>
    <w:rsid w:val="15665AAF"/>
    <w:rsid w:val="16C65522"/>
    <w:rsid w:val="19080062"/>
    <w:rsid w:val="1F001077"/>
    <w:rsid w:val="242504C3"/>
    <w:rsid w:val="3525658C"/>
    <w:rsid w:val="37CF26CA"/>
    <w:rsid w:val="48BA73C9"/>
    <w:rsid w:val="4A6E08DD"/>
    <w:rsid w:val="58AD514A"/>
    <w:rsid w:val="5AF97C08"/>
    <w:rsid w:val="5B01542B"/>
    <w:rsid w:val="5D67410E"/>
    <w:rsid w:val="618868A7"/>
    <w:rsid w:val="6ABD2816"/>
    <w:rsid w:val="769A08AD"/>
    <w:rsid w:val="7A782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F40C868-CD10-4565-BD6F-28B55B247751}">
  <ds:schemaRefs/>
</ds:datastoreItem>
</file>

<file path=customXml/itemProps10.xml><?xml version="1.0" encoding="utf-8"?>
<ds:datastoreItem xmlns:ds="http://schemas.openxmlformats.org/officeDocument/2006/customXml" ds:itemID="{B9E9C162-3959-4E09-8552-3788A3BCB94D}">
  <ds:schemaRefs/>
</ds:datastoreItem>
</file>

<file path=customXml/itemProps11.xml><?xml version="1.0" encoding="utf-8"?>
<ds:datastoreItem xmlns:ds="http://schemas.openxmlformats.org/officeDocument/2006/customXml" ds:itemID="{526561F4-D429-4474-A75E-30A59CF88000}">
  <ds:schemaRefs/>
</ds:datastoreItem>
</file>

<file path=customXml/itemProps12.xml><?xml version="1.0" encoding="utf-8"?>
<ds:datastoreItem xmlns:ds="http://schemas.openxmlformats.org/officeDocument/2006/customXml" ds:itemID="{3300B263-A8B2-4577-A8B1-07D060066AC1}">
  <ds:schemaRefs/>
</ds:datastoreItem>
</file>

<file path=customXml/itemProps13.xml><?xml version="1.0" encoding="utf-8"?>
<ds:datastoreItem xmlns:ds="http://schemas.openxmlformats.org/officeDocument/2006/customXml" ds:itemID="{1C4E702D-2594-4689-8404-84AFD7E73E52}">
  <ds:schemaRefs/>
</ds:datastoreItem>
</file>

<file path=customXml/itemProps14.xml><?xml version="1.0" encoding="utf-8"?>
<ds:datastoreItem xmlns:ds="http://schemas.openxmlformats.org/officeDocument/2006/customXml" ds:itemID="{C593EC27-B89C-46A8-9CF9-3B5AE2B23C20}">
  <ds:schemaRefs/>
</ds:datastoreItem>
</file>

<file path=customXml/itemProps15.xml><?xml version="1.0" encoding="utf-8"?>
<ds:datastoreItem xmlns:ds="http://schemas.openxmlformats.org/officeDocument/2006/customXml" ds:itemID="{BC8B0B68-B399-4D6D-AE2B-284CCF1A5CB6}">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66F43F9-0AB8-4241-BA67-D8AE60CF6C21}">
  <ds:schemaRefs/>
</ds:datastoreItem>
</file>

<file path=customXml/itemProps18.xml><?xml version="1.0" encoding="utf-8"?>
<ds:datastoreItem xmlns:ds="http://schemas.openxmlformats.org/officeDocument/2006/customXml" ds:itemID="{989DA21E-0CDF-4E3D-84F6-1D172BF7F4B9}">
  <ds:schemaRefs/>
</ds:datastoreItem>
</file>

<file path=customXml/itemProps19.xml><?xml version="1.0" encoding="utf-8"?>
<ds:datastoreItem xmlns:ds="http://schemas.openxmlformats.org/officeDocument/2006/customXml" ds:itemID="{4074F53B-6AA8-493B-96FF-0D7EB858216C}">
  <ds:schemaRefs/>
</ds:datastoreItem>
</file>

<file path=customXml/itemProps2.xml><?xml version="1.0" encoding="utf-8"?>
<ds:datastoreItem xmlns:ds="http://schemas.openxmlformats.org/officeDocument/2006/customXml" ds:itemID="{55A60376-5F1A-4B58-BE70-A0B8CD8AC393}">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CB6B8C05-D526-4E72-8AB4-B1FB0F487636}">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328F8FAA-F9B6-48DE-ABD9-772610F9386F}">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9E39FA8A-0D5E-4C72-88C2-A4A5C9D016A3}">
  <ds:schemaRefs/>
</ds:datastoreItem>
</file>

<file path=customXml/itemProps28.xml><?xml version="1.0" encoding="utf-8"?>
<ds:datastoreItem xmlns:ds="http://schemas.openxmlformats.org/officeDocument/2006/customXml" ds:itemID="{BAA19A8D-5B92-489B-B169-BAD91A103344}">
  <ds:schemaRefs/>
</ds:datastoreItem>
</file>

<file path=customXml/itemProps29.xml><?xml version="1.0" encoding="utf-8"?>
<ds:datastoreItem xmlns:ds="http://schemas.openxmlformats.org/officeDocument/2006/customXml" ds:itemID="{6C8F0DDD-DA95-49D7-BEC9-54BED6023821}">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DD8D39B1-E032-4B64-9020-66CD65ABCD3B}">
  <ds:schemaRefs/>
</ds:datastoreItem>
</file>

<file path=customXml/itemProps31.xml><?xml version="1.0" encoding="utf-8"?>
<ds:datastoreItem xmlns:ds="http://schemas.openxmlformats.org/officeDocument/2006/customXml" ds:itemID="{DFFE41CD-7795-417D-8B3D-7B7E92ADCE28}">
  <ds:schemaRefs/>
</ds:datastoreItem>
</file>

<file path=customXml/itemProps32.xml><?xml version="1.0" encoding="utf-8"?>
<ds:datastoreItem xmlns:ds="http://schemas.openxmlformats.org/officeDocument/2006/customXml" ds:itemID="{240D75C0-5405-407A-9D88-451A6C53325C}">
  <ds:schemaRefs/>
</ds:datastoreItem>
</file>

<file path=customXml/itemProps33.xml><?xml version="1.0" encoding="utf-8"?>
<ds:datastoreItem xmlns:ds="http://schemas.openxmlformats.org/officeDocument/2006/customXml" ds:itemID="{7DA1E944-597F-4D9A-ADC8-E3A5D62388E9}">
  <ds:schemaRefs/>
</ds:datastoreItem>
</file>

<file path=customXml/itemProps34.xml><?xml version="1.0" encoding="utf-8"?>
<ds:datastoreItem xmlns:ds="http://schemas.openxmlformats.org/officeDocument/2006/customXml" ds:itemID="{82063DCE-E0D9-4D45-94AB-06A5849F123C}">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4D21B174-EFD5-481F-8023-ECD2C99EA6A5}">
  <ds:schemaRefs/>
</ds:datastoreItem>
</file>

<file path=customXml/itemProps37.xml><?xml version="1.0" encoding="utf-8"?>
<ds:datastoreItem xmlns:ds="http://schemas.openxmlformats.org/officeDocument/2006/customXml" ds:itemID="{907DF196-29BA-4F64-A2E6-9B891D8DA970}">
  <ds:schemaRefs/>
</ds:datastoreItem>
</file>

<file path=customXml/itemProps38.xml><?xml version="1.0" encoding="utf-8"?>
<ds:datastoreItem xmlns:ds="http://schemas.openxmlformats.org/officeDocument/2006/customXml" ds:itemID="{BF249A3C-5046-4792-B1C7-86A45BD0F7B3}">
  <ds:schemaRefs/>
</ds:datastoreItem>
</file>

<file path=customXml/itemProps39.xml><?xml version="1.0" encoding="utf-8"?>
<ds:datastoreItem xmlns:ds="http://schemas.openxmlformats.org/officeDocument/2006/customXml" ds:itemID="{F2B0114A-1BF3-408C-A937-DBD594359DD7}">
  <ds:schemaRefs/>
</ds:datastoreItem>
</file>

<file path=customXml/itemProps4.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8807E301-CE3E-48B0-8F1B-BE48F29E1736}">
  <ds:schemaRefs/>
</ds:datastoreItem>
</file>

<file path=customXml/itemProps6.xml><?xml version="1.0" encoding="utf-8"?>
<ds:datastoreItem xmlns:ds="http://schemas.openxmlformats.org/officeDocument/2006/customXml" ds:itemID="{D5DDAF8B-C90E-40EE-B940-CCD547411B81}">
  <ds:schemaRefs/>
</ds:datastoreItem>
</file>

<file path=customXml/itemProps7.xml><?xml version="1.0" encoding="utf-8"?>
<ds:datastoreItem xmlns:ds="http://schemas.openxmlformats.org/officeDocument/2006/customXml" ds:itemID="{B52E45D6-0F3C-4B21-B161-FA591631F8EB}">
  <ds:schemaRefs/>
</ds:datastoreItem>
</file>

<file path=customXml/itemProps8.xml><?xml version="1.0" encoding="utf-8"?>
<ds:datastoreItem xmlns:ds="http://schemas.openxmlformats.org/officeDocument/2006/customXml" ds:itemID="{335668B4-649C-41E0-BC80-7D94ABF681A2}">
  <ds:schemaRefs/>
</ds:datastoreItem>
</file>

<file path=customXml/itemProps9.xml><?xml version="1.0" encoding="utf-8"?>
<ds:datastoreItem xmlns:ds="http://schemas.openxmlformats.org/officeDocument/2006/customXml" ds:itemID="{66CC41B6-D28D-4EED-B564-F0D3D013B8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12290</Words>
  <Characters>15330</Characters>
  <Lines>107</Lines>
  <Paragraphs>30</Paragraphs>
  <TotalTime>3</TotalTime>
  <ScaleCrop>false</ScaleCrop>
  <LinksUpToDate>false</LinksUpToDate>
  <CharactersWithSpaces>15637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2022-09-16T08:48:00Z</cp:lastPrinted>
  <dcterms:modified xsi:type="dcterms:W3CDTF">2023-11-10T01:08:48Z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