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涞水县水利局</w:t>
      </w:r>
    </w:p>
    <w:p>
      <w:pPr>
        <w:spacing w:line="500" w:lineRule="exact"/>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2020年部门预算公开有关事项的说明</w:t>
      </w:r>
    </w:p>
    <w:p>
      <w:pPr>
        <w:spacing w:line="560" w:lineRule="exact"/>
        <w:jc w:val="left"/>
        <w:rPr>
          <w:rFonts w:hint="eastAsia" w:ascii="仿宋_GB2312" w:hAnsi="仿宋_GB2312" w:eastAsia="仿宋_GB2312" w:cs="仿宋_GB2312"/>
          <w:sz w:val="32"/>
          <w:szCs w:val="32"/>
        </w:rPr>
      </w:pPr>
      <w:r>
        <w:rPr>
          <w:rFonts w:hint="eastAsia" w:ascii="宋体" w:hAnsi="宋体" w:cs="宋体"/>
          <w:sz w:val="32"/>
          <w:szCs w:val="32"/>
        </w:rPr>
        <w:t xml:space="preserve"> </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按照《中华人民共和国预算法》、《地方预决算公开操作规程》和《河北省省级预算公开办法》规定，现将涞水县水利局2020年部门预算公开如下：</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一、部门职责、机构设置等基本情况</w:t>
      </w:r>
    </w:p>
    <w:p>
      <w:pPr>
        <w:spacing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(一)主要职责</w:t>
      </w:r>
    </w:p>
    <w:p>
      <w:pPr>
        <w:spacing w:line="500" w:lineRule="exact"/>
        <w:ind w:firstLine="480" w:firstLineChars="15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1、拟定全县水利工作的有关政策、发展战略和中长期规划；负责</w:t>
      </w:r>
      <w:r>
        <w:rPr>
          <w:rFonts w:hint="eastAsia" w:ascii="仿宋_GB2312" w:hAnsi="仿宋_GB2312" w:eastAsia="仿宋_GB2312" w:cs="仿宋_GB2312"/>
          <w:sz w:val="32"/>
          <w:szCs w:val="32"/>
          <w:lang w:eastAsia="zh-CN"/>
        </w:rPr>
        <w:t>《中华人民共和国水法》</w:t>
      </w:r>
      <w:r>
        <w:rPr>
          <w:rFonts w:hint="eastAsia" w:ascii="仿宋_GB2312" w:hAnsi="仿宋_GB2312" w:eastAsia="仿宋_GB2312" w:cs="仿宋_GB2312"/>
          <w:sz w:val="32"/>
          <w:szCs w:val="32"/>
        </w:rPr>
        <w:t>、《防洪法》、《水土保持法》法律法规的宣传贯彻、组织实施和水行政复议。</w:t>
      </w:r>
    </w:p>
    <w:p>
      <w:pPr>
        <w:spacing w:line="500" w:lineRule="exact"/>
        <w:ind w:firstLine="480" w:firstLineChars="15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2、统一管理全县水资源（含地表水、地下水），组织制订全县水中长期供求计划，水量分配方案，并监督实施；组织有关全县国民经济总体规划、城市规划及重大建设项目的水资源和防洪的论证工作；组织实施取水许可制度，发布全县水资源公告。</w:t>
      </w:r>
    </w:p>
    <w:p>
      <w:pPr>
        <w:spacing w:line="500" w:lineRule="exact"/>
        <w:ind w:firstLine="480" w:firstLineChars="15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3、拟定全县节约用水政策,编制节约用水规划，制定有关标准，组织管理和监督节约用水工作。</w:t>
      </w:r>
    </w:p>
    <w:p>
      <w:pPr>
        <w:spacing w:line="500" w:lineRule="exact"/>
        <w:ind w:firstLine="480" w:firstLineChars="15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4、按照国家和省市有关法律、法规拟定全县水资源保护规划，组织水功能区的划分和向饮水区等水域排污的控制；审定水域纳污能力，提出限制排污总量的意见。</w:t>
      </w:r>
    </w:p>
    <w:p>
      <w:pPr>
        <w:spacing w:line="500" w:lineRule="exact"/>
        <w:ind w:firstLine="480" w:firstLineChars="15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5、组织指导全县水政监察和水行政执法；协调处理部门间和乡镇间的水事纠纷。</w:t>
      </w:r>
    </w:p>
    <w:p>
      <w:pPr>
        <w:spacing w:line="500" w:lineRule="exact"/>
        <w:ind w:firstLine="480" w:firstLineChars="15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6、拟定全县水利行业的经济调节措施；对水利资金的使用进行宏观调节；指导水利行业的供水、水域开发利用及多种经营工作。</w:t>
      </w:r>
    </w:p>
    <w:p>
      <w:pPr>
        <w:spacing w:line="500" w:lineRule="exact"/>
        <w:ind w:firstLine="480" w:firstLineChars="15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7、编制、审查全县水利基本建设项目建议书、可行性研究报告和初步设计；组织水利科学研究和技术推广。</w:t>
      </w:r>
    </w:p>
    <w:p>
      <w:pPr>
        <w:spacing w:line="500" w:lineRule="exact"/>
        <w:ind w:firstLine="480" w:firstLineChars="15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8、组织指导全县水利设施、水域及其岸线的管理与保护；组织指导河道及滩地的治理开发；组织建设和管理有控制性的或跨乡镇的主要水利工程。</w:t>
      </w:r>
    </w:p>
    <w:p>
      <w:pPr>
        <w:spacing w:line="500" w:lineRule="exact"/>
        <w:ind w:firstLine="480" w:firstLineChars="15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9、组织指导农村水利工作，组织协调农田水利基本建设和乡镇供水、人畜饮水工作。</w:t>
      </w:r>
    </w:p>
    <w:p>
      <w:pPr>
        <w:spacing w:line="50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10、负责防治全县水土流失。编制全县水土保持规划，组织实施水土流失的综合防治和监督管理工作。负责有关开发建设项目水土保持方案的编制、审批、监督实施及水土保持设施的验收工作。</w:t>
      </w:r>
    </w:p>
    <w:p>
      <w:pPr>
        <w:spacing w:line="5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11、组织指导全县水利科技、教育工作；组织对外水利经济技术合作与交流；指导全县水利队伍建设。</w:t>
      </w:r>
    </w:p>
    <w:p>
      <w:pPr>
        <w:spacing w:line="5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12、承担县防汛抗旱指挥部的日常工作；组织协调、监督、指导全县防洪抗旱工作，对主要河道及重要水利工程实施防汛抗旱调度。</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13、承办县委、县政府交办的其它事项。</w:t>
      </w:r>
    </w:p>
    <w:p>
      <w:pPr>
        <w:spacing w:line="5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（二）机构设置情况</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1、现有局直股室11个：（1）办公室 （2）财务股 （3）监察室（4）农田水利股 （5）水土保持股 （6）工程管理股（7）水资源管理办公室 （8）水政监察室 （9）移民办公室 （10）防汛抗旱办公室 （11）南水北调办公室 </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2、局下属单位4个均为自收自支事业单位：（1）宋各庄水库管理处 （2）垒子水库管理处 （3）蔡家井水库管理处 （4）平峪水力发电站 </w:t>
      </w:r>
    </w:p>
    <w:p>
      <w:pPr>
        <w:spacing w:line="500" w:lineRule="exact"/>
        <w:rPr>
          <w:rFonts w:asciiTheme="minorEastAsia" w:hAnsiTheme="minorEastAsia" w:eastAsiaTheme="minorEastAsia" w:cstheme="minorEastAsia"/>
          <w:color w:val="000000"/>
          <w:kern w:val="0"/>
          <w:sz w:val="32"/>
          <w:szCs w:val="32"/>
        </w:rPr>
      </w:pPr>
      <w:r>
        <w:rPr>
          <w:rFonts w:hint="eastAsia" w:asciiTheme="minorEastAsia" w:hAnsiTheme="minorEastAsia" w:eastAsiaTheme="minorEastAsia" w:cstheme="minorEastAsia"/>
          <w:color w:val="000000"/>
          <w:kern w:val="0"/>
          <w:sz w:val="32"/>
          <w:szCs w:val="32"/>
        </w:rPr>
        <w:t xml:space="preserve">                 </w:t>
      </w:r>
    </w:p>
    <w:p>
      <w:pPr>
        <w:spacing w:line="500" w:lineRule="exact"/>
        <w:ind w:firstLine="3200" w:firstLineChars="1000"/>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 部门机构设置情况</w:t>
      </w:r>
    </w:p>
    <w:tbl>
      <w:tblPr>
        <w:tblStyle w:val="6"/>
        <w:tblW w:w="8880" w:type="dxa"/>
        <w:tblInd w:w="6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6"/>
        <w:gridCol w:w="2706"/>
        <w:gridCol w:w="934"/>
        <w:gridCol w:w="1819"/>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246" w:type="dxa"/>
            <w:vAlign w:val="center"/>
          </w:tcPr>
          <w:p>
            <w:pPr>
              <w:widowControl/>
              <w:spacing w:line="500" w:lineRule="exac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序号</w:t>
            </w:r>
          </w:p>
        </w:tc>
        <w:tc>
          <w:tcPr>
            <w:tcW w:w="2706" w:type="dxa"/>
            <w:vAlign w:val="center"/>
          </w:tcPr>
          <w:p>
            <w:pPr>
              <w:widowControl/>
              <w:spacing w:line="500" w:lineRule="exac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单位名称</w:t>
            </w:r>
          </w:p>
        </w:tc>
        <w:tc>
          <w:tcPr>
            <w:tcW w:w="934" w:type="dxa"/>
            <w:vAlign w:val="center"/>
          </w:tcPr>
          <w:p>
            <w:pPr>
              <w:widowControl/>
              <w:spacing w:line="500" w:lineRule="exac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单位性质</w:t>
            </w:r>
          </w:p>
        </w:tc>
        <w:tc>
          <w:tcPr>
            <w:tcW w:w="1819" w:type="dxa"/>
            <w:vAlign w:val="center"/>
          </w:tcPr>
          <w:p>
            <w:pPr>
              <w:widowControl/>
              <w:spacing w:line="500" w:lineRule="exac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单位规格</w:t>
            </w:r>
          </w:p>
        </w:tc>
        <w:tc>
          <w:tcPr>
            <w:tcW w:w="2175" w:type="dxa"/>
            <w:vAlign w:val="center"/>
          </w:tcPr>
          <w:p>
            <w:pPr>
              <w:widowControl/>
              <w:spacing w:line="500" w:lineRule="exac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246" w:type="dxa"/>
            <w:vAlign w:val="center"/>
          </w:tcPr>
          <w:p>
            <w:pPr>
              <w:widowControl/>
              <w:spacing w:line="500" w:lineRule="exac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1</w:t>
            </w:r>
          </w:p>
        </w:tc>
        <w:tc>
          <w:tcPr>
            <w:tcW w:w="2706" w:type="dxa"/>
            <w:vAlign w:val="center"/>
          </w:tcPr>
          <w:p>
            <w:pPr>
              <w:widowControl/>
              <w:spacing w:line="500" w:lineRule="exac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涞水县水利局</w:t>
            </w:r>
          </w:p>
        </w:tc>
        <w:tc>
          <w:tcPr>
            <w:tcW w:w="934" w:type="dxa"/>
            <w:vAlign w:val="center"/>
          </w:tcPr>
          <w:p>
            <w:pPr>
              <w:widowControl/>
              <w:spacing w:line="500" w:lineRule="exac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行政</w:t>
            </w:r>
          </w:p>
        </w:tc>
        <w:tc>
          <w:tcPr>
            <w:tcW w:w="1819" w:type="dxa"/>
            <w:vAlign w:val="center"/>
          </w:tcPr>
          <w:p>
            <w:pPr>
              <w:widowControl/>
              <w:spacing w:line="500" w:lineRule="exac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正科级</w:t>
            </w:r>
          </w:p>
        </w:tc>
        <w:tc>
          <w:tcPr>
            <w:tcW w:w="2175" w:type="dxa"/>
            <w:vAlign w:val="center"/>
          </w:tcPr>
          <w:p>
            <w:pPr>
              <w:widowControl/>
              <w:spacing w:line="500" w:lineRule="exac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财政拨款</w:t>
            </w:r>
          </w:p>
        </w:tc>
      </w:tr>
    </w:tbl>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r>
        <w:rPr>
          <w:rFonts w:hint="eastAsia" w:ascii="黑体" w:hAnsi="黑体" w:eastAsia="黑体" w:cs="黑体"/>
          <w:sz w:val="32"/>
          <w:szCs w:val="32"/>
        </w:rPr>
        <w:t xml:space="preserve">     二、部门预算安排总体情况</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1、收入情况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2020年预算收入总额2298.82万元，均为财政拨款收入。其中：一般公共预算拨款2087.98万元，政府性基金预算拨款210.84万元，国有资本经营预算拨款0万元，上级补助收入0万元，事业收入0万元，经营收入0万元，附属单位上缴收入0万元，其他收入0万元。</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2、支出情况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2020年预算支出总额2298.82万元，其中：基本支出858.93万元（人员经费：784.5万元，日常公用经费：74.43万元），项目支出1439.89万元，上缴上级支出0万元，经营支出0万元，对附属单位补助支出0万元。</w:t>
      </w:r>
    </w:p>
    <w:p>
      <w:pPr>
        <w:tabs>
          <w:tab w:val="left" w:pos="593"/>
        </w:tabs>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ab/>
      </w:r>
      <w:r>
        <w:rPr>
          <w:rFonts w:hint="eastAsia" w:ascii="仿宋" w:hAnsi="仿宋" w:eastAsia="仿宋" w:cs="仿宋"/>
          <w:b/>
          <w:bCs/>
          <w:sz w:val="32"/>
          <w:szCs w:val="32"/>
        </w:rPr>
        <w:t>3、上年增减情况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本年度预算收支安排2298.82万元，较上年2413.03万元，减少114.21万元。其中:基本支出增加238.34万元，主要由于调增自收自支人员经费；项目支出减少352.55万元，主要由于县级财力安排的水利项目减少。</w:t>
      </w:r>
    </w:p>
    <w:p>
      <w:pPr>
        <w:spacing w:line="560" w:lineRule="exact"/>
        <w:rPr>
          <w:rFonts w:ascii="黑体" w:hAnsi="黑体" w:eastAsia="黑体" w:cs="黑体"/>
          <w:sz w:val="32"/>
          <w:szCs w:val="32"/>
        </w:rPr>
      </w:pPr>
      <w:r>
        <w:rPr>
          <w:rFonts w:hint="eastAsia" w:asciiTheme="minorEastAsia" w:hAnsiTheme="minorEastAsia" w:eastAsiaTheme="minorEastAsia" w:cstheme="minorEastAsia"/>
          <w:sz w:val="32"/>
          <w:szCs w:val="32"/>
        </w:rPr>
        <w:t xml:space="preserve">   </w:t>
      </w:r>
      <w:r>
        <w:rPr>
          <w:rFonts w:hint="eastAsia" w:ascii="黑体" w:hAnsi="黑体" w:eastAsia="黑体" w:cs="黑体"/>
          <w:sz w:val="32"/>
          <w:szCs w:val="32"/>
        </w:rPr>
        <w:t xml:space="preserve"> 三、机关运行经费安排情况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机关运行经费安排74.43万元，其中：办公费23.96万元，邮电费0.36万元，取暖费2.08万元，差旅费11.8万元，公务接待费2万元，公务用车运行维护费8万元，公务交通补贴4.80万元，工会经费7.36万元，职工福利费13.63万元。</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四、财政拨款“三公”经费预算情况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2020年我单位“三公”经费支出16.4万元，其中：公车运行维护费14.4万元，公务接待费2万元，预计接待20批次，共计328人，因公出国出境0万元。2019年我单位预算安排“三公”经费支出16.4万元，其中：公车运行维护费14.4万元，公务接待费2万元，因公出国出境0万元。</w:t>
      </w:r>
    </w:p>
    <w:tbl>
      <w:tblPr>
        <w:tblStyle w:val="6"/>
        <w:tblpPr w:leftFromText="180" w:rightFromText="180" w:vertAnchor="text" w:horzAnchor="page" w:tblpX="1022" w:tblpY="2237"/>
        <w:tblOverlap w:val="never"/>
        <w:tblW w:w="9720" w:type="dxa"/>
        <w:tblInd w:w="0" w:type="dxa"/>
        <w:tblLayout w:type="fixed"/>
        <w:tblCellMar>
          <w:top w:w="0" w:type="dxa"/>
          <w:left w:w="108" w:type="dxa"/>
          <w:bottom w:w="0" w:type="dxa"/>
          <w:right w:w="108" w:type="dxa"/>
        </w:tblCellMar>
      </w:tblPr>
      <w:tblGrid>
        <w:gridCol w:w="2107"/>
        <w:gridCol w:w="2108"/>
        <w:gridCol w:w="2010"/>
        <w:gridCol w:w="1380"/>
        <w:gridCol w:w="2115"/>
      </w:tblGrid>
      <w:tr>
        <w:tblPrEx>
          <w:tblCellMar>
            <w:top w:w="0" w:type="dxa"/>
            <w:left w:w="108" w:type="dxa"/>
            <w:bottom w:w="0" w:type="dxa"/>
            <w:right w:w="108" w:type="dxa"/>
          </w:tblCellMar>
        </w:tblPrEx>
        <w:trPr>
          <w:trHeight w:val="437" w:hRule="atLeast"/>
        </w:trPr>
        <w:tc>
          <w:tcPr>
            <w:tcW w:w="2107" w:type="dxa"/>
            <w:tcBorders>
              <w:top w:val="nil"/>
              <w:left w:val="nil"/>
              <w:bottom w:val="nil"/>
              <w:right w:val="nil"/>
            </w:tcBorders>
            <w:vAlign w:val="center"/>
          </w:tcPr>
          <w:p>
            <w:pPr>
              <w:widowControl/>
              <w:spacing w:line="560" w:lineRule="exact"/>
              <w:jc w:val="left"/>
              <w:rPr>
                <w:rFonts w:hint="eastAsia" w:ascii="宋体" w:hAnsi="宋体" w:cs="宋体"/>
                <w:kern w:val="0"/>
                <w:sz w:val="28"/>
                <w:szCs w:val="28"/>
              </w:rPr>
            </w:pPr>
          </w:p>
        </w:tc>
        <w:tc>
          <w:tcPr>
            <w:tcW w:w="2108" w:type="dxa"/>
            <w:tcBorders>
              <w:top w:val="nil"/>
              <w:left w:val="nil"/>
              <w:bottom w:val="nil"/>
              <w:right w:val="nil"/>
            </w:tcBorders>
            <w:vAlign w:val="center"/>
          </w:tcPr>
          <w:p>
            <w:pPr>
              <w:widowControl/>
              <w:spacing w:line="560" w:lineRule="exact"/>
              <w:jc w:val="left"/>
              <w:rPr>
                <w:rFonts w:ascii="宋体" w:hAnsi="宋体" w:cs="宋体"/>
                <w:kern w:val="0"/>
                <w:sz w:val="28"/>
                <w:szCs w:val="28"/>
              </w:rPr>
            </w:pPr>
          </w:p>
        </w:tc>
        <w:tc>
          <w:tcPr>
            <w:tcW w:w="2010" w:type="dxa"/>
            <w:tcBorders>
              <w:top w:val="nil"/>
              <w:left w:val="nil"/>
              <w:bottom w:val="nil"/>
              <w:right w:val="nil"/>
            </w:tcBorders>
            <w:vAlign w:val="center"/>
          </w:tcPr>
          <w:p>
            <w:pPr>
              <w:widowControl/>
              <w:spacing w:line="560" w:lineRule="exact"/>
              <w:jc w:val="left"/>
              <w:rPr>
                <w:rFonts w:ascii="宋体" w:hAnsi="宋体" w:cs="宋体"/>
                <w:kern w:val="0"/>
                <w:sz w:val="28"/>
                <w:szCs w:val="28"/>
              </w:rPr>
            </w:pPr>
          </w:p>
        </w:tc>
        <w:tc>
          <w:tcPr>
            <w:tcW w:w="1380" w:type="dxa"/>
            <w:tcBorders>
              <w:top w:val="nil"/>
              <w:left w:val="nil"/>
              <w:bottom w:val="nil"/>
              <w:right w:val="nil"/>
            </w:tcBorders>
            <w:vAlign w:val="center"/>
          </w:tcPr>
          <w:p>
            <w:pPr>
              <w:widowControl/>
              <w:spacing w:line="560" w:lineRule="exact"/>
              <w:jc w:val="left"/>
              <w:rPr>
                <w:rFonts w:ascii="宋体" w:hAnsi="宋体" w:cs="宋体"/>
                <w:kern w:val="0"/>
                <w:sz w:val="28"/>
                <w:szCs w:val="28"/>
              </w:rPr>
            </w:pPr>
          </w:p>
        </w:tc>
        <w:tc>
          <w:tcPr>
            <w:tcW w:w="2115" w:type="dxa"/>
            <w:tcBorders>
              <w:top w:val="nil"/>
              <w:left w:val="nil"/>
              <w:bottom w:val="nil"/>
              <w:right w:val="nil"/>
            </w:tcBorders>
            <w:vAlign w:val="center"/>
          </w:tcPr>
          <w:p>
            <w:pPr>
              <w:widowControl/>
              <w:spacing w:line="560" w:lineRule="exact"/>
              <w:jc w:val="left"/>
              <w:rPr>
                <w:rFonts w:ascii="宋体" w:hAnsi="宋体" w:cs="宋体"/>
                <w:kern w:val="0"/>
                <w:sz w:val="28"/>
                <w:szCs w:val="28"/>
              </w:rPr>
            </w:pPr>
          </w:p>
        </w:tc>
      </w:tr>
    </w:tbl>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2020年我局严格控制“三公”经费支出，严格执行八项规定，公务用车维护费、公务接待费、因公出国出境与2019部门预算一致。</w:t>
      </w:r>
    </w:p>
    <w:tbl>
      <w:tblPr>
        <w:tblStyle w:val="6"/>
        <w:tblpPr w:leftFromText="180" w:rightFromText="180" w:vertAnchor="text" w:horzAnchor="page" w:tblpX="1022" w:tblpY="2237"/>
        <w:tblOverlap w:val="never"/>
        <w:tblW w:w="9720" w:type="dxa"/>
        <w:tblInd w:w="0" w:type="dxa"/>
        <w:tblLayout w:type="fixed"/>
        <w:tblCellMar>
          <w:top w:w="0" w:type="dxa"/>
          <w:left w:w="108" w:type="dxa"/>
          <w:bottom w:w="0" w:type="dxa"/>
          <w:right w:w="108" w:type="dxa"/>
        </w:tblCellMar>
      </w:tblPr>
      <w:tblGrid>
        <w:gridCol w:w="2107"/>
        <w:gridCol w:w="128"/>
        <w:gridCol w:w="1980"/>
        <w:gridCol w:w="2010"/>
        <w:gridCol w:w="1380"/>
        <w:gridCol w:w="105"/>
        <w:gridCol w:w="2010"/>
      </w:tblGrid>
      <w:tr>
        <w:tblPrEx>
          <w:tblCellMar>
            <w:top w:w="0" w:type="dxa"/>
            <w:left w:w="108" w:type="dxa"/>
            <w:bottom w:w="0" w:type="dxa"/>
            <w:right w:w="108" w:type="dxa"/>
          </w:tblCellMar>
        </w:tblPrEx>
        <w:trPr>
          <w:trHeight w:val="429" w:hRule="atLeast"/>
        </w:trPr>
        <w:tc>
          <w:tcPr>
            <w:tcW w:w="9720" w:type="dxa"/>
            <w:gridSpan w:val="7"/>
            <w:tcBorders>
              <w:top w:val="nil"/>
              <w:left w:val="nil"/>
              <w:bottom w:val="nil"/>
              <w:right w:val="nil"/>
            </w:tcBorders>
            <w:vAlign w:val="center"/>
          </w:tcPr>
          <w:p>
            <w:pPr>
              <w:widowControl/>
              <w:spacing w:line="560" w:lineRule="exact"/>
              <w:rPr>
                <w:rFonts w:ascii="宋体" w:hAnsi="宋体" w:cs="宋体"/>
                <w:kern w:val="0"/>
                <w:sz w:val="28"/>
                <w:szCs w:val="28"/>
              </w:rPr>
            </w:pPr>
            <w:r>
              <w:rPr>
                <w:rFonts w:hint="eastAsia" w:ascii="宋体" w:hAnsi="宋体" w:cs="宋体"/>
                <w:sz w:val="28"/>
                <w:szCs w:val="28"/>
              </w:rPr>
              <w:t>“三公”经费预算情况及增减变化原因</w:t>
            </w:r>
          </w:p>
        </w:tc>
      </w:tr>
      <w:tr>
        <w:tblPrEx>
          <w:tblCellMar>
            <w:top w:w="0" w:type="dxa"/>
            <w:left w:w="108" w:type="dxa"/>
            <w:bottom w:w="0" w:type="dxa"/>
            <w:right w:w="108" w:type="dxa"/>
          </w:tblCellMar>
        </w:tblPrEx>
        <w:trPr>
          <w:trHeight w:val="429" w:hRule="atLeast"/>
        </w:trPr>
        <w:tc>
          <w:tcPr>
            <w:tcW w:w="2235" w:type="dxa"/>
            <w:gridSpan w:val="2"/>
            <w:tcBorders>
              <w:top w:val="nil"/>
              <w:left w:val="nil"/>
              <w:bottom w:val="nil"/>
              <w:right w:val="nil"/>
            </w:tcBorders>
            <w:vAlign w:val="center"/>
          </w:tcPr>
          <w:p>
            <w:pPr>
              <w:widowControl/>
              <w:spacing w:line="560" w:lineRule="exact"/>
              <w:jc w:val="left"/>
              <w:rPr>
                <w:rFonts w:ascii="宋体" w:hAnsi="宋体" w:cs="宋体"/>
                <w:kern w:val="0"/>
                <w:sz w:val="28"/>
                <w:szCs w:val="28"/>
              </w:rPr>
            </w:pPr>
          </w:p>
        </w:tc>
        <w:tc>
          <w:tcPr>
            <w:tcW w:w="1980" w:type="dxa"/>
            <w:tcBorders>
              <w:top w:val="nil"/>
              <w:left w:val="nil"/>
              <w:bottom w:val="nil"/>
              <w:right w:val="nil"/>
            </w:tcBorders>
            <w:vAlign w:val="center"/>
          </w:tcPr>
          <w:p>
            <w:pPr>
              <w:widowControl/>
              <w:spacing w:line="560" w:lineRule="exact"/>
              <w:jc w:val="left"/>
              <w:rPr>
                <w:rFonts w:ascii="宋体" w:hAnsi="宋体" w:cs="宋体"/>
                <w:kern w:val="0"/>
                <w:sz w:val="28"/>
                <w:szCs w:val="28"/>
              </w:rPr>
            </w:pPr>
          </w:p>
        </w:tc>
        <w:tc>
          <w:tcPr>
            <w:tcW w:w="2010" w:type="dxa"/>
            <w:tcBorders>
              <w:top w:val="nil"/>
              <w:left w:val="nil"/>
              <w:bottom w:val="nil"/>
              <w:right w:val="nil"/>
            </w:tcBorders>
            <w:vAlign w:val="center"/>
          </w:tcPr>
          <w:p>
            <w:pPr>
              <w:widowControl/>
              <w:spacing w:line="560" w:lineRule="exact"/>
              <w:jc w:val="left"/>
              <w:rPr>
                <w:rFonts w:ascii="宋体" w:hAnsi="宋体" w:cs="宋体"/>
                <w:kern w:val="0"/>
                <w:sz w:val="28"/>
                <w:szCs w:val="28"/>
              </w:rPr>
            </w:pPr>
          </w:p>
        </w:tc>
        <w:tc>
          <w:tcPr>
            <w:tcW w:w="1380" w:type="dxa"/>
            <w:tcBorders>
              <w:top w:val="nil"/>
              <w:left w:val="nil"/>
              <w:bottom w:val="nil"/>
              <w:right w:val="nil"/>
            </w:tcBorders>
            <w:vAlign w:val="center"/>
          </w:tcPr>
          <w:p>
            <w:pPr>
              <w:widowControl/>
              <w:spacing w:line="560" w:lineRule="exact"/>
              <w:jc w:val="left"/>
              <w:rPr>
                <w:rFonts w:ascii="宋体" w:hAnsi="宋体" w:cs="宋体"/>
                <w:kern w:val="0"/>
                <w:sz w:val="28"/>
                <w:szCs w:val="28"/>
              </w:rPr>
            </w:pPr>
          </w:p>
        </w:tc>
        <w:tc>
          <w:tcPr>
            <w:tcW w:w="2115" w:type="dxa"/>
            <w:gridSpan w:val="2"/>
            <w:tcBorders>
              <w:top w:val="nil"/>
              <w:left w:val="nil"/>
              <w:bottom w:val="nil"/>
              <w:right w:val="nil"/>
            </w:tcBorders>
            <w:vAlign w:val="center"/>
          </w:tcPr>
          <w:p>
            <w:pPr>
              <w:widowControl/>
              <w:spacing w:line="560" w:lineRule="exact"/>
              <w:jc w:val="right"/>
              <w:rPr>
                <w:rFonts w:ascii="宋体" w:hAnsi="宋体" w:cs="宋体"/>
                <w:kern w:val="0"/>
                <w:sz w:val="28"/>
                <w:szCs w:val="28"/>
              </w:rPr>
            </w:pPr>
            <w:r>
              <w:rPr>
                <w:rFonts w:hint="eastAsia" w:ascii="宋体" w:hAnsi="宋体" w:cs="宋体"/>
                <w:kern w:val="0"/>
                <w:sz w:val="28"/>
                <w:szCs w:val="28"/>
              </w:rPr>
              <w:t>单位：万元</w:t>
            </w:r>
          </w:p>
        </w:tc>
      </w:tr>
      <w:tr>
        <w:tblPrEx>
          <w:tblCellMar>
            <w:top w:w="0" w:type="dxa"/>
            <w:left w:w="108" w:type="dxa"/>
            <w:bottom w:w="0" w:type="dxa"/>
            <w:right w:w="108" w:type="dxa"/>
          </w:tblCellMar>
        </w:tblPrEx>
        <w:trPr>
          <w:trHeight w:val="865" w:hRule="atLeast"/>
        </w:trPr>
        <w:tc>
          <w:tcPr>
            <w:tcW w:w="2235"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kern w:val="0"/>
                <w:sz w:val="28"/>
                <w:szCs w:val="28"/>
              </w:rPr>
            </w:pPr>
            <w:r>
              <w:rPr>
                <w:rFonts w:hint="eastAsia" w:ascii="宋体" w:hAnsi="宋体" w:cs="宋体"/>
                <w:kern w:val="0"/>
                <w:sz w:val="28"/>
                <w:szCs w:val="28"/>
              </w:rPr>
              <w:t>项目名称</w:t>
            </w:r>
          </w:p>
        </w:tc>
        <w:tc>
          <w:tcPr>
            <w:tcW w:w="1980"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宋体" w:hAnsi="宋体" w:cs="宋体"/>
                <w:kern w:val="0"/>
                <w:sz w:val="28"/>
                <w:szCs w:val="28"/>
              </w:rPr>
            </w:pPr>
            <w:r>
              <w:rPr>
                <w:rFonts w:hint="eastAsia" w:ascii="宋体" w:hAnsi="宋体" w:cs="宋体"/>
                <w:kern w:val="0"/>
                <w:sz w:val="28"/>
                <w:szCs w:val="28"/>
              </w:rPr>
              <w:t>2019年度预算</w:t>
            </w:r>
          </w:p>
        </w:tc>
        <w:tc>
          <w:tcPr>
            <w:tcW w:w="2010"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宋体" w:hAnsi="宋体" w:cs="宋体"/>
                <w:kern w:val="0"/>
                <w:sz w:val="28"/>
                <w:szCs w:val="28"/>
              </w:rPr>
            </w:pPr>
            <w:r>
              <w:rPr>
                <w:rFonts w:hint="eastAsia" w:ascii="宋体" w:hAnsi="宋体" w:cs="宋体"/>
                <w:kern w:val="0"/>
                <w:sz w:val="28"/>
                <w:szCs w:val="28"/>
              </w:rPr>
              <w:t>2020年度预算</w:t>
            </w:r>
          </w:p>
        </w:tc>
        <w:tc>
          <w:tcPr>
            <w:tcW w:w="1485" w:type="dxa"/>
            <w:gridSpan w:val="2"/>
            <w:tcBorders>
              <w:top w:val="single" w:color="auto" w:sz="4" w:space="0"/>
              <w:left w:val="nil"/>
              <w:bottom w:val="single" w:color="auto" w:sz="4" w:space="0"/>
              <w:right w:val="single" w:color="auto" w:sz="4" w:space="0"/>
            </w:tcBorders>
            <w:vAlign w:val="center"/>
          </w:tcPr>
          <w:p>
            <w:pPr>
              <w:widowControl/>
              <w:spacing w:line="560" w:lineRule="exact"/>
              <w:jc w:val="center"/>
              <w:rPr>
                <w:rFonts w:ascii="宋体" w:hAnsi="宋体" w:cs="宋体"/>
                <w:kern w:val="0"/>
                <w:sz w:val="28"/>
                <w:szCs w:val="28"/>
              </w:rPr>
            </w:pPr>
            <w:r>
              <w:rPr>
                <w:rFonts w:hint="eastAsia" w:ascii="宋体" w:hAnsi="宋体" w:cs="宋体"/>
                <w:kern w:val="0"/>
                <w:sz w:val="28"/>
                <w:szCs w:val="28"/>
              </w:rPr>
              <w:t>增减金额</w:t>
            </w:r>
          </w:p>
        </w:tc>
        <w:tc>
          <w:tcPr>
            <w:tcW w:w="2010"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宋体" w:hAnsi="宋体" w:cs="宋体"/>
                <w:kern w:val="0"/>
                <w:sz w:val="28"/>
                <w:szCs w:val="28"/>
              </w:rPr>
            </w:pPr>
            <w:r>
              <w:rPr>
                <w:rFonts w:hint="eastAsia" w:ascii="宋体" w:hAnsi="宋体" w:cs="宋体"/>
                <w:kern w:val="0"/>
                <w:sz w:val="28"/>
                <w:szCs w:val="28"/>
              </w:rPr>
              <w:t>变化原因</w:t>
            </w:r>
          </w:p>
        </w:tc>
      </w:tr>
      <w:tr>
        <w:tblPrEx>
          <w:tblCellMar>
            <w:top w:w="0" w:type="dxa"/>
            <w:left w:w="108" w:type="dxa"/>
            <w:bottom w:w="0" w:type="dxa"/>
            <w:right w:w="108" w:type="dxa"/>
          </w:tblCellMar>
        </w:tblPrEx>
        <w:trPr>
          <w:trHeight w:val="437" w:hRule="atLeast"/>
        </w:trPr>
        <w:tc>
          <w:tcPr>
            <w:tcW w:w="2235" w:type="dxa"/>
            <w:gridSpan w:val="2"/>
            <w:tcBorders>
              <w:top w:val="nil"/>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kern w:val="0"/>
                <w:sz w:val="24"/>
                <w:szCs w:val="24"/>
              </w:rPr>
            </w:pPr>
            <w:r>
              <w:rPr>
                <w:rFonts w:hint="eastAsia" w:ascii="宋体" w:hAnsi="宋体" w:cs="宋体"/>
                <w:kern w:val="0"/>
                <w:sz w:val="24"/>
                <w:szCs w:val="24"/>
              </w:rPr>
              <w:t>因公出国经费</w:t>
            </w:r>
          </w:p>
        </w:tc>
        <w:tc>
          <w:tcPr>
            <w:tcW w:w="1980" w:type="dxa"/>
            <w:tcBorders>
              <w:top w:val="nil"/>
              <w:left w:val="nil"/>
              <w:bottom w:val="single" w:color="auto" w:sz="4" w:space="0"/>
              <w:right w:val="single" w:color="auto" w:sz="4" w:space="0"/>
            </w:tcBorders>
            <w:vAlign w:val="center"/>
          </w:tcPr>
          <w:p>
            <w:pPr>
              <w:widowControl/>
              <w:spacing w:line="560" w:lineRule="exact"/>
              <w:jc w:val="center"/>
              <w:rPr>
                <w:rFonts w:ascii="宋体" w:hAnsi="宋体" w:cs="宋体"/>
                <w:kern w:val="0"/>
                <w:sz w:val="24"/>
                <w:szCs w:val="24"/>
              </w:rPr>
            </w:pPr>
            <w:r>
              <w:rPr>
                <w:rFonts w:hint="eastAsia" w:ascii="宋体" w:hAnsi="宋体" w:cs="宋体"/>
                <w:kern w:val="0"/>
                <w:sz w:val="24"/>
                <w:szCs w:val="24"/>
              </w:rPr>
              <w:t>0</w:t>
            </w:r>
          </w:p>
        </w:tc>
        <w:tc>
          <w:tcPr>
            <w:tcW w:w="2010" w:type="dxa"/>
            <w:tcBorders>
              <w:top w:val="nil"/>
              <w:left w:val="nil"/>
              <w:bottom w:val="single" w:color="auto" w:sz="4" w:space="0"/>
              <w:right w:val="single" w:color="auto" w:sz="4" w:space="0"/>
            </w:tcBorders>
            <w:vAlign w:val="center"/>
          </w:tcPr>
          <w:p>
            <w:pPr>
              <w:widowControl/>
              <w:spacing w:line="560" w:lineRule="exact"/>
              <w:jc w:val="center"/>
              <w:rPr>
                <w:rFonts w:ascii="宋体" w:hAnsi="宋体" w:cs="宋体"/>
                <w:kern w:val="0"/>
                <w:sz w:val="24"/>
                <w:szCs w:val="24"/>
              </w:rPr>
            </w:pPr>
            <w:r>
              <w:rPr>
                <w:rFonts w:hint="eastAsia" w:ascii="宋体" w:hAnsi="宋体" w:cs="宋体"/>
                <w:kern w:val="0"/>
                <w:sz w:val="24"/>
                <w:szCs w:val="24"/>
              </w:rPr>
              <w:t>0</w:t>
            </w:r>
          </w:p>
        </w:tc>
        <w:tc>
          <w:tcPr>
            <w:tcW w:w="1485" w:type="dxa"/>
            <w:gridSpan w:val="2"/>
            <w:tcBorders>
              <w:top w:val="nil"/>
              <w:left w:val="nil"/>
              <w:bottom w:val="single" w:color="auto" w:sz="4" w:space="0"/>
              <w:right w:val="single" w:color="auto" w:sz="4" w:space="0"/>
            </w:tcBorders>
            <w:vAlign w:val="center"/>
          </w:tcPr>
          <w:p>
            <w:pPr>
              <w:widowControl/>
              <w:spacing w:line="560" w:lineRule="exact"/>
              <w:jc w:val="center"/>
              <w:rPr>
                <w:rFonts w:ascii="宋体" w:hAnsi="宋体" w:cs="宋体"/>
                <w:kern w:val="0"/>
                <w:sz w:val="24"/>
                <w:szCs w:val="24"/>
              </w:rPr>
            </w:pPr>
            <w:r>
              <w:rPr>
                <w:rFonts w:hint="eastAsia" w:ascii="宋体" w:hAnsi="宋体" w:cs="宋体"/>
                <w:kern w:val="0"/>
                <w:sz w:val="24"/>
                <w:szCs w:val="24"/>
              </w:rPr>
              <w:t>0</w:t>
            </w:r>
          </w:p>
        </w:tc>
        <w:tc>
          <w:tcPr>
            <w:tcW w:w="2010" w:type="dxa"/>
            <w:tcBorders>
              <w:top w:val="nil"/>
              <w:left w:val="nil"/>
              <w:bottom w:val="single" w:color="auto" w:sz="4" w:space="0"/>
              <w:right w:val="single" w:color="auto" w:sz="4" w:space="0"/>
            </w:tcBorders>
            <w:vAlign w:val="center"/>
          </w:tcPr>
          <w:p>
            <w:pPr>
              <w:widowControl/>
              <w:spacing w:line="560" w:lineRule="exact"/>
              <w:jc w:val="left"/>
              <w:rPr>
                <w:rFonts w:ascii="宋体" w:hAnsi="宋体" w:cs="宋体"/>
                <w:kern w:val="0"/>
                <w:sz w:val="24"/>
                <w:szCs w:val="24"/>
              </w:rPr>
            </w:pPr>
            <w:r>
              <w:rPr>
                <w:rFonts w:hint="eastAsia" w:ascii="宋体" w:hAnsi="宋体" w:cs="宋体"/>
                <w:kern w:val="0"/>
                <w:sz w:val="24"/>
                <w:szCs w:val="24"/>
              </w:rPr>
              <w:t>与上年持平</w:t>
            </w:r>
          </w:p>
        </w:tc>
      </w:tr>
      <w:tr>
        <w:tblPrEx>
          <w:tblCellMar>
            <w:top w:w="0" w:type="dxa"/>
            <w:left w:w="108" w:type="dxa"/>
            <w:bottom w:w="0" w:type="dxa"/>
            <w:right w:w="108" w:type="dxa"/>
          </w:tblCellMar>
        </w:tblPrEx>
        <w:trPr>
          <w:trHeight w:val="520" w:hRule="atLeast"/>
        </w:trPr>
        <w:tc>
          <w:tcPr>
            <w:tcW w:w="2235" w:type="dxa"/>
            <w:gridSpan w:val="2"/>
            <w:tcBorders>
              <w:top w:val="nil"/>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kern w:val="0"/>
                <w:sz w:val="24"/>
                <w:szCs w:val="24"/>
              </w:rPr>
            </w:pPr>
            <w:r>
              <w:rPr>
                <w:rFonts w:hint="eastAsia" w:ascii="宋体" w:hAnsi="宋体" w:cs="宋体"/>
                <w:kern w:val="0"/>
                <w:sz w:val="24"/>
                <w:szCs w:val="24"/>
              </w:rPr>
              <w:t>公务用车购置经费</w:t>
            </w:r>
          </w:p>
        </w:tc>
        <w:tc>
          <w:tcPr>
            <w:tcW w:w="1980" w:type="dxa"/>
            <w:tcBorders>
              <w:top w:val="nil"/>
              <w:left w:val="nil"/>
              <w:bottom w:val="single" w:color="auto" w:sz="4" w:space="0"/>
              <w:right w:val="single" w:color="auto" w:sz="4" w:space="0"/>
            </w:tcBorders>
            <w:vAlign w:val="center"/>
          </w:tcPr>
          <w:p>
            <w:pPr>
              <w:widowControl/>
              <w:spacing w:line="560" w:lineRule="exact"/>
              <w:jc w:val="center"/>
              <w:rPr>
                <w:rFonts w:ascii="宋体" w:hAnsi="宋体" w:cs="宋体"/>
                <w:kern w:val="0"/>
                <w:sz w:val="24"/>
                <w:szCs w:val="24"/>
              </w:rPr>
            </w:pPr>
            <w:r>
              <w:rPr>
                <w:rFonts w:hint="eastAsia" w:ascii="宋体" w:hAnsi="宋体" w:cs="宋体"/>
                <w:kern w:val="0"/>
                <w:sz w:val="24"/>
                <w:szCs w:val="24"/>
              </w:rPr>
              <w:t>0</w:t>
            </w:r>
          </w:p>
        </w:tc>
        <w:tc>
          <w:tcPr>
            <w:tcW w:w="2010" w:type="dxa"/>
            <w:tcBorders>
              <w:top w:val="nil"/>
              <w:left w:val="nil"/>
              <w:bottom w:val="single" w:color="auto" w:sz="4" w:space="0"/>
              <w:right w:val="single" w:color="auto" w:sz="4" w:space="0"/>
            </w:tcBorders>
            <w:vAlign w:val="center"/>
          </w:tcPr>
          <w:p>
            <w:pPr>
              <w:widowControl/>
              <w:spacing w:line="560" w:lineRule="exact"/>
              <w:jc w:val="center"/>
              <w:rPr>
                <w:rFonts w:ascii="宋体" w:hAnsi="宋体" w:cs="宋体"/>
                <w:kern w:val="0"/>
                <w:sz w:val="24"/>
                <w:szCs w:val="24"/>
              </w:rPr>
            </w:pPr>
            <w:r>
              <w:rPr>
                <w:rFonts w:hint="eastAsia" w:ascii="宋体" w:hAnsi="宋体" w:cs="宋体"/>
                <w:kern w:val="0"/>
                <w:sz w:val="24"/>
                <w:szCs w:val="24"/>
              </w:rPr>
              <w:t>0</w:t>
            </w:r>
          </w:p>
        </w:tc>
        <w:tc>
          <w:tcPr>
            <w:tcW w:w="1485" w:type="dxa"/>
            <w:gridSpan w:val="2"/>
            <w:tcBorders>
              <w:top w:val="nil"/>
              <w:left w:val="nil"/>
              <w:bottom w:val="single" w:color="auto" w:sz="4" w:space="0"/>
              <w:right w:val="single" w:color="auto" w:sz="4" w:space="0"/>
            </w:tcBorders>
            <w:vAlign w:val="center"/>
          </w:tcPr>
          <w:p>
            <w:pPr>
              <w:widowControl/>
              <w:spacing w:line="560" w:lineRule="exact"/>
              <w:jc w:val="center"/>
              <w:rPr>
                <w:rFonts w:ascii="宋体" w:hAnsi="宋体" w:cs="宋体"/>
                <w:kern w:val="0"/>
                <w:sz w:val="24"/>
                <w:szCs w:val="24"/>
              </w:rPr>
            </w:pPr>
            <w:r>
              <w:rPr>
                <w:rFonts w:hint="eastAsia" w:ascii="宋体" w:hAnsi="宋体" w:cs="宋体"/>
                <w:kern w:val="0"/>
                <w:sz w:val="24"/>
                <w:szCs w:val="24"/>
              </w:rPr>
              <w:t>0</w:t>
            </w:r>
          </w:p>
        </w:tc>
        <w:tc>
          <w:tcPr>
            <w:tcW w:w="2010" w:type="dxa"/>
            <w:tcBorders>
              <w:top w:val="nil"/>
              <w:left w:val="nil"/>
              <w:bottom w:val="single" w:color="auto" w:sz="4" w:space="0"/>
              <w:right w:val="single" w:color="auto" w:sz="4" w:space="0"/>
            </w:tcBorders>
            <w:vAlign w:val="center"/>
          </w:tcPr>
          <w:p>
            <w:pPr>
              <w:widowControl/>
              <w:spacing w:line="560" w:lineRule="exact"/>
              <w:jc w:val="left"/>
              <w:rPr>
                <w:rFonts w:ascii="宋体" w:hAnsi="宋体" w:cs="宋体"/>
                <w:kern w:val="0"/>
                <w:sz w:val="24"/>
                <w:szCs w:val="24"/>
              </w:rPr>
            </w:pPr>
            <w:r>
              <w:rPr>
                <w:rFonts w:hint="eastAsia" w:ascii="宋体" w:hAnsi="宋体" w:cs="宋体"/>
                <w:kern w:val="0"/>
                <w:sz w:val="24"/>
                <w:szCs w:val="24"/>
              </w:rPr>
              <w:t>与上年持平</w:t>
            </w:r>
          </w:p>
        </w:tc>
      </w:tr>
      <w:tr>
        <w:tblPrEx>
          <w:tblCellMar>
            <w:top w:w="0" w:type="dxa"/>
            <w:left w:w="108" w:type="dxa"/>
            <w:bottom w:w="0" w:type="dxa"/>
            <w:right w:w="108" w:type="dxa"/>
          </w:tblCellMar>
        </w:tblPrEx>
        <w:trPr>
          <w:trHeight w:val="685" w:hRule="atLeast"/>
        </w:trPr>
        <w:tc>
          <w:tcPr>
            <w:tcW w:w="2235" w:type="dxa"/>
            <w:gridSpan w:val="2"/>
            <w:tcBorders>
              <w:top w:val="nil"/>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kern w:val="0"/>
                <w:sz w:val="24"/>
                <w:szCs w:val="24"/>
              </w:rPr>
            </w:pPr>
            <w:r>
              <w:rPr>
                <w:rFonts w:hint="eastAsia" w:ascii="宋体" w:hAnsi="宋体" w:cs="宋体"/>
                <w:kern w:val="0"/>
                <w:sz w:val="24"/>
                <w:szCs w:val="24"/>
              </w:rPr>
              <w:t>公务用车运行经费</w:t>
            </w:r>
          </w:p>
        </w:tc>
        <w:tc>
          <w:tcPr>
            <w:tcW w:w="1980" w:type="dxa"/>
            <w:tcBorders>
              <w:top w:val="nil"/>
              <w:left w:val="nil"/>
              <w:bottom w:val="single" w:color="auto" w:sz="4" w:space="0"/>
              <w:right w:val="single" w:color="auto" w:sz="4" w:space="0"/>
            </w:tcBorders>
            <w:vAlign w:val="center"/>
          </w:tcPr>
          <w:p>
            <w:pPr>
              <w:widowControl/>
              <w:spacing w:line="560" w:lineRule="exact"/>
              <w:jc w:val="center"/>
              <w:rPr>
                <w:rFonts w:ascii="宋体" w:hAnsi="宋体" w:cs="宋体"/>
                <w:kern w:val="0"/>
                <w:sz w:val="24"/>
                <w:szCs w:val="24"/>
              </w:rPr>
            </w:pPr>
            <w:r>
              <w:rPr>
                <w:rFonts w:hint="eastAsia" w:ascii="宋体" w:hAnsi="宋体" w:cs="宋体"/>
                <w:kern w:val="0"/>
                <w:sz w:val="24"/>
                <w:szCs w:val="24"/>
              </w:rPr>
              <w:t>14.4</w:t>
            </w:r>
          </w:p>
        </w:tc>
        <w:tc>
          <w:tcPr>
            <w:tcW w:w="2010" w:type="dxa"/>
            <w:tcBorders>
              <w:top w:val="nil"/>
              <w:left w:val="nil"/>
              <w:bottom w:val="single" w:color="auto" w:sz="4" w:space="0"/>
              <w:right w:val="single" w:color="auto" w:sz="4" w:space="0"/>
            </w:tcBorders>
            <w:vAlign w:val="center"/>
          </w:tcPr>
          <w:p>
            <w:pPr>
              <w:widowControl/>
              <w:spacing w:line="560" w:lineRule="exact"/>
              <w:jc w:val="center"/>
              <w:rPr>
                <w:rFonts w:ascii="宋体" w:hAnsi="宋体" w:cs="宋体"/>
                <w:kern w:val="0"/>
                <w:sz w:val="24"/>
                <w:szCs w:val="24"/>
              </w:rPr>
            </w:pPr>
            <w:r>
              <w:rPr>
                <w:rFonts w:hint="eastAsia" w:ascii="宋体" w:hAnsi="宋体" w:cs="宋体"/>
                <w:kern w:val="0"/>
                <w:sz w:val="24"/>
                <w:szCs w:val="24"/>
              </w:rPr>
              <w:t>14.4</w:t>
            </w:r>
          </w:p>
        </w:tc>
        <w:tc>
          <w:tcPr>
            <w:tcW w:w="1485" w:type="dxa"/>
            <w:gridSpan w:val="2"/>
            <w:tcBorders>
              <w:top w:val="nil"/>
              <w:left w:val="nil"/>
              <w:bottom w:val="single" w:color="auto" w:sz="4" w:space="0"/>
              <w:right w:val="single" w:color="auto" w:sz="4" w:space="0"/>
            </w:tcBorders>
            <w:vAlign w:val="center"/>
          </w:tcPr>
          <w:p>
            <w:pPr>
              <w:widowControl/>
              <w:spacing w:line="560" w:lineRule="exact"/>
              <w:rPr>
                <w:rFonts w:ascii="宋体" w:hAnsi="宋体" w:cs="宋体"/>
                <w:kern w:val="0"/>
                <w:sz w:val="24"/>
                <w:szCs w:val="24"/>
              </w:rPr>
            </w:pPr>
            <w:r>
              <w:rPr>
                <w:rFonts w:hint="eastAsia" w:ascii="宋体" w:hAnsi="宋体" w:cs="宋体"/>
                <w:kern w:val="0"/>
                <w:sz w:val="24"/>
                <w:szCs w:val="24"/>
              </w:rPr>
              <w:t xml:space="preserve">    0</w:t>
            </w:r>
          </w:p>
        </w:tc>
        <w:tc>
          <w:tcPr>
            <w:tcW w:w="2010" w:type="dxa"/>
            <w:tcBorders>
              <w:top w:val="nil"/>
              <w:left w:val="nil"/>
              <w:bottom w:val="single" w:color="auto" w:sz="4" w:space="0"/>
              <w:right w:val="single" w:color="auto" w:sz="4" w:space="0"/>
            </w:tcBorders>
            <w:vAlign w:val="center"/>
          </w:tcPr>
          <w:p>
            <w:pPr>
              <w:widowControl/>
              <w:spacing w:line="560" w:lineRule="exact"/>
              <w:jc w:val="left"/>
              <w:rPr>
                <w:rFonts w:ascii="宋体" w:hAnsi="宋体" w:cs="宋体"/>
                <w:kern w:val="0"/>
                <w:sz w:val="24"/>
                <w:szCs w:val="24"/>
              </w:rPr>
            </w:pPr>
            <w:r>
              <w:rPr>
                <w:rFonts w:hint="eastAsia" w:ascii="宋体" w:hAnsi="宋体" w:cs="宋体"/>
                <w:kern w:val="0"/>
                <w:sz w:val="24"/>
                <w:szCs w:val="24"/>
              </w:rPr>
              <w:t>与上年持平</w:t>
            </w:r>
          </w:p>
        </w:tc>
      </w:tr>
      <w:tr>
        <w:tblPrEx>
          <w:tblCellMar>
            <w:top w:w="0" w:type="dxa"/>
            <w:left w:w="108" w:type="dxa"/>
            <w:bottom w:w="0" w:type="dxa"/>
            <w:right w:w="108" w:type="dxa"/>
          </w:tblCellMar>
        </w:tblPrEx>
        <w:trPr>
          <w:trHeight w:val="535" w:hRule="atLeast"/>
        </w:trPr>
        <w:tc>
          <w:tcPr>
            <w:tcW w:w="2235" w:type="dxa"/>
            <w:gridSpan w:val="2"/>
            <w:tcBorders>
              <w:top w:val="nil"/>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kern w:val="0"/>
                <w:sz w:val="24"/>
                <w:szCs w:val="24"/>
              </w:rPr>
            </w:pPr>
            <w:r>
              <w:rPr>
                <w:rFonts w:hint="eastAsia" w:ascii="宋体" w:hAnsi="宋体" w:cs="宋体"/>
                <w:kern w:val="0"/>
                <w:sz w:val="24"/>
                <w:szCs w:val="24"/>
              </w:rPr>
              <w:t>公务接待费支出</w:t>
            </w:r>
          </w:p>
        </w:tc>
        <w:tc>
          <w:tcPr>
            <w:tcW w:w="1980" w:type="dxa"/>
            <w:tcBorders>
              <w:top w:val="nil"/>
              <w:left w:val="nil"/>
              <w:bottom w:val="single" w:color="auto" w:sz="4" w:space="0"/>
              <w:right w:val="single" w:color="auto" w:sz="4" w:space="0"/>
            </w:tcBorders>
            <w:vAlign w:val="center"/>
          </w:tcPr>
          <w:p>
            <w:pPr>
              <w:widowControl/>
              <w:spacing w:line="560" w:lineRule="exact"/>
              <w:jc w:val="center"/>
              <w:rPr>
                <w:rFonts w:ascii="宋体" w:hAnsi="宋体" w:cs="宋体"/>
                <w:kern w:val="0"/>
                <w:sz w:val="24"/>
                <w:szCs w:val="24"/>
              </w:rPr>
            </w:pPr>
            <w:r>
              <w:rPr>
                <w:rFonts w:hint="eastAsia" w:ascii="宋体" w:hAnsi="宋体" w:cs="宋体"/>
                <w:kern w:val="0"/>
                <w:sz w:val="24"/>
                <w:szCs w:val="24"/>
              </w:rPr>
              <w:t>2</w:t>
            </w:r>
          </w:p>
        </w:tc>
        <w:tc>
          <w:tcPr>
            <w:tcW w:w="2010" w:type="dxa"/>
            <w:tcBorders>
              <w:top w:val="nil"/>
              <w:left w:val="nil"/>
              <w:bottom w:val="single" w:color="auto" w:sz="4" w:space="0"/>
              <w:right w:val="single" w:color="auto" w:sz="4" w:space="0"/>
            </w:tcBorders>
            <w:vAlign w:val="center"/>
          </w:tcPr>
          <w:p>
            <w:pPr>
              <w:widowControl/>
              <w:spacing w:line="560" w:lineRule="exact"/>
              <w:jc w:val="center"/>
              <w:rPr>
                <w:rFonts w:ascii="宋体" w:hAnsi="宋体" w:cs="宋体"/>
                <w:kern w:val="0"/>
                <w:sz w:val="24"/>
                <w:szCs w:val="24"/>
              </w:rPr>
            </w:pPr>
            <w:r>
              <w:rPr>
                <w:rFonts w:hint="eastAsia" w:ascii="宋体" w:hAnsi="宋体" w:cs="宋体"/>
                <w:kern w:val="0"/>
                <w:sz w:val="24"/>
                <w:szCs w:val="24"/>
              </w:rPr>
              <w:t>2</w:t>
            </w:r>
          </w:p>
        </w:tc>
        <w:tc>
          <w:tcPr>
            <w:tcW w:w="1485" w:type="dxa"/>
            <w:gridSpan w:val="2"/>
            <w:tcBorders>
              <w:top w:val="nil"/>
              <w:left w:val="nil"/>
              <w:bottom w:val="single" w:color="auto" w:sz="4" w:space="0"/>
              <w:right w:val="single" w:color="auto" w:sz="4" w:space="0"/>
            </w:tcBorders>
            <w:vAlign w:val="center"/>
          </w:tcPr>
          <w:p>
            <w:pPr>
              <w:widowControl/>
              <w:spacing w:line="560" w:lineRule="exact"/>
              <w:jc w:val="center"/>
              <w:rPr>
                <w:rFonts w:ascii="宋体" w:hAnsi="宋体" w:cs="宋体"/>
                <w:kern w:val="0"/>
                <w:sz w:val="24"/>
                <w:szCs w:val="24"/>
              </w:rPr>
            </w:pPr>
            <w:r>
              <w:rPr>
                <w:rFonts w:hint="eastAsia" w:ascii="宋体" w:hAnsi="宋体" w:cs="宋体"/>
                <w:kern w:val="0"/>
                <w:sz w:val="24"/>
                <w:szCs w:val="24"/>
              </w:rPr>
              <w:t>0</w:t>
            </w:r>
          </w:p>
        </w:tc>
        <w:tc>
          <w:tcPr>
            <w:tcW w:w="2010" w:type="dxa"/>
            <w:tcBorders>
              <w:top w:val="nil"/>
              <w:left w:val="nil"/>
              <w:bottom w:val="single" w:color="auto" w:sz="4" w:space="0"/>
              <w:right w:val="single" w:color="auto" w:sz="4" w:space="0"/>
            </w:tcBorders>
            <w:vAlign w:val="center"/>
          </w:tcPr>
          <w:p>
            <w:pPr>
              <w:widowControl/>
              <w:spacing w:line="560" w:lineRule="exact"/>
              <w:jc w:val="left"/>
              <w:rPr>
                <w:rFonts w:ascii="宋体" w:hAnsi="宋体" w:cs="宋体"/>
                <w:kern w:val="0"/>
                <w:sz w:val="24"/>
                <w:szCs w:val="24"/>
              </w:rPr>
            </w:pPr>
            <w:r>
              <w:rPr>
                <w:rFonts w:hint="eastAsia" w:ascii="宋体" w:hAnsi="宋体" w:cs="宋体"/>
                <w:kern w:val="0"/>
                <w:sz w:val="24"/>
                <w:szCs w:val="24"/>
              </w:rPr>
              <w:t>与上年持平</w:t>
            </w:r>
          </w:p>
        </w:tc>
      </w:tr>
      <w:tr>
        <w:tblPrEx>
          <w:tblCellMar>
            <w:top w:w="0" w:type="dxa"/>
            <w:left w:w="108" w:type="dxa"/>
            <w:bottom w:w="0" w:type="dxa"/>
            <w:right w:w="108" w:type="dxa"/>
          </w:tblCellMar>
        </w:tblPrEx>
        <w:trPr>
          <w:trHeight w:val="581" w:hRule="atLeast"/>
        </w:trPr>
        <w:tc>
          <w:tcPr>
            <w:tcW w:w="2235" w:type="dxa"/>
            <w:gridSpan w:val="2"/>
            <w:tcBorders>
              <w:top w:val="nil"/>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kern w:val="0"/>
                <w:sz w:val="24"/>
                <w:szCs w:val="24"/>
              </w:rPr>
            </w:pPr>
            <w:r>
              <w:rPr>
                <w:rFonts w:hint="eastAsia" w:ascii="宋体" w:hAnsi="宋体" w:cs="宋体"/>
                <w:kern w:val="0"/>
                <w:sz w:val="24"/>
                <w:szCs w:val="24"/>
              </w:rPr>
              <w:t>合计</w:t>
            </w:r>
          </w:p>
        </w:tc>
        <w:tc>
          <w:tcPr>
            <w:tcW w:w="1980" w:type="dxa"/>
            <w:tcBorders>
              <w:top w:val="nil"/>
              <w:left w:val="nil"/>
              <w:bottom w:val="single" w:color="auto" w:sz="4" w:space="0"/>
              <w:right w:val="single" w:color="auto" w:sz="4" w:space="0"/>
            </w:tcBorders>
            <w:vAlign w:val="center"/>
          </w:tcPr>
          <w:p>
            <w:pPr>
              <w:widowControl/>
              <w:spacing w:line="560" w:lineRule="exact"/>
              <w:jc w:val="center"/>
              <w:rPr>
                <w:rFonts w:ascii="宋体" w:hAnsi="宋体" w:cs="宋体"/>
                <w:kern w:val="0"/>
                <w:sz w:val="24"/>
                <w:szCs w:val="24"/>
              </w:rPr>
            </w:pPr>
            <w:r>
              <w:rPr>
                <w:rFonts w:hint="eastAsia" w:ascii="宋体" w:hAnsi="宋体" w:cs="宋体"/>
                <w:kern w:val="0"/>
                <w:sz w:val="24"/>
                <w:szCs w:val="24"/>
              </w:rPr>
              <w:t>16.4</w:t>
            </w:r>
          </w:p>
        </w:tc>
        <w:tc>
          <w:tcPr>
            <w:tcW w:w="2010" w:type="dxa"/>
            <w:tcBorders>
              <w:top w:val="nil"/>
              <w:left w:val="nil"/>
              <w:bottom w:val="single" w:color="auto" w:sz="4" w:space="0"/>
              <w:right w:val="single" w:color="auto" w:sz="4" w:space="0"/>
            </w:tcBorders>
            <w:vAlign w:val="center"/>
          </w:tcPr>
          <w:p>
            <w:pPr>
              <w:widowControl/>
              <w:spacing w:line="560" w:lineRule="exact"/>
              <w:jc w:val="center"/>
              <w:rPr>
                <w:rFonts w:ascii="宋体" w:hAnsi="宋体" w:cs="宋体"/>
                <w:kern w:val="0"/>
                <w:sz w:val="24"/>
                <w:szCs w:val="24"/>
              </w:rPr>
            </w:pPr>
            <w:r>
              <w:rPr>
                <w:rFonts w:hint="eastAsia" w:ascii="宋体" w:hAnsi="宋体" w:cs="宋体"/>
                <w:kern w:val="0"/>
                <w:sz w:val="24"/>
                <w:szCs w:val="24"/>
              </w:rPr>
              <w:t>16.4</w:t>
            </w:r>
          </w:p>
        </w:tc>
        <w:tc>
          <w:tcPr>
            <w:tcW w:w="1485" w:type="dxa"/>
            <w:gridSpan w:val="2"/>
            <w:tcBorders>
              <w:top w:val="nil"/>
              <w:left w:val="nil"/>
              <w:bottom w:val="single" w:color="auto" w:sz="4" w:space="0"/>
              <w:right w:val="single" w:color="auto" w:sz="4" w:space="0"/>
            </w:tcBorders>
            <w:vAlign w:val="center"/>
          </w:tcPr>
          <w:p>
            <w:pPr>
              <w:widowControl/>
              <w:spacing w:line="560" w:lineRule="exact"/>
              <w:jc w:val="center"/>
              <w:rPr>
                <w:rFonts w:ascii="宋体" w:hAnsi="宋体" w:cs="宋体"/>
                <w:kern w:val="0"/>
                <w:sz w:val="24"/>
                <w:szCs w:val="24"/>
              </w:rPr>
            </w:pPr>
            <w:r>
              <w:rPr>
                <w:rFonts w:hint="eastAsia" w:ascii="宋体" w:hAnsi="宋体" w:cs="宋体"/>
                <w:kern w:val="0"/>
                <w:sz w:val="24"/>
                <w:szCs w:val="24"/>
              </w:rPr>
              <w:t>0</w:t>
            </w:r>
          </w:p>
        </w:tc>
        <w:tc>
          <w:tcPr>
            <w:tcW w:w="2010" w:type="dxa"/>
            <w:tcBorders>
              <w:top w:val="nil"/>
              <w:left w:val="nil"/>
              <w:bottom w:val="single" w:color="auto" w:sz="4" w:space="0"/>
              <w:right w:val="single" w:color="auto" w:sz="4" w:space="0"/>
            </w:tcBorders>
            <w:vAlign w:val="center"/>
          </w:tcPr>
          <w:p>
            <w:pPr>
              <w:widowControl/>
              <w:spacing w:line="560" w:lineRule="exact"/>
              <w:jc w:val="left"/>
              <w:rPr>
                <w:rFonts w:ascii="宋体" w:hAnsi="宋体" w:cs="宋体"/>
                <w:kern w:val="0"/>
                <w:sz w:val="24"/>
                <w:szCs w:val="24"/>
              </w:rPr>
            </w:pPr>
            <w:r>
              <w:rPr>
                <w:rFonts w:hint="eastAsia" w:ascii="宋体" w:hAnsi="宋体" w:cs="宋体"/>
                <w:kern w:val="0"/>
                <w:sz w:val="24"/>
                <w:szCs w:val="24"/>
              </w:rPr>
              <w:t>与上年持平</w:t>
            </w:r>
          </w:p>
        </w:tc>
      </w:tr>
      <w:tr>
        <w:tblPrEx>
          <w:tblCellMar>
            <w:top w:w="0" w:type="dxa"/>
            <w:left w:w="108" w:type="dxa"/>
            <w:bottom w:w="0" w:type="dxa"/>
            <w:right w:w="108" w:type="dxa"/>
          </w:tblCellMar>
        </w:tblPrEx>
        <w:trPr>
          <w:trHeight w:val="437" w:hRule="atLeast"/>
        </w:trPr>
        <w:tc>
          <w:tcPr>
            <w:tcW w:w="2107" w:type="dxa"/>
            <w:tcBorders>
              <w:top w:val="nil"/>
              <w:left w:val="nil"/>
              <w:bottom w:val="nil"/>
              <w:right w:val="nil"/>
            </w:tcBorders>
            <w:vAlign w:val="center"/>
          </w:tcPr>
          <w:p>
            <w:pPr>
              <w:widowControl/>
              <w:spacing w:line="560" w:lineRule="exact"/>
              <w:jc w:val="left"/>
              <w:rPr>
                <w:rFonts w:ascii="宋体" w:hAnsi="宋体" w:cs="宋体"/>
                <w:kern w:val="0"/>
                <w:sz w:val="28"/>
                <w:szCs w:val="28"/>
              </w:rPr>
            </w:pPr>
          </w:p>
        </w:tc>
        <w:tc>
          <w:tcPr>
            <w:tcW w:w="2108" w:type="dxa"/>
            <w:gridSpan w:val="2"/>
            <w:tcBorders>
              <w:top w:val="nil"/>
              <w:left w:val="nil"/>
              <w:bottom w:val="nil"/>
              <w:right w:val="nil"/>
            </w:tcBorders>
            <w:vAlign w:val="center"/>
          </w:tcPr>
          <w:p>
            <w:pPr>
              <w:widowControl/>
              <w:spacing w:line="560" w:lineRule="exact"/>
              <w:jc w:val="left"/>
              <w:rPr>
                <w:rFonts w:ascii="宋体" w:hAnsi="宋体" w:cs="宋体"/>
                <w:kern w:val="0"/>
                <w:sz w:val="28"/>
                <w:szCs w:val="28"/>
              </w:rPr>
            </w:pPr>
          </w:p>
        </w:tc>
        <w:tc>
          <w:tcPr>
            <w:tcW w:w="2010" w:type="dxa"/>
            <w:tcBorders>
              <w:top w:val="nil"/>
              <w:left w:val="nil"/>
              <w:bottom w:val="nil"/>
              <w:right w:val="nil"/>
            </w:tcBorders>
            <w:vAlign w:val="center"/>
          </w:tcPr>
          <w:p>
            <w:pPr>
              <w:widowControl/>
              <w:spacing w:line="560" w:lineRule="exact"/>
              <w:jc w:val="left"/>
              <w:rPr>
                <w:rFonts w:ascii="宋体" w:hAnsi="宋体" w:cs="宋体"/>
                <w:kern w:val="0"/>
                <w:sz w:val="28"/>
                <w:szCs w:val="28"/>
              </w:rPr>
            </w:pPr>
          </w:p>
        </w:tc>
        <w:tc>
          <w:tcPr>
            <w:tcW w:w="1380" w:type="dxa"/>
            <w:tcBorders>
              <w:top w:val="nil"/>
              <w:left w:val="nil"/>
              <w:bottom w:val="nil"/>
              <w:right w:val="nil"/>
            </w:tcBorders>
            <w:vAlign w:val="center"/>
          </w:tcPr>
          <w:p>
            <w:pPr>
              <w:widowControl/>
              <w:spacing w:line="560" w:lineRule="exact"/>
              <w:jc w:val="left"/>
              <w:rPr>
                <w:rFonts w:ascii="宋体" w:hAnsi="宋体" w:cs="宋体"/>
                <w:kern w:val="0"/>
                <w:sz w:val="28"/>
                <w:szCs w:val="28"/>
              </w:rPr>
            </w:pPr>
          </w:p>
        </w:tc>
        <w:tc>
          <w:tcPr>
            <w:tcW w:w="2115" w:type="dxa"/>
            <w:gridSpan w:val="2"/>
            <w:tcBorders>
              <w:top w:val="nil"/>
              <w:left w:val="nil"/>
              <w:bottom w:val="nil"/>
              <w:right w:val="nil"/>
            </w:tcBorders>
            <w:vAlign w:val="center"/>
          </w:tcPr>
          <w:p>
            <w:pPr>
              <w:widowControl/>
              <w:spacing w:line="560" w:lineRule="exact"/>
              <w:jc w:val="left"/>
              <w:rPr>
                <w:rFonts w:ascii="宋体" w:hAnsi="宋体" w:cs="宋体"/>
                <w:kern w:val="0"/>
                <w:sz w:val="28"/>
                <w:szCs w:val="28"/>
              </w:rPr>
            </w:pPr>
          </w:p>
        </w:tc>
      </w:tr>
    </w:tbl>
    <w:p>
      <w:pPr>
        <w:spacing w:line="500" w:lineRule="exact"/>
        <w:ind w:firstLine="640" w:firstLineChars="200"/>
        <w:jc w:val="left"/>
        <w:rPr>
          <w:rFonts w:ascii="仿宋" w:hAnsi="仿宋" w:eastAsia="仿宋" w:cs="仿宋"/>
          <w:sz w:val="32"/>
          <w:szCs w:val="32"/>
        </w:rPr>
      </w:pPr>
    </w:p>
    <w:p>
      <w:pPr>
        <w:spacing w:line="500" w:lineRule="exact"/>
        <w:ind w:firstLine="640" w:firstLineChars="200"/>
        <w:jc w:val="left"/>
        <w:rPr>
          <w:rFonts w:ascii="仿宋" w:hAnsi="仿宋" w:eastAsia="仿宋" w:cs="仿宋"/>
          <w:sz w:val="32"/>
          <w:szCs w:val="32"/>
        </w:rPr>
      </w:pPr>
    </w:p>
    <w:p>
      <w:pPr>
        <w:spacing w:line="500" w:lineRule="exact"/>
        <w:ind w:firstLine="640" w:firstLineChars="200"/>
        <w:jc w:val="left"/>
        <w:rPr>
          <w:rFonts w:ascii="仿宋" w:hAnsi="仿宋" w:eastAsia="仿宋" w:cs="仿宋"/>
          <w:sz w:val="32"/>
          <w:szCs w:val="32"/>
        </w:rPr>
      </w:pPr>
    </w:p>
    <w:p>
      <w:pPr>
        <w:spacing w:line="500" w:lineRule="exact"/>
        <w:ind w:firstLine="640" w:firstLineChars="200"/>
        <w:jc w:val="left"/>
        <w:rPr>
          <w:rFonts w:ascii="仿宋" w:hAnsi="仿宋" w:eastAsia="仿宋" w:cs="仿宋"/>
          <w:sz w:val="32"/>
          <w:szCs w:val="32"/>
        </w:rPr>
      </w:pPr>
    </w:p>
    <w:p>
      <w:pPr>
        <w:spacing w:line="500" w:lineRule="exact"/>
        <w:ind w:firstLine="640" w:firstLineChars="200"/>
        <w:jc w:val="left"/>
        <w:rPr>
          <w:rFonts w:ascii="仿宋" w:hAnsi="仿宋" w:eastAsia="仿宋" w:cs="仿宋"/>
          <w:sz w:val="32"/>
          <w:szCs w:val="32"/>
        </w:rPr>
      </w:pPr>
    </w:p>
    <w:p>
      <w:pPr>
        <w:spacing w:line="500" w:lineRule="exact"/>
        <w:ind w:firstLine="640" w:firstLineChars="200"/>
        <w:jc w:val="left"/>
        <w:rPr>
          <w:rFonts w:ascii="仿宋" w:hAnsi="仿宋" w:eastAsia="仿宋" w:cs="仿宋"/>
          <w:sz w:val="32"/>
          <w:szCs w:val="32"/>
        </w:rPr>
      </w:pP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五、绩效预算信息情况</w:t>
      </w:r>
    </w:p>
    <w:p>
      <w:pPr>
        <w:spacing w:line="500" w:lineRule="exact"/>
        <w:jc w:val="left"/>
        <w:outlineLvl w:val="0"/>
        <w:rPr>
          <w:rFonts w:ascii="仿宋" w:hAnsi="仿宋" w:eastAsia="仿宋" w:cs="仿宋"/>
          <w:sz w:val="32"/>
          <w:szCs w:val="32"/>
        </w:rPr>
      </w:pPr>
      <w:r>
        <w:rPr>
          <w:rFonts w:hint="eastAsia" w:ascii="黑体" w:eastAsia="黑体"/>
          <w:sz w:val="28"/>
        </w:rPr>
        <w:t xml:space="preserve">   </w:t>
      </w:r>
      <w:r>
        <w:rPr>
          <w:rFonts w:hint="eastAsia" w:ascii="仿宋" w:hAnsi="仿宋" w:eastAsia="仿宋" w:cs="仿宋"/>
          <w:sz w:val="32"/>
          <w:szCs w:val="32"/>
        </w:rPr>
        <w:t xml:space="preserve"> 第一部分  部门整体绩效目标</w:t>
      </w:r>
    </w:p>
    <w:p>
      <w:pPr>
        <w:spacing w:line="500" w:lineRule="exact"/>
        <w:ind w:firstLine="640" w:firstLineChars="200"/>
        <w:rPr>
          <w:rFonts w:ascii="仿宋" w:hAnsi="仿宋" w:eastAsia="仿宋" w:cs="仿宋"/>
          <w:sz w:val="32"/>
          <w:szCs w:val="32"/>
        </w:rPr>
      </w:pPr>
      <w:r>
        <w:rPr>
          <w:rFonts w:hint="eastAsia" w:ascii="黑体" w:hAnsi="黑体" w:eastAsia="黑体" w:cs="黑体"/>
          <w:sz w:val="32"/>
          <w:szCs w:val="32"/>
        </w:rPr>
        <w:t>一、总体绩效目标</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2020年，在县委、县政府的正确领导下，我局紧紧围绕我县发展规划和总体部署，进一步推进水利工程项目建设进展，努力做到“水利工程补短板，水利行业强监管”的总体要求。2020年主要做好以下水利工作：</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 1、按要求完成工程建设任务。</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 2、积极谋划项目，争取上级专项资金的支持。</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 3、进一步抓好防汛抗旱工作。</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 4、加强水资源管理，大力推进农业、工业节水。</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 5、继续落实河长制责任，推进河湖清理深度治理。</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 6、严格水</w:t>
      </w:r>
      <w:r>
        <w:rPr>
          <w:rFonts w:hint="eastAsia" w:ascii="仿宋" w:hAnsi="仿宋" w:eastAsia="仿宋" w:cs="仿宋"/>
          <w:sz w:val="32"/>
          <w:szCs w:val="32"/>
          <w:lang w:eastAsia="zh-CN"/>
        </w:rPr>
        <w:t>行政</w:t>
      </w:r>
      <w:bookmarkStart w:id="18" w:name="_GoBack"/>
      <w:bookmarkEnd w:id="18"/>
      <w:r>
        <w:rPr>
          <w:rFonts w:hint="eastAsia" w:ascii="仿宋" w:hAnsi="仿宋" w:eastAsia="仿宋" w:cs="仿宋"/>
          <w:sz w:val="32"/>
          <w:szCs w:val="32"/>
        </w:rPr>
        <w:t>执法，保护水生态环境。</w:t>
      </w:r>
    </w:p>
    <w:p>
      <w:pPr>
        <w:spacing w:line="500" w:lineRule="exact"/>
        <w:ind w:firstLine="643" w:firstLineChars="200"/>
        <w:jc w:val="left"/>
        <w:rPr>
          <w:rFonts w:ascii="仿宋" w:hAnsi="仿宋" w:eastAsia="仿宋" w:cs="仿宋"/>
          <w:b/>
          <w:bCs/>
          <w:sz w:val="32"/>
          <w:szCs w:val="32"/>
        </w:rPr>
      </w:pP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二、分项绩效目标</w:t>
      </w:r>
    </w:p>
    <w:p>
      <w:pPr>
        <w:spacing w:line="500" w:lineRule="exact"/>
        <w:jc w:val="left"/>
        <w:rPr>
          <w:rFonts w:ascii="仿宋" w:hAnsi="仿宋" w:eastAsia="仿宋" w:cs="仿宋"/>
          <w:b/>
          <w:bCs/>
          <w:sz w:val="32"/>
          <w:szCs w:val="32"/>
        </w:rPr>
      </w:pPr>
      <w:r>
        <w:rPr>
          <w:rFonts w:hint="eastAsia" w:ascii="宋体" w:hAnsi="宋体"/>
          <w:sz w:val="32"/>
          <w:szCs w:val="32"/>
        </w:rPr>
        <w:t xml:space="preserve">  </w:t>
      </w:r>
      <w:r>
        <w:rPr>
          <w:rFonts w:hint="eastAsia" w:ascii="仿宋" w:hAnsi="仿宋" w:eastAsia="仿宋" w:cs="仿宋"/>
          <w:b/>
          <w:bCs/>
          <w:sz w:val="32"/>
          <w:szCs w:val="32"/>
        </w:rPr>
        <w:t xml:space="preserve">  1、确保城区居民饮用合格江水。</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绩效目标：完成上级核定消纳江水量360万方的任务，确保城区居民喝上合格江水。</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绩效指标：按时缴纳引江水费，不超过年初预算数，使公众满意度在90%以上。</w:t>
      </w:r>
    </w:p>
    <w:p>
      <w:pPr>
        <w:spacing w:line="500" w:lineRule="exact"/>
        <w:jc w:val="left"/>
        <w:rPr>
          <w:rFonts w:ascii="宋体" w:hAnsi="宋体"/>
          <w:sz w:val="32"/>
          <w:szCs w:val="32"/>
        </w:rPr>
      </w:pPr>
      <w:r>
        <w:rPr>
          <w:rFonts w:hint="eastAsia" w:ascii="宋体" w:hAnsi="宋体"/>
          <w:sz w:val="32"/>
          <w:szCs w:val="32"/>
        </w:rPr>
        <w:t xml:space="preserve">   </w:t>
      </w:r>
      <w:r>
        <w:rPr>
          <w:rFonts w:hint="eastAsia" w:ascii="仿宋" w:hAnsi="仿宋" w:eastAsia="仿宋" w:cs="仿宋"/>
          <w:b/>
          <w:bCs/>
          <w:sz w:val="32"/>
          <w:szCs w:val="32"/>
        </w:rPr>
        <w:t xml:space="preserve"> 2、完善城区配水管网后期工作，支付后期监理费用。</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绩效目标：加强工程质量监理，确保工程质量合格。</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绩效指标：不超年初预算数，按要求填报监理手续。使公众满意度在90%以上。</w:t>
      </w:r>
    </w:p>
    <w:p>
      <w:pPr>
        <w:spacing w:line="500" w:lineRule="exact"/>
        <w:jc w:val="left"/>
        <w:rPr>
          <w:rFonts w:ascii="宋体" w:hAnsi="宋体"/>
          <w:sz w:val="32"/>
          <w:szCs w:val="32"/>
        </w:rPr>
      </w:pPr>
      <w:r>
        <w:rPr>
          <w:rFonts w:hint="eastAsia" w:ascii="宋体" w:hAnsi="宋体"/>
          <w:sz w:val="32"/>
          <w:szCs w:val="32"/>
        </w:rPr>
        <w:t xml:space="preserve">   </w:t>
      </w:r>
      <w:r>
        <w:rPr>
          <w:rFonts w:hint="eastAsia" w:ascii="仿宋" w:hAnsi="仿宋" w:eastAsia="仿宋" w:cs="仿宋"/>
          <w:b/>
          <w:bCs/>
          <w:sz w:val="32"/>
          <w:szCs w:val="32"/>
        </w:rPr>
        <w:t xml:space="preserve"> 3、加强对山洪灾害的预警，确保全县人民安全度汛。</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绩效目标：确保该系统发挥正常预警作用，确保人民群众生命财产安全。</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绩效指标：加强有效预警预报，确保正常运行，公众满意度在90%以上。</w:t>
      </w:r>
    </w:p>
    <w:p>
      <w:pPr>
        <w:spacing w:line="500" w:lineRule="exact"/>
        <w:jc w:val="left"/>
        <w:rPr>
          <w:rFonts w:ascii="仿宋" w:hAnsi="仿宋" w:eastAsia="仿宋" w:cs="仿宋"/>
          <w:b/>
          <w:bCs/>
          <w:sz w:val="32"/>
          <w:szCs w:val="32"/>
        </w:rPr>
      </w:pPr>
      <w:r>
        <w:rPr>
          <w:rFonts w:hint="eastAsia" w:ascii="宋体" w:hAnsi="宋体"/>
          <w:sz w:val="32"/>
          <w:szCs w:val="32"/>
        </w:rPr>
        <w:t xml:space="preserve"> </w:t>
      </w:r>
      <w:r>
        <w:rPr>
          <w:rFonts w:ascii="宋体" w:hAnsi="宋体"/>
          <w:sz w:val="32"/>
          <w:szCs w:val="32"/>
        </w:rPr>
        <w:t xml:space="preserve"> </w:t>
      </w:r>
      <w:r>
        <w:rPr>
          <w:rFonts w:hint="eastAsia" w:ascii="仿宋" w:hAnsi="仿宋" w:eastAsia="仿宋" w:cs="仿宋"/>
          <w:b/>
          <w:bCs/>
          <w:sz w:val="32"/>
          <w:szCs w:val="32"/>
        </w:rPr>
        <w:t xml:space="preserve"> 4、2020年继续对大中型水库移民进行直补资金发放和项目建设。</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绩效目标：按时发放移民直补资金，落实水库移民政策，对水库移民村基础设施进行有效改善。</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 绩效指标：水库移民按照每人每年600元标准及时足额发放，加强项目管理，不断提高水库移民的生产生活水平，使水库移民满意度不低于90%。</w:t>
      </w:r>
    </w:p>
    <w:p>
      <w:pPr>
        <w:spacing w:line="500" w:lineRule="exact"/>
        <w:ind w:firstLine="643" w:firstLineChars="200"/>
        <w:jc w:val="left"/>
        <w:rPr>
          <w:rFonts w:ascii="宋体" w:hAnsi="宋体"/>
          <w:sz w:val="32"/>
          <w:szCs w:val="32"/>
        </w:rPr>
      </w:pPr>
      <w:r>
        <w:rPr>
          <w:rFonts w:hint="eastAsia" w:ascii="仿宋" w:hAnsi="仿宋" w:eastAsia="仿宋" w:cs="仿宋"/>
          <w:b/>
          <w:bCs/>
          <w:sz w:val="32"/>
          <w:szCs w:val="32"/>
        </w:rPr>
        <w:t>5、积极推进峨峪水库除险加固工程。</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绩效目标：消除病险水库的安全隐患，确保水库安全运行。</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绩效指标：确保工程质量合格，减少事故发生。公众满意度在90%以上。</w:t>
      </w:r>
    </w:p>
    <w:p>
      <w:pPr>
        <w:spacing w:line="500" w:lineRule="exact"/>
        <w:jc w:val="left"/>
        <w:rPr>
          <w:rFonts w:ascii="仿宋" w:hAnsi="仿宋" w:eastAsia="仿宋" w:cs="仿宋"/>
          <w:b/>
          <w:bCs/>
          <w:sz w:val="32"/>
          <w:szCs w:val="32"/>
        </w:rPr>
      </w:pPr>
      <w:r>
        <w:rPr>
          <w:rFonts w:hint="eastAsia" w:ascii="宋体" w:hAnsi="宋体"/>
          <w:sz w:val="32"/>
          <w:szCs w:val="32"/>
        </w:rPr>
        <w:t xml:space="preserve">  </w:t>
      </w:r>
      <w:r>
        <w:rPr>
          <w:rFonts w:hint="eastAsia" w:ascii="仿宋" w:hAnsi="仿宋" w:eastAsia="仿宋" w:cs="仿宋"/>
          <w:b/>
          <w:bCs/>
          <w:sz w:val="32"/>
          <w:szCs w:val="32"/>
        </w:rPr>
        <w:t xml:space="preserve">  6、完成非农用水户在线监测系统安装。</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绩效目标：对超采地下水监控、监测，防治超采地下水。</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绩效指标：填埋城区供水覆盖范围内的自备井，使地下水位稳步回升。使公众满意度在90%以上。</w:t>
      </w:r>
    </w:p>
    <w:p>
      <w:pPr>
        <w:spacing w:line="500" w:lineRule="exact"/>
        <w:ind w:firstLine="643" w:firstLineChars="200"/>
        <w:jc w:val="left"/>
        <w:rPr>
          <w:rFonts w:ascii="宋体" w:hAnsi="宋体"/>
          <w:sz w:val="32"/>
          <w:szCs w:val="32"/>
        </w:rPr>
      </w:pPr>
      <w:r>
        <w:rPr>
          <w:rFonts w:hint="eastAsia" w:ascii="仿宋" w:hAnsi="仿宋" w:eastAsia="仿宋" w:cs="仿宋"/>
          <w:b/>
          <w:bCs/>
          <w:sz w:val="32"/>
          <w:szCs w:val="32"/>
        </w:rPr>
        <w:t>7、全面落实河长制工作制度，积极推进河湖综合治理。</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 绩效目标：加强对河湖管理，全面落实责任制。</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 绩效指标：加强对河湖巡查，发现问题及时处理。公众满意度在90%以上。</w:t>
      </w:r>
    </w:p>
    <w:p>
      <w:pPr>
        <w:spacing w:line="500" w:lineRule="exact"/>
        <w:jc w:val="left"/>
        <w:rPr>
          <w:rFonts w:ascii="仿宋" w:hAnsi="仿宋" w:eastAsia="仿宋" w:cs="仿宋"/>
          <w:b/>
          <w:bCs/>
          <w:sz w:val="32"/>
          <w:szCs w:val="32"/>
        </w:rPr>
      </w:pPr>
      <w:r>
        <w:rPr>
          <w:rFonts w:hint="eastAsia" w:ascii="宋体" w:hAnsi="宋体"/>
          <w:sz w:val="32"/>
          <w:szCs w:val="32"/>
        </w:rPr>
        <w:t xml:space="preserve">   </w:t>
      </w:r>
      <w:r>
        <w:rPr>
          <w:rFonts w:hint="eastAsia" w:ascii="仿宋" w:hAnsi="仿宋" w:eastAsia="仿宋" w:cs="仿宋"/>
          <w:b/>
          <w:bCs/>
          <w:sz w:val="32"/>
          <w:szCs w:val="32"/>
        </w:rPr>
        <w:t xml:space="preserve"> 8、宋各庄、垒子、蔡家井三座水库进行日常维修养护。</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绩效目标：加强水库日常维养，发现问题及时处理，确保水库安全运行。</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绩效指标：清理水库护坡，维修维养启闭机闸门，不超出年初预算数。使公众满意度在90%以上。</w:t>
      </w:r>
    </w:p>
    <w:p>
      <w:pPr>
        <w:spacing w:line="500" w:lineRule="exact"/>
        <w:ind w:firstLine="643" w:firstLineChars="200"/>
        <w:jc w:val="left"/>
        <w:rPr>
          <w:rFonts w:ascii="宋体" w:hAnsi="宋体"/>
          <w:sz w:val="32"/>
          <w:szCs w:val="32"/>
        </w:rPr>
      </w:pPr>
      <w:r>
        <w:rPr>
          <w:rFonts w:hint="eastAsia" w:ascii="仿宋" w:hAnsi="仿宋" w:eastAsia="仿宋" w:cs="仿宋"/>
          <w:b/>
          <w:bCs/>
          <w:sz w:val="32"/>
          <w:szCs w:val="32"/>
        </w:rPr>
        <w:t xml:space="preserve"> 9、落实安全度汛防护措施。</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绩效目标：全面落实防汛责任，确保人民群众的生命财产安全。</w:t>
      </w:r>
    </w:p>
    <w:p>
      <w:pPr>
        <w:spacing w:line="500" w:lineRule="exact"/>
        <w:ind w:firstLine="640" w:firstLineChars="200"/>
        <w:jc w:val="left"/>
        <w:rPr>
          <w:rFonts w:ascii="宋体" w:hAnsi="宋体"/>
          <w:sz w:val="32"/>
          <w:szCs w:val="32"/>
        </w:rPr>
      </w:pPr>
      <w:r>
        <w:rPr>
          <w:rFonts w:hint="eastAsia" w:ascii="仿宋" w:hAnsi="仿宋" w:eastAsia="仿宋" w:cs="仿宋"/>
          <w:sz w:val="32"/>
          <w:szCs w:val="32"/>
        </w:rPr>
        <w:t>绩效指标：及时购置水库必备防汛物资，不超年初预算数，及时发布水情预报。使公众满意度在90%以上。</w:t>
      </w:r>
    </w:p>
    <w:p>
      <w:pPr>
        <w:spacing w:line="500" w:lineRule="exact"/>
        <w:ind w:firstLine="643" w:firstLineChars="200"/>
        <w:jc w:val="left"/>
        <w:rPr>
          <w:rFonts w:ascii="宋体" w:hAnsi="宋体"/>
          <w:sz w:val="32"/>
          <w:szCs w:val="32"/>
        </w:rPr>
      </w:pPr>
      <w:r>
        <w:rPr>
          <w:rFonts w:hint="eastAsia" w:ascii="仿宋" w:hAnsi="仿宋" w:eastAsia="仿宋" w:cs="仿宋"/>
          <w:b/>
          <w:bCs/>
          <w:sz w:val="32"/>
          <w:szCs w:val="32"/>
        </w:rPr>
        <w:t xml:space="preserve"> 10、依法对已完工的水利项目进行审计。</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绩效指标：加强对完工项目的审计，确保财政资金的安全。</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绩效目标：完成配水管网、移民、农水等项目的审计，确保资金发挥最大效益。使公众满意度在90%以上。</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三、工作保障措施</w:t>
      </w:r>
    </w:p>
    <w:p>
      <w:pPr>
        <w:spacing w:line="500" w:lineRule="exact"/>
        <w:ind w:firstLine="640" w:firstLineChars="200"/>
        <w:rPr>
          <w:rFonts w:ascii="楷体" w:hAnsi="楷体" w:eastAsia="楷体" w:cs="楷体"/>
          <w:bCs/>
          <w:sz w:val="32"/>
          <w:szCs w:val="32"/>
        </w:rPr>
      </w:pPr>
      <w:r>
        <w:rPr>
          <w:rFonts w:hint="eastAsia" w:ascii="楷体" w:hAnsi="楷体" w:eastAsia="楷体" w:cs="楷体"/>
          <w:bCs/>
          <w:sz w:val="32"/>
          <w:szCs w:val="32"/>
        </w:rPr>
        <w:t>（一）完善制度建设。</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完善预算绩效管理制度。加强项目的预算绩效管理，紧紧围绕年初制定的绩效目标，真正实现花钱必有效，充分发挥资金的最大效益，防治浪费财政资金。倒排工期，为全年预算绩效目标奠定制度基础。</w:t>
      </w:r>
    </w:p>
    <w:p>
      <w:pPr>
        <w:spacing w:line="500" w:lineRule="exact"/>
        <w:ind w:firstLine="640" w:firstLineChars="200"/>
        <w:rPr>
          <w:rFonts w:ascii="楷体" w:hAnsi="楷体" w:eastAsia="楷体" w:cs="楷体"/>
          <w:bCs/>
          <w:sz w:val="32"/>
          <w:szCs w:val="32"/>
        </w:rPr>
      </w:pPr>
      <w:r>
        <w:rPr>
          <w:rFonts w:hint="eastAsia" w:ascii="楷体" w:hAnsi="楷体" w:eastAsia="楷体" w:cs="楷体"/>
          <w:bCs/>
          <w:sz w:val="32"/>
          <w:szCs w:val="32"/>
        </w:rPr>
        <w:t xml:space="preserve"> （二）加强支出管理。</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通过优化支出结构，编细遍实预算，加快履行政府采购手续，尽快启动项目，及时指出资金，确保水利工程如期完工。加强项目督导检查，加快预算执行，及时解决存在的问题，提高资金的使用效率。</w:t>
      </w:r>
    </w:p>
    <w:p>
      <w:pPr>
        <w:spacing w:line="500" w:lineRule="exact"/>
        <w:ind w:firstLine="640" w:firstLineChars="200"/>
        <w:jc w:val="left"/>
        <w:rPr>
          <w:rFonts w:ascii="楷体" w:hAnsi="楷体" w:eastAsia="楷体" w:cs="楷体"/>
          <w:bCs/>
          <w:sz w:val="32"/>
          <w:szCs w:val="32"/>
        </w:rPr>
      </w:pPr>
      <w:r>
        <w:rPr>
          <w:rFonts w:ascii="宋体" w:hAnsi="宋体"/>
          <w:sz w:val="32"/>
          <w:szCs w:val="32"/>
        </w:rPr>
        <w:t xml:space="preserve"> </w:t>
      </w:r>
      <w:r>
        <w:rPr>
          <w:rFonts w:hint="eastAsia" w:ascii="楷体" w:hAnsi="楷体" w:eastAsia="楷体" w:cs="楷体"/>
          <w:bCs/>
          <w:sz w:val="32"/>
          <w:szCs w:val="32"/>
        </w:rPr>
        <w:t>（三）加强绩效运行监控。</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按要求开展绩效运行监控，发现问题及时采取措解决，确保绩效目标如期保质实现。</w:t>
      </w:r>
    </w:p>
    <w:p>
      <w:pPr>
        <w:spacing w:line="500" w:lineRule="exact"/>
        <w:ind w:firstLine="640" w:firstLineChars="200"/>
        <w:jc w:val="left"/>
        <w:rPr>
          <w:rFonts w:ascii="楷体" w:hAnsi="楷体" w:eastAsia="楷体" w:cs="楷体"/>
          <w:bCs/>
          <w:sz w:val="32"/>
          <w:szCs w:val="32"/>
        </w:rPr>
      </w:pPr>
      <w:r>
        <w:rPr>
          <w:rFonts w:hint="eastAsia" w:ascii="楷体" w:hAnsi="楷体" w:eastAsia="楷体" w:cs="楷体"/>
          <w:bCs/>
          <w:sz w:val="32"/>
          <w:szCs w:val="32"/>
        </w:rPr>
        <w:t>（四）做好绩效自评</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按要求开展上年度部门预算绩效自评和重点评价工作，对评价中发现的问题及时整改，调整优化支出结构，提高财政资金使用效益。</w:t>
      </w:r>
    </w:p>
    <w:p>
      <w:pPr>
        <w:spacing w:line="500" w:lineRule="exact"/>
        <w:ind w:firstLine="640" w:firstLineChars="200"/>
        <w:jc w:val="left"/>
        <w:rPr>
          <w:rFonts w:ascii="宋体" w:hAnsi="宋体"/>
          <w:sz w:val="32"/>
          <w:szCs w:val="32"/>
        </w:rPr>
      </w:pPr>
    </w:p>
    <w:p>
      <w:pPr>
        <w:rPr>
          <w:rFonts w:ascii="Times New Roman" w:hAnsi="宋体"/>
          <w:sz w:val="52"/>
        </w:rPr>
      </w:pPr>
    </w:p>
    <w:p>
      <w:pPr>
        <w:jc w:val="center"/>
        <w:rPr>
          <w:rFonts w:ascii="Times New Roman" w:hAnsi="宋体"/>
          <w:sz w:val="44"/>
        </w:rPr>
      </w:pPr>
      <w:r>
        <w:rPr>
          <w:rFonts w:hint="eastAsia" w:ascii="方正小标宋_GBK" w:eastAsia="方正小标宋_GBK"/>
          <w:sz w:val="44"/>
        </w:rPr>
        <w:t>第二部分</w:t>
      </w:r>
    </w:p>
    <w:p>
      <w:pPr>
        <w:jc w:val="center"/>
        <w:rPr>
          <w:rFonts w:ascii="Times New Roman" w:hAnsi="宋体"/>
          <w:sz w:val="44"/>
        </w:rPr>
      </w:pPr>
      <w:r>
        <w:rPr>
          <w:rFonts w:ascii="方正小标宋_GBK" w:eastAsia="方正小标宋_GBK"/>
          <w:sz w:val="44"/>
        </w:rPr>
        <w:t xml:space="preserve"> </w:t>
      </w:r>
    </w:p>
    <w:p>
      <w:pPr>
        <w:jc w:val="center"/>
        <w:outlineLvl w:val="0"/>
        <w:rPr>
          <w:rFonts w:ascii="Times New Roman" w:hAnsi="宋体"/>
        </w:rPr>
      </w:pPr>
      <w:r>
        <w:rPr>
          <w:rFonts w:hint="eastAsia" w:ascii="方正小标宋_GBK" w:eastAsia="方正小标宋_GBK"/>
          <w:sz w:val="44"/>
        </w:rPr>
        <w:t>预算项目绩效目标</w:t>
      </w:r>
      <w:r>
        <w:rPr>
          <w:rFonts w:ascii="方正书宋_GBK" w:eastAsia="方正书宋_GBK"/>
        </w:rPr>
        <w:t xml:space="preserve"> </w:t>
      </w:r>
    </w:p>
    <w:p>
      <w:pPr>
        <w:jc w:val="center"/>
        <w:sectPr>
          <w:pgSz w:w="11907" w:h="16839"/>
          <w:pgMar w:top="1984" w:right="1304" w:bottom="1134" w:left="1304" w:header="851" w:footer="992" w:gutter="0"/>
          <w:cols w:space="425" w:num="1"/>
          <w:docGrid w:type="lines" w:linePitch="312" w:charSpace="0"/>
        </w:sectPr>
      </w:pPr>
    </w:p>
    <w:p>
      <w:pPr>
        <w:jc w:val="center"/>
      </w:pPr>
    </w:p>
    <w:p>
      <w:pPr>
        <w:ind w:firstLine="562" w:firstLineChars="200"/>
        <w:jc w:val="left"/>
        <w:outlineLvl w:val="1"/>
        <w:rPr>
          <w:rFonts w:ascii="Times New Roman" w:hAnsi="宋体"/>
          <w:b/>
          <w:sz w:val="28"/>
        </w:rPr>
      </w:pPr>
      <w:r>
        <w:rPr>
          <w:rFonts w:hint="eastAsia" w:ascii="方正仿宋_GBK" w:eastAsia="方正仿宋_GBK"/>
          <w:b/>
          <w:sz w:val="28"/>
        </w:rPr>
        <w:t>1、2020年大中型水库后期扶持项目（冀财农[2019]135号）绩效目标表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0" w:name="_Toc29994223"/>
      <w:r>
        <w:rPr>
          <w:rFonts w:hint="eastAsia" w:ascii="方正仿宋_GBK" w:eastAsia="方正仿宋_GBK"/>
          <w:b/>
          <w:sz w:val="28"/>
        </w:rPr>
        <w:instrText xml:space="preserve">1、2020年大中型水库后期扶持项目（冀财农[2019]135号）绩效目标表</w:instrText>
      </w:r>
      <w:bookmarkEnd w:id="0"/>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332002</w:t>
            </w:r>
            <w:r>
              <w:rPr>
                <w:rFonts w:hint="eastAsia" w:ascii="方正书宋_GBK" w:eastAsia="方正书宋_GBK"/>
                <w:b/>
              </w:rPr>
              <w:t>涞水县水利局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332-0701-YBN-XHP7</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年大中型水库后期扶持项目（冀财农</w:t>
            </w:r>
            <w:r>
              <w:rPr>
                <w:rFonts w:ascii="方正书宋_GBK" w:eastAsia="方正书宋_GBK"/>
              </w:rPr>
              <w:t>[2019]135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130.00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130.00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用于改善移民的生产、生活条件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、有效改善移民的生产、生活条件</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库区和移民安置区基础设施和社会事业项目</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建设美丽乡村，改善基础设施</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项目验收率</w:t>
            </w:r>
            <w:r>
              <w:rPr>
                <w:rFonts w:ascii="方正书宋_GBK" w:eastAsia="方正书宋_GBK"/>
              </w:rPr>
              <w:t xml:space="preserve"> </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项目支出控制在批复的预算范围内的项目比例</w:t>
            </w:r>
            <w:r>
              <w:rPr>
                <w:rFonts w:ascii="方正书宋_GBK" w:eastAsia="方正书宋_GBK"/>
              </w:rPr>
              <w:t xml:space="preserve"> </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不超预算</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增加移民人均可支配收入</w:t>
            </w:r>
            <w:r>
              <w:rPr>
                <w:rFonts w:ascii="方正书宋_GBK" w:eastAsia="方正书宋_GBK"/>
              </w:rPr>
              <w:t xml:space="preserve"> </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增加水库移民的收入</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项目扶持受益移民村数量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按照批复的实施方案</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群众对当年该项目的整体满意度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2、2020年大中型水库移民直补（冀财农[2019]129号）绩效目标表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 w:name="_Toc29994224"/>
      <w:r>
        <w:rPr>
          <w:rFonts w:hint="eastAsia" w:ascii="方正仿宋_GBK" w:eastAsia="方正仿宋_GBK"/>
          <w:b/>
          <w:sz w:val="28"/>
        </w:rPr>
        <w:instrText xml:space="preserve">2、2020年大中型水库移民直补（冀财农[2019]129号）绩效目标表</w:instrText>
      </w:r>
      <w:bookmarkEnd w:id="1"/>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332002</w:t>
            </w:r>
            <w:r>
              <w:rPr>
                <w:rFonts w:hint="eastAsia" w:ascii="方正书宋_GBK" w:eastAsia="方正书宋_GBK"/>
                <w:b/>
              </w:rPr>
              <w:t>涞水县水利局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332-0405-YBN-WR88</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年大中型水库移民直补（冀财农</w:t>
            </w:r>
            <w:r>
              <w:rPr>
                <w:rFonts w:ascii="方正书宋_GBK" w:eastAsia="方正书宋_GBK"/>
              </w:rPr>
              <w:t>[2019]129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150.84</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150.84</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用于大中型水库移民后期扶持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、通过发放水库移民后期扶持直补资金，有效改善水库移民的生产生活条件</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资金直补受益移民</w:t>
            </w:r>
            <w:r>
              <w:rPr>
                <w:rFonts w:ascii="方正书宋_GBK" w:eastAsia="方正书宋_GBK"/>
              </w:rPr>
              <w:t xml:space="preserve"> </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移民直补人数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2168</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直补资金按时发放率</w:t>
            </w:r>
            <w:r>
              <w:rPr>
                <w:rFonts w:ascii="方正书宋_GBK" w:eastAsia="方正书宋_GBK"/>
              </w:rPr>
              <w:t xml:space="preserve"> </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及时足额发放</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增加移民人均可支配收入</w:t>
            </w:r>
            <w:r>
              <w:rPr>
                <w:rFonts w:ascii="方正书宋_GBK" w:eastAsia="方正书宋_GBK"/>
              </w:rPr>
              <w:t xml:space="preserve"> </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每人每年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600</w:t>
            </w:r>
            <w:r>
              <w:rPr>
                <w:rFonts w:hint="eastAsia" w:ascii="方正书宋_GBK" w:eastAsia="方正书宋_GBK"/>
              </w:rPr>
              <w:t>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助力移民脱贫</w:t>
            </w:r>
            <w:r>
              <w:rPr>
                <w:rFonts w:ascii="方正书宋_GBK" w:eastAsia="方正书宋_GBK"/>
              </w:rPr>
              <w:t xml:space="preserve"> </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贫困人数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人次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水库移民补助标准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每人每年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600</w:t>
            </w:r>
            <w:r>
              <w:rPr>
                <w:rFonts w:hint="eastAsia" w:ascii="方正书宋_GBK" w:eastAsia="方正书宋_GBK"/>
              </w:rPr>
              <w:t>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3、2020年中央水利发展资金项目（冀财农[2019]143号）绩效目标表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 w:name="_Toc29994225"/>
      <w:r>
        <w:rPr>
          <w:rFonts w:hint="eastAsia" w:ascii="方正仿宋_GBK" w:eastAsia="方正仿宋_GBK"/>
          <w:b/>
          <w:sz w:val="28"/>
        </w:rPr>
        <w:instrText xml:space="preserve">3、2020年中央水利发展资金项目（冀财农[2019]143号）绩效目标表</w:instrText>
      </w:r>
      <w:bookmarkEnd w:id="2"/>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332002</w:t>
            </w:r>
            <w:r>
              <w:rPr>
                <w:rFonts w:hint="eastAsia" w:ascii="方正书宋_GBK" w:eastAsia="方正书宋_GBK"/>
                <w:b/>
              </w:rPr>
              <w:t>涞水县水利局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332-0401-YBN-G7O0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年中央水利发展资金项目（冀财农</w:t>
            </w:r>
            <w:r>
              <w:rPr>
                <w:rFonts w:ascii="方正书宋_GBK" w:eastAsia="方正书宋_GBK"/>
              </w:rPr>
              <w:t>[2019]143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766.00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766.00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优先用于灾后水利薄弱环节建设涉及的中小河流治理、水库除险加固、水土保持和脱贫攻坚项目建设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、除险加固病险水库</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小型病险水库除险加固数量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水库除险加固消除安全隐患</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座</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除险加固工程量</w:t>
            </w:r>
          </w:p>
        </w:tc>
        <w:tc>
          <w:tcPr>
            <w:tcW w:w="2891" w:type="dxa"/>
            <w:shd w:val="clear" w:color="auto" w:fill="auto"/>
            <w:vAlign w:val="center"/>
          </w:tcPr>
          <w:p>
            <w:pPr>
              <w:spacing w:line="300" w:lineRule="exact"/>
              <w:jc w:val="left"/>
              <w:rPr>
                <w:rFonts w:ascii="方正书宋_GBK" w:eastAsia="方正书宋_GBK"/>
              </w:rPr>
            </w:pPr>
          </w:p>
          <w:p>
            <w:pPr>
              <w:spacing w:line="300" w:lineRule="exact"/>
              <w:jc w:val="left"/>
              <w:rPr>
                <w:rFonts w:ascii="方正书宋_GBK" w:eastAsia="方正书宋_GBK"/>
              </w:rPr>
            </w:pPr>
            <w:r>
              <w:rPr>
                <w:rFonts w:hint="eastAsia" w:ascii="方正书宋_GBK" w:eastAsia="方正书宋_GBK"/>
              </w:rPr>
              <w:t>土建工程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5000</w:t>
            </w:r>
            <w:r>
              <w:rPr>
                <w:rFonts w:hint="eastAsia" w:ascii="方正书宋_GBK" w:eastAsia="方正书宋_GBK"/>
              </w:rPr>
              <w:t>立方</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项目（工程）验收合格率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工程质量合格</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周围人数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1000</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项目（工程）完成及时率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完工率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受益人口满意度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周围群众满意度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工程设计使用年限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使用年限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年</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受益人口满意度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抽查满意度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4、地表水厂配套给水管网工程监理费绩效目标表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 w:name="_Toc29994226"/>
      <w:r>
        <w:rPr>
          <w:rFonts w:hint="eastAsia" w:ascii="方正仿宋_GBK" w:eastAsia="方正仿宋_GBK"/>
          <w:b/>
          <w:sz w:val="28"/>
        </w:rPr>
        <w:instrText xml:space="preserve">4、地表水厂配套给水管网工程监理费绩效目标表</w:instrText>
      </w:r>
      <w:bookmarkEnd w:id="3"/>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332002</w:t>
            </w:r>
            <w:r>
              <w:rPr>
                <w:rFonts w:hint="eastAsia" w:ascii="方正书宋_GBK" w:eastAsia="方正书宋_GBK"/>
                <w:b/>
              </w:rPr>
              <w:t>涞水县水利局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332-0401-YBN-17X3</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地表水厂配套给水管网工程监理费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33.20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33.20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用于支付给水管网工程监理费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、按时支付监理费</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、确保工程质量合格</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当年支付完成情况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项目合格率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监管工程个数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公平、公正对工程质量进行监管。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长期使用性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使用年限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年</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5、地下水压采治理项目绩效目标表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4" w:name="_Toc29994227"/>
      <w:r>
        <w:rPr>
          <w:rFonts w:hint="eastAsia" w:ascii="方正仿宋_GBK" w:eastAsia="方正仿宋_GBK"/>
          <w:b/>
          <w:sz w:val="28"/>
        </w:rPr>
        <w:instrText xml:space="preserve">5、地下水压采治理项目绩效目标表</w:instrText>
      </w:r>
      <w:bookmarkEnd w:id="4"/>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332002</w:t>
            </w:r>
            <w:r>
              <w:rPr>
                <w:rFonts w:hint="eastAsia" w:ascii="方正书宋_GBK" w:eastAsia="方正书宋_GBK"/>
                <w:b/>
              </w:rPr>
              <w:t>涞水县水利局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332-0501-YBN-W2CM</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地下水压采治理项目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用于关停</w:t>
            </w:r>
            <w:r>
              <w:rPr>
                <w:rFonts w:ascii="方正书宋_GBK" w:eastAsia="方正书宋_GBK"/>
              </w:rPr>
              <w:t>8</w:t>
            </w:r>
            <w:r>
              <w:rPr>
                <w:rFonts w:hint="eastAsia" w:ascii="方正书宋_GBK" w:eastAsia="方正书宋_GBK"/>
              </w:rPr>
              <w:t>家自备井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、关停</w:t>
            </w:r>
            <w:r>
              <w:rPr>
                <w:rFonts w:ascii="方正书宋_GBK" w:eastAsia="方正书宋_GBK"/>
              </w:rPr>
              <w:t>8</w:t>
            </w:r>
            <w:r>
              <w:rPr>
                <w:rFonts w:hint="eastAsia" w:ascii="方正书宋_GBK" w:eastAsia="方正书宋_GBK"/>
              </w:rPr>
              <w:t>家自备井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、实施水源切换</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关停自备井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保护水资源的合理利用</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眼</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当年任务完成情况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实现水源切换</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饮用合格的南水北调江水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家</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地下水回升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保护地下水资源</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&gt;0.01</w:t>
            </w:r>
            <w:r>
              <w:rPr>
                <w:rFonts w:hint="eastAsia" w:ascii="方正书宋_GBK" w:eastAsia="方正书宋_GBK"/>
              </w:rPr>
              <w:t>米</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6、峨峪水库除险加固工程项目绩效目标表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5" w:name="_Toc29994228"/>
      <w:r>
        <w:rPr>
          <w:rFonts w:hint="eastAsia" w:ascii="方正仿宋_GBK" w:eastAsia="方正仿宋_GBK"/>
          <w:b/>
          <w:sz w:val="28"/>
        </w:rPr>
        <w:instrText xml:space="preserve">6、峨峪水库除险加固工程项目绩效目标表</w:instrText>
      </w:r>
      <w:bookmarkEnd w:id="5"/>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332002</w:t>
            </w:r>
            <w:r>
              <w:rPr>
                <w:rFonts w:hint="eastAsia" w:ascii="方正书宋_GBK" w:eastAsia="方正书宋_GBK"/>
                <w:b/>
              </w:rPr>
              <w:t>涞水县水利局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332-0401-YBN-DM8G</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峨峪水库除险加固工程项目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30.00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用于峨峪水库除险加固工程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、保证水库正常运行</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小型病险水库除险加固数量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对峨峪水库除险加固</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座</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工程验收合格率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工程合格率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水库综合功能恢复情况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正常运行</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恢复至设计功能的</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当年投资完成率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当年完工率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项目受益人口数量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水库周边群众收益人数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500</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已建工程是否良性运行</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水库良性运行</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水库安全运行</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7、法律顾问费绩效目标表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6" w:name="_Toc29994229"/>
      <w:r>
        <w:rPr>
          <w:rFonts w:hint="eastAsia" w:ascii="方正仿宋_GBK" w:eastAsia="方正仿宋_GBK"/>
          <w:b/>
          <w:sz w:val="28"/>
        </w:rPr>
        <w:instrText xml:space="preserve">7、法律顾问费绩效目标表</w:instrText>
      </w:r>
      <w:bookmarkEnd w:id="6"/>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332002</w:t>
            </w:r>
            <w:r>
              <w:rPr>
                <w:rFonts w:hint="eastAsia" w:ascii="方正书宋_GBK" w:eastAsia="方正书宋_GBK"/>
                <w:b/>
              </w:rPr>
              <w:t>涞水县水利局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332-0702-YBN-6G3O</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法律顾问费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委托法律律师费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、全面形成与经济社会发展和法律服务需求相适应的法律顾问体系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、依法行政</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培训次数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加强对公职人员法律培训</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培训次数</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人均投入</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在职人均法律顾问费</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166</w:t>
            </w:r>
            <w:r>
              <w:rPr>
                <w:rFonts w:hint="eastAsia" w:ascii="方正书宋_GBK" w:eastAsia="方正书宋_GBK"/>
              </w:rPr>
              <w:t>法律顾问费</w:t>
            </w:r>
            <w:r>
              <w:rPr>
                <w:rFonts w:ascii="方正书宋_GBK" w:eastAsia="方正书宋_GBK"/>
              </w:rPr>
              <w:t>/</w:t>
            </w:r>
            <w:r>
              <w:rPr>
                <w:rFonts w:hint="eastAsia" w:ascii="方正书宋_GBK" w:eastAsia="方正书宋_GBK"/>
              </w:rPr>
              <w:t>在职人员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通过实施法律顾问制度，提高社会稳定水平逐步提高，减少群体上访数量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减少群体上访次数</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诉讼案件完成率</w:t>
            </w:r>
            <w:r>
              <w:rPr>
                <w:rFonts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处置完成诉讼数量占诉讼数量的比例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&gt;80</w:t>
            </w:r>
            <w:r>
              <w:rPr>
                <w:rFonts w:hint="eastAsia" w:ascii="方正书宋_GBK" w:eastAsia="方正书宋_GBK"/>
              </w:rPr>
              <w:t>完成诉讼数量占诉讼数量的比例</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r>
              <w:rPr>
                <w:rFonts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群众对法律顾问制度满意度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群众对法律顾问满意度</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8、防汛经费绩效目标表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7" w:name="_Toc29994230"/>
      <w:r>
        <w:rPr>
          <w:rFonts w:hint="eastAsia" w:ascii="方正仿宋_GBK" w:eastAsia="方正仿宋_GBK"/>
          <w:b/>
          <w:sz w:val="28"/>
        </w:rPr>
        <w:instrText xml:space="preserve">8、防汛经费绩效目标表</w:instrText>
      </w:r>
      <w:bookmarkEnd w:id="7"/>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332002</w:t>
            </w:r>
            <w:r>
              <w:rPr>
                <w:rFonts w:hint="eastAsia" w:ascii="方正书宋_GBK" w:eastAsia="方正书宋_GBK"/>
                <w:b/>
              </w:rPr>
              <w:t>涞水县水利局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332-0602-YBN-Y6IO</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防汛经费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用于防汛相关支出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、安全度汛</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、确保群众生命财产安全</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不超过年初预算安排数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不超过年初预算安排数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100000</w:t>
            </w:r>
            <w:r>
              <w:rPr>
                <w:rFonts w:hint="eastAsia" w:ascii="方正书宋_GBK" w:eastAsia="方正书宋_GBK"/>
              </w:rPr>
              <w:t>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当年防汛完成情况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受益人口</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受益人口</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减少经济损失</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防灾减灾</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9、河长制工作经费绩效目标表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8" w:name="_Toc29994231"/>
      <w:r>
        <w:rPr>
          <w:rFonts w:hint="eastAsia" w:ascii="方正仿宋_GBK" w:eastAsia="方正仿宋_GBK"/>
          <w:b/>
          <w:sz w:val="28"/>
        </w:rPr>
        <w:instrText xml:space="preserve">9、河长制工作经费绩效目标表</w:instrText>
      </w:r>
      <w:bookmarkEnd w:id="8"/>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332002</w:t>
            </w:r>
            <w:r>
              <w:rPr>
                <w:rFonts w:hint="eastAsia" w:ascii="方正书宋_GBK" w:eastAsia="方正书宋_GBK"/>
                <w:b/>
              </w:rPr>
              <w:t>涞水县水利局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332-0501-YBN-NN39</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河长制工作经费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加强我县境内河湖管理，加大河道巡查力度，更新维修河长制公示牌。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、河长制公示牌整洁完好，内容齐全。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、加强河道巡查，严厉打击非法盗采行为。</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完成率</w:t>
            </w:r>
            <w:r>
              <w:rPr>
                <w:rFonts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公示牌维修完成情况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公示牌完好率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加强河道巡查（次）</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加强河道日常巡查，打击非法盗采沙石</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&gt;100</w:t>
            </w:r>
            <w:r>
              <w:rPr>
                <w:rFonts w:hint="eastAsia" w:ascii="方正书宋_GBK" w:eastAsia="方正书宋_GBK"/>
              </w:rPr>
              <w:t>年巡查</w:t>
            </w:r>
            <w:r>
              <w:rPr>
                <w:rFonts w:ascii="方正书宋_GBK" w:eastAsia="方正书宋_GBK"/>
              </w:rPr>
              <w:t>100</w:t>
            </w:r>
            <w:r>
              <w:rPr>
                <w:rFonts w:hint="eastAsia" w:ascii="方正书宋_GBK" w:eastAsia="方正书宋_GBK"/>
              </w:rPr>
              <w:t>次以上</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宣传河长制</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接受社会监督</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&gt;150</w:t>
            </w:r>
            <w:r>
              <w:rPr>
                <w:rFonts w:hint="eastAsia" w:ascii="方正书宋_GBK" w:eastAsia="方正书宋_GBK"/>
              </w:rPr>
              <w:t>完善更新</w:t>
            </w:r>
            <w:r>
              <w:rPr>
                <w:rFonts w:ascii="方正书宋_GBK" w:eastAsia="方正书宋_GBK"/>
              </w:rPr>
              <w:t>150</w:t>
            </w:r>
            <w:r>
              <w:rPr>
                <w:rFonts w:hint="eastAsia" w:ascii="方正书宋_GBK" w:eastAsia="方正书宋_GBK"/>
              </w:rPr>
              <w:t>个公示牌信息</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 xml:space="preserve"> </w:t>
            </w:r>
            <w:r>
              <w:rPr>
                <w:rFonts w:hint="eastAsia" w:ascii="方正书宋_GBK" w:eastAsia="方正书宋_GBK"/>
              </w:rPr>
              <w:t>河道清洁</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无垃圾、排污口、违建</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无垃圾、排污口、违建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r>
              <w:rPr>
                <w:rFonts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群众对河长制满意度</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10、山洪沟排洪方案编制费绩效目标表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9" w:name="_Toc29994232"/>
      <w:r>
        <w:rPr>
          <w:rFonts w:hint="eastAsia" w:ascii="方正仿宋_GBK" w:eastAsia="方正仿宋_GBK"/>
          <w:b/>
          <w:sz w:val="28"/>
        </w:rPr>
        <w:instrText xml:space="preserve">10、山洪沟排洪方案编制费绩效目标表</w:instrText>
      </w:r>
      <w:bookmarkEnd w:id="9"/>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332002</w:t>
            </w:r>
            <w:r>
              <w:rPr>
                <w:rFonts w:hint="eastAsia" w:ascii="方正书宋_GBK" w:eastAsia="方正书宋_GBK"/>
                <w:b/>
              </w:rPr>
              <w:t>涞水县水利局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332-0602-YQN-DDO6</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山洪沟排洪方案编制费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用于编制山洪沟排洪方案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、及时完成整改问题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、按时提交涉及成果，做到防洪减灾</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方案编制合格率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方案编制通过专家评审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当年任务完成情况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长期使用性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按设计要求不低于</w:t>
            </w:r>
            <w:r>
              <w:rPr>
                <w:rFonts w:ascii="方正书宋_GBK" w:eastAsia="方正书宋_GBK"/>
              </w:rPr>
              <w:t>5</w:t>
            </w:r>
            <w:r>
              <w:rPr>
                <w:rFonts w:hint="eastAsia" w:ascii="方正书宋_GBK" w:eastAsia="方正书宋_GBK"/>
              </w:rPr>
              <w:t>年</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&gt;5</w:t>
            </w:r>
            <w:r>
              <w:rPr>
                <w:rFonts w:hint="eastAsia" w:ascii="方正书宋_GBK" w:eastAsia="方正书宋_GBK"/>
              </w:rPr>
              <w:t>年</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社会稳定性</w:t>
            </w:r>
          </w:p>
        </w:tc>
        <w:tc>
          <w:tcPr>
            <w:tcW w:w="2891" w:type="dxa"/>
            <w:shd w:val="clear" w:color="auto" w:fill="auto"/>
            <w:vAlign w:val="center"/>
          </w:tcPr>
          <w:p>
            <w:pPr>
              <w:spacing w:line="300" w:lineRule="exact"/>
              <w:jc w:val="left"/>
              <w:rPr>
                <w:rFonts w:ascii="方正书宋_GBK" w:eastAsia="方正书宋_GBK"/>
              </w:rPr>
            </w:pPr>
          </w:p>
          <w:p>
            <w:pPr>
              <w:spacing w:line="300" w:lineRule="exact"/>
              <w:jc w:val="left"/>
              <w:rPr>
                <w:rFonts w:ascii="方正书宋_GBK" w:eastAsia="方正书宋_GBK"/>
              </w:rPr>
            </w:pPr>
          </w:p>
          <w:p>
            <w:pPr>
              <w:spacing w:line="300" w:lineRule="exact"/>
              <w:jc w:val="left"/>
              <w:rPr>
                <w:rFonts w:ascii="方正书宋_GBK" w:eastAsia="方正书宋_GBK"/>
              </w:rPr>
            </w:pPr>
            <w:r>
              <w:rPr>
                <w:rFonts w:hint="eastAsia" w:ascii="方正书宋_GBK" w:eastAsia="方正书宋_GBK"/>
              </w:rPr>
              <w:t>为排洪提供决策方案</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解决遗留问题，为排洪提供决策方案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11、山洪灾害防治非工程措施项目绩效目标表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0" w:name="_Toc29994233"/>
      <w:r>
        <w:rPr>
          <w:rFonts w:hint="eastAsia" w:ascii="方正仿宋_GBK" w:eastAsia="方正仿宋_GBK"/>
          <w:b/>
          <w:sz w:val="28"/>
        </w:rPr>
        <w:instrText xml:space="preserve">11、山洪灾害防治非工程措施项目绩效目标表</w:instrText>
      </w:r>
      <w:bookmarkEnd w:id="10"/>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332002</w:t>
            </w:r>
            <w:r>
              <w:rPr>
                <w:rFonts w:hint="eastAsia" w:ascii="方正书宋_GBK" w:eastAsia="方正书宋_GBK"/>
                <w:b/>
              </w:rPr>
              <w:t>涞水县水利局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332-0602-YBN-O9D1</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山洪灾害防治非工程措施项目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15.00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15.00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用于山洪灾害防治非工程措施维修费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、确保山洪灾害防治非工程措施安全运行</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实施山洪灾害防治项目</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山洪灾害防治非工程措施项目</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工程验收合格率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工程验收合格率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当年建设任务完成比例</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完成项目占当年项目的比率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山洪灾害防治保护人口数量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山洪灾害防治保护人口数量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50000</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已建工程是否良性运行</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良性运行</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安全运行</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12、水库、河道确权划界项目绩效目标表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1" w:name="_Toc29994234"/>
      <w:r>
        <w:rPr>
          <w:rFonts w:hint="eastAsia" w:ascii="方正仿宋_GBK" w:eastAsia="方正仿宋_GBK"/>
          <w:b/>
          <w:sz w:val="28"/>
        </w:rPr>
        <w:instrText xml:space="preserve">12、水库、河道确权划界项目绩效目标表</w:instrText>
      </w:r>
      <w:bookmarkEnd w:id="11"/>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332002</w:t>
            </w:r>
            <w:r>
              <w:rPr>
                <w:rFonts w:hint="eastAsia" w:ascii="方正书宋_GBK" w:eastAsia="方正书宋_GBK"/>
                <w:b/>
              </w:rPr>
              <w:t>涞水县水利局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332-0501-YBN-G70M</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水库、河道确权划界项目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用于勘测河道、水库确权划界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、依法有序管理河道</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、保证水利工程设施完整</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按照要求和计划完成研究任务的项目在所有立项项目中的比例（百分比）</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按预算方案实施</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不超预算数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依法有序管理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合理确定河湖范围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公里</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长期使用性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成果使用期限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p>
          <w:p>
            <w:pPr>
              <w:spacing w:line="300" w:lineRule="exact"/>
              <w:jc w:val="left"/>
              <w:rPr>
                <w:rFonts w:ascii="方正书宋_GBK" w:eastAsia="方正书宋_GBK"/>
              </w:rPr>
            </w:pPr>
          </w:p>
          <w:p>
            <w:pPr>
              <w:spacing w:line="300" w:lineRule="exact"/>
              <w:jc w:val="left"/>
              <w:rPr>
                <w:rFonts w:ascii="方正书宋_GBK" w:eastAsia="方正书宋_GBK"/>
              </w:rPr>
            </w:pPr>
            <w:r>
              <w:rPr>
                <w:rFonts w:hint="eastAsia" w:ascii="方正书宋_GBK" w:eastAsia="方正书宋_GBK"/>
              </w:rPr>
              <w:t>年</w:t>
            </w:r>
          </w:p>
          <w:p>
            <w:pPr>
              <w:spacing w:line="300" w:lineRule="exact"/>
              <w:jc w:val="left"/>
              <w:rPr>
                <w:rFonts w:ascii="方正书宋_GBK" w:eastAsia="方正书宋_GBK"/>
              </w:rPr>
            </w:pP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群众对该项目整体满意度</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13、水库库容曲线修测和水库特征值修正项目绩效目标表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2" w:name="_Toc29994235"/>
      <w:r>
        <w:rPr>
          <w:rFonts w:hint="eastAsia" w:ascii="方正仿宋_GBK" w:eastAsia="方正仿宋_GBK"/>
          <w:b/>
          <w:sz w:val="28"/>
        </w:rPr>
        <w:instrText xml:space="preserve">13、水库库容曲线修测和水库特征值修正项目绩效目标表</w:instrText>
      </w:r>
      <w:bookmarkEnd w:id="12"/>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332002</w:t>
            </w:r>
            <w:r>
              <w:rPr>
                <w:rFonts w:hint="eastAsia" w:ascii="方正书宋_GBK" w:eastAsia="方正书宋_GBK"/>
                <w:b/>
              </w:rPr>
              <w:t>涞水县水利局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332-0602-YBN-4O7I</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水库库容曲线修测和水库特征值修正项目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41.15</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41.15</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用于宋各庄水库、垒子水库库容曲线修测和水库特征值修正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、确保水库安全运行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、确保周边群众安全</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对两座水库进行特征值修正</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对两座水库进行特征值修正</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座</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勘察合格率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通过实施该项目促进社会稳定水平逐步提高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提高群众安全感</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达到绿色产业标准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不进行基础设施建设，不对生态环境产生坏的影响。</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涵养水源</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群众对该项目的整体满意度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14、水库日常维养项目绩效目标表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3" w:name="_Toc29994236"/>
      <w:r>
        <w:rPr>
          <w:rFonts w:hint="eastAsia" w:ascii="方正仿宋_GBK" w:eastAsia="方正仿宋_GBK"/>
          <w:b/>
          <w:sz w:val="28"/>
        </w:rPr>
        <w:instrText xml:space="preserve">14、水库日常维养项目绩效目标表</w:instrText>
      </w:r>
      <w:bookmarkEnd w:id="13"/>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332002</w:t>
            </w:r>
            <w:r>
              <w:rPr>
                <w:rFonts w:hint="eastAsia" w:ascii="方正书宋_GBK" w:eastAsia="方正书宋_GBK"/>
                <w:b/>
              </w:rPr>
              <w:t>涞水县水利局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332-0402-YBN-SOV2</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水库日常维养项目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25.00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25.00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用于宋各庄水库、垒子水库、蔡家井水库日常维修养护。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、确保三个水库正常运行</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公益性水利设施维修养护（水库工程）</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三个水库日常维养</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座</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公益性水利设施维修养护（水闸工程）</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三个水库日常维养</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座</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工程验收合格率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工程质量合格</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当年投资完成率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当年工程完成数量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已建工程是否良性运行</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良性运行</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安全运行</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减少安全事故</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不出现是重大安全事故</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水库安全运行</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群众对该项目满意度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15、水库移民省级后扶项目（冀财农[2019]141号）绩效目标表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4" w:name="_Toc29994237"/>
      <w:r>
        <w:rPr>
          <w:rFonts w:hint="eastAsia" w:ascii="方正仿宋_GBK" w:eastAsia="方正仿宋_GBK"/>
          <w:b/>
          <w:sz w:val="28"/>
        </w:rPr>
        <w:instrText xml:space="preserve">15、水库移民省级后扶项目（冀财农[2019]141号）绩效目标表</w:instrText>
      </w:r>
      <w:bookmarkEnd w:id="14"/>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332002</w:t>
            </w:r>
            <w:r>
              <w:rPr>
                <w:rFonts w:hint="eastAsia" w:ascii="方正书宋_GBK" w:eastAsia="方正书宋_GBK"/>
                <w:b/>
              </w:rPr>
              <w:t>涞水县水利局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332-0405-YBN-GWM6</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水库移民省级后扶项目（冀财农</w:t>
            </w:r>
            <w:r>
              <w:rPr>
                <w:rFonts w:ascii="方正书宋_GBK" w:eastAsia="方正书宋_GBK"/>
              </w:rPr>
              <w:t>[2019]141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60.00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60.00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用于水库移民后期扶持，改善移民村的生产生活条件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、通过移民后扶项目的实施，可改善水库移民的生产生活条件</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库区和移民安置区基础设施和社会事业项目</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建设项目</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移民受益的生产开发及配套设施项目</w:t>
            </w:r>
            <w:r>
              <w:rPr>
                <w:rFonts w:ascii="方正书宋_GBK" w:eastAsia="方正书宋_GBK"/>
              </w:rPr>
              <w:t xml:space="preserve"> </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建设项目</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项目验收率</w:t>
            </w:r>
            <w:r>
              <w:rPr>
                <w:rFonts w:ascii="方正书宋_GBK" w:eastAsia="方正书宋_GBK"/>
              </w:rPr>
              <w:t xml:space="preserve"> </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工程合格率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项目支出控制在批复的预算范围内的项目比例</w:t>
            </w:r>
            <w:r>
              <w:rPr>
                <w:rFonts w:ascii="方正书宋_GBK" w:eastAsia="方正书宋_GBK"/>
              </w:rPr>
              <w:t xml:space="preserve"> </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不超预算数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助力移民脱贫数量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移民脱贫人数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项目扶持受益移民村数量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水库移民村数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16、水利项目评审、审计费绩效目标表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5" w:name="_Toc29994238"/>
      <w:r>
        <w:rPr>
          <w:rFonts w:hint="eastAsia" w:ascii="方正仿宋_GBK" w:eastAsia="方正仿宋_GBK"/>
          <w:b/>
          <w:sz w:val="28"/>
        </w:rPr>
        <w:instrText xml:space="preserve">16、水利项目评审、审计费绩效目标表</w:instrText>
      </w:r>
      <w:bookmarkEnd w:id="15"/>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332002</w:t>
            </w:r>
            <w:r>
              <w:rPr>
                <w:rFonts w:hint="eastAsia" w:ascii="方正书宋_GBK" w:eastAsia="方正书宋_GBK"/>
                <w:b/>
              </w:rPr>
              <w:t>涞水县水利局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332-0702-YBN-E5P7</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水利项目评审、审计费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60.00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60.00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用于水利工程前期及后期审计费用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、依法依规对项目审计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、确保项目资金的合法、有效</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当年审计任务完成情况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审计项目数量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当年审计水利工程项目件数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&gt;3</w:t>
            </w:r>
            <w:r>
              <w:rPr>
                <w:rFonts w:hint="eastAsia" w:ascii="方正书宋_GBK" w:eastAsia="方正书宋_GBK"/>
              </w:rPr>
              <w:t>件</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客观公正，依法审计</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公平公正依法对水利项目审计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&gt;3</w:t>
            </w:r>
            <w:r>
              <w:rPr>
                <w:rFonts w:hint="eastAsia" w:ascii="方正书宋_GBK" w:eastAsia="方正书宋_GBK"/>
              </w:rPr>
              <w:t>件</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确保资金发挥效益</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通过审计，确保财政资金发挥效益</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&gt;3</w:t>
            </w:r>
            <w:r>
              <w:rPr>
                <w:rFonts w:hint="eastAsia" w:ascii="方正书宋_GBK" w:eastAsia="方正书宋_GBK"/>
              </w:rPr>
              <w:t>件</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17、中央水利发展资金地下水超采治理项目（冀财农[2019]142号）绩效目标表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6" w:name="_Toc29994239"/>
      <w:r>
        <w:rPr>
          <w:rFonts w:hint="eastAsia" w:ascii="方正仿宋_GBK" w:eastAsia="方正仿宋_GBK"/>
          <w:b/>
          <w:sz w:val="28"/>
        </w:rPr>
        <w:instrText xml:space="preserve">17、中央水利发展资金地下水超采治理项目（冀财农[2019]142号）绩效目标表</w:instrText>
      </w:r>
      <w:bookmarkEnd w:id="16"/>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332002</w:t>
            </w:r>
            <w:r>
              <w:rPr>
                <w:rFonts w:hint="eastAsia" w:ascii="方正书宋_GBK" w:eastAsia="方正书宋_GBK"/>
                <w:b/>
              </w:rPr>
              <w:t>涞水县水利局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332-0501-YBN-4WRP</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中央水利发展资金地下水超采治理项目（冀财农</w:t>
            </w:r>
            <w:r>
              <w:rPr>
                <w:rFonts w:ascii="方正书宋_GBK" w:eastAsia="方正书宋_GBK"/>
              </w:rPr>
              <w:t>[2019]142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56.70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56.70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用于地下水超采治理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、加强水资源依法管理</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、有效遏制地下水超采，确保地下水稳步回升</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不突破预算数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项目治理不突破预算数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&lt;56.7</w:t>
            </w:r>
            <w:r>
              <w:rPr>
                <w:rFonts w:hint="eastAsia" w:ascii="方正书宋_GBK" w:eastAsia="方正书宋_GBK"/>
              </w:rPr>
              <w:t>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项目产品合格率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确保地下水不降</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地下水位回升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&gt;0.01</w:t>
            </w:r>
            <w:r>
              <w:rPr>
                <w:rFonts w:hint="eastAsia" w:ascii="方正书宋_GBK" w:eastAsia="方正书宋_GBK"/>
              </w:rPr>
              <w:t>米</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长期使用性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能够长期较好地开展地下水监测。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&gt;5</w:t>
            </w:r>
            <w:r>
              <w:rPr>
                <w:rFonts w:hint="eastAsia" w:ascii="方正书宋_GBK" w:eastAsia="方正书宋_GBK"/>
              </w:rPr>
              <w:t>年</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群众对该项目满意度</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bl>
    <w:p>
      <w:pPr>
        <w:spacing w:line="520" w:lineRule="exact"/>
        <w:outlineLvl w:val="0"/>
        <w:rPr>
          <w:rFonts w:ascii="仿宋" w:hAnsi="仿宋" w:eastAsia="仿宋" w:cs="仿宋_GB2312"/>
          <w:sz w:val="32"/>
          <w:szCs w:val="32"/>
        </w:rPr>
      </w:pPr>
    </w:p>
    <w:p>
      <w:pPr>
        <w:spacing w:line="520" w:lineRule="exact"/>
        <w:outlineLvl w:val="0"/>
        <w:rPr>
          <w:rFonts w:ascii="仿宋" w:hAnsi="仿宋" w:eastAsia="仿宋" w:cs="仿宋_GB2312"/>
          <w:sz w:val="32"/>
          <w:szCs w:val="32"/>
        </w:rPr>
      </w:pPr>
    </w:p>
    <w:p>
      <w:pPr>
        <w:spacing w:line="520" w:lineRule="exact"/>
        <w:outlineLvl w:val="0"/>
        <w:rPr>
          <w:rFonts w:ascii="黑体" w:hAnsi="黑体" w:eastAsia="黑体" w:cs="黑体"/>
          <w:sz w:val="32"/>
          <w:szCs w:val="32"/>
        </w:rPr>
      </w:pPr>
      <w:r>
        <w:rPr>
          <w:rFonts w:hint="eastAsia" w:asciiTheme="minorEastAsia" w:hAnsiTheme="minorEastAsia" w:eastAsiaTheme="minorEastAsia" w:cstheme="minorEastAsia"/>
          <w:sz w:val="32"/>
          <w:szCs w:val="32"/>
        </w:rPr>
        <w:t xml:space="preserve"> </w:t>
      </w:r>
      <w:r>
        <w:rPr>
          <w:rFonts w:hint="eastAsia" w:ascii="黑体" w:hAnsi="黑体" w:eastAsia="黑体" w:cs="黑体"/>
          <w:sz w:val="32"/>
          <w:szCs w:val="32"/>
        </w:rPr>
        <w:t>六、政府采购预算情况</w:t>
      </w:r>
    </w:p>
    <w:p>
      <w:pPr>
        <w:spacing w:line="520" w:lineRule="exact"/>
        <w:ind w:firstLine="560"/>
        <w:rPr>
          <w:rFonts w:ascii="仿宋" w:hAnsi="仿宋" w:eastAsia="仿宋" w:cs="仿宋"/>
          <w:sz w:val="32"/>
          <w:szCs w:val="32"/>
        </w:rPr>
      </w:pPr>
      <w:r>
        <w:rPr>
          <w:rFonts w:hint="eastAsia" w:ascii="仿宋" w:hAnsi="仿宋" w:eastAsia="仿宋" w:cs="仿宋"/>
          <w:sz w:val="32"/>
          <w:szCs w:val="32"/>
        </w:rPr>
        <w:t>本年度部门预算共计安排政府采购项目2类7个，涉及金额1117.05万元，其中：工程类5个（峨峪水库除险加固30万元、中央水利发展资金766万元、地下水超采治理56.7万元、省级水库移民后扶项目60万元、水库移民后扶基金项目60万元）共计1042.7万元；服务类2个，涉及城区配水管网监理费33.2万元和水库库容曲线修测41.15万元。</w:t>
      </w:r>
    </w:p>
    <w:p>
      <w:pPr>
        <w:spacing w:line="520" w:lineRule="exact"/>
        <w:ind w:firstLine="56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w:t>
      </w:r>
    </w:p>
    <w:p>
      <w:pPr>
        <w:spacing w:line="520" w:lineRule="exact"/>
        <w:ind w:firstLine="560"/>
        <w:rPr>
          <w:rFonts w:asciiTheme="minorEastAsia" w:hAnsiTheme="minorEastAsia" w:eastAsiaTheme="minorEastAsia" w:cstheme="minorEastAsia"/>
          <w:sz w:val="32"/>
          <w:szCs w:val="32"/>
        </w:rPr>
        <w:sectPr>
          <w:footerReference r:id="rId3" w:type="default"/>
          <w:pgSz w:w="11906" w:h="16838"/>
          <w:pgMar w:top="1440" w:right="1800" w:bottom="1440" w:left="1800" w:header="851" w:footer="992" w:gutter="0"/>
          <w:cols w:space="425" w:num="1"/>
          <w:docGrid w:type="linesAndChars" w:linePitch="312" w:charSpace="0"/>
        </w:sectPr>
      </w:pPr>
    </w:p>
    <w:p>
      <w:pPr>
        <w:spacing w:line="500" w:lineRule="exact"/>
        <w:ind w:firstLine="640" w:firstLineChars="200"/>
        <w:jc w:val="center"/>
        <w:outlineLvl w:val="0"/>
        <w:rPr>
          <w:rFonts w:ascii="Times New Roman" w:hAnsi="宋体"/>
          <w:sz w:val="32"/>
        </w:rPr>
      </w:pPr>
      <w:r>
        <w:rPr>
          <w:rFonts w:hint="eastAsia" w:ascii="方正小标宋_GBK" w:eastAsia="方正小标宋_GBK"/>
          <w:sz w:val="32"/>
        </w:rPr>
        <w:t>部门政府采购预算</w:t>
      </w:r>
      <w:r>
        <w:rPr>
          <w:rFonts w:hint="eastAsia"/>
        </w:rPr>
        <w:fldChar w:fldCharType="begin"/>
      </w:r>
      <w:r>
        <w:rPr>
          <w:rFonts w:hint="eastAsia" w:ascii="方正小标宋_GBK" w:eastAsia="方正小标宋_GBK"/>
          <w:sz w:val="32"/>
        </w:rPr>
        <w:instrText xml:space="preserve"> TC </w:instrText>
      </w:r>
      <w:bookmarkStart w:id="17" w:name="_Toc30017854"/>
      <w:r>
        <w:rPr>
          <w:rFonts w:hint="eastAsia" w:ascii="方正小标宋_GBK" w:eastAsia="方正小标宋_GBK"/>
          <w:sz w:val="32"/>
        </w:rPr>
        <w:instrText xml:space="preserve">部门政府采购预算</w:instrText>
      </w:r>
      <w:bookmarkEnd w:id="17"/>
      <w:r>
        <w:rPr>
          <w:rFonts w:hint="eastAsia" w:ascii="方正小标宋_GBK" w:eastAsia="方正小标宋_GBK"/>
          <w:sz w:val="32"/>
        </w:rPr>
        <w:instrText xml:space="preserve"> \f A \l 1 </w:instrText>
      </w:r>
      <w:r>
        <w:rPr>
          <w:rFonts w:hint="eastAsia" w:ascii="方正小标宋_GBK" w:eastAsia="方正小标宋_GBK"/>
          <w:sz w:val="32"/>
        </w:rPr>
        <w:fldChar w:fldCharType="end"/>
      </w:r>
    </w:p>
    <w:tbl>
      <w:tblPr>
        <w:tblStyle w:val="6"/>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bottom w:val="single" w:color="000000" w:sz="6" w:space="0"/>
              <w:right w:val="single" w:color="FFFFFF" w:sz="6" w:space="0"/>
            </w:tcBorders>
            <w:vAlign w:val="center"/>
          </w:tcPr>
          <w:p>
            <w:pPr>
              <w:spacing w:line="500" w:lineRule="exact"/>
              <w:jc w:val="left"/>
              <w:rPr>
                <w:rFonts w:ascii="方正小标宋_GBK" w:eastAsia="方正小标宋_GBK"/>
                <w:sz w:val="24"/>
              </w:rPr>
            </w:pPr>
            <w:r>
              <w:rPr>
                <w:rFonts w:hint="eastAsia" w:ascii="方正小标宋_GBK" w:eastAsia="方正小标宋_GBK"/>
                <w:sz w:val="24"/>
              </w:rPr>
              <w:t>332涞水县水利局</w:t>
            </w:r>
          </w:p>
        </w:tc>
        <w:tc>
          <w:tcPr>
            <w:tcW w:w="6804" w:type="dxa"/>
            <w:gridSpan w:val="6"/>
            <w:tcBorders>
              <w:top w:val="single" w:color="FFFFFF" w:sz="6" w:space="0"/>
              <w:left w:val="single" w:color="FFFFFF" w:sz="6" w:space="0"/>
              <w:bottom w:val="single" w:color="000000" w:sz="6" w:space="0"/>
              <w:right w:val="single" w:color="FFFFFF" w:sz="6" w:space="0"/>
            </w:tcBorders>
            <w:vAlign w:val="center"/>
          </w:tcPr>
          <w:p>
            <w:pPr>
              <w:spacing w:line="5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ascii="方正书宋_GBK" w:eastAsia="方正书宋_GBK"/>
                <w:b/>
              </w:rPr>
            </w:pPr>
            <w:r>
              <w:rPr>
                <w:rFonts w:hint="eastAsia" w:ascii="方正书宋_GBK" w:eastAsia="方正书宋_GBK"/>
                <w:b/>
              </w:rPr>
              <w:t>政府采购项目来源</w:t>
            </w:r>
          </w:p>
        </w:tc>
        <w:tc>
          <w:tcPr>
            <w:tcW w:w="1531" w:type="dxa"/>
            <w:vMerge w:val="restart"/>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ascii="方正书宋_GBK" w:eastAsia="方正书宋_GBK"/>
                <w:b/>
              </w:rPr>
            </w:pPr>
            <w:r>
              <w:rPr>
                <w:rFonts w:hint="eastAsia" w:ascii="方正书宋_GBK" w:eastAsia="方正书宋_GBK"/>
                <w:b/>
              </w:rPr>
              <w:t>采购物品名称</w:t>
            </w:r>
          </w:p>
        </w:tc>
        <w:tc>
          <w:tcPr>
            <w:tcW w:w="1531" w:type="dxa"/>
            <w:vMerge w:val="restart"/>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ascii="方正书宋_GBK" w:eastAsia="方正书宋_GBK"/>
                <w:b/>
              </w:rPr>
            </w:pPr>
            <w:r>
              <w:rPr>
                <w:rFonts w:hint="eastAsia" w:ascii="方正书宋_GBK" w:eastAsia="方正书宋_GBK"/>
                <w:b/>
              </w:rPr>
              <w:t>政府采购目录序号</w:t>
            </w:r>
          </w:p>
        </w:tc>
        <w:tc>
          <w:tcPr>
            <w:tcW w:w="709" w:type="dxa"/>
            <w:vMerge w:val="restart"/>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ascii="方正书宋_GBK" w:eastAsia="方正书宋_GBK"/>
                <w:b/>
              </w:rPr>
            </w:pPr>
            <w:r>
              <w:rPr>
                <w:rFonts w:hint="eastAsia" w:ascii="方正书宋_GBK" w:eastAsia="方正书宋_GBK"/>
                <w:b/>
              </w:rPr>
              <w:t>计量  单位</w:t>
            </w:r>
          </w:p>
        </w:tc>
        <w:tc>
          <w:tcPr>
            <w:tcW w:w="907" w:type="dxa"/>
            <w:vMerge w:val="restart"/>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ascii="方正书宋_GBK" w:eastAsia="方正书宋_GBK"/>
                <w:b/>
              </w:rPr>
            </w:pPr>
            <w:r>
              <w:rPr>
                <w:rFonts w:hint="eastAsia" w:ascii="方正书宋_GBK" w:eastAsia="方正书宋_GBK"/>
                <w:b/>
              </w:rPr>
              <w:t>数量</w:t>
            </w:r>
          </w:p>
        </w:tc>
        <w:tc>
          <w:tcPr>
            <w:tcW w:w="907" w:type="dxa"/>
            <w:vMerge w:val="restart"/>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ascii="方正书宋_GBK" w:eastAsia="方正书宋_GBK"/>
                <w:b/>
              </w:rPr>
            </w:pPr>
            <w:r>
              <w:rPr>
                <w:rFonts w:hint="eastAsia" w:ascii="方正书宋_GBK" w:eastAsia="方正书宋_GBK"/>
                <w:b/>
              </w:rPr>
              <w:t>单价</w:t>
            </w:r>
          </w:p>
        </w:tc>
        <w:tc>
          <w:tcPr>
            <w:tcW w:w="6804" w:type="dxa"/>
            <w:gridSpan w:val="6"/>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ascii="方正书宋_GBK" w:eastAsia="方正书宋_GBK"/>
                <w:b/>
              </w:rPr>
            </w:pPr>
            <w:r>
              <w:rPr>
                <w:rFonts w:hint="eastAsia" w:ascii="方正书宋_GBK" w:eastAsia="方正书宋_GBK"/>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ascii="方正书宋_GBK" w:eastAsia="方正书宋_GBK"/>
                <w:b/>
              </w:rPr>
            </w:pPr>
            <w:r>
              <w:rPr>
                <w:rFonts w:hint="eastAsia" w:ascii="方正书宋_GBK" w:eastAsia="方正书宋_GBK"/>
                <w:b/>
              </w:rPr>
              <w:t>项目名称</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ascii="方正书宋_GBK" w:eastAsia="方正书宋_GBK"/>
                <w:b/>
              </w:rPr>
            </w:pPr>
            <w:r>
              <w:rPr>
                <w:rFonts w:hint="eastAsia" w:ascii="方正书宋_GBK" w:eastAsia="方正书宋_GBK"/>
                <w:b/>
              </w:rPr>
              <w:t>预算资金</w:t>
            </w:r>
          </w:p>
        </w:tc>
        <w:tc>
          <w:tcPr>
            <w:tcW w:w="1531"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00" w:lineRule="exact"/>
              <w:jc w:val="left"/>
              <w:rPr>
                <w:rFonts w:ascii="方正书宋_GBK" w:eastAsia="方正书宋_GBK"/>
                <w:b/>
              </w:rPr>
            </w:pPr>
          </w:p>
        </w:tc>
        <w:tc>
          <w:tcPr>
            <w:tcW w:w="1531"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00" w:lineRule="exact"/>
              <w:jc w:val="left"/>
              <w:rPr>
                <w:rFonts w:ascii="方正书宋_GBK" w:eastAsia="方正书宋_GBK"/>
                <w:b/>
              </w:rPr>
            </w:pPr>
          </w:p>
        </w:tc>
        <w:tc>
          <w:tcPr>
            <w:tcW w:w="709"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00" w:lineRule="exact"/>
              <w:jc w:val="left"/>
              <w:rPr>
                <w:rFonts w:ascii="方正书宋_GBK" w:eastAsia="方正书宋_GBK"/>
                <w:b/>
              </w:rPr>
            </w:pPr>
          </w:p>
        </w:tc>
        <w:tc>
          <w:tcPr>
            <w:tcW w:w="907"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00" w:lineRule="exact"/>
              <w:jc w:val="left"/>
              <w:rPr>
                <w:rFonts w:ascii="方正书宋_GBK" w:eastAsia="方正书宋_GBK"/>
                <w:b/>
              </w:rPr>
            </w:pPr>
          </w:p>
        </w:tc>
        <w:tc>
          <w:tcPr>
            <w:tcW w:w="907"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00" w:lineRule="exact"/>
              <w:jc w:val="left"/>
              <w:rPr>
                <w:rFonts w:ascii="方正书宋_GBK" w:eastAsia="方正书宋_GBK"/>
                <w:b/>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ascii="方正书宋_GBK" w:eastAsia="方正书宋_GBK"/>
                <w:b/>
              </w:rPr>
            </w:pPr>
            <w:r>
              <w:rPr>
                <w:rFonts w:hint="eastAsia" w:ascii="方正书宋_GBK" w:eastAsia="方正书宋_GBK"/>
                <w:b/>
              </w:rPr>
              <w:t>合计</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ascii="方正书宋_GBK" w:eastAsia="方正书宋_GBK"/>
                <w:b/>
              </w:rPr>
            </w:pPr>
            <w:r>
              <w:rPr>
                <w:rFonts w:hint="eastAsia" w:ascii="方正书宋_GBK" w:eastAsia="方正书宋_GBK"/>
                <w:b/>
              </w:rPr>
              <w:t>一般公共预算拨款</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ascii="方正书宋_GBK" w:eastAsia="方正书宋_GBK"/>
                <w:b/>
              </w:rPr>
            </w:pPr>
            <w:r>
              <w:rPr>
                <w:rFonts w:hint="eastAsia" w:ascii="方正书宋_GBK" w:eastAsia="方正书宋_GBK"/>
                <w:b/>
              </w:rPr>
              <w:t>基金预算拨款</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ascii="方正书宋_GBK" w:eastAsia="方正书宋_GBK"/>
                <w:b/>
              </w:rPr>
            </w:pPr>
            <w:r>
              <w:rPr>
                <w:rFonts w:hint="eastAsia" w:ascii="方正书宋_GBK" w:eastAsia="方正书宋_GBK"/>
                <w:b/>
              </w:rPr>
              <w:t>国有资本经营预算拨款</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ascii="方正书宋_GBK" w:eastAsia="方正书宋_GBK"/>
                <w:b/>
              </w:rPr>
            </w:pPr>
            <w:r>
              <w:rPr>
                <w:rFonts w:hint="eastAsia" w:ascii="方正书宋_GBK" w:eastAsia="方正书宋_GBK"/>
                <w:b/>
              </w:rPr>
              <w:t>财政专户核拨</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ascii="方正书宋_GBK" w:eastAsia="方正书宋_GBK"/>
                <w:b/>
              </w:rPr>
            </w:pPr>
            <w:r>
              <w:rPr>
                <w:rFonts w:hint="eastAsia" w:ascii="方正书宋_GBK" w:eastAsia="方正书宋_GBK"/>
                <w:b/>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ascii="方正书宋_GBK" w:eastAsia="方正书宋_GBK"/>
                <w:b/>
              </w:rPr>
            </w:pPr>
            <w:r>
              <w:rPr>
                <w:rFonts w:hint="eastAsia" w:ascii="方正书宋_GBK" w:eastAsia="方正书宋_GBK"/>
                <w:b/>
              </w:rPr>
              <w:t>涞水县水利局小计</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b/>
              </w:rPr>
            </w:pPr>
          </w:p>
        </w:tc>
        <w:tc>
          <w:tcPr>
            <w:tcW w:w="1531"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left"/>
              <w:rPr>
                <w:rFonts w:ascii="方正书宋_GBK" w:eastAsia="方正书宋_GBK"/>
                <w:b/>
              </w:rPr>
            </w:pPr>
          </w:p>
        </w:tc>
        <w:tc>
          <w:tcPr>
            <w:tcW w:w="1531"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left"/>
              <w:rPr>
                <w:rFonts w:ascii="方正书宋_GBK" w:eastAsia="方正书宋_GBK"/>
                <w:b/>
              </w:rPr>
            </w:pPr>
          </w:p>
        </w:tc>
        <w:tc>
          <w:tcPr>
            <w:tcW w:w="709"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ascii="方正书宋_GBK" w:eastAsia="方正书宋_GBK"/>
                <w:b/>
              </w:rPr>
            </w:pPr>
          </w:p>
        </w:tc>
        <w:tc>
          <w:tcPr>
            <w:tcW w:w="907"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b/>
              </w:rPr>
            </w:pPr>
          </w:p>
        </w:tc>
        <w:tc>
          <w:tcPr>
            <w:tcW w:w="907"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b/>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b/>
              </w:rPr>
            </w:pPr>
            <w:r>
              <w:rPr>
                <w:rFonts w:hint="eastAsia" w:ascii="方正书宋_GBK" w:eastAsia="方正书宋_GBK"/>
                <w:b/>
              </w:rPr>
              <w:t>1117.05</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b/>
              </w:rPr>
            </w:pPr>
            <w:r>
              <w:rPr>
                <w:rFonts w:hint="eastAsia" w:ascii="方正书宋_GBK" w:eastAsia="方正书宋_GBK"/>
                <w:b/>
              </w:rPr>
              <w:t>1057.05</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b/>
              </w:rPr>
            </w:pPr>
            <w:r>
              <w:rPr>
                <w:rFonts w:hint="eastAsia" w:ascii="方正书宋_GBK" w:eastAsia="方正书宋_GBK"/>
                <w:b/>
              </w:rPr>
              <w:t>60.00</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b/>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b/>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left"/>
              <w:rPr>
                <w:rFonts w:ascii="方正书宋_GBK" w:eastAsia="方正书宋_GBK"/>
              </w:rPr>
            </w:pPr>
            <w:r>
              <w:rPr>
                <w:rFonts w:hint="eastAsia" w:ascii="方正书宋_GBK" w:eastAsia="方正书宋_GBK"/>
              </w:rPr>
              <w:t>2020年大中型水库后期扶持项目（冀财农[2019]135号）</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rPr>
            </w:pPr>
            <w:r>
              <w:rPr>
                <w:rFonts w:hint="eastAsia" w:ascii="方正书宋_GBK" w:eastAsia="方正书宋_GBK"/>
              </w:rPr>
              <w:t>130.00</w:t>
            </w:r>
          </w:p>
        </w:tc>
        <w:tc>
          <w:tcPr>
            <w:tcW w:w="1531"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left"/>
              <w:rPr>
                <w:rFonts w:ascii="方正书宋_GBK" w:eastAsia="方正书宋_GBK"/>
              </w:rPr>
            </w:pPr>
            <w:r>
              <w:rPr>
                <w:rFonts w:hint="eastAsia" w:ascii="方正书宋_GBK" w:eastAsia="方正书宋_GBK"/>
              </w:rPr>
              <w:t>其他水利工程施工</w:t>
            </w:r>
          </w:p>
        </w:tc>
        <w:tc>
          <w:tcPr>
            <w:tcW w:w="1531"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left"/>
              <w:rPr>
                <w:rFonts w:ascii="方正书宋_GBK" w:eastAsia="方正书宋_GBK"/>
              </w:rPr>
            </w:pPr>
            <w:r>
              <w:rPr>
                <w:rFonts w:hint="eastAsia" w:ascii="方正书宋_GBK" w:eastAsia="方正书宋_GBK"/>
              </w:rPr>
              <w:t>B020999</w:t>
            </w:r>
          </w:p>
        </w:tc>
        <w:tc>
          <w:tcPr>
            <w:tcW w:w="709"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ascii="方正书宋_GBK" w:eastAsia="方正书宋_GBK"/>
              </w:rPr>
            </w:pPr>
            <w:r>
              <w:rPr>
                <w:rFonts w:hint="eastAsia" w:ascii="方正书宋_GBK" w:eastAsia="方正书宋_GBK"/>
              </w:rPr>
              <w:t>个</w:t>
            </w:r>
          </w:p>
        </w:tc>
        <w:tc>
          <w:tcPr>
            <w:tcW w:w="907"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rPr>
            </w:pPr>
            <w:r>
              <w:rPr>
                <w:rFonts w:hint="eastAsia" w:ascii="方正书宋_GBK" w:eastAsia="方正书宋_GBK"/>
              </w:rPr>
              <w:t>1.00</w:t>
            </w:r>
          </w:p>
        </w:tc>
        <w:tc>
          <w:tcPr>
            <w:tcW w:w="907"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rPr>
            </w:pPr>
            <w:r>
              <w:rPr>
                <w:rFonts w:hint="eastAsia" w:ascii="方正书宋_GBK" w:eastAsia="方正书宋_GBK"/>
              </w:rPr>
              <w:t>130.00</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rPr>
            </w:pPr>
            <w:r>
              <w:rPr>
                <w:rFonts w:hint="eastAsia" w:ascii="方正书宋_GBK" w:eastAsia="方正书宋_GBK"/>
              </w:rPr>
              <w:t>130.00</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rPr>
            </w:pPr>
            <w:r>
              <w:rPr>
                <w:rFonts w:hint="eastAsia" w:ascii="方正书宋_GBK" w:eastAsia="方正书宋_GBK"/>
              </w:rPr>
              <w:t>130.00</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left"/>
              <w:rPr>
                <w:rFonts w:ascii="方正书宋_GBK" w:eastAsia="方正书宋_GBK"/>
              </w:rPr>
            </w:pPr>
            <w:r>
              <w:rPr>
                <w:rFonts w:hint="eastAsia" w:ascii="方正书宋_GBK" w:eastAsia="方正书宋_GBK"/>
              </w:rPr>
              <w:t>中央水利发展资金地下水超采治理项目（冀财农[2019]142号）</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rPr>
            </w:pPr>
            <w:r>
              <w:rPr>
                <w:rFonts w:hint="eastAsia" w:ascii="方正书宋_GBK" w:eastAsia="方正书宋_GBK"/>
              </w:rPr>
              <w:t>56.70</w:t>
            </w:r>
          </w:p>
        </w:tc>
        <w:tc>
          <w:tcPr>
            <w:tcW w:w="1531"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left"/>
              <w:rPr>
                <w:rFonts w:ascii="方正书宋_GBK" w:eastAsia="方正书宋_GBK"/>
              </w:rPr>
            </w:pPr>
            <w:r>
              <w:rPr>
                <w:rFonts w:hint="eastAsia" w:ascii="方正书宋_GBK" w:eastAsia="方正书宋_GBK"/>
              </w:rPr>
              <w:t>其他水利工程施工</w:t>
            </w:r>
          </w:p>
        </w:tc>
        <w:tc>
          <w:tcPr>
            <w:tcW w:w="1531"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left"/>
              <w:rPr>
                <w:rFonts w:ascii="方正书宋_GBK" w:eastAsia="方正书宋_GBK"/>
              </w:rPr>
            </w:pPr>
            <w:r>
              <w:rPr>
                <w:rFonts w:hint="eastAsia" w:ascii="方正书宋_GBK" w:eastAsia="方正书宋_GBK"/>
              </w:rPr>
              <w:t>B020999</w:t>
            </w:r>
          </w:p>
        </w:tc>
        <w:tc>
          <w:tcPr>
            <w:tcW w:w="709"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ascii="方正书宋_GBK" w:eastAsia="方正书宋_GBK"/>
              </w:rPr>
            </w:pPr>
            <w:r>
              <w:rPr>
                <w:rFonts w:hint="eastAsia" w:ascii="方正书宋_GBK" w:eastAsia="方正书宋_GBK"/>
              </w:rPr>
              <w:t>套</w:t>
            </w:r>
          </w:p>
        </w:tc>
        <w:tc>
          <w:tcPr>
            <w:tcW w:w="907"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rPr>
            </w:pPr>
            <w:r>
              <w:rPr>
                <w:rFonts w:hint="eastAsia" w:ascii="方正书宋_GBK" w:eastAsia="方正书宋_GBK"/>
              </w:rPr>
              <w:t>27.00</w:t>
            </w:r>
          </w:p>
        </w:tc>
        <w:tc>
          <w:tcPr>
            <w:tcW w:w="907"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rPr>
            </w:pPr>
            <w:r>
              <w:rPr>
                <w:rFonts w:hint="eastAsia" w:ascii="方正书宋_GBK" w:eastAsia="方正书宋_GBK"/>
              </w:rPr>
              <w:t>2.10</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rPr>
            </w:pPr>
            <w:r>
              <w:rPr>
                <w:rFonts w:hint="eastAsia" w:ascii="方正书宋_GBK" w:eastAsia="方正书宋_GBK"/>
              </w:rPr>
              <w:t>56.70</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rPr>
            </w:pPr>
            <w:r>
              <w:rPr>
                <w:rFonts w:hint="eastAsia" w:ascii="方正书宋_GBK" w:eastAsia="方正书宋_GBK"/>
              </w:rPr>
              <w:t>56.70</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left"/>
              <w:rPr>
                <w:rFonts w:ascii="方正书宋_GBK" w:eastAsia="方正书宋_GBK"/>
              </w:rPr>
            </w:pPr>
            <w:r>
              <w:rPr>
                <w:rFonts w:hint="eastAsia" w:ascii="方正书宋_GBK" w:eastAsia="方正书宋_GBK"/>
              </w:rPr>
              <w:t>水库库容曲线修测和水库特征值修正项目</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rPr>
            </w:pPr>
            <w:r>
              <w:rPr>
                <w:rFonts w:hint="eastAsia" w:ascii="方正书宋_GBK" w:eastAsia="方正书宋_GBK"/>
              </w:rPr>
              <w:t>41.15</w:t>
            </w:r>
          </w:p>
        </w:tc>
        <w:tc>
          <w:tcPr>
            <w:tcW w:w="1531"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left"/>
              <w:rPr>
                <w:rFonts w:ascii="方正书宋_GBK" w:eastAsia="方正书宋_GBK"/>
              </w:rPr>
            </w:pPr>
            <w:r>
              <w:rPr>
                <w:rFonts w:hint="eastAsia" w:ascii="方正书宋_GBK" w:eastAsia="方正书宋_GBK"/>
              </w:rPr>
              <w:t>其他专业技术服务</w:t>
            </w:r>
          </w:p>
        </w:tc>
        <w:tc>
          <w:tcPr>
            <w:tcW w:w="1531"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left"/>
              <w:rPr>
                <w:rFonts w:ascii="方正书宋_GBK" w:eastAsia="方正书宋_GBK"/>
              </w:rPr>
            </w:pPr>
            <w:r>
              <w:rPr>
                <w:rFonts w:hint="eastAsia" w:ascii="方正书宋_GBK" w:eastAsia="方正书宋_GBK"/>
              </w:rPr>
              <w:t>C0908</w:t>
            </w:r>
          </w:p>
        </w:tc>
        <w:tc>
          <w:tcPr>
            <w:tcW w:w="709"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ascii="方正书宋_GBK" w:eastAsia="方正书宋_GBK"/>
              </w:rPr>
            </w:pPr>
            <w:r>
              <w:rPr>
                <w:rFonts w:hint="eastAsia" w:ascii="方正书宋_GBK" w:eastAsia="方正书宋_GBK"/>
              </w:rPr>
              <w:t>个</w:t>
            </w:r>
          </w:p>
        </w:tc>
        <w:tc>
          <w:tcPr>
            <w:tcW w:w="907"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rPr>
            </w:pPr>
            <w:r>
              <w:rPr>
                <w:rFonts w:hint="eastAsia" w:ascii="方正书宋_GBK" w:eastAsia="方正书宋_GBK"/>
              </w:rPr>
              <w:t>1.00</w:t>
            </w:r>
          </w:p>
        </w:tc>
        <w:tc>
          <w:tcPr>
            <w:tcW w:w="907"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rPr>
            </w:pPr>
            <w:r>
              <w:rPr>
                <w:rFonts w:hint="eastAsia" w:ascii="方正书宋_GBK" w:eastAsia="方正书宋_GBK"/>
              </w:rPr>
              <w:t>41.15</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rPr>
            </w:pPr>
            <w:r>
              <w:rPr>
                <w:rFonts w:hint="eastAsia" w:ascii="方正书宋_GBK" w:eastAsia="方正书宋_GBK"/>
              </w:rPr>
              <w:t>41.15</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rPr>
            </w:pPr>
            <w:r>
              <w:rPr>
                <w:rFonts w:hint="eastAsia" w:ascii="方正书宋_GBK" w:eastAsia="方正书宋_GBK"/>
              </w:rPr>
              <w:t>41.15</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left"/>
              <w:rPr>
                <w:rFonts w:ascii="方正书宋_GBK" w:eastAsia="方正书宋_GBK"/>
              </w:rPr>
            </w:pPr>
            <w:r>
              <w:rPr>
                <w:rFonts w:hint="eastAsia" w:ascii="方正书宋_GBK" w:eastAsia="方正书宋_GBK"/>
              </w:rPr>
              <w:t>水库移民省级后扶项目（冀财农[2019]141号）</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rPr>
            </w:pPr>
            <w:r>
              <w:rPr>
                <w:rFonts w:hint="eastAsia" w:ascii="方正书宋_GBK" w:eastAsia="方正书宋_GBK"/>
              </w:rPr>
              <w:t>60.00</w:t>
            </w:r>
          </w:p>
        </w:tc>
        <w:tc>
          <w:tcPr>
            <w:tcW w:w="1531"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left"/>
              <w:rPr>
                <w:rFonts w:ascii="方正书宋_GBK" w:eastAsia="方正书宋_GBK"/>
              </w:rPr>
            </w:pPr>
            <w:r>
              <w:rPr>
                <w:rFonts w:hint="eastAsia" w:ascii="方正书宋_GBK" w:eastAsia="方正书宋_GBK"/>
              </w:rPr>
              <w:t>其他水利工程施工</w:t>
            </w:r>
          </w:p>
        </w:tc>
        <w:tc>
          <w:tcPr>
            <w:tcW w:w="1531"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left"/>
              <w:rPr>
                <w:rFonts w:ascii="方正书宋_GBK" w:eastAsia="方正书宋_GBK"/>
              </w:rPr>
            </w:pPr>
            <w:r>
              <w:rPr>
                <w:rFonts w:hint="eastAsia" w:ascii="方正书宋_GBK" w:eastAsia="方正书宋_GBK"/>
              </w:rPr>
              <w:t>B020999</w:t>
            </w:r>
          </w:p>
        </w:tc>
        <w:tc>
          <w:tcPr>
            <w:tcW w:w="709"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ascii="方正书宋_GBK" w:eastAsia="方正书宋_GBK"/>
              </w:rPr>
            </w:pPr>
            <w:r>
              <w:rPr>
                <w:rFonts w:hint="eastAsia" w:ascii="方正书宋_GBK" w:eastAsia="方正书宋_GBK"/>
              </w:rPr>
              <w:t>个</w:t>
            </w:r>
          </w:p>
        </w:tc>
        <w:tc>
          <w:tcPr>
            <w:tcW w:w="907"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rPr>
            </w:pPr>
            <w:r>
              <w:rPr>
                <w:rFonts w:hint="eastAsia" w:ascii="方正书宋_GBK" w:eastAsia="方正书宋_GBK"/>
              </w:rPr>
              <w:t>1.00</w:t>
            </w:r>
          </w:p>
        </w:tc>
        <w:tc>
          <w:tcPr>
            <w:tcW w:w="907"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rPr>
            </w:pPr>
            <w:r>
              <w:rPr>
                <w:rFonts w:hint="eastAsia" w:ascii="方正书宋_GBK" w:eastAsia="方正书宋_GBK"/>
              </w:rPr>
              <w:t>60.00</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rPr>
            </w:pPr>
            <w:r>
              <w:rPr>
                <w:rFonts w:hint="eastAsia" w:ascii="方正书宋_GBK" w:eastAsia="方正书宋_GBK"/>
              </w:rPr>
              <w:t>60.00</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rPr>
            </w:pPr>
            <w:r>
              <w:rPr>
                <w:rFonts w:hint="eastAsia" w:ascii="方正书宋_GBK" w:eastAsia="方正书宋_GBK"/>
              </w:rPr>
              <w:t>60.00</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left"/>
              <w:rPr>
                <w:rFonts w:ascii="方正书宋_GBK" w:eastAsia="方正书宋_GBK"/>
              </w:rPr>
            </w:pPr>
            <w:r>
              <w:rPr>
                <w:rFonts w:hint="eastAsia" w:ascii="方正书宋_GBK" w:eastAsia="方正书宋_GBK"/>
              </w:rPr>
              <w:t>峨峪水库除险加固工程项目</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rPr>
            </w:pPr>
            <w:r>
              <w:rPr>
                <w:rFonts w:hint="eastAsia" w:ascii="方正书宋_GBK" w:eastAsia="方正书宋_GBK"/>
              </w:rPr>
              <w:t>30.00</w:t>
            </w:r>
          </w:p>
        </w:tc>
        <w:tc>
          <w:tcPr>
            <w:tcW w:w="1531"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left"/>
              <w:rPr>
                <w:rFonts w:ascii="方正书宋_GBK" w:eastAsia="方正书宋_GBK"/>
              </w:rPr>
            </w:pPr>
            <w:r>
              <w:rPr>
                <w:rFonts w:hint="eastAsia" w:ascii="方正书宋_GBK" w:eastAsia="方正书宋_GBK"/>
              </w:rPr>
              <w:t>水库工程施工</w:t>
            </w:r>
          </w:p>
        </w:tc>
        <w:tc>
          <w:tcPr>
            <w:tcW w:w="1531"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left"/>
              <w:rPr>
                <w:rFonts w:ascii="方正书宋_GBK" w:eastAsia="方正书宋_GBK"/>
              </w:rPr>
            </w:pPr>
            <w:r>
              <w:rPr>
                <w:rFonts w:hint="eastAsia" w:ascii="方正书宋_GBK" w:eastAsia="方正书宋_GBK"/>
              </w:rPr>
              <w:t>B020908</w:t>
            </w:r>
          </w:p>
        </w:tc>
        <w:tc>
          <w:tcPr>
            <w:tcW w:w="709"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ascii="方正书宋_GBK" w:eastAsia="方正书宋_GBK"/>
              </w:rPr>
            </w:pPr>
            <w:r>
              <w:rPr>
                <w:rFonts w:hint="eastAsia" w:ascii="方正书宋_GBK" w:eastAsia="方正书宋_GBK"/>
              </w:rPr>
              <w:t>座</w:t>
            </w:r>
          </w:p>
        </w:tc>
        <w:tc>
          <w:tcPr>
            <w:tcW w:w="907"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rPr>
            </w:pPr>
            <w:r>
              <w:rPr>
                <w:rFonts w:hint="eastAsia" w:ascii="方正书宋_GBK" w:eastAsia="方正书宋_GBK"/>
              </w:rPr>
              <w:t>1.00</w:t>
            </w:r>
          </w:p>
        </w:tc>
        <w:tc>
          <w:tcPr>
            <w:tcW w:w="907"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rPr>
            </w:pPr>
            <w:r>
              <w:rPr>
                <w:rFonts w:hint="eastAsia" w:ascii="方正书宋_GBK" w:eastAsia="方正书宋_GBK"/>
              </w:rPr>
              <w:t>30.00</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rPr>
            </w:pPr>
            <w:r>
              <w:rPr>
                <w:rFonts w:hint="eastAsia" w:ascii="方正书宋_GBK" w:eastAsia="方正书宋_GBK"/>
              </w:rPr>
              <w:t>30.00</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rPr>
            </w:pPr>
            <w:r>
              <w:rPr>
                <w:rFonts w:hint="eastAsia" w:ascii="方正书宋_GBK" w:eastAsia="方正书宋_GBK"/>
              </w:rPr>
              <w:t>30.00</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left"/>
              <w:rPr>
                <w:rFonts w:ascii="方正书宋_GBK" w:eastAsia="方正书宋_GBK"/>
              </w:rPr>
            </w:pPr>
            <w:r>
              <w:rPr>
                <w:rFonts w:hint="eastAsia" w:ascii="方正书宋_GBK" w:eastAsia="方正书宋_GBK"/>
              </w:rPr>
              <w:t>地表水厂配套给水管网工程监理费</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rPr>
            </w:pPr>
            <w:r>
              <w:rPr>
                <w:rFonts w:hint="eastAsia" w:ascii="方正书宋_GBK" w:eastAsia="方正书宋_GBK"/>
              </w:rPr>
              <w:t>33.20</w:t>
            </w:r>
          </w:p>
        </w:tc>
        <w:tc>
          <w:tcPr>
            <w:tcW w:w="1531"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left"/>
              <w:rPr>
                <w:rFonts w:ascii="方正书宋_GBK" w:eastAsia="方正书宋_GBK"/>
              </w:rPr>
            </w:pPr>
            <w:r>
              <w:rPr>
                <w:rFonts w:hint="eastAsia" w:ascii="方正书宋_GBK" w:eastAsia="方正书宋_GBK"/>
              </w:rPr>
              <w:t>其他工程咨询管理服务</w:t>
            </w:r>
          </w:p>
        </w:tc>
        <w:tc>
          <w:tcPr>
            <w:tcW w:w="1531"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left"/>
              <w:rPr>
                <w:rFonts w:ascii="方正书宋_GBK" w:eastAsia="方正书宋_GBK"/>
              </w:rPr>
            </w:pPr>
            <w:r>
              <w:rPr>
                <w:rFonts w:hint="eastAsia" w:ascii="方正书宋_GBK" w:eastAsia="方正书宋_GBK"/>
              </w:rPr>
              <w:t>C1099</w:t>
            </w:r>
          </w:p>
        </w:tc>
        <w:tc>
          <w:tcPr>
            <w:tcW w:w="709"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ascii="方正书宋_GBK" w:eastAsia="方正书宋_GBK"/>
              </w:rPr>
            </w:pPr>
            <w:r>
              <w:rPr>
                <w:rFonts w:hint="eastAsia" w:ascii="方正书宋_GBK" w:eastAsia="方正书宋_GBK"/>
              </w:rPr>
              <w:t>个</w:t>
            </w:r>
          </w:p>
        </w:tc>
        <w:tc>
          <w:tcPr>
            <w:tcW w:w="907"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rPr>
            </w:pPr>
            <w:r>
              <w:rPr>
                <w:rFonts w:hint="eastAsia" w:ascii="方正书宋_GBK" w:eastAsia="方正书宋_GBK"/>
              </w:rPr>
              <w:t>1.00</w:t>
            </w:r>
          </w:p>
        </w:tc>
        <w:tc>
          <w:tcPr>
            <w:tcW w:w="907"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rPr>
            </w:pPr>
            <w:r>
              <w:rPr>
                <w:rFonts w:hint="eastAsia" w:ascii="方正书宋_GBK" w:eastAsia="方正书宋_GBK"/>
              </w:rPr>
              <w:t>33.20</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rPr>
            </w:pPr>
            <w:r>
              <w:rPr>
                <w:rFonts w:hint="eastAsia" w:ascii="方正书宋_GBK" w:eastAsia="方正书宋_GBK"/>
              </w:rPr>
              <w:t>33.20</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rPr>
            </w:pPr>
            <w:r>
              <w:rPr>
                <w:rFonts w:hint="eastAsia" w:ascii="方正书宋_GBK" w:eastAsia="方正书宋_GBK"/>
              </w:rPr>
              <w:t>33.20</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left"/>
              <w:rPr>
                <w:rFonts w:ascii="方正书宋_GBK" w:eastAsia="方正书宋_GBK"/>
              </w:rPr>
            </w:pPr>
            <w:r>
              <w:rPr>
                <w:rFonts w:hint="eastAsia" w:ascii="方正书宋_GBK" w:eastAsia="方正书宋_GBK"/>
              </w:rPr>
              <w:t>2020年中央水利发展资金项目（冀财农[2019]143号）</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rPr>
            </w:pPr>
            <w:r>
              <w:rPr>
                <w:rFonts w:hint="eastAsia" w:ascii="方正书宋_GBK" w:eastAsia="方正书宋_GBK"/>
              </w:rPr>
              <w:t>766.00</w:t>
            </w:r>
          </w:p>
        </w:tc>
        <w:tc>
          <w:tcPr>
            <w:tcW w:w="1531"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left"/>
              <w:rPr>
                <w:rFonts w:ascii="方正书宋_GBK" w:eastAsia="方正书宋_GBK"/>
              </w:rPr>
            </w:pPr>
            <w:r>
              <w:rPr>
                <w:rFonts w:hint="eastAsia" w:ascii="方正书宋_GBK" w:eastAsia="方正书宋_GBK"/>
              </w:rPr>
              <w:t>其他水利工程施工</w:t>
            </w:r>
          </w:p>
        </w:tc>
        <w:tc>
          <w:tcPr>
            <w:tcW w:w="1531"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left"/>
              <w:rPr>
                <w:rFonts w:ascii="方正书宋_GBK" w:eastAsia="方正书宋_GBK"/>
              </w:rPr>
            </w:pPr>
            <w:r>
              <w:rPr>
                <w:rFonts w:hint="eastAsia" w:ascii="方正书宋_GBK" w:eastAsia="方正书宋_GBK"/>
              </w:rPr>
              <w:t>B020999</w:t>
            </w:r>
          </w:p>
        </w:tc>
        <w:tc>
          <w:tcPr>
            <w:tcW w:w="709"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ascii="方正书宋_GBK" w:eastAsia="方正书宋_GBK"/>
              </w:rPr>
            </w:pPr>
            <w:r>
              <w:rPr>
                <w:rFonts w:hint="eastAsia" w:ascii="方正书宋_GBK" w:eastAsia="方正书宋_GBK"/>
              </w:rPr>
              <w:t>个</w:t>
            </w:r>
          </w:p>
        </w:tc>
        <w:tc>
          <w:tcPr>
            <w:tcW w:w="907"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rPr>
            </w:pPr>
            <w:r>
              <w:rPr>
                <w:rFonts w:hint="eastAsia" w:ascii="方正书宋_GBK" w:eastAsia="方正书宋_GBK"/>
              </w:rPr>
              <w:t>1.00</w:t>
            </w:r>
          </w:p>
        </w:tc>
        <w:tc>
          <w:tcPr>
            <w:tcW w:w="907"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rPr>
            </w:pPr>
            <w:r>
              <w:rPr>
                <w:rFonts w:hint="eastAsia" w:ascii="方正书宋_GBK" w:eastAsia="方正书宋_GBK"/>
              </w:rPr>
              <w:t>766.00</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rPr>
            </w:pPr>
            <w:r>
              <w:rPr>
                <w:rFonts w:hint="eastAsia" w:ascii="方正书宋_GBK" w:eastAsia="方正书宋_GBK"/>
              </w:rPr>
              <w:t>766.00</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rPr>
            </w:pPr>
            <w:r>
              <w:rPr>
                <w:rFonts w:hint="eastAsia" w:ascii="方正书宋_GBK" w:eastAsia="方正书宋_GBK"/>
              </w:rPr>
              <w:t>766.00</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right"/>
              <w:rPr>
                <w:rFonts w:ascii="方正书宋_GBK" w:eastAsia="方正书宋_GBK"/>
              </w:rPr>
            </w:pPr>
          </w:p>
        </w:tc>
      </w:tr>
    </w:tbl>
    <w:p>
      <w:pPr>
        <w:tabs>
          <w:tab w:val="left" w:pos="3559"/>
        </w:tabs>
        <w:spacing w:line="500" w:lineRule="exact"/>
        <w:jc w:val="left"/>
        <w:sectPr>
          <w:pgSz w:w="16838" w:h="11906" w:orient="landscape"/>
          <w:pgMar w:top="1003" w:right="1440" w:bottom="1797" w:left="1440" w:header="851" w:footer="992" w:gutter="0"/>
          <w:cols w:space="425" w:num="1"/>
          <w:docGrid w:type="linesAndChars" w:linePitch="312" w:charSpace="0"/>
        </w:sectPr>
      </w:pPr>
    </w:p>
    <w:p>
      <w:pPr>
        <w:spacing w:line="50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七、国有资产信息情况</w:t>
      </w:r>
    </w:p>
    <w:p>
      <w:pPr>
        <w:spacing w:line="500" w:lineRule="exact"/>
        <w:ind w:firstLine="560"/>
        <w:rPr>
          <w:rFonts w:ascii="仿宋" w:hAnsi="仿宋" w:eastAsia="仿宋" w:cs="仿宋"/>
          <w:bCs/>
          <w:sz w:val="32"/>
          <w:szCs w:val="32"/>
        </w:rPr>
      </w:pPr>
      <w:r>
        <w:rPr>
          <w:rFonts w:hint="eastAsia" w:ascii="仿宋" w:hAnsi="仿宋" w:eastAsia="仿宋" w:cs="仿宋"/>
          <w:sz w:val="32"/>
          <w:szCs w:val="32"/>
        </w:rPr>
        <w:t xml:space="preserve"> 2019年末固定资产及公共基础设施（水库大坝）总额6000.66万元。</w:t>
      </w:r>
      <w:r>
        <w:rPr>
          <w:rFonts w:hint="eastAsia" w:ascii="仿宋" w:hAnsi="仿宋" w:eastAsia="仿宋" w:cs="仿宋"/>
          <w:bCs/>
          <w:sz w:val="32"/>
          <w:szCs w:val="32"/>
        </w:rPr>
        <w:t>（一）房屋及建筑物资产5478.52万元。（二）公务用车10辆，价值112.69万元。（政府收回2辆）（三）单价在100万以上设备1台套（空压打井机设备），价值177.6万元。（四）其他固定资产231.85万元。</w:t>
      </w:r>
      <w:r>
        <w:rPr>
          <w:rFonts w:hint="eastAsia" w:ascii="仿宋" w:hAnsi="仿宋" w:eastAsia="仿宋" w:cs="仿宋_GB2312"/>
          <w:sz w:val="32"/>
          <w:szCs w:val="32"/>
        </w:rPr>
        <w:t>本年无固定资产购置预算。</w:t>
      </w:r>
    </w:p>
    <w:p>
      <w:pPr>
        <w:pStyle w:val="5"/>
        <w:shd w:val="clear" w:color="auto" w:fill="FFFFFF"/>
        <w:spacing w:line="500" w:lineRule="exact"/>
        <w:ind w:firstLine="64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w:t>
      </w:r>
    </w:p>
    <w:p>
      <w:pPr>
        <w:pStyle w:val="5"/>
        <w:shd w:val="clear" w:color="auto" w:fill="FFFFFF"/>
        <w:spacing w:line="500" w:lineRule="exact"/>
        <w:ind w:firstLine="64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bCs/>
          <w:sz w:val="32"/>
          <w:szCs w:val="32"/>
        </w:rPr>
        <w:t>截止时间：2019年12月31日</w:t>
      </w:r>
      <w:r>
        <w:rPr>
          <w:rFonts w:hint="eastAsia" w:asciiTheme="minorEastAsia" w:hAnsiTheme="minorEastAsia" w:eastAsiaTheme="minorEastAsia" w:cstheme="minorEastAsia"/>
          <w:sz w:val="32"/>
          <w:szCs w:val="32"/>
        </w:rPr>
        <w:t xml:space="preserve">   </w:t>
      </w:r>
    </w:p>
    <w:tbl>
      <w:tblPr>
        <w:tblStyle w:val="6"/>
        <w:tblW w:w="9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3"/>
        <w:gridCol w:w="1449"/>
        <w:gridCol w:w="3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03" w:type="dxa"/>
            <w:vAlign w:val="center"/>
          </w:tcPr>
          <w:p>
            <w:pPr>
              <w:widowControl/>
              <w:spacing w:line="500" w:lineRule="exact"/>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b/>
                <w:bCs/>
                <w:kern w:val="0"/>
                <w:sz w:val="32"/>
                <w:szCs w:val="32"/>
              </w:rPr>
              <w:t>项　　目</w:t>
            </w:r>
          </w:p>
        </w:tc>
        <w:tc>
          <w:tcPr>
            <w:tcW w:w="1449" w:type="dxa"/>
            <w:vAlign w:val="center"/>
          </w:tcPr>
          <w:p>
            <w:pPr>
              <w:widowControl/>
              <w:spacing w:line="500" w:lineRule="exact"/>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b/>
                <w:bCs/>
                <w:kern w:val="0"/>
                <w:sz w:val="32"/>
                <w:szCs w:val="32"/>
              </w:rPr>
              <w:t>数量</w:t>
            </w:r>
          </w:p>
        </w:tc>
        <w:tc>
          <w:tcPr>
            <w:tcW w:w="3948" w:type="dxa"/>
            <w:vAlign w:val="center"/>
          </w:tcPr>
          <w:p>
            <w:pPr>
              <w:widowControl/>
              <w:spacing w:line="500" w:lineRule="exact"/>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b/>
                <w:bCs/>
                <w:kern w:val="0"/>
                <w:sz w:val="32"/>
                <w:szCs w:val="32"/>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03" w:type="dxa"/>
            <w:vAlign w:val="center"/>
          </w:tcPr>
          <w:p>
            <w:pPr>
              <w:widowControl/>
              <w:spacing w:line="500" w:lineRule="exact"/>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b/>
                <w:bCs/>
                <w:kern w:val="0"/>
                <w:sz w:val="32"/>
                <w:szCs w:val="32"/>
              </w:rPr>
              <w:t>固定资产总额</w:t>
            </w:r>
          </w:p>
        </w:tc>
        <w:tc>
          <w:tcPr>
            <w:tcW w:w="1449" w:type="dxa"/>
            <w:vAlign w:val="center"/>
          </w:tcPr>
          <w:p>
            <w:pPr>
              <w:widowControl/>
              <w:spacing w:line="500" w:lineRule="exact"/>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rPr>
              <w:t>—</w:t>
            </w:r>
          </w:p>
        </w:tc>
        <w:tc>
          <w:tcPr>
            <w:tcW w:w="3948" w:type="dxa"/>
            <w:vAlign w:val="center"/>
          </w:tcPr>
          <w:p>
            <w:pPr>
              <w:widowControl/>
              <w:spacing w:line="500" w:lineRule="exact"/>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6000.66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03" w:type="dxa"/>
            <w:vAlign w:val="center"/>
          </w:tcPr>
          <w:p>
            <w:pPr>
              <w:widowControl/>
              <w:spacing w:line="500" w:lineRule="exact"/>
              <w:jc w:val="left"/>
              <w:rPr>
                <w:rFonts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rPr>
              <w:t xml:space="preserve">  1、房屋（平方米）</w:t>
            </w:r>
          </w:p>
        </w:tc>
        <w:tc>
          <w:tcPr>
            <w:tcW w:w="1449" w:type="dxa"/>
            <w:vAlign w:val="center"/>
          </w:tcPr>
          <w:p>
            <w:pPr>
              <w:widowControl/>
              <w:spacing w:line="500" w:lineRule="exact"/>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5179.9</w:t>
            </w:r>
          </w:p>
        </w:tc>
        <w:tc>
          <w:tcPr>
            <w:tcW w:w="3948" w:type="dxa"/>
            <w:vAlign w:val="center"/>
          </w:tcPr>
          <w:p>
            <w:pPr>
              <w:widowControl/>
              <w:spacing w:line="500" w:lineRule="exact"/>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188.43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4203" w:type="dxa"/>
            <w:vAlign w:val="center"/>
          </w:tcPr>
          <w:p>
            <w:pPr>
              <w:spacing w:line="500" w:lineRule="exact"/>
              <w:jc w:val="left"/>
              <w:rPr>
                <w:rFonts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rPr>
              <w:t>其中：办公用房（平方米）</w:t>
            </w:r>
          </w:p>
        </w:tc>
        <w:tc>
          <w:tcPr>
            <w:tcW w:w="1449" w:type="dxa"/>
            <w:vAlign w:val="center"/>
          </w:tcPr>
          <w:p>
            <w:pPr>
              <w:spacing w:line="500" w:lineRule="exact"/>
              <w:ind w:firstLine="320" w:firstLineChars="1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800</w:t>
            </w:r>
          </w:p>
        </w:tc>
        <w:tc>
          <w:tcPr>
            <w:tcW w:w="3948" w:type="dxa"/>
            <w:vAlign w:val="center"/>
          </w:tcPr>
          <w:p>
            <w:pPr>
              <w:spacing w:line="500" w:lineRule="exact"/>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03" w:type="dxa"/>
            <w:vAlign w:val="center"/>
          </w:tcPr>
          <w:p>
            <w:pPr>
              <w:widowControl/>
              <w:spacing w:line="500" w:lineRule="exact"/>
              <w:jc w:val="left"/>
              <w:rPr>
                <w:rFonts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rPr>
              <w:t xml:space="preserve">  2、车辆（台、辆）</w:t>
            </w:r>
          </w:p>
        </w:tc>
        <w:tc>
          <w:tcPr>
            <w:tcW w:w="1449" w:type="dxa"/>
            <w:vAlign w:val="center"/>
          </w:tcPr>
          <w:p>
            <w:pPr>
              <w:widowControl/>
              <w:spacing w:line="500" w:lineRule="exact"/>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8</w:t>
            </w:r>
          </w:p>
        </w:tc>
        <w:tc>
          <w:tcPr>
            <w:tcW w:w="3948" w:type="dxa"/>
            <w:vAlign w:val="center"/>
          </w:tcPr>
          <w:p>
            <w:pPr>
              <w:widowControl/>
              <w:spacing w:line="500" w:lineRule="exact"/>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112.69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03" w:type="dxa"/>
            <w:vAlign w:val="center"/>
          </w:tcPr>
          <w:p>
            <w:pPr>
              <w:widowControl/>
              <w:spacing w:line="500" w:lineRule="exact"/>
              <w:jc w:val="left"/>
              <w:rPr>
                <w:rFonts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rPr>
              <w:t xml:space="preserve">  3、单价在100万元以上的设备</w:t>
            </w:r>
          </w:p>
        </w:tc>
        <w:tc>
          <w:tcPr>
            <w:tcW w:w="1449" w:type="dxa"/>
            <w:vAlign w:val="center"/>
          </w:tcPr>
          <w:p>
            <w:pPr>
              <w:widowControl/>
              <w:spacing w:line="500" w:lineRule="exact"/>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w:t>
            </w:r>
          </w:p>
        </w:tc>
        <w:tc>
          <w:tcPr>
            <w:tcW w:w="3948" w:type="dxa"/>
            <w:vAlign w:val="center"/>
          </w:tcPr>
          <w:p>
            <w:pPr>
              <w:widowControl/>
              <w:spacing w:line="500" w:lineRule="exact"/>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203" w:type="dxa"/>
            <w:vAlign w:val="center"/>
          </w:tcPr>
          <w:p>
            <w:pPr>
              <w:spacing w:line="500" w:lineRule="exact"/>
              <w:jc w:val="left"/>
              <w:rPr>
                <w:rFonts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rPr>
              <w:t xml:space="preserve">  4、其他固定资产</w:t>
            </w:r>
          </w:p>
        </w:tc>
        <w:tc>
          <w:tcPr>
            <w:tcW w:w="1449" w:type="dxa"/>
            <w:vAlign w:val="center"/>
          </w:tcPr>
          <w:p>
            <w:pPr>
              <w:spacing w:line="500" w:lineRule="exact"/>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rPr>
              <w:t>—</w:t>
            </w:r>
          </w:p>
        </w:tc>
        <w:tc>
          <w:tcPr>
            <w:tcW w:w="3948" w:type="dxa"/>
            <w:vAlign w:val="center"/>
          </w:tcPr>
          <w:p>
            <w:pPr>
              <w:spacing w:line="500" w:lineRule="exact"/>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5521.94</w:t>
            </w:r>
          </w:p>
        </w:tc>
      </w:tr>
    </w:tbl>
    <w:p>
      <w:pPr>
        <w:spacing w:line="50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八、专业名词解释</w:t>
      </w:r>
    </w:p>
    <w:p>
      <w:pPr>
        <w:spacing w:line="500" w:lineRule="exact"/>
        <w:ind w:firstLine="627" w:firstLineChars="196"/>
        <w:rPr>
          <w:rFonts w:ascii="仿宋" w:hAnsi="仿宋" w:eastAsia="仿宋" w:cs="仿宋"/>
          <w:sz w:val="32"/>
          <w:szCs w:val="32"/>
        </w:rPr>
      </w:pPr>
      <w:r>
        <w:rPr>
          <w:rFonts w:hint="eastAsia" w:ascii="仿宋" w:hAnsi="仿宋" w:eastAsia="仿宋" w:cs="仿宋"/>
          <w:sz w:val="32"/>
          <w:szCs w:val="32"/>
        </w:rPr>
        <w:t>1、一般公共预算财政拨款收入：县级财政当年拨付的资金。</w:t>
      </w:r>
    </w:p>
    <w:p>
      <w:pPr>
        <w:pStyle w:val="5"/>
        <w:widowControl/>
        <w:spacing w:line="500" w:lineRule="exact"/>
        <w:ind w:firstLine="576" w:firstLineChars="180"/>
        <w:rPr>
          <w:rFonts w:ascii="仿宋" w:hAnsi="仿宋" w:eastAsia="仿宋" w:cs="仿宋"/>
          <w:sz w:val="32"/>
          <w:szCs w:val="32"/>
        </w:rPr>
      </w:pPr>
      <w:r>
        <w:rPr>
          <w:rStyle w:val="9"/>
          <w:rFonts w:hint="eastAsia" w:ascii="仿宋" w:hAnsi="仿宋" w:eastAsia="仿宋" w:cs="仿宋"/>
          <w:b w:val="0"/>
          <w:bCs/>
          <w:sz w:val="32"/>
          <w:szCs w:val="32"/>
          <w:shd w:val="clear" w:color="auto" w:fill="FFFFFF"/>
        </w:rPr>
        <w:t>2、其他收入：</w:t>
      </w:r>
      <w:r>
        <w:rPr>
          <w:rFonts w:hint="eastAsia" w:ascii="仿宋" w:hAnsi="仿宋" w:eastAsia="仿宋" w:cs="仿宋"/>
          <w:sz w:val="32"/>
          <w:szCs w:val="32"/>
          <w:shd w:val="clear" w:color="auto" w:fill="FFFFFF"/>
        </w:rPr>
        <w:t>指除上述财政拨款收入以外的收入。主要是存款利息收入。</w:t>
      </w:r>
    </w:p>
    <w:p>
      <w:pPr>
        <w:pStyle w:val="5"/>
        <w:widowControl/>
        <w:spacing w:line="500" w:lineRule="exact"/>
        <w:ind w:firstLine="576" w:firstLineChars="180"/>
        <w:rPr>
          <w:rFonts w:ascii="仿宋" w:hAnsi="仿宋" w:eastAsia="仿宋" w:cs="仿宋"/>
          <w:sz w:val="32"/>
          <w:szCs w:val="32"/>
        </w:rPr>
      </w:pPr>
      <w:r>
        <w:rPr>
          <w:rStyle w:val="9"/>
          <w:rFonts w:hint="eastAsia" w:ascii="仿宋" w:hAnsi="仿宋" w:eastAsia="仿宋" w:cs="仿宋"/>
          <w:b w:val="0"/>
          <w:bCs/>
          <w:color w:val="000000"/>
          <w:sz w:val="32"/>
          <w:szCs w:val="32"/>
          <w:shd w:val="clear" w:color="auto" w:fill="FFFFFF"/>
        </w:rPr>
        <w:t>3</w:t>
      </w:r>
      <w:r>
        <w:rPr>
          <w:rFonts w:hint="eastAsia" w:ascii="仿宋" w:hAnsi="仿宋" w:eastAsia="仿宋" w:cs="仿宋"/>
          <w:bCs/>
          <w:sz w:val="32"/>
          <w:szCs w:val="32"/>
        </w:rPr>
        <w:t>、基本支出：</w:t>
      </w:r>
      <w:r>
        <w:rPr>
          <w:rFonts w:hint="eastAsia" w:ascii="仿宋" w:hAnsi="仿宋" w:eastAsia="仿宋" w:cs="仿宋"/>
          <w:sz w:val="32"/>
          <w:szCs w:val="32"/>
        </w:rPr>
        <w:t>指为保障机构正常运转、完成日常工作任务而发生的人员支出和公用支出。</w:t>
      </w:r>
    </w:p>
    <w:p>
      <w:pPr>
        <w:pStyle w:val="5"/>
        <w:widowControl/>
        <w:spacing w:line="500" w:lineRule="exact"/>
        <w:rPr>
          <w:rFonts w:ascii="仿宋" w:hAnsi="仿宋" w:eastAsia="仿宋" w:cs="仿宋"/>
          <w:sz w:val="32"/>
          <w:szCs w:val="32"/>
        </w:rPr>
      </w:pPr>
      <w:r>
        <w:rPr>
          <w:rFonts w:hint="eastAsia" w:ascii="仿宋" w:hAnsi="仿宋" w:eastAsia="仿宋" w:cs="仿宋"/>
          <w:b/>
          <w:bCs/>
          <w:sz w:val="32"/>
          <w:szCs w:val="32"/>
        </w:rPr>
        <w:t xml:space="preserve">   </w:t>
      </w:r>
      <w:r>
        <w:rPr>
          <w:rFonts w:hint="eastAsia" w:ascii="仿宋" w:hAnsi="仿宋" w:eastAsia="仿宋" w:cs="仿宋"/>
          <w:sz w:val="32"/>
          <w:szCs w:val="32"/>
        </w:rPr>
        <w:t xml:space="preserve"> 4、项目支出：指在基本支出之外为完成特定行政任务和事业发展目标所发生的支出。</w:t>
      </w:r>
    </w:p>
    <w:p>
      <w:pPr>
        <w:pStyle w:val="5"/>
        <w:widowControl/>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5、“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5"/>
        <w:widowControl/>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6、机关运行经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00" w:lineRule="exact"/>
        <w:rPr>
          <w:rFonts w:ascii="黑体" w:hAnsi="黑体" w:eastAsia="黑体" w:cs="黑体"/>
          <w:sz w:val="32"/>
          <w:szCs w:val="32"/>
        </w:rPr>
      </w:pPr>
      <w:r>
        <w:rPr>
          <w:rFonts w:hint="eastAsia" w:asciiTheme="minorEastAsia" w:hAnsiTheme="minorEastAsia" w:eastAsiaTheme="minorEastAsia" w:cstheme="minorEastAsia"/>
          <w:b/>
          <w:bCs/>
          <w:sz w:val="32"/>
          <w:szCs w:val="32"/>
        </w:rPr>
        <w:t xml:space="preserve">    </w:t>
      </w:r>
      <w:r>
        <w:rPr>
          <w:rFonts w:hint="eastAsia" w:ascii="黑体" w:hAnsi="黑体" w:eastAsia="黑体" w:cs="黑体"/>
          <w:sz w:val="32"/>
          <w:szCs w:val="32"/>
        </w:rPr>
        <w:t>九、其他需要说明的事项</w:t>
      </w:r>
    </w:p>
    <w:p>
      <w:pPr>
        <w:spacing w:line="500" w:lineRule="exact"/>
        <w:rPr>
          <w:rFonts w:ascii="仿宋" w:hAnsi="仿宋" w:eastAsia="仿宋" w:cs="仿宋"/>
          <w:sz w:val="32"/>
          <w:szCs w:val="32"/>
        </w:rPr>
      </w:pPr>
      <w:r>
        <w:rPr>
          <w:rFonts w:hint="eastAsia" w:asciiTheme="minorEastAsia" w:hAnsiTheme="minorEastAsia" w:eastAsiaTheme="minorEastAsia" w:cstheme="minorEastAsia"/>
          <w:sz w:val="32"/>
          <w:szCs w:val="32"/>
        </w:rPr>
        <w:t xml:space="preserve">   </w:t>
      </w:r>
      <w:r>
        <w:rPr>
          <w:rFonts w:hint="eastAsia" w:ascii="仿宋" w:hAnsi="仿宋" w:eastAsia="仿宋" w:cs="仿宋"/>
          <w:sz w:val="32"/>
          <w:szCs w:val="32"/>
        </w:rPr>
        <w:t xml:space="preserve"> 在预算收入中基金预算拨款收入210.84万元，其中：大中型水库生活补助150.84万元，小型水库移民补助项目60万元。两项资金均为上级拨入专款。</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我部门无国有资本经营预算，空表列示。</w:t>
      </w:r>
    </w:p>
    <w:p>
      <w:pPr>
        <w:spacing w:line="500" w:lineRule="exact"/>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w:t>
      </w:r>
    </w:p>
    <w:p>
      <w:pPr>
        <w:spacing w:line="500" w:lineRule="exact"/>
        <w:ind w:firstLine="5600" w:firstLineChars="1750"/>
        <w:rPr>
          <w:rFonts w:ascii="仿宋" w:hAnsi="仿宋" w:eastAsia="仿宋" w:cs="仿宋"/>
          <w:sz w:val="32"/>
          <w:szCs w:val="32"/>
        </w:rPr>
      </w:pPr>
      <w:r>
        <w:rPr>
          <w:rFonts w:hint="eastAsia" w:ascii="仿宋" w:hAnsi="仿宋" w:eastAsia="仿宋" w:cs="仿宋"/>
          <w:sz w:val="32"/>
          <w:szCs w:val="32"/>
        </w:rPr>
        <w:t xml:space="preserve"> 2020年2月3日</w:t>
      </w:r>
    </w:p>
    <w:p/>
    <w:p/>
    <w:p/>
    <w:p/>
    <w:p/>
    <w:p/>
    <w:p/>
    <w:p/>
    <w:p/>
    <w:p>
      <w:pPr>
        <w:tabs>
          <w:tab w:val="left" w:pos="6803"/>
        </w:tabs>
        <w:jc w:val="left"/>
      </w:pPr>
      <w:r>
        <w:rPr>
          <w:rFonts w:hint="eastAsia"/>
        </w:rPr>
        <w:tab/>
      </w:r>
    </w:p>
    <w:sectPr>
      <w:pgSz w:w="11906" w:h="16838"/>
      <w:pgMar w:top="1440" w:right="1797" w:bottom="1440" w:left="1003"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28</w:t>
    </w:r>
    <w:r>
      <w:rPr>
        <w:rStyle w:val="10"/>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00366D5E"/>
    <w:rsid w:val="000345F9"/>
    <w:rsid w:val="00074412"/>
    <w:rsid w:val="00076AAF"/>
    <w:rsid w:val="00084FC2"/>
    <w:rsid w:val="000A45FE"/>
    <w:rsid w:val="000B3963"/>
    <w:rsid w:val="000B3F4F"/>
    <w:rsid w:val="000E6B8A"/>
    <w:rsid w:val="000F0A04"/>
    <w:rsid w:val="00117B0C"/>
    <w:rsid w:val="00131C77"/>
    <w:rsid w:val="00135A97"/>
    <w:rsid w:val="00143257"/>
    <w:rsid w:val="001453D1"/>
    <w:rsid w:val="00146173"/>
    <w:rsid w:val="001742C6"/>
    <w:rsid w:val="00181580"/>
    <w:rsid w:val="00193D1D"/>
    <w:rsid w:val="001B6464"/>
    <w:rsid w:val="001D155B"/>
    <w:rsid w:val="001D31AC"/>
    <w:rsid w:val="001E3E1E"/>
    <w:rsid w:val="001E455D"/>
    <w:rsid w:val="001E6654"/>
    <w:rsid w:val="001F4985"/>
    <w:rsid w:val="001F4F61"/>
    <w:rsid w:val="00221D80"/>
    <w:rsid w:val="00224A71"/>
    <w:rsid w:val="002436DD"/>
    <w:rsid w:val="00270246"/>
    <w:rsid w:val="00276B3C"/>
    <w:rsid w:val="0029094C"/>
    <w:rsid w:val="002E7962"/>
    <w:rsid w:val="003419C4"/>
    <w:rsid w:val="00342340"/>
    <w:rsid w:val="00366D5E"/>
    <w:rsid w:val="003C6658"/>
    <w:rsid w:val="003D71C7"/>
    <w:rsid w:val="00425671"/>
    <w:rsid w:val="004423A7"/>
    <w:rsid w:val="00465D27"/>
    <w:rsid w:val="00481E42"/>
    <w:rsid w:val="004B60A6"/>
    <w:rsid w:val="005062BA"/>
    <w:rsid w:val="0052790F"/>
    <w:rsid w:val="005447E6"/>
    <w:rsid w:val="005479CC"/>
    <w:rsid w:val="00556E10"/>
    <w:rsid w:val="00572C56"/>
    <w:rsid w:val="00586B2F"/>
    <w:rsid w:val="00594DF0"/>
    <w:rsid w:val="00624BD8"/>
    <w:rsid w:val="0062586F"/>
    <w:rsid w:val="00665F19"/>
    <w:rsid w:val="006710E4"/>
    <w:rsid w:val="0067476B"/>
    <w:rsid w:val="006A401C"/>
    <w:rsid w:val="006C2C42"/>
    <w:rsid w:val="006E1896"/>
    <w:rsid w:val="00720B06"/>
    <w:rsid w:val="00723A5D"/>
    <w:rsid w:val="00735FFA"/>
    <w:rsid w:val="00754CA6"/>
    <w:rsid w:val="00764A1B"/>
    <w:rsid w:val="0078365C"/>
    <w:rsid w:val="007929B0"/>
    <w:rsid w:val="007C5F7A"/>
    <w:rsid w:val="007D0295"/>
    <w:rsid w:val="0092549B"/>
    <w:rsid w:val="009320C2"/>
    <w:rsid w:val="0096551A"/>
    <w:rsid w:val="00986C9E"/>
    <w:rsid w:val="009918E5"/>
    <w:rsid w:val="009A0115"/>
    <w:rsid w:val="009A05CF"/>
    <w:rsid w:val="009B5FF0"/>
    <w:rsid w:val="009C20A1"/>
    <w:rsid w:val="009E5722"/>
    <w:rsid w:val="009E608D"/>
    <w:rsid w:val="00A01273"/>
    <w:rsid w:val="00A1247A"/>
    <w:rsid w:val="00A52177"/>
    <w:rsid w:val="00A53C81"/>
    <w:rsid w:val="00A81F9D"/>
    <w:rsid w:val="00A95137"/>
    <w:rsid w:val="00A97104"/>
    <w:rsid w:val="00AC03C0"/>
    <w:rsid w:val="00AE185F"/>
    <w:rsid w:val="00AE2A77"/>
    <w:rsid w:val="00B03ECF"/>
    <w:rsid w:val="00B3061F"/>
    <w:rsid w:val="00B408FC"/>
    <w:rsid w:val="00B41CAB"/>
    <w:rsid w:val="00B91433"/>
    <w:rsid w:val="00BF4E51"/>
    <w:rsid w:val="00C138E9"/>
    <w:rsid w:val="00C43D28"/>
    <w:rsid w:val="00CB70A9"/>
    <w:rsid w:val="00CC348F"/>
    <w:rsid w:val="00CC3E24"/>
    <w:rsid w:val="00CD6A2E"/>
    <w:rsid w:val="00CF4201"/>
    <w:rsid w:val="00D21874"/>
    <w:rsid w:val="00D70425"/>
    <w:rsid w:val="00D872D4"/>
    <w:rsid w:val="00DD6197"/>
    <w:rsid w:val="00DE4945"/>
    <w:rsid w:val="00E00411"/>
    <w:rsid w:val="00E022AD"/>
    <w:rsid w:val="00E05911"/>
    <w:rsid w:val="00E4677C"/>
    <w:rsid w:val="00E82BAE"/>
    <w:rsid w:val="00ED3FF1"/>
    <w:rsid w:val="00EE0F93"/>
    <w:rsid w:val="00EF0944"/>
    <w:rsid w:val="00F009B3"/>
    <w:rsid w:val="00F223BA"/>
    <w:rsid w:val="00F51F34"/>
    <w:rsid w:val="00FC63EC"/>
    <w:rsid w:val="00FF518F"/>
    <w:rsid w:val="011275DA"/>
    <w:rsid w:val="0119349C"/>
    <w:rsid w:val="01397989"/>
    <w:rsid w:val="0259220A"/>
    <w:rsid w:val="029C0D5B"/>
    <w:rsid w:val="040758E5"/>
    <w:rsid w:val="04991342"/>
    <w:rsid w:val="04D6492F"/>
    <w:rsid w:val="05D13997"/>
    <w:rsid w:val="062724E7"/>
    <w:rsid w:val="064C09ED"/>
    <w:rsid w:val="06584A58"/>
    <w:rsid w:val="06646A7A"/>
    <w:rsid w:val="06A95659"/>
    <w:rsid w:val="06CC0E3E"/>
    <w:rsid w:val="06E33BC8"/>
    <w:rsid w:val="07413242"/>
    <w:rsid w:val="09370A82"/>
    <w:rsid w:val="0943339B"/>
    <w:rsid w:val="09A01F34"/>
    <w:rsid w:val="09B965A2"/>
    <w:rsid w:val="0A8A7248"/>
    <w:rsid w:val="0AE424E2"/>
    <w:rsid w:val="0AF747D8"/>
    <w:rsid w:val="0BF219CE"/>
    <w:rsid w:val="0C021546"/>
    <w:rsid w:val="0C8E208A"/>
    <w:rsid w:val="0CA8277F"/>
    <w:rsid w:val="0D040235"/>
    <w:rsid w:val="0D631904"/>
    <w:rsid w:val="0E2E776C"/>
    <w:rsid w:val="0FE822E3"/>
    <w:rsid w:val="10070535"/>
    <w:rsid w:val="111C3A41"/>
    <w:rsid w:val="1502633B"/>
    <w:rsid w:val="151B72C9"/>
    <w:rsid w:val="16177A92"/>
    <w:rsid w:val="165B2CD4"/>
    <w:rsid w:val="16FB49B2"/>
    <w:rsid w:val="17591B1B"/>
    <w:rsid w:val="17AC4C36"/>
    <w:rsid w:val="17B95460"/>
    <w:rsid w:val="186A578B"/>
    <w:rsid w:val="19EC0249"/>
    <w:rsid w:val="1A5C001D"/>
    <w:rsid w:val="1AB06ED5"/>
    <w:rsid w:val="1B452DA7"/>
    <w:rsid w:val="1B4B53D7"/>
    <w:rsid w:val="1B5B476C"/>
    <w:rsid w:val="1C28173E"/>
    <w:rsid w:val="1C292814"/>
    <w:rsid w:val="1C551764"/>
    <w:rsid w:val="1CAB6B45"/>
    <w:rsid w:val="1CCA51FA"/>
    <w:rsid w:val="1CF90821"/>
    <w:rsid w:val="1D220B70"/>
    <w:rsid w:val="1D22159E"/>
    <w:rsid w:val="1DB01890"/>
    <w:rsid w:val="1E374590"/>
    <w:rsid w:val="1E3D2B55"/>
    <w:rsid w:val="1F7D5BFF"/>
    <w:rsid w:val="207548DB"/>
    <w:rsid w:val="211B3E65"/>
    <w:rsid w:val="214526C4"/>
    <w:rsid w:val="23F41432"/>
    <w:rsid w:val="2419427E"/>
    <w:rsid w:val="24D0753D"/>
    <w:rsid w:val="25363748"/>
    <w:rsid w:val="25DE7AAC"/>
    <w:rsid w:val="26002F04"/>
    <w:rsid w:val="26306E69"/>
    <w:rsid w:val="272852F2"/>
    <w:rsid w:val="288741D7"/>
    <w:rsid w:val="29B001E8"/>
    <w:rsid w:val="2A073DF4"/>
    <w:rsid w:val="2ABC4AF7"/>
    <w:rsid w:val="2AE654B1"/>
    <w:rsid w:val="2B9B3BD0"/>
    <w:rsid w:val="2B9E7B75"/>
    <w:rsid w:val="2C2171C8"/>
    <w:rsid w:val="2C4E5869"/>
    <w:rsid w:val="2E21347B"/>
    <w:rsid w:val="2F184C8A"/>
    <w:rsid w:val="30592110"/>
    <w:rsid w:val="305B05F7"/>
    <w:rsid w:val="31C03106"/>
    <w:rsid w:val="32252BF3"/>
    <w:rsid w:val="355058F5"/>
    <w:rsid w:val="35895A8F"/>
    <w:rsid w:val="35CA7AC4"/>
    <w:rsid w:val="367654D2"/>
    <w:rsid w:val="37F8035E"/>
    <w:rsid w:val="397856C9"/>
    <w:rsid w:val="39841DD9"/>
    <w:rsid w:val="3A1D3382"/>
    <w:rsid w:val="3AB773C8"/>
    <w:rsid w:val="3B700532"/>
    <w:rsid w:val="3BD33DB2"/>
    <w:rsid w:val="3C0F10C1"/>
    <w:rsid w:val="3C533392"/>
    <w:rsid w:val="3C8B7753"/>
    <w:rsid w:val="3CA10B42"/>
    <w:rsid w:val="3CCD6F7C"/>
    <w:rsid w:val="3CF76E9B"/>
    <w:rsid w:val="3D5A38F6"/>
    <w:rsid w:val="3DB541FB"/>
    <w:rsid w:val="3E025550"/>
    <w:rsid w:val="3E187F50"/>
    <w:rsid w:val="3E8026FB"/>
    <w:rsid w:val="3EFB0313"/>
    <w:rsid w:val="3F0C6618"/>
    <w:rsid w:val="40BF6CE1"/>
    <w:rsid w:val="41B4667F"/>
    <w:rsid w:val="42212AE4"/>
    <w:rsid w:val="427E0779"/>
    <w:rsid w:val="43877D22"/>
    <w:rsid w:val="43D677D5"/>
    <w:rsid w:val="44202ED8"/>
    <w:rsid w:val="44545363"/>
    <w:rsid w:val="460D4CA2"/>
    <w:rsid w:val="462F46F3"/>
    <w:rsid w:val="46C241AA"/>
    <w:rsid w:val="46CF4C8F"/>
    <w:rsid w:val="473206ED"/>
    <w:rsid w:val="47541310"/>
    <w:rsid w:val="47D55515"/>
    <w:rsid w:val="48435A88"/>
    <w:rsid w:val="48465FC8"/>
    <w:rsid w:val="486E2BE2"/>
    <w:rsid w:val="491B6D41"/>
    <w:rsid w:val="492B16A0"/>
    <w:rsid w:val="49611674"/>
    <w:rsid w:val="49BC5067"/>
    <w:rsid w:val="49BD57F4"/>
    <w:rsid w:val="4A1A4B41"/>
    <w:rsid w:val="4A3B380C"/>
    <w:rsid w:val="4B3A78D6"/>
    <w:rsid w:val="4C736A6F"/>
    <w:rsid w:val="4E506445"/>
    <w:rsid w:val="4ECA440C"/>
    <w:rsid w:val="4ED15F49"/>
    <w:rsid w:val="4ED67027"/>
    <w:rsid w:val="4F006713"/>
    <w:rsid w:val="4FAB0BC1"/>
    <w:rsid w:val="502F77A5"/>
    <w:rsid w:val="50380CAE"/>
    <w:rsid w:val="50517078"/>
    <w:rsid w:val="50755564"/>
    <w:rsid w:val="51566ECC"/>
    <w:rsid w:val="52205877"/>
    <w:rsid w:val="5283587F"/>
    <w:rsid w:val="54B7159A"/>
    <w:rsid w:val="560027C3"/>
    <w:rsid w:val="5778790D"/>
    <w:rsid w:val="5CEC6BFE"/>
    <w:rsid w:val="5D863DE8"/>
    <w:rsid w:val="5DEB1165"/>
    <w:rsid w:val="5E063785"/>
    <w:rsid w:val="5E093435"/>
    <w:rsid w:val="5E545242"/>
    <w:rsid w:val="5FCC0EED"/>
    <w:rsid w:val="607651CA"/>
    <w:rsid w:val="60EE4C49"/>
    <w:rsid w:val="61241F3E"/>
    <w:rsid w:val="61E91B40"/>
    <w:rsid w:val="62006301"/>
    <w:rsid w:val="623B4E0E"/>
    <w:rsid w:val="629B6165"/>
    <w:rsid w:val="62A45A17"/>
    <w:rsid w:val="63E204BF"/>
    <w:rsid w:val="659B5241"/>
    <w:rsid w:val="674F7BC8"/>
    <w:rsid w:val="68826604"/>
    <w:rsid w:val="6C664468"/>
    <w:rsid w:val="6D3822E3"/>
    <w:rsid w:val="6D5C60CC"/>
    <w:rsid w:val="6DC72DFD"/>
    <w:rsid w:val="6DEC46F3"/>
    <w:rsid w:val="6E4C4C21"/>
    <w:rsid w:val="6F881BC6"/>
    <w:rsid w:val="71AE6F83"/>
    <w:rsid w:val="71BB33C9"/>
    <w:rsid w:val="727462F3"/>
    <w:rsid w:val="73524342"/>
    <w:rsid w:val="73545954"/>
    <w:rsid w:val="73AB08CD"/>
    <w:rsid w:val="7499364C"/>
    <w:rsid w:val="7510435B"/>
    <w:rsid w:val="755C5B54"/>
    <w:rsid w:val="7580710C"/>
    <w:rsid w:val="75D5506B"/>
    <w:rsid w:val="76E738F1"/>
    <w:rsid w:val="77627887"/>
    <w:rsid w:val="77B97B03"/>
    <w:rsid w:val="7820670A"/>
    <w:rsid w:val="789B494D"/>
    <w:rsid w:val="795A0AC2"/>
    <w:rsid w:val="7A291C72"/>
    <w:rsid w:val="7A494482"/>
    <w:rsid w:val="7B1D08AD"/>
    <w:rsid w:val="7B351893"/>
    <w:rsid w:val="7BF273F9"/>
    <w:rsid w:val="7C9C6452"/>
    <w:rsid w:val="7CCC0A85"/>
    <w:rsid w:val="7CD34625"/>
    <w:rsid w:val="7CD74E5A"/>
    <w:rsid w:val="7CE405DF"/>
    <w:rsid w:val="7DC67EB5"/>
    <w:rsid w:val="7E4531B7"/>
    <w:rsid w:val="7E861237"/>
    <w:rsid w:val="7F915668"/>
    <w:rsid w:val="7FFE3F9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autoRedefine/>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link w:val="12"/>
    <w:qFormat/>
    <w:uiPriority w:val="99"/>
    <w:pPr>
      <w:tabs>
        <w:tab w:val="center" w:pos="4153"/>
        <w:tab w:val="right" w:pos="8306"/>
      </w:tabs>
      <w:snapToGrid w:val="0"/>
      <w:jc w:val="left"/>
    </w:pPr>
    <w:rPr>
      <w:sz w:val="18"/>
      <w:szCs w:val="18"/>
    </w:rPr>
  </w:style>
  <w:style w:type="paragraph" w:styleId="3">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4">
    <w:name w:val="footnote text"/>
    <w:basedOn w:val="1"/>
    <w:unhideWhenUsed/>
    <w:qFormat/>
    <w:uiPriority w:val="99"/>
    <w:pPr>
      <w:snapToGrid w:val="0"/>
      <w:jc w:val="left"/>
    </w:pPr>
    <w:rPr>
      <w:sz w:val="18"/>
      <w:szCs w:val="18"/>
    </w:rPr>
  </w:style>
  <w:style w:type="paragraph" w:styleId="5">
    <w:name w:val="Normal (Web)"/>
    <w:basedOn w:val="1"/>
    <w:qFormat/>
    <w:uiPriority w:val="99"/>
    <w:pPr>
      <w:jc w:val="left"/>
    </w:pPr>
    <w:rPr>
      <w:kern w:val="0"/>
      <w:sz w:val="24"/>
    </w:rPr>
  </w:style>
  <w:style w:type="table" w:styleId="7">
    <w:name w:val="Table Grid"/>
    <w:basedOn w:val="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99"/>
    <w:rPr>
      <w:rFonts w:cs="Times New Roman"/>
      <w:b/>
    </w:rPr>
  </w:style>
  <w:style w:type="character" w:styleId="10">
    <w:name w:val="page number"/>
    <w:basedOn w:val="8"/>
    <w:qFormat/>
    <w:uiPriority w:val="99"/>
    <w:rPr>
      <w:rFonts w:cs="Times New Roman"/>
    </w:rPr>
  </w:style>
  <w:style w:type="character" w:styleId="11">
    <w:name w:val="footnote reference"/>
    <w:basedOn w:val="8"/>
    <w:unhideWhenUsed/>
    <w:qFormat/>
    <w:uiPriority w:val="99"/>
    <w:rPr>
      <w:vertAlign w:val="superscript"/>
    </w:rPr>
  </w:style>
  <w:style w:type="character" w:customStyle="1" w:styleId="12">
    <w:name w:val="页脚 字符"/>
    <w:basedOn w:val="8"/>
    <w:link w:val="2"/>
    <w:semiHidden/>
    <w:qFormat/>
    <w:locked/>
    <w:uiPriority w:val="99"/>
    <w:rPr>
      <w:rFonts w:cs="Times New Roman"/>
      <w:kern w:val="2"/>
      <w:sz w:val="18"/>
      <w:szCs w:val="18"/>
    </w:rPr>
  </w:style>
  <w:style w:type="character" w:customStyle="1" w:styleId="13">
    <w:name w:val="页眉 字符"/>
    <w:basedOn w:val="8"/>
    <w:link w:val="3"/>
    <w:semiHidden/>
    <w:qFormat/>
    <w:locked/>
    <w:uiPriority w:val="99"/>
    <w:rPr>
      <w:rFonts w:cs="Times New Roman"/>
      <w:kern w:val="2"/>
      <w:sz w:val="18"/>
      <w:szCs w:val="18"/>
    </w:rPr>
  </w:style>
  <w:style w:type="paragraph" w:customStyle="1" w:styleId="14">
    <w:name w:val="列出段落1"/>
    <w:basedOn w:val="1"/>
    <w:qFormat/>
    <w:uiPriority w:val="99"/>
    <w:pPr>
      <w:ind w:firstLine="420" w:firstLineChars="200"/>
    </w:pPr>
  </w:style>
  <w:style w:type="paragraph" w:customStyle="1" w:styleId="15">
    <w:name w:val="[Normal]"/>
    <w:qFormat/>
    <w:uiPriority w:val="6"/>
    <w:rPr>
      <w:rFonts w:ascii="宋体" w:hAnsi="宋体" w:eastAsia="宋体" w:cstheme="minorBidi"/>
      <w:sz w:val="24"/>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29</Pages>
  <Words>10572</Words>
  <Characters>4346</Characters>
  <Lines>36</Lines>
  <Paragraphs>29</Paragraphs>
  <TotalTime>1</TotalTime>
  <ScaleCrop>false</ScaleCrop>
  <LinksUpToDate>false</LinksUpToDate>
  <CharactersWithSpaces>14889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2018-03-02T08:00:00Z</dcterms:created>
  <dc:creator>Lenovo User</dc:creator>
  <cp:lastModifiedBy>八爪小鱼</cp:lastModifiedBy>
  <cp:lastPrinted>2019-01-28T07:52:00Z</cp:lastPrinted>
  <dcterms:modified xsi:type="dcterms:W3CDTF">2024-02-02T02:17:11Z</dcterms:modified>
  <dc:title>涞水县水利局</dc:title>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109E03B8389240BABA7A3F84A6D7E0E8</vt:lpwstr>
  </property>
</Properties>
</file>