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center"/>
        <w:rPr>
          <w:rFonts w:hint="eastAsia" w:ascii="黑体" w:hAnsi="黑体" w:eastAsia="黑体" w:cs="宋体"/>
          <w:b/>
          <w:bCs/>
          <w:kern w:val="0"/>
          <w:sz w:val="44"/>
          <w:szCs w:val="44"/>
          <w:lang w:val="zh-CN"/>
        </w:rPr>
      </w:pPr>
      <w:r>
        <w:rPr>
          <w:rFonts w:hint="eastAsia" w:ascii="黑体" w:hAnsi="黑体" w:eastAsia="黑体" w:cs="宋体"/>
          <w:b/>
          <w:bCs/>
          <w:kern w:val="0"/>
          <w:sz w:val="44"/>
          <w:szCs w:val="44"/>
          <w:lang w:val="zh-CN"/>
        </w:rPr>
        <w:t>涞水县农业局</w:t>
      </w:r>
    </w:p>
    <w:p>
      <w:pPr>
        <w:autoSpaceDE w:val="0"/>
        <w:autoSpaceDN w:val="0"/>
        <w:adjustRightInd w:val="0"/>
        <w:spacing w:line="560" w:lineRule="atLeast"/>
        <w:jc w:val="center"/>
        <w:rPr>
          <w:rFonts w:ascii="黑体" w:hAnsi="黑体" w:eastAsia="黑体" w:cs="仿宋"/>
          <w:kern w:val="0"/>
          <w:sz w:val="44"/>
          <w:szCs w:val="44"/>
          <w:lang w:val="zh-CN"/>
        </w:rPr>
      </w:pPr>
      <w:r>
        <w:rPr>
          <w:rFonts w:hint="eastAsia" w:ascii="黑体" w:hAnsi="黑体" w:eastAsia="黑体" w:cs="宋体"/>
          <w:b/>
          <w:bCs/>
          <w:kern w:val="0"/>
          <w:sz w:val="44"/>
          <w:szCs w:val="44"/>
          <w:lang w:val="zh-CN"/>
        </w:rPr>
        <w:t>201</w:t>
      </w:r>
      <w:r>
        <w:rPr>
          <w:rFonts w:hint="eastAsia" w:ascii="黑体" w:hAnsi="黑体" w:eastAsia="黑体" w:cs="宋体"/>
          <w:b/>
          <w:bCs/>
          <w:kern w:val="0"/>
          <w:sz w:val="44"/>
          <w:szCs w:val="44"/>
        </w:rPr>
        <w:t>9</w:t>
      </w:r>
      <w:r>
        <w:rPr>
          <w:rFonts w:hint="eastAsia" w:ascii="黑体" w:hAnsi="黑体" w:eastAsia="黑体" w:cs="宋体"/>
          <w:b/>
          <w:bCs/>
          <w:kern w:val="0"/>
          <w:sz w:val="44"/>
          <w:szCs w:val="44"/>
          <w:lang w:val="zh-CN"/>
        </w:rPr>
        <w:t>年部门预算公开有关事项的说明</w:t>
      </w:r>
    </w:p>
    <w:p>
      <w:pPr>
        <w:jc w:val="left"/>
        <w:rPr>
          <w:rFonts w:ascii="仿宋" w:hAnsi="仿宋" w:eastAsia="仿宋" w:cs="仿宋"/>
          <w:b/>
          <w:sz w:val="30"/>
          <w:szCs w:val="30"/>
        </w:rPr>
      </w:pPr>
    </w:p>
    <w:p>
      <w:pPr>
        <w:jc w:val="left"/>
        <w:rPr>
          <w:rFonts w:ascii="仿宋" w:hAnsi="仿宋" w:eastAsia="仿宋" w:cs="仿宋"/>
          <w:b/>
          <w:sz w:val="30"/>
          <w:szCs w:val="30"/>
        </w:rPr>
      </w:pPr>
      <w:r>
        <w:rPr>
          <w:rFonts w:hint="eastAsia" w:ascii="仿宋" w:hAnsi="仿宋" w:eastAsia="仿宋" w:cs="仿宋"/>
          <w:b/>
          <w:sz w:val="30"/>
          <w:szCs w:val="30"/>
        </w:rPr>
        <w:t>一、部门职责及机构设置情况</w:t>
      </w:r>
    </w:p>
    <w:p>
      <w:pPr>
        <w:spacing w:line="500" w:lineRule="exact"/>
        <w:rPr>
          <w:rFonts w:ascii="仿宋" w:hAnsi="仿宋" w:eastAsia="仿宋" w:cs="仿宋"/>
          <w:b/>
          <w:bCs/>
          <w:sz w:val="30"/>
          <w:szCs w:val="30"/>
        </w:rPr>
      </w:pPr>
      <w:r>
        <w:rPr>
          <w:rFonts w:hint="eastAsia" w:ascii="仿宋" w:hAnsi="仿宋" w:eastAsia="仿宋" w:cs="仿宋"/>
          <w:b/>
          <w:bCs/>
          <w:sz w:val="30"/>
          <w:szCs w:val="30"/>
        </w:rPr>
        <w:t>部门职责：</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（一）拟订种植业、畜牧水产业、粮、棉、油、菜、农业机械化等农业各产业（以下简称农业）和农村经济发展战略、中长期发展规划；组织拟订农业和农村经济的政府规章草案，推进农业依法行政。</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（二）依据上级林业政策，结合涞水实际，起草全县林业政策性文件，并加以贯彻落实。</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三）承担完善农村经营管理体制的责任。提出深化农村经济体制改革和稳定完善农村基本经营制度的建议，指导农村土地承包、耕地使用权流转和承包纠纷伸裁管理；受理农村土地承包合同纠纷的仲裁案件。指导、监督减轻农民负担和村民筹资筹劳管理工作，指导农村集体资产和财务管理。拟订农业产业化经营的发展规划并组织实施，指导、扶持农业社会化服务体系和农产品行业协会建设与发展，负责对种植业、畜牧业、水产养殖业农民专业合作组织的指导、扶持和服务；负责农村集体经济改制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（四）组织拟订农业和农村经济发展战略、中长期发展规划负责提出农业财政资金安排意见并指导实施；负责全县农业项目管理工作。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五）组织拟订促进农产品加工业发展规划并组织实施。提出农业产业保护政策建议；指导农产品加工业结构调整、技术创新和服务体系建设，促进农业产前、产中、产后一体化发展。制定大宗农产品市场体系建设与发展规划；培育保护和发展农产品品牌。</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六）承担提升农产品质量安全水平的责任。依法开展农产品质量安全风险评估，发布有关农产品质量安全状况信息，负责农产品质量安全监测。参与制定农产品质量安全标准并会同有关部门组织实施。指导农业检验检测体系建设和机构考核。依法实施符合安全标准的农产品认证和监督管理．组织农产品质量安全的监督管理。</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七）制定农资市场监督管理工作意见并组织实施；依法开展农作物种子（种苗）、林木林苗、草种、种畜禽、水产苗种、农药、兽药、伺料、饲料添加剂、肥料的许可及监督管理；承担种子（种苗）审批和肥料、农药登记及监督管理的有关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八）负责农作物、林木重大病虫害防治．参与起草全县植保工作发展规划和动植物防疫、检疫的政府规章草案，组织兽医医政、兽药药政药检工作。负责执业兽医的管理。承担农业有害生物预测预报，依法实施动植物检疫，依法组织对植保事故进行现场鉴定。</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九）会同有关部门指导农业标准化、规模化生产。指导粮食等主要农产品生产，组织落实促进主要农产品生产发展的相关措施，引导农业产业结构调整和产品品质的改善。承担农业防灾减灾的责任。监测、发布农业灾情，组织种子、化肥等救灾物资借各和调拨，提出生产救灾资金安排建议，指导紧急救灾和灾后生产恢复。</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（十）管理农业和农村经济信息，监测分析农业和农村经济运行，开展相关农业统计工作。发布农业和农村经济信息，负责农业信息体系建设，指导农业信息服务。</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一）制定相关农业科研、农技推广的规划、计划，会同有关部门组织全县农业科技创新体系和农业产业技术体系建设组织农业先进技术的引进，实施科教兴农战略，指导农业领域的高新技术和应用技术研究，组织实施相关农业科研专项、农业科技成果转化和技术推广工作。组织指导基层农技推广体系改草与建设，负责农业植物新品种保护，负责农业转基因生物安全监督管理。</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二）拟订农业农村人才队伍建设规划并组织实施，指导农业教育和农业职业技能开发工作，参与实施农村实用人才培训工程，参与农村劳动力转移就业培训工作，会同有关部门依法实施农业农村人才专业技术资格和从业资格管理。</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三）参与农业资源区划工作，组织实施农作物遗传资源保护；指导农用地、宜农滩涂、宜农湿地以及农业生物物种资源的保护和管理；组织抗灾救灾和救灾备荒种子、化肥等生产资料的调拨；拟订耕地及基本农田质量保护与改良规定并指导实施，依法管理耕地质量。运用工程设施、农艺、农机、生物等措施发展节水农业。</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四）制定并实施农业生态建设规划，指导农村可再生能源综合开发与利用，指导农业生物质产业发展和农业农村节能减排，承担指导农业面源污染治理有关工作。划定农产品禁止生产区域，指导生态农业、循环农业等发展。</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五）拟订农业机械化和设施农业的规划、计划并组织实施；提出农业生产机械装备的技术要求和发展要求，引导农民使用新型农机产品和农作物秸秆综合利用；承担拟订农机作业规范和技术标准工作；依法组织对在用的特定种类农业机械产品进行调查；指导农机作业安全和维修管理，指导农机教育培训管理组织实施国家农机惠农政策。指导农业机械化发展。</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（十六）承办农业涉外事务，组织开展农业贸易促进、技术。交流与合作。参与并协助有关部门组织实施农业援外项目等相关工作。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（十七）负责全县护林防火工作，包括编制全县防火预案组织森林火灾的扑救，监督、检</w:t>
      </w:r>
      <w:r>
        <w:rPr>
          <w:rFonts w:hint="eastAsia" w:ascii="仿宋" w:hAnsi="仿宋" w:eastAsia="仿宋" w:cs="仿宋"/>
          <w:sz w:val="30"/>
          <w:szCs w:val="30"/>
          <w:lang w:eastAsia="zh-CN"/>
        </w:rPr>
        <w:t>查</w:t>
      </w:r>
      <w:r>
        <w:rPr>
          <w:rFonts w:hint="eastAsia" w:ascii="仿宋" w:hAnsi="仿宋" w:eastAsia="仿宋" w:cs="仿宋"/>
          <w:sz w:val="30"/>
          <w:szCs w:val="30"/>
        </w:rPr>
        <w:t>、指导基层防火组织的建立及措施的落实。</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（十八）编制全县造林绿化的长期和年度方，并组织实施。负责工程造林的规划设计、技术培训、技术指导及检</w:t>
      </w:r>
      <w:r>
        <w:rPr>
          <w:rFonts w:hint="eastAsia" w:ascii="仿宋" w:hAnsi="仿宋" w:eastAsia="仿宋" w:cs="仿宋"/>
          <w:sz w:val="30"/>
          <w:szCs w:val="30"/>
          <w:lang w:eastAsia="zh-CN"/>
        </w:rPr>
        <w:t>查</w:t>
      </w:r>
      <w:r>
        <w:rPr>
          <w:rFonts w:hint="eastAsia" w:ascii="仿宋" w:hAnsi="仿宋" w:eastAsia="仿宋" w:cs="仿宋"/>
          <w:sz w:val="30"/>
          <w:szCs w:val="30"/>
        </w:rPr>
        <w:t>验收工作。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（十九）编制全县果树资源管理方案，负责常规技术的普及及新技术、新品种的引进推广工作。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（二十）编制现有林经营方案，严格执行上级下达的森林采伐限额，负责“三项作业”（主伐、抚育间伐、低质林改造）的勘查设计、作业审批、施工指导及检查验收工作。</w:t>
      </w:r>
    </w:p>
    <w:p>
      <w:pPr>
        <w:spacing w:line="500" w:lineRule="exact"/>
        <w:ind w:firstLine="560"/>
        <w:rPr>
          <w:rFonts w:ascii="仿宋" w:hAnsi="仿宋" w:eastAsia="仿宋" w:cs="仿宋"/>
          <w:sz w:val="30"/>
          <w:szCs w:val="30"/>
        </w:rPr>
      </w:pPr>
      <w:r>
        <w:rPr>
          <w:rFonts w:hint="eastAsia" w:ascii="仿宋" w:hAnsi="仿宋" w:eastAsia="仿宋" w:cs="仿宋"/>
          <w:sz w:val="30"/>
          <w:szCs w:val="30"/>
        </w:rPr>
        <w:t>（二十一）完成县委、县政府交办的其它事宜。</w:t>
      </w:r>
    </w:p>
    <w:p>
      <w:pPr>
        <w:widowControl/>
        <w:spacing w:line="560" w:lineRule="exact"/>
        <w:rPr>
          <w:rFonts w:ascii="仿宋" w:hAnsi="仿宋" w:eastAsia="仿宋"/>
          <w:b/>
          <w:bCs/>
          <w:sz w:val="30"/>
          <w:szCs w:val="30"/>
        </w:rPr>
      </w:pPr>
      <w:r>
        <w:rPr>
          <w:rFonts w:hint="eastAsia" w:ascii="仿宋" w:hAnsi="仿宋" w:eastAsia="仿宋"/>
          <w:b/>
          <w:bCs/>
          <w:sz w:val="30"/>
          <w:szCs w:val="30"/>
        </w:rPr>
        <w:t>机构设置：</w:t>
      </w:r>
    </w:p>
    <w:p>
      <w:pPr>
        <w:spacing w:line="468" w:lineRule="atLeast"/>
        <w:ind w:firstLine="560"/>
        <w:rPr>
          <w:rFonts w:ascii="仿宋" w:hAnsi="仿宋" w:eastAsia="仿宋" w:cs="仿宋"/>
          <w:kern w:val="0"/>
          <w:sz w:val="32"/>
          <w:szCs w:val="32"/>
        </w:rPr>
      </w:pPr>
      <w:r>
        <w:rPr>
          <w:rFonts w:hint="eastAsia" w:ascii="仿宋" w:hAnsi="仿宋" w:eastAsia="仿宋" w:cs="仿宋"/>
          <w:kern w:val="0"/>
          <w:sz w:val="32"/>
          <w:szCs w:val="32"/>
        </w:rPr>
        <w:t>内设：办公室、生产股、农经股（市场信息股）、农机股、科技教育股（法制股）、</w:t>
      </w:r>
      <w:r>
        <w:rPr>
          <w:rFonts w:hint="eastAsia" w:ascii="仿宋" w:hAnsi="仿宋" w:eastAsia="仿宋" w:cs="仿宋"/>
          <w:sz w:val="32"/>
          <w:szCs w:val="32"/>
        </w:rPr>
        <w:t>资源林政股（森林病虫害防治检疫站）、森林防火股、工程技术股（林业技术推广站、果桑花产品质量监督检验站）、涞水县森林公安局（挂涞水县林业局综合行政执法队牌子）、林区治安派出所（涞水县森林公安局桑园涧派出所、涞水县森林公安局赵各庄派出所）、涞水县国营赵各庄林场、涞水县国营桑园涧林场、</w:t>
      </w:r>
      <w:r>
        <w:rPr>
          <w:rFonts w:hint="eastAsia" w:ascii="仿宋" w:hAnsi="仿宋" w:eastAsia="仿宋"/>
          <w:sz w:val="30"/>
          <w:szCs w:val="30"/>
        </w:rPr>
        <w:t>动物卫生监督所、畜牧渔业站、动物疫病预防控制中心、饲料工业办公室、兽医管委会、质量安全监管中心、基层动物防疫监督站、定点屠宰办公室。</w:t>
      </w:r>
      <w:r>
        <w:rPr>
          <w:rFonts w:hint="eastAsia" w:ascii="仿宋" w:hAnsi="仿宋" w:eastAsia="仿宋" w:cs="仿宋"/>
          <w:color w:val="000000"/>
          <w:kern w:val="0"/>
          <w:sz w:val="32"/>
          <w:szCs w:val="32"/>
        </w:rPr>
        <w:t xml:space="preserve">        </w:t>
      </w:r>
    </w:p>
    <w:p>
      <w:pPr>
        <w:spacing w:line="468" w:lineRule="atLeast"/>
        <w:rPr>
          <w:rFonts w:ascii="仿宋" w:hAnsi="仿宋" w:eastAsia="仿宋"/>
          <w:b/>
          <w:bCs/>
          <w:sz w:val="30"/>
          <w:szCs w:val="30"/>
        </w:rPr>
      </w:pPr>
    </w:p>
    <w:tbl>
      <w:tblPr>
        <w:tblStyle w:val="8"/>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8"/>
                <w:szCs w:val="28"/>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8"/>
                <w:szCs w:val="28"/>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8"/>
                <w:szCs w:val="28"/>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8"/>
                <w:szCs w:val="28"/>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8"/>
                <w:szCs w:val="28"/>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涞水县农业局</w:t>
            </w:r>
          </w:p>
        </w:tc>
        <w:tc>
          <w:tcPr>
            <w:tcW w:w="21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事业</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23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_GB2312" w:hAnsi="宋体" w:cs="宋体"/>
                <w:color w:val="000000"/>
                <w:kern w:val="0"/>
                <w:sz w:val="24"/>
                <w:szCs w:val="24"/>
              </w:rPr>
              <w:t>财政性资金基本保障</w:t>
            </w:r>
          </w:p>
        </w:tc>
      </w:tr>
    </w:tbl>
    <w:p>
      <w:pPr>
        <w:jc w:val="left"/>
        <w:rPr>
          <w:rFonts w:ascii="仿宋" w:hAnsi="仿宋" w:eastAsia="仿宋" w:cs="仿宋_GB2312"/>
          <w:b/>
          <w:sz w:val="30"/>
          <w:szCs w:val="30"/>
        </w:rPr>
      </w:pPr>
    </w:p>
    <w:p>
      <w:pPr>
        <w:numPr>
          <w:ilvl w:val="0"/>
          <w:numId w:val="1"/>
        </w:numPr>
        <w:jc w:val="left"/>
        <w:rPr>
          <w:rFonts w:ascii="仿宋" w:hAnsi="仿宋" w:eastAsia="仿宋" w:cs="仿宋_GB2312"/>
          <w:b/>
          <w:sz w:val="30"/>
          <w:szCs w:val="30"/>
        </w:rPr>
      </w:pPr>
      <w:r>
        <w:rPr>
          <w:rFonts w:hint="eastAsia" w:ascii="仿宋" w:hAnsi="仿宋" w:eastAsia="仿宋" w:cs="仿宋_GB2312"/>
          <w:b/>
          <w:sz w:val="30"/>
          <w:szCs w:val="30"/>
        </w:rPr>
        <w:t>部门预算安排总体情况</w:t>
      </w:r>
    </w:p>
    <w:p>
      <w:pPr>
        <w:jc w:val="left"/>
        <w:rPr>
          <w:rFonts w:ascii="仿宋" w:hAnsi="仿宋" w:eastAsia="仿宋" w:cs="仿宋_GB2312"/>
          <w:sz w:val="30"/>
          <w:szCs w:val="30"/>
        </w:rPr>
      </w:pPr>
      <w:r>
        <w:rPr>
          <w:rFonts w:hint="eastAsia" w:ascii="仿宋" w:hAnsi="仿宋" w:eastAsia="仿宋" w:cs="仿宋_GB2312"/>
          <w:sz w:val="30"/>
          <w:szCs w:val="30"/>
        </w:rPr>
        <w:t>（一）收入预算说明</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20</w:t>
      </w:r>
      <w:r>
        <w:rPr>
          <w:rFonts w:hint="eastAsia" w:ascii="仿宋" w:hAnsi="仿宋" w:eastAsia="仿宋" w:cs="仿宋_GB2312"/>
          <w:sz w:val="30"/>
          <w:szCs w:val="30"/>
          <w:shd w:val="pct10" w:color="auto" w:fill="FFFFFF"/>
        </w:rPr>
        <w:t>1</w:t>
      </w:r>
      <w:r>
        <w:rPr>
          <w:rFonts w:hint="eastAsia" w:ascii="仿宋" w:hAnsi="仿宋" w:eastAsia="仿宋" w:cs="仿宋_GB2312"/>
          <w:sz w:val="30"/>
          <w:szCs w:val="30"/>
          <w:shd w:val="pct10" w:color="auto" w:fill="FFFFFF"/>
          <w:lang w:val="en-US" w:eastAsia="zh-CN"/>
        </w:rPr>
        <w:t>9</w:t>
      </w:r>
      <w:r>
        <w:rPr>
          <w:rFonts w:hint="eastAsia" w:ascii="仿宋" w:hAnsi="仿宋" w:eastAsia="仿宋" w:cs="仿宋_GB2312"/>
          <w:sz w:val="30"/>
          <w:szCs w:val="30"/>
        </w:rPr>
        <w:t>年部门收入总额1</w:t>
      </w:r>
      <w:r>
        <w:rPr>
          <w:rFonts w:hint="eastAsia" w:ascii="仿宋" w:hAnsi="仿宋" w:eastAsia="仿宋" w:cs="仿宋_GB2312"/>
          <w:sz w:val="30"/>
          <w:szCs w:val="30"/>
          <w:lang w:val="en-US" w:eastAsia="zh-CN"/>
        </w:rPr>
        <w:t>31</w:t>
      </w:r>
      <w:r>
        <w:rPr>
          <w:rFonts w:hint="eastAsia" w:ascii="仿宋" w:hAnsi="仿宋" w:eastAsia="仿宋" w:cs="仿宋_GB2312"/>
          <w:sz w:val="30"/>
          <w:szCs w:val="30"/>
        </w:rPr>
        <w:t>61.6万元</w:t>
      </w:r>
    </w:p>
    <w:p>
      <w:pPr>
        <w:ind w:firstLine="600" w:firstLineChars="200"/>
        <w:jc w:val="left"/>
        <w:rPr>
          <w:rFonts w:ascii="仿宋" w:hAnsi="仿宋" w:eastAsia="仿宋"/>
          <w:sz w:val="30"/>
          <w:szCs w:val="30"/>
          <w:shd w:val="pct10" w:color="auto" w:fill="FFFFFF"/>
        </w:rPr>
      </w:pPr>
      <w:r>
        <w:rPr>
          <w:rFonts w:hint="eastAsia" w:ascii="仿宋" w:hAnsi="仿宋" w:eastAsia="仿宋" w:cs="仿宋_GB2312"/>
          <w:sz w:val="30"/>
          <w:szCs w:val="30"/>
        </w:rPr>
        <w:t>1、一般公共预算财政拨款收入13161.6万元，其中财政拨款5946.8万元，上级财政提前通知转移支付6853.32万元，专项收入320.00万元，其他41.48万元。</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（二）支出预算说明</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2019年部门预算支出总额1</w:t>
      </w:r>
      <w:r>
        <w:rPr>
          <w:rFonts w:hint="eastAsia" w:ascii="仿宋" w:hAnsi="仿宋" w:eastAsia="仿宋" w:cs="仿宋_GB2312"/>
          <w:sz w:val="30"/>
          <w:szCs w:val="30"/>
          <w:lang w:val="en-US" w:eastAsia="zh-CN"/>
        </w:rPr>
        <w:t>31</w:t>
      </w:r>
      <w:r>
        <w:rPr>
          <w:rFonts w:hint="eastAsia" w:ascii="仿宋" w:hAnsi="仿宋" w:eastAsia="仿宋" w:cs="仿宋_GB2312"/>
          <w:sz w:val="30"/>
          <w:szCs w:val="30"/>
        </w:rPr>
        <w:t>61.6万元。</w:t>
      </w:r>
    </w:p>
    <w:p>
      <w:pPr>
        <w:numPr>
          <w:ilvl w:val="0"/>
          <w:numId w:val="2"/>
        </w:numPr>
        <w:ind w:firstLine="600" w:firstLineChars="200"/>
        <w:jc w:val="left"/>
        <w:rPr>
          <w:rFonts w:ascii="仿宋" w:hAnsi="仿宋" w:eastAsia="仿宋" w:cs="仿宋_GB2312"/>
          <w:sz w:val="30"/>
          <w:szCs w:val="30"/>
          <w:shd w:val="pct10" w:color="auto" w:fill="FFFFFF"/>
        </w:rPr>
      </w:pPr>
      <w:r>
        <w:rPr>
          <w:rFonts w:hint="eastAsia" w:ascii="仿宋" w:hAnsi="仿宋" w:eastAsia="仿宋" w:cs="仿宋_GB2312"/>
          <w:sz w:val="30"/>
          <w:szCs w:val="30"/>
        </w:rPr>
        <w:t>一般公共预算财政拨款支出13161.6万元，其中基本支出3423.77万元：</w:t>
      </w:r>
      <w:r>
        <w:rPr>
          <w:rFonts w:hint="eastAsia" w:ascii="仿宋" w:hAnsi="仿宋" w:eastAsia="仿宋"/>
          <w:sz w:val="30"/>
          <w:szCs w:val="30"/>
        </w:rPr>
        <w:t>人员经费3082.74万元、</w:t>
      </w:r>
      <w:r>
        <w:rPr>
          <w:rFonts w:hint="eastAsia" w:ascii="仿宋" w:hAnsi="仿宋" w:eastAsia="仿宋" w:cs="仿宋_GB2312"/>
          <w:sz w:val="30"/>
          <w:szCs w:val="30"/>
        </w:rPr>
        <w:t>日常公用经费341.03</w:t>
      </w:r>
      <w:r>
        <w:rPr>
          <w:rFonts w:hint="eastAsia" w:ascii="仿宋" w:hAnsi="仿宋" w:eastAsia="仿宋"/>
          <w:sz w:val="30"/>
          <w:szCs w:val="30"/>
        </w:rPr>
        <w:t>万元;</w:t>
      </w:r>
      <w:r>
        <w:rPr>
          <w:rFonts w:hint="eastAsia" w:ascii="仿宋" w:hAnsi="仿宋" w:eastAsia="仿宋" w:cs="仿宋_GB2312"/>
          <w:sz w:val="30"/>
          <w:szCs w:val="30"/>
        </w:rPr>
        <w:t>项目支出</w:t>
      </w:r>
      <w:r>
        <w:rPr>
          <w:rFonts w:hint="eastAsia" w:ascii="仿宋" w:hAnsi="仿宋" w:eastAsia="仿宋" w:cs="仿宋_GB2312"/>
          <w:sz w:val="30"/>
          <w:szCs w:val="30"/>
          <w:lang w:val="en-US" w:eastAsia="zh-CN"/>
        </w:rPr>
        <w:t>71</w:t>
      </w:r>
      <w:r>
        <w:rPr>
          <w:rFonts w:hint="eastAsia" w:ascii="仿宋" w:hAnsi="仿宋" w:eastAsia="仿宋" w:cs="仿宋_GB2312"/>
          <w:sz w:val="30"/>
          <w:szCs w:val="30"/>
        </w:rPr>
        <w:t>37.83.00万</w:t>
      </w:r>
      <w:r>
        <w:rPr>
          <w:rFonts w:hint="eastAsia" w:ascii="仿宋" w:hAnsi="仿宋" w:eastAsia="仿宋" w:cs="仿宋_GB2312"/>
          <w:sz w:val="30"/>
          <w:szCs w:val="30"/>
          <w:lang w:eastAsia="zh-CN"/>
        </w:rPr>
        <w:t>元。</w:t>
      </w:r>
    </w:p>
    <w:p>
      <w:pPr>
        <w:jc w:val="left"/>
        <w:rPr>
          <w:rFonts w:ascii="仿宋" w:hAnsi="仿宋" w:eastAsia="仿宋"/>
          <w:sz w:val="30"/>
          <w:szCs w:val="30"/>
        </w:rPr>
      </w:pPr>
      <w:r>
        <w:rPr>
          <w:rFonts w:hint="eastAsia" w:ascii="仿宋" w:hAnsi="仿宋" w:eastAsia="仿宋" w:cs="仿宋_GB2312"/>
          <w:sz w:val="30"/>
          <w:szCs w:val="30"/>
        </w:rPr>
        <w:t xml:space="preserve">    </w:t>
      </w:r>
      <w:r>
        <w:rPr>
          <w:rFonts w:hint="eastAsia" w:ascii="仿宋" w:hAnsi="仿宋" w:eastAsia="仿宋"/>
          <w:sz w:val="30"/>
          <w:szCs w:val="30"/>
        </w:rPr>
        <w:t>（三）比上年增减情况</w:t>
      </w:r>
    </w:p>
    <w:p>
      <w:pPr>
        <w:tabs>
          <w:tab w:val="left" w:pos="916"/>
        </w:tabs>
        <w:spacing w:line="560" w:lineRule="exact"/>
        <w:jc w:val="left"/>
        <w:rPr>
          <w:rFonts w:ascii="仿宋_GB2312" w:hAnsi="仿宋" w:eastAsia="仿宋_GB2312"/>
          <w:sz w:val="32"/>
          <w:szCs w:val="32"/>
        </w:rPr>
      </w:pPr>
      <w:r>
        <w:rPr>
          <w:rFonts w:hint="eastAsia" w:ascii="仿宋" w:hAnsi="仿宋" w:eastAsia="仿宋"/>
          <w:sz w:val="30"/>
          <w:szCs w:val="30"/>
        </w:rPr>
        <w:t xml:space="preserve">     </w:t>
      </w:r>
      <w:r>
        <w:rPr>
          <w:rFonts w:hint="eastAsia" w:ascii="仿宋_GB2312" w:hAnsi="仿宋" w:eastAsia="仿宋_GB2312"/>
          <w:sz w:val="32"/>
          <w:szCs w:val="32"/>
        </w:rPr>
        <w:t>本年度预算收支安排</w:t>
      </w:r>
      <w:r>
        <w:rPr>
          <w:rFonts w:hint="eastAsia" w:ascii="仿宋" w:hAnsi="仿宋" w:eastAsia="仿宋" w:cs="仿宋_GB2312"/>
          <w:sz w:val="30"/>
          <w:szCs w:val="30"/>
        </w:rPr>
        <w:t>1</w:t>
      </w:r>
      <w:r>
        <w:rPr>
          <w:rFonts w:hint="eastAsia" w:ascii="仿宋" w:hAnsi="仿宋" w:eastAsia="仿宋" w:cs="仿宋_GB2312"/>
          <w:sz w:val="30"/>
          <w:szCs w:val="30"/>
          <w:lang w:val="en-US" w:eastAsia="zh-CN"/>
        </w:rPr>
        <w:t>31</w:t>
      </w:r>
      <w:r>
        <w:rPr>
          <w:rFonts w:hint="eastAsia" w:ascii="仿宋" w:hAnsi="仿宋" w:eastAsia="仿宋" w:cs="仿宋_GB2312"/>
          <w:sz w:val="30"/>
          <w:szCs w:val="30"/>
        </w:rPr>
        <w:t>61.6</w:t>
      </w:r>
      <w:r>
        <w:rPr>
          <w:rFonts w:hint="eastAsia" w:ascii="仿宋_GB2312" w:hAnsi="仿宋" w:eastAsia="仿宋_GB2312"/>
          <w:sz w:val="32"/>
          <w:szCs w:val="32"/>
        </w:rPr>
        <w:t>万元，2018年度预算收支安排8729.67万元，较上年增加</w:t>
      </w:r>
      <w:r>
        <w:rPr>
          <w:rFonts w:hint="eastAsia" w:ascii="仿宋_GB2312" w:hAnsi="仿宋" w:eastAsia="仿宋_GB2312"/>
          <w:sz w:val="32"/>
          <w:szCs w:val="32"/>
          <w:lang w:val="en-US" w:eastAsia="zh-CN"/>
        </w:rPr>
        <w:t>44</w:t>
      </w:r>
      <w:r>
        <w:rPr>
          <w:rFonts w:hint="eastAsia" w:ascii="仿宋_GB2312" w:hAnsi="仿宋" w:eastAsia="仿宋_GB2312"/>
          <w:sz w:val="32"/>
          <w:szCs w:val="32"/>
        </w:rPr>
        <w:t>31.93万元。</w:t>
      </w:r>
    </w:p>
    <w:p>
      <w:pPr>
        <w:numPr>
          <w:ilvl w:val="0"/>
          <w:numId w:val="3"/>
        </w:numPr>
        <w:tabs>
          <w:tab w:val="left" w:pos="916"/>
        </w:tabs>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基本支出减少93.03万元，其中人员经费减少73.95万元，公用经费减少19.08万元，人员经费减少原因是退休人员增加，公用经费减少原因退休人员增加，办公费相应减少。</w:t>
      </w:r>
    </w:p>
    <w:p>
      <w:pPr>
        <w:numPr>
          <w:ilvl w:val="0"/>
          <w:numId w:val="3"/>
        </w:numPr>
        <w:tabs>
          <w:tab w:val="left" w:pos="916"/>
        </w:tabs>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项目支出增加</w:t>
      </w:r>
      <w:r>
        <w:rPr>
          <w:rFonts w:hint="eastAsia" w:ascii="仿宋_GB2312" w:hAnsi="仿宋" w:eastAsia="仿宋_GB2312"/>
          <w:sz w:val="32"/>
          <w:szCs w:val="32"/>
          <w:lang w:val="en-US" w:eastAsia="zh-CN"/>
        </w:rPr>
        <w:t>45</w:t>
      </w:r>
      <w:r>
        <w:rPr>
          <w:rFonts w:hint="eastAsia" w:ascii="仿宋_GB2312" w:hAnsi="仿宋" w:eastAsia="仿宋_GB2312"/>
          <w:sz w:val="32"/>
          <w:szCs w:val="32"/>
        </w:rPr>
        <w:t>24.96,增加主要原因2019年防火经费、公路绿化项目、天然林项目、三员养老生活补贴资金、非洲猪瘟防控经费等专项资金预算比上年度增加。</w:t>
      </w:r>
    </w:p>
    <w:p>
      <w:pPr>
        <w:jc w:val="left"/>
        <w:rPr>
          <w:rFonts w:ascii="仿宋" w:hAnsi="仿宋" w:eastAsia="仿宋" w:cs="仿宋_GB2312"/>
          <w:b/>
          <w:sz w:val="30"/>
          <w:szCs w:val="30"/>
        </w:rPr>
      </w:pPr>
      <w:r>
        <w:rPr>
          <w:rFonts w:hint="eastAsia" w:ascii="仿宋" w:hAnsi="仿宋" w:eastAsia="仿宋" w:cs="仿宋_GB2312"/>
          <w:b/>
          <w:sz w:val="30"/>
          <w:szCs w:val="30"/>
        </w:rPr>
        <w:t>三、机关运行经费安排情况</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本年度日常公用经费支出341.03万元：办公费113.12万元，邮电费1.32万元，取暖费15.35万元,差旅费53.88万元，</w:t>
      </w:r>
      <w:r>
        <w:rPr>
          <w:rFonts w:hint="eastAsia" w:ascii="仿宋" w:hAnsi="仿宋" w:eastAsia="仿宋" w:cs="仿宋"/>
          <w:kern w:val="0"/>
          <w:sz w:val="32"/>
          <w:szCs w:val="32"/>
        </w:rPr>
        <w:t>公务用车维护费50.00万元,</w:t>
      </w:r>
      <w:r>
        <w:rPr>
          <w:rFonts w:hint="eastAsia" w:ascii="仿宋" w:hAnsi="仿宋" w:eastAsia="仿宋" w:cs="仿宋_GB2312"/>
          <w:sz w:val="30"/>
          <w:szCs w:val="30"/>
        </w:rPr>
        <w:t>公务接待费9.2万元，公务交通补贴16.98万元，离退休人员公用经费3万元，工会经费32.48万元，职工福利费45.7万元。</w:t>
      </w:r>
    </w:p>
    <w:p>
      <w:pPr>
        <w:jc w:val="left"/>
        <w:rPr>
          <w:rFonts w:ascii="仿宋" w:hAnsi="仿宋" w:eastAsia="仿宋" w:cs="仿宋_GB2312"/>
          <w:b/>
          <w:sz w:val="30"/>
          <w:szCs w:val="30"/>
        </w:rPr>
      </w:pPr>
      <w:r>
        <w:rPr>
          <w:rFonts w:hint="eastAsia" w:ascii="仿宋" w:hAnsi="仿宋" w:eastAsia="仿宋" w:cs="仿宋_GB2312"/>
          <w:b/>
          <w:sz w:val="30"/>
          <w:szCs w:val="30"/>
        </w:rPr>
        <w:t>四、财政拨款“三公”经费预算情况及增减变化原因</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按照财政部门要求，我单位坚持厉行节约、反对浪费的原则，统筹合理使用“三公”经费。</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1、因公出国（境）经费</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2019年预算未安排因公出国（境）经费，2018年度也为安排因公出国（境）经费。</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2、公务接待费</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2019年预算公务接待费9.2万元，2018年预算公务接待费9.2万元，未超上年度预算数，坚持厉行节约、反对浪费的原则，力争不超预算，预计2019年公务接待150个批次，预计公务接待</w:t>
      </w:r>
      <w:r>
        <w:rPr>
          <w:rFonts w:hint="eastAsia" w:ascii="仿宋" w:hAnsi="仿宋" w:eastAsia="仿宋" w:cs="仿宋_GB2312"/>
          <w:sz w:val="30"/>
          <w:szCs w:val="30"/>
          <w:lang w:val="en-US" w:eastAsia="zh-CN"/>
        </w:rPr>
        <w:t>85</w:t>
      </w:r>
      <w:r>
        <w:rPr>
          <w:rFonts w:hint="eastAsia" w:ascii="仿宋" w:hAnsi="仿宋" w:eastAsia="仿宋" w:cs="仿宋_GB2312"/>
          <w:sz w:val="30"/>
          <w:szCs w:val="30"/>
        </w:rPr>
        <w:t>0人。</w:t>
      </w:r>
    </w:p>
    <w:p>
      <w:pPr>
        <w:ind w:firstLine="600" w:firstLineChars="200"/>
        <w:jc w:val="left"/>
        <w:rPr>
          <w:rFonts w:ascii="仿宋" w:hAnsi="仿宋" w:eastAsia="仿宋" w:cs="仿宋_GB2312"/>
          <w:sz w:val="30"/>
          <w:szCs w:val="30"/>
        </w:rPr>
      </w:pPr>
      <w:r>
        <w:rPr>
          <w:rFonts w:hint="eastAsia" w:ascii="仿宋" w:hAnsi="仿宋" w:eastAsia="仿宋" w:cs="仿宋_GB2312"/>
          <w:sz w:val="30"/>
          <w:szCs w:val="30"/>
        </w:rPr>
        <w:t>3、公务用车购置及运行维护费</w:t>
      </w:r>
    </w:p>
    <w:p>
      <w:pPr>
        <w:ind w:firstLine="600" w:firstLineChars="200"/>
        <w:jc w:val="left"/>
        <w:rPr>
          <w:rFonts w:ascii="仿宋" w:hAnsi="仿宋" w:eastAsia="仿宋" w:cs="仿宋_GB2312"/>
          <w:bCs/>
          <w:sz w:val="30"/>
          <w:szCs w:val="30"/>
        </w:rPr>
      </w:pPr>
      <w:r>
        <w:rPr>
          <w:rFonts w:hint="eastAsia" w:ascii="仿宋" w:hAnsi="仿宋" w:eastAsia="仿宋" w:cs="仿宋_GB2312"/>
          <w:sz w:val="30"/>
          <w:szCs w:val="30"/>
        </w:rPr>
        <w:t>2019年我单位没有公务用车购置费预算，2018年也没有公务用车购置费，2019年公务用车运行维护费预算56万元，2018年公务用车运行维护费预算60万元，相比上年度减少4万元，减少原因是厉行节约、科室统筹拼车出行、鼓励乘坐公共交通工具出行。</w:t>
      </w: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sz w:val="32"/>
                <w:szCs w:val="32"/>
              </w:rPr>
            </w:pPr>
          </w:p>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717"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717"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177"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3108" w:type="dxa"/>
            <w:tcBorders>
              <w:top w:val="nil"/>
              <w:left w:val="nil"/>
              <w:bottom w:val="single" w:color="auto" w:sz="4" w:space="0"/>
              <w:right w:val="nil"/>
            </w:tcBorders>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2018年度预算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2019年度预算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CellMar>
            <w:top w:w="0" w:type="dxa"/>
            <w:left w:w="108" w:type="dxa"/>
            <w:bottom w:w="0" w:type="dxa"/>
            <w:right w:w="108" w:type="dxa"/>
          </w:tblCellMar>
        </w:tblPrEx>
        <w:trPr>
          <w:trHeight w:val="297"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56</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 w:hAnsi="仿宋" w:eastAsia="仿宋" w:cs="仿宋_GB2312"/>
                <w:sz w:val="24"/>
              </w:rPr>
              <w:t>厉行节约、各科室统筹使用公务用车，</w:t>
            </w:r>
            <w:r>
              <w:rPr>
                <w:rFonts w:hint="eastAsia" w:ascii="仿宋" w:hAnsi="仿宋" w:eastAsia="仿宋" w:cs="仿宋_GB2312"/>
                <w:sz w:val="24"/>
                <w:szCs w:val="24"/>
              </w:rPr>
              <w:t>鼓励乘坐公共交通工具出行</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9.2</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9.2</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69.2</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65.2</w:t>
            </w:r>
          </w:p>
        </w:tc>
        <w:tc>
          <w:tcPr>
            <w:tcW w:w="1177" w:type="dxa"/>
            <w:tcBorders>
              <w:top w:val="nil"/>
              <w:left w:val="nil"/>
              <w:bottom w:val="single" w:color="auto" w:sz="4" w:space="0"/>
              <w:right w:val="single" w:color="auto" w:sz="4" w:space="0"/>
            </w:tcBorders>
            <w:vAlign w:val="center"/>
          </w:tcPr>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-4</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2019年，认真执行中央</w:t>
            </w:r>
            <w:bookmarkStart w:id="2" w:name="_GoBack"/>
            <w:bookmarkEnd w:id="2"/>
            <w:r>
              <w:rPr>
                <w:rFonts w:hint="eastAsia" w:ascii="仿宋_GB2312" w:hAnsi="宋体" w:eastAsia="仿宋_GB2312" w:cs="宋体"/>
                <w:kern w:val="0"/>
                <w:sz w:val="24"/>
              </w:rPr>
              <w:t>八项规定，厉行节约，反对浪费，</w:t>
            </w:r>
            <w:r>
              <w:rPr>
                <w:rFonts w:hint="eastAsia" w:ascii="仿宋" w:hAnsi="仿宋" w:eastAsia="仿宋" w:cs="仿宋_GB2312"/>
                <w:sz w:val="24"/>
                <w:szCs w:val="24"/>
              </w:rPr>
              <w:t>科室统筹拼车出行、鼓励乘坐公共交通工具出行</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vAlign w:val="center"/>
          </w:tcPr>
          <w:p>
            <w:pPr>
              <w:widowControl/>
              <w:jc w:val="left"/>
              <w:rPr>
                <w:rFonts w:ascii="宋体" w:hAnsi="宋体" w:cs="宋体"/>
                <w:kern w:val="0"/>
                <w:sz w:val="24"/>
              </w:rPr>
            </w:pPr>
          </w:p>
        </w:tc>
        <w:tc>
          <w:tcPr>
            <w:tcW w:w="1717" w:type="dxa"/>
            <w:tcBorders>
              <w:top w:val="nil"/>
              <w:left w:val="nil"/>
              <w:bottom w:val="nil"/>
              <w:right w:val="nil"/>
            </w:tcBorders>
            <w:vAlign w:val="center"/>
          </w:tcPr>
          <w:p>
            <w:pPr>
              <w:widowControl/>
              <w:jc w:val="left"/>
              <w:rPr>
                <w:rFonts w:ascii="宋体" w:hAnsi="宋体" w:cs="宋体"/>
                <w:kern w:val="0"/>
                <w:sz w:val="24"/>
              </w:rPr>
            </w:pPr>
          </w:p>
        </w:tc>
        <w:tc>
          <w:tcPr>
            <w:tcW w:w="1717" w:type="dxa"/>
            <w:tcBorders>
              <w:top w:val="nil"/>
              <w:left w:val="nil"/>
              <w:bottom w:val="nil"/>
              <w:right w:val="nil"/>
            </w:tcBorders>
            <w:vAlign w:val="center"/>
          </w:tcPr>
          <w:p>
            <w:pPr>
              <w:widowControl/>
              <w:jc w:val="left"/>
              <w:rPr>
                <w:rFonts w:ascii="宋体" w:hAnsi="宋体" w:cs="宋体"/>
                <w:kern w:val="0"/>
                <w:sz w:val="24"/>
              </w:rPr>
            </w:pPr>
          </w:p>
        </w:tc>
        <w:tc>
          <w:tcPr>
            <w:tcW w:w="1177" w:type="dxa"/>
            <w:tcBorders>
              <w:top w:val="nil"/>
              <w:left w:val="nil"/>
              <w:bottom w:val="nil"/>
              <w:right w:val="nil"/>
            </w:tcBorders>
            <w:vAlign w:val="center"/>
          </w:tcPr>
          <w:p>
            <w:pPr>
              <w:widowControl/>
              <w:jc w:val="left"/>
              <w:rPr>
                <w:rFonts w:ascii="宋体" w:hAnsi="宋体" w:cs="宋体"/>
                <w:kern w:val="0"/>
                <w:sz w:val="24"/>
              </w:rPr>
            </w:pPr>
          </w:p>
        </w:tc>
        <w:tc>
          <w:tcPr>
            <w:tcW w:w="3108" w:type="dxa"/>
            <w:tcBorders>
              <w:top w:val="nil"/>
              <w:left w:val="nil"/>
              <w:bottom w:val="nil"/>
              <w:right w:val="nil"/>
            </w:tcBorders>
            <w:vAlign w:val="center"/>
          </w:tcPr>
          <w:p>
            <w:pPr>
              <w:widowControl/>
              <w:jc w:val="left"/>
              <w:rPr>
                <w:rFonts w:ascii="宋体" w:hAnsi="宋体" w:cs="宋体"/>
                <w:kern w:val="0"/>
                <w:sz w:val="24"/>
              </w:rPr>
            </w:pPr>
          </w:p>
        </w:tc>
      </w:tr>
    </w:tbl>
    <w:p>
      <w:pPr>
        <w:jc w:val="left"/>
        <w:rPr>
          <w:rFonts w:ascii="仿宋" w:hAnsi="仿宋" w:eastAsia="仿宋"/>
          <w:b/>
          <w:sz w:val="30"/>
          <w:szCs w:val="30"/>
        </w:rPr>
      </w:pPr>
    </w:p>
    <w:p>
      <w:pPr>
        <w:jc w:val="left"/>
        <w:rPr>
          <w:rFonts w:hint="eastAsia" w:ascii="仿宋" w:hAnsi="仿宋" w:eastAsia="仿宋"/>
          <w:b/>
          <w:sz w:val="30"/>
          <w:szCs w:val="30"/>
        </w:rPr>
      </w:pPr>
    </w:p>
    <w:p>
      <w:pPr>
        <w:jc w:val="left"/>
        <w:rPr>
          <w:rFonts w:ascii="仿宋" w:hAnsi="仿宋" w:eastAsia="仿宋"/>
          <w:b/>
          <w:sz w:val="30"/>
          <w:szCs w:val="30"/>
        </w:rPr>
      </w:pPr>
      <w:r>
        <w:rPr>
          <w:rFonts w:hint="eastAsia" w:ascii="仿宋" w:hAnsi="仿宋" w:eastAsia="仿宋"/>
          <w:b/>
          <w:sz w:val="30"/>
          <w:szCs w:val="30"/>
        </w:rPr>
        <w:t>五、绩效预算信息情况</w:t>
      </w:r>
    </w:p>
    <w:p>
      <w:pPr>
        <w:spacing w:line="500" w:lineRule="exact"/>
        <w:ind w:firstLine="560"/>
        <w:rPr>
          <w:rFonts w:hint="eastAsia" w:ascii="方正小标宋_GBK" w:eastAsia="仿宋"/>
          <w:sz w:val="36"/>
          <w:lang w:eastAsia="zh-CN"/>
        </w:rPr>
        <w:sectPr>
          <w:headerReference r:id="rId5" w:type="default"/>
          <w:footerReference r:id="rId6" w:type="default"/>
          <w:pgSz w:w="11907" w:h="16839"/>
          <w:pgMar w:top="1531" w:right="1134" w:bottom="1474" w:left="1134" w:header="851" w:footer="992" w:gutter="0"/>
          <w:pgNumType w:start="1"/>
          <w:cols w:space="425" w:num="1"/>
          <w:docGrid w:type="lines" w:linePitch="312" w:charSpace="0"/>
        </w:sectPr>
      </w:pPr>
      <w:r>
        <w:rPr>
          <w:rFonts w:hint="eastAsia" w:ascii="仿宋" w:hAnsi="仿宋" w:eastAsia="仿宋" w:cs="仿宋"/>
          <w:sz w:val="32"/>
          <w:szCs w:val="32"/>
        </w:rPr>
        <w:t>总体绩效目标： 2019年将紧紧围绕发展高产、优质、高效、生态、安全农业</w:t>
      </w:r>
      <w:r>
        <w:rPr>
          <w:rFonts w:hint="eastAsia" w:ascii="仿宋" w:hAnsi="仿宋" w:eastAsia="仿宋" w:cs="仿宋"/>
          <w:sz w:val="32"/>
          <w:szCs w:val="32"/>
          <w:lang w:eastAsia="zh-CN"/>
        </w:rPr>
        <w:t>、畜牧业、林业</w:t>
      </w:r>
      <w:r>
        <w:rPr>
          <w:rFonts w:hint="eastAsia" w:ascii="仿宋" w:hAnsi="仿宋" w:eastAsia="仿宋" w:cs="仿宋"/>
          <w:sz w:val="32"/>
          <w:szCs w:val="32"/>
        </w:rPr>
        <w:t>的总体要求，始终把确保粮食安全和促进农民持续增收作为中心目标，把提高农业</w:t>
      </w:r>
      <w:r>
        <w:rPr>
          <w:rFonts w:hint="eastAsia" w:ascii="仿宋" w:hAnsi="仿宋" w:eastAsia="仿宋" w:cs="仿宋"/>
          <w:sz w:val="32"/>
          <w:szCs w:val="32"/>
          <w:lang w:eastAsia="zh-CN"/>
        </w:rPr>
        <w:t>、畜牧业、林业</w:t>
      </w:r>
      <w:r>
        <w:rPr>
          <w:rFonts w:hint="eastAsia" w:ascii="仿宋" w:hAnsi="仿宋" w:eastAsia="仿宋" w:cs="仿宋"/>
          <w:sz w:val="32"/>
          <w:szCs w:val="32"/>
        </w:rPr>
        <w:t>综合生产能力作为主攻方向，大力发展现代农</w:t>
      </w:r>
      <w:r>
        <w:rPr>
          <w:rFonts w:hint="eastAsia" w:ascii="仿宋" w:hAnsi="仿宋" w:eastAsia="仿宋" w:cs="仿宋"/>
          <w:sz w:val="32"/>
          <w:szCs w:val="32"/>
          <w:lang w:eastAsia="zh-CN"/>
        </w:rPr>
        <w:t>、林、牧</w:t>
      </w:r>
      <w:r>
        <w:rPr>
          <w:rFonts w:hint="eastAsia" w:ascii="仿宋" w:hAnsi="仿宋" w:eastAsia="仿宋" w:cs="仿宋"/>
          <w:sz w:val="32"/>
          <w:szCs w:val="32"/>
        </w:rPr>
        <w:t>业，大力推动传统农业向现代农业加速转变，促使农业产业稳定增产增效，农民收入较快增长，农业农村经济持续稳步发展。在确保</w:t>
      </w:r>
      <w:r>
        <w:rPr>
          <w:rFonts w:hint="eastAsia" w:ascii="仿宋" w:hAnsi="仿宋" w:eastAsia="仿宋" w:cs="仿宋"/>
          <w:sz w:val="32"/>
          <w:szCs w:val="32"/>
          <w:lang w:eastAsia="zh-CN"/>
        </w:rPr>
        <w:t>农</w:t>
      </w:r>
      <w:r>
        <w:rPr>
          <w:rFonts w:hint="eastAsia" w:ascii="仿宋" w:hAnsi="仿宋" w:eastAsia="仿宋" w:cs="仿宋"/>
          <w:sz w:val="32"/>
          <w:szCs w:val="32"/>
        </w:rPr>
        <w:t>产品稳定供给的前题下，力争不发生重大动物疫情和重大产品质量安全事件；在“增效、增值、增美、增绿”上着力，实现绿色生态、健康安全</w:t>
      </w:r>
      <w:r>
        <w:rPr>
          <w:rFonts w:hint="eastAsia" w:ascii="仿宋" w:hAnsi="仿宋" w:eastAsia="仿宋" w:cs="仿宋"/>
          <w:sz w:val="32"/>
          <w:szCs w:val="32"/>
          <w:lang w:eastAsia="zh-CN"/>
        </w:rPr>
        <w:t>、</w:t>
      </w:r>
      <w:r>
        <w:rPr>
          <w:rFonts w:hint="eastAsia" w:ascii="仿宋" w:hAnsi="仿宋" w:eastAsia="仿宋" w:cs="仿宋"/>
          <w:sz w:val="32"/>
          <w:szCs w:val="32"/>
        </w:rPr>
        <w:t>智慧创新的新突</w:t>
      </w:r>
      <w:r>
        <w:rPr>
          <w:rFonts w:hint="eastAsia" w:ascii="仿宋" w:hAnsi="仿宋" w:eastAsia="仿宋" w:cs="仿宋"/>
          <w:sz w:val="32"/>
          <w:szCs w:val="32"/>
          <w:lang w:eastAsia="zh-CN"/>
        </w:rPr>
        <w:t>破。</w:t>
      </w:r>
    </w:p>
    <w:p>
      <w:pPr>
        <w:ind w:firstLine="4160" w:firstLineChars="1300"/>
        <w:outlineLvl w:val="0"/>
        <w:rPr>
          <w:rFonts w:ascii="方正小标宋_GBK" w:eastAsia="方正小标宋_GBK"/>
          <w:color w:val="FFFFFF"/>
          <w:sz w:val="32"/>
        </w:rPr>
      </w:pPr>
      <w:bookmarkStart w:id="0" w:name="_Toc536381901"/>
      <w:r>
        <w:rPr>
          <w:rFonts w:hint="eastAsia" w:ascii="方正小标宋_GBK" w:eastAsia="方正小标宋_GBK"/>
          <w:sz w:val="32"/>
        </w:rPr>
        <w:t>部门职责-工作活动绩效目标</w:t>
      </w:r>
      <w:r>
        <w:rPr>
          <w:rStyle w:val="13"/>
          <w:rFonts w:ascii="方正小标宋_GBK" w:eastAsia="方正小标宋_GBK"/>
          <w:color w:val="FFFFFF"/>
          <w:sz w:val="32"/>
        </w:rPr>
        <w:footnoteReference w:id="0" w:customMarkFollows="1"/>
        <w:sym w:font="Symbol" w:char="F020"/>
      </w:r>
      <w:bookmarkEnd w:id="0"/>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涞水县农业局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一、扶持农产品生产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通过对生产者直接补贴，调动其推广优良品种、使用先进种养技术的积极性和主动性，提高农产品产量、质量，提升生产经营效益。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、开展粮、棉、油高产创建</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通过展示优良品种、集成配套高产栽培技术，辐射带动大面积的平衡增产，提高单产水平。</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提高农产品产量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高产稳产粮田达标率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主要农作物良种补贴覆盖率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亩单产增长率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通过改善生产条件，加强产品质量管理，强化品牌建设，大力推进标准化、集约化、现代化生产。</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提高蔬菜品质，实现产销一体</w:t>
            </w:r>
            <w:r>
              <w:rPr>
                <w:rFonts w:ascii="方正书宋_GBK" w:eastAsia="方正书宋_GBK"/>
              </w:rPr>
              <w:t>;</w:t>
            </w:r>
            <w:r>
              <w:rPr>
                <w:rFonts w:hint="eastAsia" w:ascii="方正书宋_GBK" w:eastAsia="方正书宋_GBK"/>
              </w:rPr>
              <w:t>增加肉、蛋供应量和提高畜产品质量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生猪、蛋鸡、肉鸡、肉牛、肉羊标准化建设任务完成率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蔬菜标准园创建完成率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、扶持特色农业产业</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在优势产区和主产、特色区域，发展特色种植产业，开展特色种植示范园创建设。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促进全县特色种植向规模化、集约化发展。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特色种植推广、创建完成率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二、支持农业产业化</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2568.00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组织实施农机购置专项补贴，组织实施农业产业化经营的发展规划与政策，支持全县农业企业产业化加快发展。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2388.00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通过政策资金引导，加快建设农产品加工和大型物流项目，支持适度经营。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提高农产品加工水，提高农民收入。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县级以上农业龙头企业带动农户数增幅</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县级以上农业龙头企业销售收入增幅</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、农机购置补贴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组织实施农机购置专项补贴，</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对符合条件的购机农民实施专项补贴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补贴资金的发放率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三、农业资源保护和生态建设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902.61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、农村清洁能源及大气污染防治</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600.00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建设秸秆综合利用试点项目；电采暖、太阳能互补采暖、太阳能热水器、太阳灶、秸秆能源化利用等多种技术，打造新能源示范村。实施秋冬季秸秆粉碎还田。</w:t>
            </w:r>
          </w:p>
          <w:p>
            <w:pPr>
              <w:spacing w:line="300" w:lineRule="exact"/>
              <w:jc w:val="left"/>
              <w:rPr>
                <w:rFonts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p>
            <w:pPr>
              <w:spacing w:line="300" w:lineRule="exact"/>
              <w:jc w:val="left"/>
              <w:rPr>
                <w:rFonts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实现农作物秸秆的高效能源化利用，减少大气污染排放，改善农村环境。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大气污染物减排完成率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秸秆禁烧及综合利用完成率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农业生产用能清洁改造完成率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、农业污染治理及耕地质量监测</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302.61</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开展农产品产地重金属污染防治，根据监测结果编制农产品产地安全情况分析报告，开展农产品产地重金属污染修复示范。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全县开展土地污染修复效果实现情况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四、农业科技支撑和公共服务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384.52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、农作物全程机械化及农机作业补贴</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106.00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开展耕地深松作业，作业深度超过</w:t>
            </w:r>
            <w:r>
              <w:rPr>
                <w:rFonts w:ascii="方正书宋_GBK" w:eastAsia="方正书宋_GBK"/>
              </w:rPr>
              <w:t>25</w:t>
            </w:r>
            <w:r>
              <w:rPr>
                <w:rFonts w:hint="eastAsia" w:ascii="方正书宋_GBK" w:eastAsia="方正书宋_GBK"/>
              </w:rPr>
              <w:t>厘米，深松间隔不大于</w:t>
            </w:r>
            <w:r>
              <w:rPr>
                <w:rFonts w:ascii="方正书宋_GBK" w:eastAsia="方正书宋_GBK"/>
              </w:rPr>
              <w:t>71</w:t>
            </w:r>
            <w:r>
              <w:rPr>
                <w:rFonts w:hint="eastAsia" w:ascii="方正书宋_GBK" w:eastAsia="方正书宋_GBK"/>
              </w:rPr>
              <w:t>厘米，通过实施农机深松作业，有效节约了水资源，提高了肥料利用率。</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提高土壤蓄水保墒和抗旱防涝能力，提高粮食单产水平。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亩单产平均增长率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深松面积目标完成率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、现代农业示范园区建设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打造具有地域特色的现代农业园区。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推动园区农业基础设施、科技进步、质量安全、生态环保水平显著提升，土地产出率、资源利用率、劳动生产率明显提高。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农业园区农民收入高于当地平均水平幅度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农业园区单位面积产值高于当地平均水平幅度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现代农业园区建设完成情况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、农作物种子鉴定与推广</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推广应用农作物优良品种，对农作物种子质量进行监督抽查。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通过农作物新品种质量监督检验，推广优良品种，提高主要农作物优良品种覆盖率。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主要农作物良种覆盖率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种子质量监督抽查完成率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、动植物疫病防控</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有效减少动植物疫情危害</w:t>
            </w:r>
            <w:r>
              <w:rPr>
                <w:rFonts w:ascii="方正书宋_GBK" w:eastAsia="方正书宋_GBK"/>
              </w:rPr>
              <w:t>,</w:t>
            </w:r>
            <w:r>
              <w:rPr>
                <w:rFonts w:hint="eastAsia" w:ascii="方正书宋_GBK" w:eastAsia="方正书宋_GBK"/>
              </w:rPr>
              <w:t>促进农业健康发展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动植物疫情监测目标完成率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突发动植物疫情处置率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应免动物疫病强制免疫率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、农产品质量安全监管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15.52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加强农产品质量安全监管体系建设，指导农产品检验检测体系建设和机构考核，依法实施符合安全标准的农产品认证和监督管理。组织开展农产品质量安全的监督检查。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加强农产品质量安全体系建设</w:t>
            </w:r>
            <w:r>
              <w:rPr>
                <w:rFonts w:ascii="方正书宋_GBK" w:eastAsia="方正书宋_GBK"/>
              </w:rPr>
              <w:t>,</w:t>
            </w:r>
            <w:r>
              <w:rPr>
                <w:rFonts w:hint="eastAsia" w:ascii="方正书宋_GBK" w:eastAsia="方正书宋_GBK"/>
              </w:rPr>
              <w:t>提高监管能力</w:t>
            </w:r>
            <w:r>
              <w:rPr>
                <w:rFonts w:ascii="方正书宋_GBK" w:eastAsia="方正书宋_GBK"/>
              </w:rPr>
              <w:t>,</w:t>
            </w:r>
            <w:r>
              <w:rPr>
                <w:rFonts w:hint="eastAsia" w:ascii="方正书宋_GBK" w:eastAsia="方正书宋_GBK"/>
              </w:rPr>
              <w:t>确保农产品质量安全。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重大农产品质量安全事件发生率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农产品及农业投入品质量抽检计划完成率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、农业信息服务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组织开展农业统计，监测分析农业和农村经济运行，发布农业和农村经济信息，建设农业信息管理体系，指导农业信息服务。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加强农业信息服务体系建设，提高农业信息服务水平。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农业信息发布及时率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农业信息社会发布任务完成率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、农业技术推广与研究</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263.00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建设农业创新团队，农业关键技术研究与应用示范，开展农业新技术推广、示范。</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开展农业新技术推广、示范，提高农业技术水平。培育新型职业农民。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基层农技推广人员知识更新培训满意度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完成年度基层农技人员知识更新培训任务目标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完成年度新型职业农民培训任务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、农业防灾减灾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监测、发布农业灾情，组织种子、化肥等救灾物资储备和调拨，指导紧急救灾和灾后生产恢复。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加强灾情监测，组织灾后生产恢复。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救灾物资到位率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灾情报告准确率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五、完善农村经营管理体制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、新型农业经营主体</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推动土地合作社、股份合作社和综合性合作社等多元化、多类型农民合作社加快发展；深入开展示范社建设行动；加大对农民合作社培训力度。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促进全县农民合作社规范健康发展。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县级示范社新增数量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、土地确权登记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根据国家及省市要求开展农村土地承包经营确权登记试点，并逐步向全县全面推开。</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进一步完善农村土地承包关系，保护农民利益，促进规模化经营。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全县耕地确权登记颁证完成率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、农村经营管理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支持农民专业合作组织规范、健康发展。建立健全农村集体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管理制度，盘活集体存量资产资源，拓宽集体增收渠道，促进农村集体资产保值增值。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管理制度，促进农村集体资产保值增值。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管理制度建立健全完成数量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六、农业政务管理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开展农业宣传，推动农业政策落实。推动各项农业工作的开展。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w:t>
            </w:r>
            <w:r>
              <w:rPr>
                <w:rFonts w:hint="eastAsia" w:ascii="方正书宋_GBK" w:eastAsia="方正书宋_GBK"/>
                <w:lang w:eastAsia="zh-CN"/>
              </w:rPr>
              <w:t>县</w:t>
            </w:r>
            <w:r>
              <w:rPr>
                <w:rFonts w:hint="eastAsia" w:ascii="方正书宋_GBK" w:eastAsia="方正书宋_GBK"/>
              </w:rPr>
              <w:t>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加强管理，圆满完成县委、县政府交办任务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七、部门待分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部门待分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部门待分</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、部门待分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部门待分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部门待分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部门待分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八、林业生态建设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4655.25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组织全县造林绿化、退耕还林、三北防护林、防沙治沙、防治水土流失、应对气候变化等工作，组织沙尘暴灾害预测预报和应急处置。加强森林资源保护管理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完成省市下达和县委县政府制定的造林任务及全县森林覆盖率考核目标。有效改善生态环境。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2752.35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组织、指导全县开展造林绿化工作，指导义务植树和社会造林。</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增加有林地面积，提高全县绿化水平和森林覆盖率，改善生态环境。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森林覆盖面积增长率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造林绿化面积</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、森林抚育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组织对中幼龄林进行抚育作业，低质低效林改造，更新造林。</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提高森林质量，促进林业持续发展。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完成下达的作业任务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、退耕还林</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113.44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按照规划和省市下达的年度计划，组织实施退耕还林、荒山荒地造林等工程，兑现政策补助资金。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工程治理地区的生态状况得到明显改善。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退耕还林任务完成率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、三北防护林</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按照国家下达的年度计划，编制实施方案和作业计划，组织施工和检查验收。</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照国家下达的年度计划，编制实施方案和作业计划，完成施工和检查验收。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检查验收率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三北防护林任务完成率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、生态效益补偿及天然林保护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1153.42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加大森林资源保护力度，促进全县生态环境进一步改善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已界定的国家、省市和县级公益林面积核查率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天然林商业性采伐落界核定任务完成率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、林业自然保护区、湿地、森林公园保护与建设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611.04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依法对森林、荒漠化和陆生野生动物类型、湿地类型等自然保护区以及湿地公园、保护小区的建设和管理，开展湿地保护与恢复，监督湿地、森林公园合理利用。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加强林业自然保护区、森林公园管理、加强湿地保护恢复。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森林公园的建设和管理任务完成率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湿地监测管理目标完成率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林业自然保护区管理工作任务完成率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九、林果产业发展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扶持果品、蚕桑、苗木、花卉的标准化生产和基地建设，推动果品、蚕桑、花卉的结构调整。指导全县林业产业相关工作，扶持林业企业发展。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推进林果产业标准化生产，改善品种，调整结构，提升品质和产量，提升经济效益。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、推进林果产业标准化生产，改善品种，调整结构，提升品质和产量，提升经济效益。</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组织实施果品、蚕桑的结构调整和基地建设，指导果品、蚕桑的品种改良、品质提高和标准化生产工作。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促进全县果品基地建设提档升级，全面提高果品质量安全水平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主要果品优质果率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果树结构调整和树体改造面积</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果品良种使用率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、支持苗木花卉产业发展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改善苗木花卉产业生产基础设施条件，改变落后的生产方式和技术手段，培育和壮大龙头企业。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提高我县苗木和花卉产业的整体水平。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年新发展苗木和花卉种植率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、支持林业产业发展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落实林业产业政策，扶持林业重点企业和合作组织发展，加强木材行业管理。发展林下经济、森林旅游等。落实林业贷款贴息项目。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提高我县林业产业的整体水平。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林业贴息贷款落实率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木材安全战略储备生产基地建设任务完成率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培育林下经济面积亩数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十、林业科技支撑和公共服务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105.40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组织全县林业及其生态建设的科技创新和技术示范推广，为林业生态发展和林产品生产提供公共支撑。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示范推广林业生产管理的良种、良法，提高林产品品质和经济效益。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、林木良种繁育</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县级及以上林木良种基地建设与管理，加强全县林木种质资源管理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提高林木种苗质量，保障林木良种供应，加快林木良种推广步伐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年度林木良种培育任务完成率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良种基地建设完成率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、林业改革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深化林业体制改革，推动全县集体林权制度和国有林场改革。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增加林业发展活力，促进林业持续发展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林权证换发不动产证和国有林场改革任务完成率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、林业防灾减灾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组织、协调全县森林火灾的预防与扑救工作，承担全县森林防火指挥部的具体工作。组织开展林业有害生物的防治、检疫工作。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预防和减少自然灾害对森林资源的损失，保护森林资源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林业有害生物成灾控制率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森林火灾受害控制率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林业有害生物的防治、检疫工作完成率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、禁牧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贯彻执行县委、县政府封山禁牧政策措施，起草封山禁牧工作方案，督导检查任务乡镇工作的开展。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保护全县生态旅游资源，巩固造林绿化成果。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禁牧工作完成率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、野生动植物保护及疫源疫病监控</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依法组织指导陆生野生动植物的救护繁育、栖息地恢复发展。依法组织指导全县陆生野生动物疫源疫病监测工作。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加强野生动植物保护和陆生野生动物疫源疫病监测防控，保障生态安全。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陆生野生动物疫源疫病监测防控任务完成率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野生动植物管理目标任务完成率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、林业科研推广</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林业新品种、新技术推广示范，基层推广体系建设等。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发挥科技成果的示范带动作用，完善基层推广体系。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新品种、新技术推广项目完成率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、林业行业质量安全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监督管理林业行业产品质量安全，负责相关质量安全监测及信息发布工作。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保障林产品、果品质量安全。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果品质量监测任务完成率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、森林公安</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承担林业综合行政执法监管的责任。负责全县森林公安工作，监督管理森林公安队伍，指导全县林业重大违法案件的查处。</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提高森林公安队伍执法能力，减少林区案件发生、保护森林及野生动物资源。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刑事案件批捕率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、林业基础保障设施建设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15.40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国有林场交通、通讯、电力设施改造，（棚户区）危旧房改造、防火、营林房舍等基础设施建设，基层林业站、木材检查站等建设。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改善国有林场和基层林业单位的基础设施，缓解国有林场经济危困，保障林业健康发展。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林业基础设施完好率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10</w:t>
            </w:r>
            <w:r>
              <w:rPr>
                <w:rFonts w:hint="eastAsia" w:ascii="方正书宋_GBK" w:eastAsia="方正书宋_GBK"/>
                <w:b/>
              </w:rPr>
              <w:t>、森林资源监测与管理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严格执行林地、林权管理森林采伐限额，拟订林地保护利用规划并负责实施。监督检查林木凭证采伐、运输。监管全县国有林业资产和森林资源资产。</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监管全县林地、林权和森林资源，提高林业资源资产安全性、完整性和使用效益。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征占用林地前置审核工作完成率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森林覆盖率净增量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十一、林业政务管理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依法依规履行机关日常管理工作。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依法依规完成工作任务，确保机关业务正常运行，提高业务工作效率。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调研提出规划和建议，林业执法、教育培训、信息宣传，工作部署、协调推动、普查统计、督促指导、行政审批、业务监管及县委、</w:t>
            </w:r>
            <w:r>
              <w:rPr>
                <w:rFonts w:hint="eastAsia" w:ascii="方正书宋_GBK" w:eastAsia="方正书宋_GBK"/>
                <w:lang w:eastAsia="zh-CN"/>
              </w:rPr>
              <w:t>县</w:t>
            </w:r>
            <w:r>
              <w:rPr>
                <w:rFonts w:hint="eastAsia" w:ascii="方正书宋_GBK" w:eastAsia="方正书宋_GBK"/>
              </w:rPr>
              <w:t>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保障全县林业事业健康科学持续发展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加强机关事务性管理、机关党建和老干部工作，开展机关信息化建设、自身能力建设。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确保机关正常运行，提高业务工作效率。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十二、气象服务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向本行政区域内提供公共气象服务。制定人工影响天气作业方案，组织实施人工影响天气作业。</w:t>
            </w:r>
          </w:p>
          <w:p>
            <w:pPr>
              <w:spacing w:line="300" w:lineRule="exact"/>
              <w:jc w:val="left"/>
              <w:rPr>
                <w:rFonts w:ascii="方正书宋_GBK" w:eastAsia="方正书宋_GBK"/>
              </w:rPr>
            </w:pPr>
            <w:r>
              <w:rPr>
                <w:rFonts w:hint="eastAsia" w:ascii="方正书宋_GBK" w:eastAsia="方正书宋_GBK"/>
              </w:rPr>
              <w:t>向本行政区域内提供公共气象服务。制定人工影响天气作业方案，组织实施人工影响天气作业。</w:t>
            </w:r>
          </w:p>
          <w:p>
            <w:pPr>
              <w:spacing w:line="300" w:lineRule="exact"/>
              <w:jc w:val="left"/>
              <w:rPr>
                <w:rFonts w:ascii="方正书宋_GBK" w:eastAsia="方正书宋_GBK"/>
              </w:rPr>
            </w:pPr>
            <w:r>
              <w:rPr>
                <w:rFonts w:hint="eastAsia" w:ascii="方正书宋_GBK" w:eastAsia="方正书宋_GBK"/>
              </w:rPr>
              <w:t>向本行政区域内提供公共气象服务。制定人工影响天气作业方案，组织实施人工影响天气作业。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提高公共气象服务水平，提高人工增雨作业水平和抗旱救灾等能力。</w:t>
            </w:r>
          </w:p>
          <w:p>
            <w:pPr>
              <w:spacing w:line="300" w:lineRule="exact"/>
              <w:jc w:val="left"/>
              <w:rPr>
                <w:rFonts w:ascii="方正书宋_GBK" w:eastAsia="方正书宋_GBK"/>
              </w:rPr>
            </w:pPr>
            <w:r>
              <w:rPr>
                <w:rFonts w:hint="eastAsia" w:ascii="方正书宋_GBK" w:eastAsia="方正书宋_GBK"/>
              </w:rPr>
              <w:t>提高公共气象服务水平，提高人工增雨作业水平和抗旱救灾等能力。</w:t>
            </w:r>
          </w:p>
          <w:p>
            <w:pPr>
              <w:spacing w:line="300" w:lineRule="exact"/>
              <w:jc w:val="left"/>
              <w:rPr>
                <w:rFonts w:ascii="方正书宋_GBK" w:eastAsia="方正书宋_GBK"/>
              </w:rPr>
            </w:pPr>
            <w:r>
              <w:rPr>
                <w:rFonts w:hint="eastAsia" w:ascii="方正书宋_GBK" w:eastAsia="方正书宋_GBK"/>
              </w:rPr>
              <w:t>提高公共气象服务水平，提高人工增雨作业水平和抗旱救灾等能力。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、公众气象服务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开展面向城乡人民群众的公众气象服务，提高灾害性天气预警的准确率和公众满意度。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提高公众满意度。</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公众气象服务满意度。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、经济发展气象服务（专项气象服务）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加强农业工业等专业气象服务，提升气象保障经济发展的能力。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提升气象保障经济发展的能力。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气象保障服务满意度。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、人工影响天气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组织实施人工增雨作业和防雹工作。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抗旱减灾，降低农业生产损失。</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人工增雨完成率。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十三、扶持畜牧业和水产业的健康发展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277.00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发挥单位职能作用，建立</w:t>
            </w:r>
            <w:r>
              <w:rPr>
                <w:rFonts w:hint="eastAsia" w:ascii="方正书宋_GBK" w:eastAsia="方正书宋_GBK"/>
                <w:lang w:eastAsia="zh-CN"/>
              </w:rPr>
              <w:t>健</w:t>
            </w:r>
            <w:r>
              <w:rPr>
                <w:rFonts w:hint="eastAsia" w:ascii="方正书宋_GBK" w:eastAsia="方正书宋_GBK"/>
              </w:rPr>
              <w:t>全服务体系，养殖业、水产渔业健康发展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促进养殖业水产业向标准化发展，增加农民收入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、动物疫病防控</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183.00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落实动物防疫、检疫政策</w:t>
            </w:r>
            <w:r>
              <w:rPr>
                <w:rFonts w:ascii="方正书宋_GBK" w:eastAsia="方正书宋_GBK"/>
              </w:rPr>
              <w:t xml:space="preserve"> </w:t>
            </w:r>
            <w:r>
              <w:rPr>
                <w:rFonts w:hint="eastAsia" w:ascii="方正书宋_GBK" w:eastAsia="方正书宋_GBK"/>
              </w:rPr>
              <w:t>，建立完善的动物防疫和检疫体系，组织开展动物防疫检疫工作，发布动物疫情并组织扑灭。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有效减少动物疫情危害</w:t>
            </w:r>
            <w:r>
              <w:rPr>
                <w:rFonts w:ascii="方正书宋_GBK" w:eastAsia="方正书宋_GBK"/>
              </w:rPr>
              <w:t>,</w:t>
            </w:r>
            <w:r>
              <w:rPr>
                <w:rFonts w:hint="eastAsia" w:ascii="方正书宋_GBK" w:eastAsia="方正书宋_GBK"/>
              </w:rPr>
              <w:t>促进养殖业健康发展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突发动物疫情处置率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动物疫情监测目标完成率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、饲养场监管、改扩建、粮改饲及环保综合整治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94.00</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重点扶持一批有规模、生产技术基础好、区域优势突出、在增加收入和提高质量上有示范带头作用的养殖基地，通过改善生产条件，扩大养殖规模，大力推进向标准化、集约化、现代化、环保生态化发展</w:t>
            </w:r>
          </w:p>
          <w:p>
            <w:pPr>
              <w:spacing w:line="300" w:lineRule="exact"/>
              <w:jc w:val="left"/>
              <w:rPr>
                <w:rFonts w:ascii="方正书宋_GBK" w:eastAsia="方正书宋_GBK"/>
              </w:rPr>
            </w:pPr>
            <w:r>
              <w:rPr>
                <w:rFonts w:ascii="方正书宋_GBK" w:eastAsia="方正书宋_GBK"/>
              </w:rPr>
              <w:t>"""</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增加肉、蛋、奶供应量和提高畜产品品质、饲养场建设与生态环境协调发展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畜禽饲养场监管任务完成率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、种畜禽管理工作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负责畜禽遗传资源保护，种畜禽的监督和管理，负责奶业发展，奶牛小区建设，水产品种改良和新品种推广</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畜牧品种优良化率持续提高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推广优良种畜禽种，</w:t>
            </w:r>
          </w:p>
          <w:p>
            <w:pPr>
              <w:spacing w:line="300" w:lineRule="exact"/>
              <w:jc w:val="left"/>
              <w:rPr>
                <w:rFonts w:ascii="方正书宋_GBK" w:eastAsia="方正书宋_GBK"/>
              </w:rPr>
            </w:pPr>
            <w:r>
              <w:rPr>
                <w:rFonts w:hint="eastAsia" w:ascii="方正书宋_GBK" w:eastAsia="方正书宋_GBK"/>
              </w:rPr>
              <w:t>逐年提高能繁母猪及奶牛参加保险率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、实施良种补贴</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按照国家、省、市部署，对全县猪、牛、羊、鸡等畜产品生产实施良种补贴。</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畜牧、水产品种优良化率持续提高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推广优良种公羊和优质奶牛、肉牛冻精以及种猪常温精液数量和良种补贴覆盖率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、渔业安全保障体系建设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开展渔业安全体系化建设，鼓励渔民主动加入渔业互保</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实现对我县与渔业有关活动和渔船的动态监管，提高渔船等安全管理和事故救助率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渔业稳定发展，水产养殖持续发展率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十四、扶持农产品生产，保障食品安全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283.42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加强监督检查力度，严格执行检疫检测标准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确保动物产品的安全</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、动物卫生监督</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252.26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指导动物产品检验检测体系建设和机构考核，依法实施符合安全标准的动物产品认证监督管理，组织开展动物产品质量安全的监督检查。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加强动物及动物产品、饲料兽药的监督检测，加强对生鲜乳生产收购以及奶站进行监督管理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病死动物无害化处理率及补贴发放率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动物及动物产品检疫率</w:t>
            </w:r>
            <w:r>
              <w:rPr>
                <w:rFonts w:ascii="方正书宋_GBK" w:eastAsia="方正书宋_GBK"/>
              </w:rPr>
              <w:t>.</w:t>
            </w:r>
            <w:r>
              <w:rPr>
                <w:rFonts w:hint="eastAsia" w:ascii="方正书宋_GBK" w:eastAsia="方正书宋_GBK"/>
              </w:rPr>
              <w:t>兽药饲料检测率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瘦肉精检测率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、畜禽定点屠宰管理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31.16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屠宰和调味品市场监督管理，依法取缔私屠乱宰黑窝点。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保障食品安全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屠宰环节病害猪无害化处理率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十五、政务管理和公共服务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299.13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、农机员、农技员、畜牧兽医行政管理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296.13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负责全县三员养老补贴的发放工作，负责全县兽药药政、兽医医政和村级协防员监督管理和基层站建设，负责兽医项目的组织实施工作，负责水产生产行业管理，产业结构布局调整</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完成全县农机员、农技员、兽医的认定，发放养老补贴。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三员养老补贴发放率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、贯彻落实政策法规，技术下乡服务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负责全县《畜牧法》</w:t>
            </w:r>
            <w:r>
              <w:rPr>
                <w:rFonts w:hint="eastAsia" w:ascii="方正书宋_GBK" w:eastAsia="方正书宋_GBK"/>
                <w:lang w:eastAsia="zh-CN"/>
              </w:rPr>
              <w:t>《中华人民共和国动物防疫法》</w:t>
            </w:r>
            <w:r>
              <w:rPr>
                <w:rFonts w:hint="eastAsia" w:ascii="方正书宋_GBK" w:eastAsia="方正书宋_GBK"/>
              </w:rPr>
              <w:t>《兽药管理条例》《渔业法》《水资源繁殖保护条例》</w:t>
            </w:r>
            <w:r>
              <w:rPr>
                <w:rFonts w:hint="eastAsia" w:ascii="方正书宋_GBK" w:eastAsia="方正书宋_GBK"/>
                <w:lang w:eastAsia="zh-CN"/>
              </w:rPr>
              <w:t>《中华人民共和国草原法》</w:t>
            </w:r>
            <w:r>
              <w:rPr>
                <w:rFonts w:hint="eastAsia" w:ascii="方正书宋_GBK" w:eastAsia="方正书宋_GBK"/>
              </w:rPr>
              <w:t>《草原防火条例》等法律法规的宣传及组织实施</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定期组织宣传学习，及时组织实施，养殖技术和疫病防治技术无偿上门服务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国家政策、法律法规的宣传率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十六、扶贫</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及时认真学习落实上级扶贫开发政策，结合本部门实际实施年度扶贫计划，完成各级下达的扶贫任务。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完成扶贫工作任务和绩效考核目标，改善生态环境，有效带动当地群众脱贫。</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、产业扶贫</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组织实施产业扶贫产业项目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发展农业扶贫产业，增加贫困户收入。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年度内扶贫项目完成情况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、技术扶贫</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组织实施对全县贫困人口的技术培训。</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通过培训，增强贫困人口的脱贫能力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对贫困人口技术培训任务的完成情况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、农业保险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政策性农业保险专项补助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对符合条件的补贴对象实施农业保险补贴</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年度内农业保险补贴完成情况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、生态扶贫</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完成人工造林任务；将部分建档立卡贫困人口转为生态护林员，有效带动群众脱贫。</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增加人工造林面积</w:t>
            </w:r>
            <w:r>
              <w:rPr>
                <w:rFonts w:ascii="方正书宋_GBK" w:eastAsia="方正书宋_GBK"/>
              </w:rPr>
              <w:t>,</w:t>
            </w:r>
            <w:r>
              <w:rPr>
                <w:rFonts w:hint="eastAsia" w:ascii="方正书宋_GBK" w:eastAsia="方正书宋_GBK"/>
              </w:rPr>
              <w:t>实现生态涵养区功能；按要求选聘生态护林员，做好林业精准脱贫工作。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补助覆盖率</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r>
              <w:rPr>
                <w:rFont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widowControl/>
        <w:spacing w:line="560" w:lineRule="exact"/>
        <w:rPr>
          <w:rFonts w:ascii="宋体" w:cs="仿宋"/>
          <w:kern w:val="0"/>
          <w:sz w:val="32"/>
          <w:szCs w:val="32"/>
        </w:rPr>
      </w:pPr>
      <w:r>
        <w:rPr>
          <w:rFonts w:ascii="仿宋" w:hAnsi="仿宋" w:eastAsia="仿宋" w:cs="仿宋"/>
          <w:b/>
          <w:bCs/>
          <w:kern w:val="0"/>
          <w:sz w:val="32"/>
          <w:szCs w:val="32"/>
        </w:rPr>
        <w:t xml:space="preserve"> </w:t>
      </w:r>
      <w:r>
        <w:rPr>
          <w:rFonts w:hint="eastAsia" w:ascii="宋体" w:hAnsi="宋体" w:cs="仿宋"/>
          <w:b/>
          <w:bCs/>
          <w:kern w:val="0"/>
          <w:sz w:val="32"/>
          <w:szCs w:val="32"/>
        </w:rPr>
        <w:t>六、政府采购预算情况</w:t>
      </w:r>
      <w:r>
        <w:rPr>
          <w:rFonts w:ascii="宋体" w:hAnsi="宋体" w:cs="仿宋"/>
          <w:b/>
          <w:bCs/>
          <w:kern w:val="0"/>
          <w:sz w:val="32"/>
          <w:szCs w:val="32"/>
        </w:rPr>
        <w:t xml:space="preserve"> </w:t>
      </w:r>
    </w:p>
    <w:p>
      <w:pPr>
        <w:ind w:firstLine="640" w:firstLineChars="200"/>
        <w:jc w:val="both"/>
        <w:outlineLvl w:val="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涞水县农业局本年度预算共计安排政府采购项目</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个，金额</w:t>
      </w:r>
      <w:r>
        <w:rPr>
          <w:rFonts w:hint="eastAsia" w:ascii="仿宋" w:hAnsi="仿宋" w:eastAsia="仿宋" w:cs="仿宋"/>
          <w:kern w:val="0"/>
          <w:sz w:val="32"/>
          <w:szCs w:val="32"/>
          <w:lang w:eastAsia="zh-CN"/>
        </w:rPr>
        <w:t>共计</w:t>
      </w:r>
      <w:r>
        <w:rPr>
          <w:rFonts w:hint="eastAsia" w:ascii="仿宋" w:hAnsi="仿宋" w:eastAsia="仿宋" w:cs="仿宋"/>
          <w:kern w:val="0"/>
          <w:sz w:val="32"/>
          <w:szCs w:val="32"/>
        </w:rPr>
        <w:t>3162</w:t>
      </w:r>
      <w:r>
        <w:rPr>
          <w:rFonts w:hint="eastAsia" w:ascii="仿宋" w:hAnsi="仿宋" w:eastAsia="仿宋" w:cs="仿宋"/>
          <w:kern w:val="0"/>
          <w:sz w:val="32"/>
          <w:szCs w:val="32"/>
          <w:lang w:val="en-US" w:eastAsia="zh-CN"/>
        </w:rPr>
        <w:t>.03</w:t>
      </w:r>
      <w:r>
        <w:rPr>
          <w:rFonts w:hint="eastAsia" w:ascii="仿宋" w:hAnsi="仿宋" w:eastAsia="仿宋" w:cs="仿宋"/>
          <w:kern w:val="0"/>
          <w:sz w:val="32"/>
          <w:szCs w:val="32"/>
        </w:rPr>
        <w:t>万元</w:t>
      </w:r>
      <w:bookmarkStart w:id="1" w:name="_Toc536381907"/>
      <w:r>
        <w:rPr>
          <w:rFonts w:hint="eastAsia" w:ascii="仿宋" w:hAnsi="仿宋" w:eastAsia="仿宋" w:cs="仿宋"/>
          <w:kern w:val="0"/>
          <w:sz w:val="32"/>
          <w:szCs w:val="32"/>
          <w:lang w:val="en-US" w:eastAsia="zh-CN"/>
        </w:rPr>
        <w:t>,其中工程类2736.43万元、货物类214.00万元、服务类211.6万元。</w:t>
      </w:r>
    </w:p>
    <w:p>
      <w:pPr>
        <w:jc w:val="center"/>
        <w:outlineLvl w:val="0"/>
        <w:rPr>
          <w:rFonts w:hint="eastAsia" w:ascii="方正小标宋_GBK" w:eastAsia="方正小标宋_GBK"/>
          <w:sz w:val="32"/>
          <w:lang w:eastAsia="zh-CN"/>
        </w:rPr>
      </w:pPr>
      <w:r>
        <w:rPr>
          <w:rFonts w:hint="eastAsia" w:ascii="方正小标宋_GBK" w:eastAsia="方正小标宋_GBK"/>
          <w:sz w:val="32"/>
        </w:rPr>
        <w:t>部门政府采购预算</w:t>
      </w:r>
      <w:bookmarkEnd w:id="1"/>
      <w:r>
        <w:rPr>
          <w:rFonts w:hint="eastAsia" w:ascii="方正小标宋_GBK" w:eastAsia="方正小标宋_GBK"/>
          <w:sz w:val="32"/>
          <w:lang w:eastAsia="zh-CN"/>
        </w:rPr>
        <w:t>表</w:t>
      </w:r>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9"/>
        <w:gridCol w:w="1090"/>
        <w:gridCol w:w="965"/>
        <w:gridCol w:w="977"/>
        <w:gridCol w:w="752"/>
        <w:gridCol w:w="752"/>
        <w:gridCol w:w="951"/>
        <w:gridCol w:w="957"/>
        <w:gridCol w:w="957"/>
        <w:gridCol w:w="957"/>
        <w:gridCol w:w="943"/>
        <w:gridCol w:w="957"/>
        <w:gridCol w:w="957"/>
        <w:gridCol w:w="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2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涞水县农业局</w:t>
            </w:r>
          </w:p>
        </w:tc>
        <w:tc>
          <w:tcPr>
            <w:tcW w:w="664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29"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7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5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42"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5" w:type="dxa"/>
            <w:vMerge w:val="continue"/>
            <w:shd w:val="clear" w:color="auto" w:fill="auto"/>
            <w:vAlign w:val="center"/>
          </w:tcPr>
          <w:p>
            <w:pPr>
              <w:spacing w:line="300" w:lineRule="exact"/>
              <w:jc w:val="left"/>
              <w:outlineLvl w:val="0"/>
            </w:pPr>
          </w:p>
        </w:tc>
        <w:tc>
          <w:tcPr>
            <w:tcW w:w="977"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71"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1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39" w:type="dxa"/>
            <w:vMerge w:val="continue"/>
            <w:shd w:val="clear" w:color="auto" w:fill="auto"/>
            <w:vAlign w:val="center"/>
          </w:tcPr>
          <w:p>
            <w:pPr>
              <w:spacing w:line="300" w:lineRule="exact"/>
              <w:jc w:val="left"/>
              <w:outlineLvl w:val="0"/>
            </w:pPr>
          </w:p>
        </w:tc>
        <w:tc>
          <w:tcPr>
            <w:tcW w:w="1090" w:type="dxa"/>
            <w:vMerge w:val="continue"/>
            <w:shd w:val="clear" w:color="auto" w:fill="auto"/>
            <w:vAlign w:val="center"/>
          </w:tcPr>
          <w:p>
            <w:pPr>
              <w:spacing w:line="300" w:lineRule="exact"/>
              <w:jc w:val="left"/>
              <w:outlineLvl w:val="0"/>
            </w:pPr>
          </w:p>
        </w:tc>
        <w:tc>
          <w:tcPr>
            <w:tcW w:w="965" w:type="dxa"/>
            <w:vMerge w:val="continue"/>
            <w:shd w:val="clear" w:color="auto" w:fill="auto"/>
            <w:vAlign w:val="center"/>
          </w:tcPr>
          <w:p>
            <w:pPr>
              <w:spacing w:line="300" w:lineRule="exact"/>
              <w:jc w:val="left"/>
              <w:outlineLvl w:val="0"/>
            </w:pPr>
          </w:p>
        </w:tc>
        <w:tc>
          <w:tcPr>
            <w:tcW w:w="977"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752"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57" w:type="dxa"/>
            <w:vMerge w:val="continue"/>
            <w:shd w:val="clear" w:color="auto" w:fill="auto"/>
            <w:vAlign w:val="center"/>
          </w:tcPr>
          <w:p>
            <w:pPr>
              <w:spacing w:line="300" w:lineRule="exact"/>
              <w:jc w:val="left"/>
              <w:outlineLvl w:val="0"/>
            </w:pP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14"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3162.03</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3018.03</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3018.03</w:t>
            </w:r>
          </w:p>
        </w:tc>
        <w:tc>
          <w:tcPr>
            <w:tcW w:w="943"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14" w:type="dxa"/>
            <w:shd w:val="clear" w:color="auto" w:fill="auto"/>
            <w:vAlign w:val="center"/>
          </w:tcPr>
          <w:p>
            <w:pPr>
              <w:spacing w:line="300" w:lineRule="exact"/>
              <w:jc w:val="right"/>
              <w:rPr>
                <w:rFonts w:ascii="方正书宋_GBK" w:eastAsia="方正书宋_GBK"/>
                <w:b/>
              </w:rPr>
            </w:pPr>
            <w:r>
              <w:rPr>
                <w:rFonts w:ascii="方正书宋_GBK" w:eastAsia="方正书宋_GBK"/>
                <w:b/>
              </w:rPr>
              <w:t>144.00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涞水县农业局小计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369.00</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225.00</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225.00</w:t>
            </w:r>
          </w:p>
        </w:tc>
        <w:tc>
          <w:tcPr>
            <w:tcW w:w="943"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14" w:type="dxa"/>
            <w:shd w:val="clear" w:color="auto" w:fill="auto"/>
            <w:vAlign w:val="center"/>
          </w:tcPr>
          <w:p>
            <w:pPr>
              <w:spacing w:line="300" w:lineRule="exact"/>
              <w:jc w:val="right"/>
              <w:rPr>
                <w:rFonts w:ascii="方正书宋_GBK" w:eastAsia="方正书宋_GBK"/>
                <w:b/>
              </w:rPr>
            </w:pPr>
            <w:r>
              <w:rPr>
                <w:rFonts w:ascii="方正书宋_GBK" w:eastAsia="方正书宋_GBK"/>
                <w:b/>
              </w:rPr>
              <w:t>144.00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粮食功能区划定项目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96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测绘服务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C0904</w:t>
            </w:r>
          </w:p>
        </w:tc>
        <w:tc>
          <w:tcPr>
            <w:tcW w:w="752" w:type="dxa"/>
            <w:shd w:val="clear" w:color="auto" w:fill="auto"/>
            <w:vAlign w:val="center"/>
          </w:tcPr>
          <w:p>
            <w:pPr>
              <w:spacing w:line="300" w:lineRule="exact"/>
              <w:jc w:val="left"/>
              <w:rPr>
                <w:rFonts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年耕地质量保护与提升项目（冀财农</w:t>
            </w:r>
            <w:r>
              <w:rPr>
                <w:rFonts w:ascii="方正书宋_GBK" w:eastAsia="方正书宋_GBK"/>
              </w:rPr>
              <w:t>[2018]163</w:t>
            </w:r>
            <w:r>
              <w:rPr>
                <w:rFonts w:hint="eastAsia" w:ascii="方正书宋_GBK" w:eastAsia="方正书宋_GBK"/>
              </w:rPr>
              <w:t>号）</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52" w:type="dxa"/>
            <w:shd w:val="clear" w:color="auto" w:fill="auto"/>
            <w:vAlign w:val="center"/>
          </w:tcPr>
          <w:p>
            <w:pPr>
              <w:spacing w:line="300" w:lineRule="exact"/>
              <w:jc w:val="left"/>
              <w:rPr>
                <w:rFonts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年基层农技推广体系建设项目（冀财农</w:t>
            </w:r>
            <w:r>
              <w:rPr>
                <w:rFonts w:ascii="方正书宋_GBK" w:eastAsia="方正书宋_GBK"/>
              </w:rPr>
              <w:t>[2018]173</w:t>
            </w:r>
            <w:r>
              <w:rPr>
                <w:rFonts w:hint="eastAsia" w:ascii="方正书宋_GBK" w:eastAsia="方正书宋_GBK"/>
              </w:rPr>
              <w:t>号）</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173.00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货物</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752" w:type="dxa"/>
            <w:shd w:val="clear" w:color="auto" w:fill="auto"/>
            <w:vAlign w:val="center"/>
          </w:tcPr>
          <w:p>
            <w:pPr>
              <w:spacing w:line="300" w:lineRule="exact"/>
              <w:jc w:val="left"/>
              <w:rPr>
                <w:rFonts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粮食生产功能区和重要农产品生产保护区划定项目（冀财农</w:t>
            </w:r>
            <w:r>
              <w:rPr>
                <w:rFonts w:ascii="方正书宋_GBK" w:eastAsia="方正书宋_GBK"/>
              </w:rPr>
              <w:t>[2018]171</w:t>
            </w:r>
            <w:r>
              <w:rPr>
                <w:rFonts w:hint="eastAsia" w:ascii="方正书宋_GBK" w:eastAsia="方正书宋_GBK"/>
              </w:rPr>
              <w:t>号）</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测绘服务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C0904</w:t>
            </w:r>
          </w:p>
        </w:tc>
        <w:tc>
          <w:tcPr>
            <w:tcW w:w="752" w:type="dxa"/>
            <w:shd w:val="clear" w:color="auto" w:fill="auto"/>
            <w:vAlign w:val="center"/>
          </w:tcPr>
          <w:p>
            <w:pPr>
              <w:spacing w:line="300" w:lineRule="exact"/>
              <w:jc w:val="left"/>
              <w:rPr>
                <w:rFonts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农村土地经营权确权登记颁证项目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测绘服务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C0904</w:t>
            </w:r>
          </w:p>
        </w:tc>
        <w:tc>
          <w:tcPr>
            <w:tcW w:w="752" w:type="dxa"/>
            <w:shd w:val="clear" w:color="auto" w:fill="auto"/>
            <w:vAlign w:val="center"/>
          </w:tcPr>
          <w:p>
            <w:pPr>
              <w:spacing w:line="300" w:lineRule="exact"/>
              <w:jc w:val="left"/>
              <w:rPr>
                <w:rFonts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涞水县农业局</w:t>
            </w:r>
            <w:r>
              <w:rPr>
                <w:rFonts w:ascii="方正书宋_GBK" w:eastAsia="方正书宋_GBK"/>
                <w:b/>
              </w:rPr>
              <w:t>(</w:t>
            </w:r>
            <w:r>
              <w:rPr>
                <w:rFonts w:hint="eastAsia" w:ascii="方正书宋_GBK" w:eastAsia="方正书宋_GBK"/>
                <w:b/>
              </w:rPr>
              <w:t>林业</w:t>
            </w:r>
            <w:r>
              <w:rPr>
                <w:rFonts w:ascii="方正书宋_GBK" w:eastAsia="方正书宋_GBK"/>
                <w:b/>
              </w:rPr>
              <w:t>)</w:t>
            </w:r>
            <w:r>
              <w:rPr>
                <w:rFonts w:hint="eastAsia" w:ascii="方正书宋_GBK" w:eastAsia="方正书宋_GBK"/>
                <w:b/>
              </w:rPr>
              <w:t>小计</w:t>
            </w:r>
          </w:p>
        </w:tc>
        <w:tc>
          <w:tcPr>
            <w:tcW w:w="1090" w:type="dxa"/>
            <w:shd w:val="clear" w:color="auto" w:fill="auto"/>
            <w:vAlign w:val="center"/>
          </w:tcPr>
          <w:p>
            <w:pPr>
              <w:spacing w:line="300" w:lineRule="exact"/>
              <w:jc w:val="right"/>
              <w:rPr>
                <w:rFonts w:ascii="方正书宋_GBK" w:eastAsia="方正书宋_GBK"/>
                <w:b/>
              </w:rPr>
            </w:pPr>
          </w:p>
        </w:tc>
        <w:tc>
          <w:tcPr>
            <w:tcW w:w="965" w:type="dxa"/>
            <w:shd w:val="clear" w:color="auto" w:fill="auto"/>
            <w:vAlign w:val="center"/>
          </w:tcPr>
          <w:p>
            <w:pPr>
              <w:spacing w:line="300" w:lineRule="exact"/>
              <w:jc w:val="left"/>
              <w:rPr>
                <w:rFonts w:hint="eastAsia" w:ascii="方正书宋_GBK" w:eastAsia="方正书宋_GBK"/>
                <w:b/>
              </w:rPr>
            </w:pPr>
          </w:p>
        </w:tc>
        <w:tc>
          <w:tcPr>
            <w:tcW w:w="977"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left"/>
              <w:rPr>
                <w:rFonts w:ascii="方正书宋_GBK" w:eastAsia="方正书宋_GBK"/>
                <w:b/>
              </w:rPr>
            </w:pPr>
          </w:p>
        </w:tc>
        <w:tc>
          <w:tcPr>
            <w:tcW w:w="752"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2793.03</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2793.03</w:t>
            </w:r>
          </w:p>
        </w:tc>
        <w:tc>
          <w:tcPr>
            <w:tcW w:w="957" w:type="dxa"/>
            <w:shd w:val="clear" w:color="auto" w:fill="auto"/>
            <w:vAlign w:val="center"/>
          </w:tcPr>
          <w:p>
            <w:pPr>
              <w:spacing w:line="300" w:lineRule="exact"/>
              <w:jc w:val="right"/>
              <w:rPr>
                <w:rFonts w:ascii="方正书宋_GBK" w:eastAsia="方正书宋_GBK"/>
                <w:b/>
              </w:rPr>
            </w:pPr>
            <w:r>
              <w:rPr>
                <w:rFonts w:ascii="方正书宋_GBK" w:eastAsia="方正书宋_GBK"/>
                <w:b/>
              </w:rPr>
              <w:t>2793.03</w:t>
            </w:r>
          </w:p>
        </w:tc>
        <w:tc>
          <w:tcPr>
            <w:tcW w:w="943"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57" w:type="dxa"/>
            <w:shd w:val="clear" w:color="auto" w:fill="auto"/>
            <w:vAlign w:val="center"/>
          </w:tcPr>
          <w:p>
            <w:pPr>
              <w:spacing w:line="300" w:lineRule="exact"/>
              <w:jc w:val="right"/>
              <w:rPr>
                <w:rFonts w:ascii="方正书宋_GBK" w:eastAsia="方正书宋_GBK"/>
                <w:b/>
              </w:rPr>
            </w:pPr>
          </w:p>
        </w:tc>
        <w:tc>
          <w:tcPr>
            <w:tcW w:w="91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林业有害生物防治项目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基础化学品及相关产品</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7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吨</w:t>
            </w: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森林公安派出所业务用房附属设施配套项目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建筑物施工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B01</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林权勘测项目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专业技术报务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人工影响天气设备维护及碘化银烟条购置项目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气象仪器</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A033408</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保野路涞水新城至北庄段、娄涿路、涞涿路三条道路两侧绿化养护项目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农林牧副渔服务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C21</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赵各庄林场</w:t>
            </w:r>
            <w:r>
              <w:rPr>
                <w:rFonts w:hint="cs" w:ascii="方正书宋_GBK" w:eastAsia="方正书宋_GBK"/>
              </w:rPr>
              <w:t>“</w:t>
            </w:r>
            <w:r>
              <w:rPr>
                <w:rFonts w:hint="eastAsia" w:ascii="方正书宋_GBK" w:eastAsia="方正书宋_GBK"/>
              </w:rPr>
              <w:t>煤改电</w:t>
            </w:r>
            <w:r>
              <w:rPr>
                <w:rFonts w:hint="cs" w:ascii="方正书宋_GBK" w:eastAsia="方正书宋_GBK"/>
              </w:rPr>
              <w:t>”</w:t>
            </w:r>
            <w:r>
              <w:rPr>
                <w:rFonts w:hint="eastAsia" w:ascii="方正书宋_GBK" w:eastAsia="方正书宋_GBK"/>
              </w:rPr>
              <w:t>更换变压器项目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15.40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其他建筑工程</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15.40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15.40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15.40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15.40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年省级林业改革发展补助项目（冀财农【</w:t>
            </w:r>
            <w:r>
              <w:rPr>
                <w:rFonts w:ascii="方正书宋_GBK" w:eastAsia="方正书宋_GBK"/>
              </w:rPr>
              <w:t>2018</w:t>
            </w:r>
            <w:r>
              <w:rPr>
                <w:rFonts w:hint="eastAsia" w:ascii="方正书宋_GBK" w:eastAsia="方正书宋_GBK"/>
              </w:rPr>
              <w:t>】</w:t>
            </w:r>
            <w:r>
              <w:rPr>
                <w:rFonts w:ascii="方正书宋_GBK" w:eastAsia="方正书宋_GBK"/>
              </w:rPr>
              <w:t>177</w:t>
            </w:r>
            <w:r>
              <w:rPr>
                <w:rFonts w:hint="eastAsia" w:ascii="方正书宋_GBK" w:eastAsia="方正书宋_GBK"/>
              </w:rPr>
              <w:t>号）</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1790.00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1790.00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1790.00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1790.00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1790.00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山水林田湖生态环境综合整治项目（尾款）</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新保野路石亭至北庄段隔离带及西侧绿化项目</w:t>
            </w:r>
            <w:r>
              <w:rPr>
                <w:rFonts w:ascii="方正书宋_GBK" w:eastAsia="方正书宋_GBK"/>
              </w:rPr>
              <w:t>(</w:t>
            </w:r>
            <w:r>
              <w:rPr>
                <w:rFonts w:hint="eastAsia" w:ascii="方正书宋_GBK" w:eastAsia="方正书宋_GBK"/>
              </w:rPr>
              <w:t>尾款</w:t>
            </w:r>
            <w:r>
              <w:rPr>
                <w:rFonts w:ascii="方正书宋_GBK" w:eastAsia="方正书宋_GBK"/>
              </w:rPr>
              <w:t>)</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54.53</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54.53</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54.53</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54.53</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54.53</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保野路涞水新城至北庄段、涿娄路、涞涿路三条道路两侧绿化美化项目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25.53</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25.52</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25.52</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25.52</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25.52</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2018</w:t>
            </w:r>
            <w:r>
              <w:rPr>
                <w:rFonts w:hint="eastAsia" w:ascii="方正书宋_GBK" w:eastAsia="方正书宋_GBK"/>
              </w:rPr>
              <w:t>年三北防护林工程验收经费</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农林牧副渔服务</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C21</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张涿和廊涿高速两侧绿化项目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108.11</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108.11</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108.11</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108.11</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108.11</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张涿和廊涿高速两侧绿化项目</w:t>
            </w:r>
            <w:r>
              <w:rPr>
                <w:rFonts w:ascii="方正书宋_GBK" w:eastAsia="方正书宋_GBK"/>
              </w:rPr>
              <w:t>2</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张涿高速两侧绿化项目（尾款）</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111.07</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111.07</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111.07</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111.07</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111.07</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涞定路、涞涿路、涿娄路两侧绿化项目（尾款）</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21.80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21.80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21.80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21.80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21.80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3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2019</w:t>
            </w:r>
            <w:r>
              <w:rPr>
                <w:rFonts w:hint="eastAsia" w:ascii="方正书宋_GBK" w:eastAsia="方正书宋_GBK"/>
              </w:rPr>
              <w:t>年林业褐马鸡自然保护区项目</w:t>
            </w:r>
          </w:p>
        </w:tc>
        <w:tc>
          <w:tcPr>
            <w:tcW w:w="1090" w:type="dxa"/>
            <w:shd w:val="clear" w:color="auto" w:fill="auto"/>
            <w:vAlign w:val="center"/>
          </w:tcPr>
          <w:p>
            <w:pPr>
              <w:spacing w:line="300" w:lineRule="exact"/>
              <w:jc w:val="right"/>
              <w:rPr>
                <w:rFonts w:ascii="方正书宋_GBK" w:eastAsia="方正书宋_GBK"/>
              </w:rPr>
            </w:pPr>
            <w:r>
              <w:rPr>
                <w:rFonts w:ascii="方正书宋_GBK" w:eastAsia="方正书宋_GBK"/>
              </w:rPr>
              <w:t>31.30</w:t>
            </w:r>
          </w:p>
        </w:tc>
        <w:tc>
          <w:tcPr>
            <w:tcW w:w="96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矿山、工农林牧副渔业工程施工</w:t>
            </w:r>
          </w:p>
        </w:tc>
        <w:tc>
          <w:tcPr>
            <w:tcW w:w="977" w:type="dxa"/>
            <w:shd w:val="clear" w:color="auto" w:fill="auto"/>
            <w:vAlign w:val="center"/>
          </w:tcPr>
          <w:p>
            <w:pPr>
              <w:spacing w:line="300" w:lineRule="exact"/>
              <w:jc w:val="left"/>
              <w:rPr>
                <w:rFonts w:ascii="方正书宋_GBK" w:eastAsia="方正书宋_GBK"/>
              </w:rPr>
            </w:pPr>
            <w:r>
              <w:rPr>
                <w:rFonts w:ascii="方正书宋_GBK" w:eastAsia="方正书宋_GBK"/>
              </w:rPr>
              <w:t>B0214</w:t>
            </w:r>
          </w:p>
        </w:tc>
        <w:tc>
          <w:tcPr>
            <w:tcW w:w="752" w:type="dxa"/>
            <w:shd w:val="clear" w:color="auto" w:fill="auto"/>
            <w:vAlign w:val="center"/>
          </w:tcPr>
          <w:p>
            <w:pPr>
              <w:spacing w:line="300" w:lineRule="exact"/>
              <w:jc w:val="left"/>
              <w:rPr>
                <w:rFonts w:hint="eastAsia" w:ascii="方正书宋_GBK" w:eastAsia="方正书宋_GBK"/>
              </w:rPr>
            </w:pPr>
          </w:p>
        </w:tc>
        <w:tc>
          <w:tcPr>
            <w:tcW w:w="752"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5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943"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57" w:type="dxa"/>
            <w:shd w:val="clear" w:color="auto" w:fill="auto"/>
            <w:vAlign w:val="center"/>
          </w:tcPr>
          <w:p>
            <w:pPr>
              <w:spacing w:line="300" w:lineRule="exact"/>
              <w:jc w:val="right"/>
              <w:rPr>
                <w:rFonts w:ascii="方正书宋_GBK" w:eastAsia="方正书宋_GBK"/>
              </w:rPr>
            </w:pPr>
          </w:p>
        </w:tc>
        <w:tc>
          <w:tcPr>
            <w:tcW w:w="91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widowControl/>
        <w:spacing w:line="560" w:lineRule="exact"/>
        <w:ind w:firstLine="645"/>
        <w:rPr>
          <w:rFonts w:ascii="仿宋" w:hAnsi="仿宋" w:eastAsia="仿宋" w:cs="仿宋"/>
          <w:kern w:val="0"/>
          <w:sz w:val="32"/>
          <w:szCs w:val="32"/>
        </w:rPr>
      </w:pPr>
    </w:p>
    <w:p>
      <w:pPr>
        <w:widowControl/>
        <w:spacing w:line="560" w:lineRule="exact"/>
        <w:rPr>
          <w:rFonts w:ascii="宋体" w:cs="仿宋"/>
          <w:kern w:val="0"/>
          <w:sz w:val="32"/>
          <w:szCs w:val="32"/>
        </w:rPr>
      </w:pPr>
      <w:r>
        <w:rPr>
          <w:rFonts w:hint="eastAsia" w:ascii="宋体" w:hAnsi="宋体" w:cs="仿宋"/>
          <w:b/>
          <w:bCs/>
          <w:kern w:val="0"/>
          <w:sz w:val="32"/>
          <w:szCs w:val="32"/>
        </w:rPr>
        <w:t>七、国有资产信息情况</w:t>
      </w:r>
    </w:p>
    <w:p>
      <w:pPr>
        <w:widowControl/>
        <w:spacing w:line="560" w:lineRule="exac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涞水县农业局上年末固定资产总额2369.613592万元，其中：房屋占用6263平米，价值为451.43533万元；车辆48辆(含4辆叉车），价值351.9691万元；其他固定资产价值1566.209162万元。</w:t>
      </w:r>
    </w:p>
    <w:p>
      <w:pPr>
        <w:pStyle w:val="7"/>
        <w:shd w:val="clear" w:color="auto" w:fill="FFFFFF"/>
        <w:spacing w:line="520" w:lineRule="exact"/>
        <w:ind w:firstLine="640"/>
        <w:rPr>
          <w:rFonts w:ascii="仿宋" w:hAnsi="仿宋" w:eastAsia="仿宋"/>
          <w:sz w:val="32"/>
          <w:szCs w:val="32"/>
        </w:rPr>
      </w:pPr>
      <w:r>
        <w:rPr>
          <w:rFonts w:ascii="仿宋" w:hAnsi="仿宋" w:eastAsia="仿宋"/>
          <w:sz w:val="32"/>
          <w:szCs w:val="32"/>
        </w:rPr>
        <w:t xml:space="preserve">  </w:t>
      </w:r>
    </w:p>
    <w:p>
      <w:pPr>
        <w:pStyle w:val="7"/>
        <w:shd w:val="clear" w:color="auto" w:fill="FFFFFF"/>
        <w:spacing w:line="520" w:lineRule="exact"/>
        <w:ind w:firstLine="640"/>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cs="仿宋"/>
          <w:sz w:val="32"/>
          <w:szCs w:val="32"/>
        </w:rPr>
        <w:t>固定资产占用情况表</w:t>
      </w:r>
    </w:p>
    <w:p>
      <w:pPr>
        <w:pStyle w:val="7"/>
        <w:shd w:val="clear" w:color="auto" w:fill="FFFFFF"/>
        <w:spacing w:line="520" w:lineRule="exact"/>
        <w:ind w:firstLine="640"/>
        <w:rPr>
          <w:rFonts w:ascii="??_GB2312" w:eastAsia="Times New Roman"/>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w:t>
      </w:r>
      <w:r>
        <w:rPr>
          <w:rFonts w:hint="eastAsia" w:ascii="仿宋" w:hAnsi="仿宋" w:eastAsia="仿宋" w:cs="仿宋"/>
          <w:bCs/>
          <w:color w:val="000000"/>
          <w:sz w:val="32"/>
          <w:szCs w:val="32"/>
        </w:rPr>
        <w:t>18年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_GB2312" w:eastAsia="Times New Roman"/>
          <w:sz w:val="32"/>
          <w:szCs w:val="32"/>
        </w:rPr>
        <w:t xml:space="preserve">   </w:t>
      </w:r>
    </w:p>
    <w:tbl>
      <w:tblPr>
        <w:tblStyle w:val="8"/>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项　　目</w:t>
            </w:r>
          </w:p>
        </w:tc>
        <w:tc>
          <w:tcPr>
            <w:tcW w:w="1033"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数量</w:t>
            </w:r>
          </w:p>
        </w:tc>
        <w:tc>
          <w:tcPr>
            <w:tcW w:w="3902"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_GB2312" w:eastAsia="Times New Roman"/>
                <w:sz w:val="32"/>
                <w:szCs w:val="32"/>
              </w:rPr>
            </w:pPr>
            <w:r>
              <w:rPr>
                <w:rFonts w:hint="eastAsia" w:ascii="宋体" w:hAnsi="宋体" w:cs="宋体"/>
                <w:b/>
                <w:bCs/>
                <w:color w:val="000000"/>
                <w:kern w:val="0"/>
                <w:sz w:val="24"/>
              </w:rPr>
              <w:t>固定资产总额</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1</w:t>
            </w:r>
            <w:r>
              <w:rPr>
                <w:rFonts w:hint="eastAsia" w:ascii="宋体" w:hAnsi="宋体" w:cs="宋体"/>
                <w:color w:val="000000"/>
                <w:kern w:val="0"/>
                <w:sz w:val="24"/>
              </w:rPr>
              <w:t>、房屋（平方米）</w:t>
            </w:r>
          </w:p>
        </w:tc>
        <w:tc>
          <w:tcPr>
            <w:tcW w:w="1033" w:type="dxa"/>
            <w:vAlign w:val="center"/>
          </w:tcPr>
          <w:p>
            <w:pPr>
              <w:widowControl/>
              <w:jc w:val="center"/>
              <w:rPr>
                <w:rFonts w:ascii="??_GB2312" w:eastAsia="Times New Roman"/>
                <w:sz w:val="32"/>
                <w:szCs w:val="32"/>
              </w:rPr>
            </w:pPr>
            <w:r>
              <w:rPr>
                <w:rFonts w:hint="eastAsia" w:ascii="仿宋" w:hAnsi="仿宋" w:eastAsia="仿宋" w:cs="仿宋"/>
                <w:kern w:val="0"/>
                <w:sz w:val="32"/>
                <w:szCs w:val="32"/>
              </w:rPr>
              <w:t>6263</w:t>
            </w:r>
          </w:p>
        </w:tc>
        <w:tc>
          <w:tcPr>
            <w:tcW w:w="3902" w:type="dxa"/>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451.43533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w:t>
            </w:r>
            <w:r>
              <w:rPr>
                <w:rFonts w:hint="eastAsia" w:ascii="宋体" w:hAnsi="宋体" w:cs="宋体"/>
                <w:color w:val="000000"/>
                <w:kern w:val="0"/>
                <w:sz w:val="24"/>
              </w:rPr>
              <w:t>其中：办公用房（平方米）</w:t>
            </w:r>
          </w:p>
        </w:tc>
        <w:tc>
          <w:tcPr>
            <w:tcW w:w="1033" w:type="dxa"/>
            <w:vAlign w:val="center"/>
          </w:tcPr>
          <w:p>
            <w:pPr>
              <w:jc w:val="center"/>
              <w:rPr>
                <w:rFonts w:ascii="??_GB2312" w:eastAsia="Times New Roman"/>
                <w:sz w:val="32"/>
                <w:szCs w:val="32"/>
              </w:rPr>
            </w:pPr>
          </w:p>
        </w:tc>
        <w:tc>
          <w:tcPr>
            <w:tcW w:w="3902" w:type="dxa"/>
            <w:vAlign w:val="center"/>
          </w:tcPr>
          <w:p>
            <w:pPr>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2</w:t>
            </w:r>
            <w:r>
              <w:rPr>
                <w:rFonts w:hint="eastAsia" w:ascii="宋体" w:hAnsi="宋体" w:cs="宋体"/>
                <w:color w:val="000000"/>
                <w:kern w:val="0"/>
                <w:sz w:val="24"/>
              </w:rPr>
              <w:t>、车辆（台、辆）</w:t>
            </w:r>
          </w:p>
        </w:tc>
        <w:tc>
          <w:tcPr>
            <w:tcW w:w="1033" w:type="dxa"/>
            <w:vAlign w:val="center"/>
          </w:tcPr>
          <w:p>
            <w:pPr>
              <w:widowControl/>
              <w:jc w:val="center"/>
              <w:rPr>
                <w:rFonts w:ascii="??_GB2312" w:eastAsia="Times New Roman"/>
                <w:sz w:val="32"/>
                <w:szCs w:val="32"/>
              </w:rPr>
            </w:pPr>
            <w:r>
              <w:rPr>
                <w:rFonts w:hint="eastAsia" w:ascii="仿宋" w:hAnsi="仿宋" w:eastAsia="仿宋" w:cs="仿宋"/>
                <w:kern w:val="0"/>
                <w:sz w:val="32"/>
                <w:szCs w:val="32"/>
              </w:rPr>
              <w:t>48</w:t>
            </w:r>
          </w:p>
        </w:tc>
        <w:tc>
          <w:tcPr>
            <w:tcW w:w="3902" w:type="dxa"/>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351.9691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_GB2312" w:eastAsia="Times New Roman"/>
                <w:sz w:val="32"/>
                <w:szCs w:val="32"/>
              </w:rPr>
            </w:pPr>
            <w:r>
              <w:rPr>
                <w:rFonts w:ascii="宋体" w:hAnsi="宋体" w:cs="宋体"/>
                <w:color w:val="000000"/>
                <w:kern w:val="0"/>
                <w:sz w:val="24"/>
              </w:rPr>
              <w:t xml:space="preserve">  3</w:t>
            </w:r>
            <w:r>
              <w:rPr>
                <w:rFonts w:hint="eastAsia" w:ascii="宋体" w:hAnsi="宋体" w:cs="宋体"/>
                <w:color w:val="000000"/>
                <w:kern w:val="0"/>
                <w:sz w:val="24"/>
              </w:rPr>
              <w:t>、单价在</w:t>
            </w:r>
            <w:r>
              <w:rPr>
                <w:rFonts w:ascii="宋体" w:hAnsi="宋体" w:cs="宋体"/>
                <w:color w:val="000000"/>
                <w:kern w:val="0"/>
                <w:sz w:val="24"/>
              </w:rPr>
              <w:t>20</w:t>
            </w:r>
            <w:r>
              <w:rPr>
                <w:rFonts w:hint="eastAsia" w:ascii="宋体" w:hAnsi="宋体" w:cs="宋体"/>
                <w:color w:val="000000"/>
                <w:kern w:val="0"/>
                <w:sz w:val="24"/>
              </w:rPr>
              <w:t>万元以上的设备</w:t>
            </w:r>
          </w:p>
        </w:tc>
        <w:tc>
          <w:tcPr>
            <w:tcW w:w="1033" w:type="dxa"/>
            <w:vAlign w:val="center"/>
          </w:tcPr>
          <w:p>
            <w:pPr>
              <w:widowControl/>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widowControl/>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_GB2312" w:eastAsia="Times New Roman"/>
                <w:sz w:val="32"/>
                <w:szCs w:val="32"/>
              </w:rPr>
            </w:pPr>
            <w:r>
              <w:rPr>
                <w:rFonts w:ascii="宋体" w:hAnsi="宋体" w:cs="宋体"/>
                <w:color w:val="000000"/>
                <w:kern w:val="0"/>
                <w:sz w:val="24"/>
              </w:rPr>
              <w:t xml:space="preserve">  4</w:t>
            </w:r>
            <w:r>
              <w:rPr>
                <w:rFonts w:hint="eastAsia" w:ascii="宋体" w:hAnsi="宋体" w:cs="宋体"/>
                <w:color w:val="000000"/>
                <w:kern w:val="0"/>
                <w:sz w:val="24"/>
              </w:rPr>
              <w:t>、其他固定资产</w:t>
            </w:r>
          </w:p>
        </w:tc>
        <w:tc>
          <w:tcPr>
            <w:tcW w:w="1033" w:type="dxa"/>
            <w:vAlign w:val="center"/>
          </w:tcPr>
          <w:p>
            <w:pPr>
              <w:jc w:val="center"/>
              <w:rPr>
                <w:rFonts w:ascii="??_GB2312" w:eastAsia="Times New Roman"/>
                <w:sz w:val="32"/>
                <w:szCs w:val="32"/>
              </w:rPr>
            </w:pPr>
            <w:r>
              <w:rPr>
                <w:rFonts w:ascii="宋体" w:hAnsi="宋体" w:cs="宋体"/>
                <w:color w:val="000000"/>
                <w:kern w:val="0"/>
                <w:sz w:val="24"/>
              </w:rPr>
              <w:t>—</w:t>
            </w:r>
          </w:p>
        </w:tc>
        <w:tc>
          <w:tcPr>
            <w:tcW w:w="390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1566.209162</w:t>
            </w:r>
          </w:p>
        </w:tc>
      </w:tr>
    </w:tbl>
    <w:p>
      <w:pPr>
        <w:pStyle w:val="7"/>
        <w:shd w:val="clear" w:color="auto" w:fill="FFFFFF"/>
        <w:spacing w:line="520" w:lineRule="exact"/>
        <w:ind w:firstLine="640"/>
        <w:rPr>
          <w:rFonts w:ascii="??_GB2312" w:eastAsia="Times New Roman"/>
          <w:sz w:val="32"/>
          <w:szCs w:val="32"/>
        </w:rPr>
      </w:pPr>
      <w:r>
        <w:rPr>
          <w:rFonts w:hint="eastAsia" w:ascii="宋体" w:hAnsi="宋体" w:cs="宋体"/>
          <w:color w:val="000000"/>
        </w:rPr>
        <w:t>其他固定资产是办公桌椅，电脑，打印机，扫描仪，空调等。</w:t>
      </w:r>
    </w:p>
    <w:p>
      <w:pPr>
        <w:widowControl/>
        <w:spacing w:line="560" w:lineRule="exact"/>
        <w:ind w:firstLine="640" w:firstLineChars="200"/>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p>
    <w:p>
      <w:pPr>
        <w:rPr>
          <w:rFonts w:ascii="黑体" w:hAnsi="??_GB2312" w:eastAsia="黑体" w:cs="??_GB2312"/>
          <w:b/>
          <w:sz w:val="32"/>
          <w:szCs w:val="32"/>
        </w:rPr>
      </w:pPr>
      <w:r>
        <w:rPr>
          <w:rFonts w:hint="eastAsia" w:ascii="黑体" w:hAnsi="??_GB2312" w:eastAsia="黑体" w:cs="??_GB2312"/>
          <w:b/>
          <w:sz w:val="32"/>
          <w:szCs w:val="32"/>
        </w:rPr>
        <w:t>八、专业名词解释</w:t>
      </w:r>
    </w:p>
    <w:p>
      <w:pPr>
        <w:ind w:firstLine="627" w:firstLineChars="196"/>
        <w:rPr>
          <w:rFonts w:ascii="??_GB2312" w:hAnsi="宋体" w:eastAsia="Times New Roman"/>
          <w:sz w:val="32"/>
          <w:szCs w:val="32"/>
        </w:rPr>
      </w:pPr>
      <w:r>
        <w:rPr>
          <w:rFonts w:ascii="??_GB2312" w:hAnsi="宋体" w:eastAsia="Times New Roman"/>
          <w:sz w:val="32"/>
          <w:szCs w:val="32"/>
        </w:rPr>
        <w:t>1、一般公共预算财政拨款收入：县级财政当年拨付的资金。</w:t>
      </w:r>
    </w:p>
    <w:p>
      <w:pPr>
        <w:pStyle w:val="7"/>
        <w:widowControl/>
        <w:ind w:firstLine="576" w:firstLineChars="180"/>
        <w:rPr>
          <w:rFonts w:ascii="??_GB2312" w:hAnsi="??_GB2312" w:cs="??_GB2312"/>
          <w:bCs/>
          <w:sz w:val="32"/>
          <w:szCs w:val="32"/>
        </w:rPr>
      </w:pPr>
      <w:r>
        <w:rPr>
          <w:rStyle w:val="10"/>
          <w:rFonts w:ascii="??_GB2312" w:hAnsi="??_GB2312" w:cs="??_GB2312"/>
          <w:b w:val="0"/>
          <w:bCs/>
          <w:sz w:val="32"/>
          <w:szCs w:val="32"/>
          <w:shd w:val="clear" w:color="auto" w:fill="FFFFFF"/>
        </w:rPr>
        <w:t>2</w:t>
      </w:r>
      <w:r>
        <w:rPr>
          <w:rStyle w:val="10"/>
          <w:rFonts w:hint="eastAsia" w:ascii="宋体" w:hAnsi="宋体" w:cs="宋体"/>
          <w:b w:val="0"/>
          <w:bCs/>
          <w:sz w:val="32"/>
          <w:szCs w:val="32"/>
          <w:shd w:val="clear" w:color="auto" w:fill="FFFFFF"/>
        </w:rPr>
        <w:t>、其他收入：</w:t>
      </w:r>
      <w:r>
        <w:rPr>
          <w:rFonts w:hint="eastAsia" w:ascii="宋体" w:hAnsi="宋体" w:cs="宋体"/>
          <w:bCs/>
          <w:sz w:val="32"/>
          <w:szCs w:val="32"/>
          <w:shd w:val="clear" w:color="auto" w:fill="FFFFFF"/>
        </w:rPr>
        <w:t>指除上述财政拨款收入以外的收入。主要是存款利息收入。</w:t>
      </w:r>
    </w:p>
    <w:p>
      <w:pPr>
        <w:pStyle w:val="7"/>
        <w:widowControl/>
        <w:ind w:firstLine="576" w:firstLineChars="180"/>
        <w:rPr>
          <w:rFonts w:ascii="??_GB2312" w:hAnsi="宋体" w:eastAsia="Times New Roman"/>
          <w:bCs/>
          <w:sz w:val="32"/>
          <w:szCs w:val="32"/>
        </w:rPr>
      </w:pPr>
      <w:r>
        <w:rPr>
          <w:rStyle w:val="10"/>
          <w:rFonts w:ascii="??_GB2312" w:hAnsi="??_GB2312" w:cs="??_GB2312"/>
          <w:b w:val="0"/>
          <w:bCs/>
          <w:color w:val="000000"/>
          <w:sz w:val="32"/>
          <w:szCs w:val="32"/>
          <w:shd w:val="clear" w:color="auto" w:fill="FFFFFF"/>
        </w:rPr>
        <w:t>3</w:t>
      </w:r>
      <w:r>
        <w:rPr>
          <w:rFonts w:ascii="??_GB2312" w:hAnsi="宋体" w:eastAsia="Times New Roman"/>
          <w:bCs/>
          <w:sz w:val="32"/>
          <w:szCs w:val="32"/>
        </w:rPr>
        <w:t>、基本支出：指为保障机构正常运转、完成日常工作任务而发生的人员支出和公用支出。</w:t>
      </w:r>
    </w:p>
    <w:p>
      <w:pPr>
        <w:pStyle w:val="7"/>
        <w:widowControl/>
        <w:rPr>
          <w:rFonts w:ascii="??_GB2312" w:hAnsi="宋体" w:eastAsia="Times New Roman"/>
          <w:bCs/>
          <w:sz w:val="32"/>
          <w:szCs w:val="32"/>
        </w:rPr>
      </w:pPr>
      <w:r>
        <w:rPr>
          <w:rFonts w:ascii="??_GB2312" w:hAnsi="宋体" w:eastAsia="Times New Roman"/>
          <w:bCs/>
          <w:sz w:val="32"/>
          <w:szCs w:val="32"/>
        </w:rPr>
        <w:t xml:space="preserve">    4、项目支出：指在基本支出之外为完成特定行政任务和事业发展目标所发生的支出。</w:t>
      </w:r>
    </w:p>
    <w:p>
      <w:pPr>
        <w:pStyle w:val="7"/>
        <w:widowControl/>
        <w:ind w:firstLine="640" w:firstLineChars="200"/>
        <w:rPr>
          <w:rFonts w:ascii="??_GB2312" w:hAnsi="宋体" w:eastAsia="Times New Roman"/>
          <w:bCs/>
          <w:sz w:val="32"/>
          <w:szCs w:val="32"/>
        </w:rPr>
      </w:pPr>
      <w:r>
        <w:rPr>
          <w:rFonts w:ascii="??_GB2312" w:hAnsi="宋体" w:eastAsia="Times New Roman"/>
          <w:bCs/>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7"/>
        <w:widowControl/>
        <w:ind w:firstLine="640" w:firstLineChars="200"/>
        <w:rPr>
          <w:rFonts w:ascii="??_GB2312" w:hAnsi="宋体" w:eastAsia="Times New Roman"/>
          <w:bCs/>
          <w:sz w:val="32"/>
          <w:szCs w:val="32"/>
        </w:rPr>
      </w:pPr>
      <w:r>
        <w:rPr>
          <w:rFonts w:ascii="??_GB2312" w:hAnsi="宋体" w:eastAsia="Times New Roman"/>
          <w:bCs/>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t xml:space="preserve">  </w:t>
      </w:r>
      <w:r>
        <w:rPr>
          <w:rFonts w:hint="eastAsia" w:ascii="黑体" w:hAnsi="黑体" w:eastAsia="黑体" w:cs="黑体"/>
          <w:sz w:val="32"/>
          <w:szCs w:val="32"/>
        </w:rPr>
        <w:t>九、其他需要说明的事项</w:t>
      </w:r>
    </w:p>
    <w:p>
      <w:r>
        <w:rPr>
          <w:rFonts w:ascii="黑体" w:hAnsi="黑体" w:eastAsia="黑体" w:cs="黑体"/>
          <w:sz w:val="32"/>
          <w:szCs w:val="32"/>
        </w:rPr>
        <w:t xml:space="preserve"> </w:t>
      </w:r>
      <w:r>
        <w:rPr>
          <w:rFonts w:hint="eastAsia" w:ascii="仿宋" w:hAnsi="仿宋" w:eastAsia="仿宋" w:cs="仿宋"/>
          <w:sz w:val="32"/>
          <w:szCs w:val="32"/>
        </w:rPr>
        <w:t>我部门无</w:t>
      </w:r>
      <w:r>
        <w:rPr>
          <w:rFonts w:hint="eastAsia" w:ascii="仿宋" w:hAnsi="仿宋" w:eastAsia="仿宋" w:cs="仿宋"/>
          <w:sz w:val="32"/>
          <w:szCs w:val="32"/>
          <w:lang w:eastAsia="zh-CN"/>
        </w:rPr>
        <w:t>政府基金和</w:t>
      </w:r>
      <w:r>
        <w:rPr>
          <w:rFonts w:hint="eastAsia" w:ascii="仿宋" w:hAnsi="仿宋" w:eastAsia="仿宋" w:cs="仿宋"/>
          <w:sz w:val="32"/>
          <w:szCs w:val="32"/>
        </w:rPr>
        <w:t>国有资本经营预算，空表列示。</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5"/>
      </w:pPr>
      <w:r>
        <w:rPr>
          <w:rStyle w:val="13"/>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5A7A7"/>
    <w:multiLevelType w:val="singleLevel"/>
    <w:tmpl w:val="8045A7A7"/>
    <w:lvl w:ilvl="0" w:tentative="0">
      <w:start w:val="2"/>
      <w:numFmt w:val="chineseCounting"/>
      <w:suff w:val="nothing"/>
      <w:lvlText w:val="%1、"/>
      <w:lvlJc w:val="left"/>
      <w:rPr>
        <w:rFonts w:hint="eastAsia"/>
      </w:rPr>
    </w:lvl>
  </w:abstractNum>
  <w:abstractNum w:abstractNumId="1">
    <w:nsid w:val="13795FC6"/>
    <w:multiLevelType w:val="singleLevel"/>
    <w:tmpl w:val="13795FC6"/>
    <w:lvl w:ilvl="0" w:tentative="0">
      <w:start w:val="1"/>
      <w:numFmt w:val="decimal"/>
      <w:suff w:val="nothing"/>
      <w:lvlText w:val="%1、"/>
      <w:lvlJc w:val="left"/>
    </w:lvl>
  </w:abstractNum>
  <w:abstractNum w:abstractNumId="2">
    <w:nsid w:val="594C7344"/>
    <w:multiLevelType w:val="singleLevel"/>
    <w:tmpl w:val="594C7344"/>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BF3386"/>
    <w:rsid w:val="000F3AB4"/>
    <w:rsid w:val="003972D2"/>
    <w:rsid w:val="005C0BE0"/>
    <w:rsid w:val="006D69F2"/>
    <w:rsid w:val="00872F32"/>
    <w:rsid w:val="00893338"/>
    <w:rsid w:val="008D5FB9"/>
    <w:rsid w:val="00A015E8"/>
    <w:rsid w:val="00BC683E"/>
    <w:rsid w:val="00BF3386"/>
    <w:rsid w:val="00CB68B5"/>
    <w:rsid w:val="00D21F98"/>
    <w:rsid w:val="00F739F1"/>
    <w:rsid w:val="019D5ED0"/>
    <w:rsid w:val="03681C3C"/>
    <w:rsid w:val="0567771D"/>
    <w:rsid w:val="07CA4D65"/>
    <w:rsid w:val="0CF92441"/>
    <w:rsid w:val="0D5878EA"/>
    <w:rsid w:val="0DAE46EF"/>
    <w:rsid w:val="112A0531"/>
    <w:rsid w:val="11F45B06"/>
    <w:rsid w:val="16810BF3"/>
    <w:rsid w:val="192C149D"/>
    <w:rsid w:val="1DE35C96"/>
    <w:rsid w:val="1EF048A6"/>
    <w:rsid w:val="25025B34"/>
    <w:rsid w:val="260D24A3"/>
    <w:rsid w:val="27857EC8"/>
    <w:rsid w:val="278C564A"/>
    <w:rsid w:val="29632176"/>
    <w:rsid w:val="2AD8679C"/>
    <w:rsid w:val="2B3C46F0"/>
    <w:rsid w:val="3008511A"/>
    <w:rsid w:val="30242476"/>
    <w:rsid w:val="304B3492"/>
    <w:rsid w:val="35E26F9F"/>
    <w:rsid w:val="377910E7"/>
    <w:rsid w:val="388C1673"/>
    <w:rsid w:val="39407F27"/>
    <w:rsid w:val="3B0070F6"/>
    <w:rsid w:val="3B8A50BE"/>
    <w:rsid w:val="3EDC36CA"/>
    <w:rsid w:val="425E1BDF"/>
    <w:rsid w:val="42F40F13"/>
    <w:rsid w:val="44883A7A"/>
    <w:rsid w:val="47B10A47"/>
    <w:rsid w:val="47E424CB"/>
    <w:rsid w:val="492A09A9"/>
    <w:rsid w:val="5004360F"/>
    <w:rsid w:val="513862BF"/>
    <w:rsid w:val="5760294F"/>
    <w:rsid w:val="57B538D1"/>
    <w:rsid w:val="5A7613F7"/>
    <w:rsid w:val="5ABF110B"/>
    <w:rsid w:val="5AEE16C9"/>
    <w:rsid w:val="5B4735C1"/>
    <w:rsid w:val="5F2E6A0B"/>
    <w:rsid w:val="5F9C0F71"/>
    <w:rsid w:val="5FBC7E2D"/>
    <w:rsid w:val="608C474A"/>
    <w:rsid w:val="63810CC3"/>
    <w:rsid w:val="66D60D41"/>
    <w:rsid w:val="69B528B7"/>
    <w:rsid w:val="6F8166E3"/>
    <w:rsid w:val="6FE6734D"/>
    <w:rsid w:val="762625AB"/>
    <w:rsid w:val="76B00F9B"/>
    <w:rsid w:val="77683E98"/>
    <w:rsid w:val="7852794A"/>
    <w:rsid w:val="7C500533"/>
    <w:rsid w:val="7E01111B"/>
    <w:rsid w:val="7F4D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6"/>
    <w:autoRedefine/>
    <w:unhideWhenUsed/>
    <w:qFormat/>
    <w:uiPriority w:val="99"/>
    <w:pPr>
      <w:tabs>
        <w:tab w:val="center" w:pos="4153"/>
        <w:tab w:val="right" w:pos="8306"/>
      </w:tabs>
      <w:snapToGrid w:val="0"/>
      <w:jc w:val="left"/>
    </w:pPr>
    <w:rPr>
      <w:sz w:val="18"/>
      <w:szCs w:val="18"/>
    </w:rPr>
  </w:style>
  <w:style w:type="paragraph" w:styleId="3">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footnote text"/>
    <w:basedOn w:val="1"/>
    <w:link w:val="14"/>
    <w:unhideWhenUsed/>
    <w:qFormat/>
    <w:uiPriority w:val="99"/>
    <w:pPr>
      <w:snapToGrid w:val="0"/>
      <w:jc w:val="left"/>
    </w:pPr>
    <w:rPr>
      <w:sz w:val="18"/>
      <w:szCs w:val="18"/>
    </w:rPr>
  </w:style>
  <w:style w:type="paragraph" w:styleId="6">
    <w:name w:val="toc 2"/>
    <w:basedOn w:val="1"/>
    <w:next w:val="1"/>
    <w:autoRedefine/>
    <w:unhideWhenUsed/>
    <w:qFormat/>
    <w:uiPriority w:val="39"/>
    <w:pPr>
      <w:ind w:left="420" w:leftChars="200"/>
    </w:pPr>
  </w:style>
  <w:style w:type="paragraph" w:styleId="7">
    <w:name w:val="Normal (Web)"/>
    <w:basedOn w:val="1"/>
    <w:qFormat/>
    <w:uiPriority w:val="99"/>
    <w:pPr>
      <w:jc w:val="left"/>
    </w:pPr>
    <w:rPr>
      <w:kern w:val="0"/>
      <w:sz w:val="24"/>
    </w:rPr>
  </w:style>
  <w:style w:type="character" w:styleId="10">
    <w:name w:val="Strong"/>
    <w:basedOn w:val="9"/>
    <w:qFormat/>
    <w:uiPriority w:val="99"/>
    <w:rPr>
      <w:rFonts w:cs="Times New Roman"/>
      <w:b/>
    </w:rPr>
  </w:style>
  <w:style w:type="character" w:styleId="11">
    <w:name w:val="page number"/>
    <w:basedOn w:val="9"/>
    <w:unhideWhenUsed/>
    <w:qFormat/>
    <w:uiPriority w:val="99"/>
  </w:style>
  <w:style w:type="character" w:styleId="12">
    <w:name w:val="Hyperlink"/>
    <w:basedOn w:val="9"/>
    <w:autoRedefine/>
    <w:unhideWhenUsed/>
    <w:qFormat/>
    <w:uiPriority w:val="99"/>
    <w:rPr>
      <w:color w:val="0000FF"/>
      <w:u w:val="single"/>
    </w:rPr>
  </w:style>
  <w:style w:type="character" w:styleId="13">
    <w:name w:val="footnote reference"/>
    <w:basedOn w:val="9"/>
    <w:unhideWhenUsed/>
    <w:qFormat/>
    <w:uiPriority w:val="99"/>
    <w:rPr>
      <w:vertAlign w:val="superscript"/>
    </w:rPr>
  </w:style>
  <w:style w:type="character" w:customStyle="1" w:styleId="14">
    <w:name w:val="脚注文本 Char"/>
    <w:basedOn w:val="9"/>
    <w:link w:val="5"/>
    <w:semiHidden/>
    <w:qFormat/>
    <w:uiPriority w:val="99"/>
    <w:rPr>
      <w:rFonts w:ascii="Calibri" w:hAnsi="Calibri" w:eastAsia="宋体" w:cs="Times New Roman"/>
      <w:sz w:val="18"/>
      <w:szCs w:val="18"/>
    </w:rPr>
  </w:style>
  <w:style w:type="character" w:customStyle="1" w:styleId="15">
    <w:name w:val="页眉 Char"/>
    <w:basedOn w:val="9"/>
    <w:link w:val="3"/>
    <w:semiHidden/>
    <w:qFormat/>
    <w:uiPriority w:val="99"/>
    <w:rPr>
      <w:sz w:val="18"/>
      <w:szCs w:val="18"/>
    </w:rPr>
  </w:style>
  <w:style w:type="character" w:customStyle="1" w:styleId="16">
    <w:name w:val="页脚 Char"/>
    <w:basedOn w:val="9"/>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2306</Words>
  <Characters>13146</Characters>
  <Lines>109</Lines>
  <Paragraphs>30</Paragraphs>
  <TotalTime>1</TotalTime>
  <ScaleCrop>false</ScaleCrop>
  <LinksUpToDate>false</LinksUpToDate>
  <CharactersWithSpaces>15422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2019-01-31T19:40:00Z</dcterms:created>
  <dc:creator>PC</dc:creator>
  <cp:lastModifiedBy>八爪小鱼</cp:lastModifiedBy>
  <dcterms:modified xsi:type="dcterms:W3CDTF">2024-02-01T03:45:57Z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3C3C82D497224C9AAEBCE878856F2E28_12</vt:lpwstr>
  </property>
</Properties>
</file>