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保定市生态环境局涞水县分局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2023年</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政府信息公开工作</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年度</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报告</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年，保定市生态环境局涞水县分局坚持以习近平新时代中国特色社会主义思想为指导，准确执行《中华人民共和国政府信息公开条例》，认真贯彻《涞水县2023年政务公开工作要点》要求，全面推进政府信息公开工作，不断拓展公开内容、创新公开形式、完善公开制度、强化公开监督，按照“应公开、尽公开”的原则，主动公开各类生态环境保护政务信息，着力满足公众对生态环境知情权、参与权、表达权和监督权的需要。统计数据从2023年1月1日至12月31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shd w:val="clear" w:fill="FFFFFF"/>
          <w:lang w:val="en-US" w:eastAsia="zh-CN" w:bidi="ar"/>
        </w:rPr>
        <w:t xml:space="preserve">   （一）</w:t>
      </w:r>
      <w:r>
        <w:rPr>
          <w:rFonts w:hint="eastAsia" w:ascii="楷体_GB2312" w:hAnsi="楷体_GB2312" w:eastAsia="楷体_GB2312" w:cs="楷体_GB2312"/>
          <w:b/>
          <w:bCs/>
          <w:i w:val="0"/>
          <w:iCs w:val="0"/>
          <w:caps w:val="0"/>
          <w:color w:val="000000"/>
          <w:spacing w:val="0"/>
          <w:kern w:val="0"/>
          <w:sz w:val="32"/>
          <w:szCs w:val="32"/>
          <w:lang w:val="en-US" w:eastAsia="zh-CN" w:bidi="ar"/>
        </w:rPr>
        <w:t>主动公开情况。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通过县政府门户网站、微信公众号等政务新媒体，报刊以及政务公开栏等载体，依法、及时、全面公开政府信息。2023年，我局在县政府门户网站共发布各类信息80余条，内容涵盖执法人员、规章制度、行政处罚等信息。其中对立案查处的行政处罚案件，在依法作出行政处罚决定后，将每一宗案件的案件名称、被处罚者的姓名或名称、主要违法事实、处罚种类、处罚依据、处罚结果、作出行政处罚的日期及处罚决定文书号等信息在县政府门户网站本进行公开20件。在“美丽生态涞水”微信公众号发布原创文章102篇,其中被省厅官网采用1篇,网上河北采用1篇，市局网站及公众号采用7篇,市局信息快报采用14篇,保定日报、腾讯网各采用1篇，学习强国平台采用2篇，县委信息快报采用1篇，政府信息快报采用6篇，县委人民至上公众号采用3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（二）依申请公开情况。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全年共收到政府信息公开申请3宗，严格按照规定，</w:t>
      </w:r>
      <w:r>
        <w:rPr>
          <w:rFonts w:hint="eastAsia" w:ascii="仿宋_GB2312" w:hAnsi="仿宋_GB2312" w:eastAsia="仿宋_GB2312" w:cs="仿宋_GB2312"/>
          <w:sz w:val="32"/>
          <w:szCs w:val="32"/>
          <w:lang w:val="en-US" w:eastAsia="zh-CN"/>
        </w:rPr>
        <w:t>全部依法依规按时办结。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000000"/>
          <w:spacing w:val="0"/>
          <w:kern w:val="0"/>
          <w:sz w:val="32"/>
          <w:szCs w:val="32"/>
          <w:lang w:val="en-US" w:eastAsia="zh-CN" w:bidi="ar"/>
        </w:rPr>
        <w:t>（三）政府信息管理情况。</w:t>
      </w:r>
      <w:r>
        <w:rPr>
          <w:rFonts w:hint="eastAsia" w:ascii="仿宋_GB2312" w:hAnsi="仿宋_GB2312" w:eastAsia="仿宋_GB2312" w:cs="仿宋_GB2312"/>
          <w:sz w:val="32"/>
          <w:szCs w:val="32"/>
          <w:lang w:val="en-US" w:eastAsia="zh-CN"/>
        </w:rPr>
        <w:t>一是严格执行信息发布“三审三校、分级审核、先审后发”流程，严把政治关、法律关、政策关、保密关、文字关，确保信息发布准确无误。二是对依法申请公开工作及信件留言等内容，及时受理办结，避免因答复不规范、超过时间节点等情况发生行政复议、诉讼等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2023年度无因信息公开引起行政复议以及行政诉讼的情况。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lang w:val="en-US" w:eastAsia="zh-CN" w:bidi="ar"/>
        </w:rPr>
        <w:t>（四）政务新媒体建设情况。</w:t>
      </w:r>
      <w:r>
        <w:rPr>
          <w:rFonts w:hint="eastAsia" w:ascii="仿宋_GB2312" w:hAnsi="仿宋_GB2312" w:eastAsia="仿宋_GB2312" w:cs="仿宋_GB2312"/>
          <w:sz w:val="32"/>
          <w:szCs w:val="32"/>
          <w:lang w:val="en-US" w:eastAsia="zh-CN"/>
        </w:rPr>
        <w:t>我局不断加强政府信息公开平台建设，积极打造“美丽生态涞水”微信公众号平台，不断拓宽信息公开渠道，发挥新媒体的传播力和影响力，及时按要求调整设置公众号版面，做好生态环境信息公开、发布和解读工作，对发布信息进行科学分类、及时更新，确保内容准确权威；努力做到访问便捷，不断提升公众网上查阅信息、咨询办事体验感和满意度。</w:t>
      </w:r>
    </w:p>
    <w:p>
      <w:pPr>
        <w:keepNext w:val="0"/>
        <w:keepLines w:val="0"/>
        <w:pageBreakBefore w:val="0"/>
        <w:kinsoku/>
        <w:wordWrap/>
        <w:overflowPunct/>
        <w:topLinePunct w:val="0"/>
        <w:autoSpaceDE/>
        <w:autoSpaceDN/>
        <w:bidi w:val="0"/>
        <w:adjustRightInd/>
        <w:snapToGrid/>
        <w:spacing w:line="4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i w:val="0"/>
          <w:iCs w:val="0"/>
          <w:caps w:val="0"/>
          <w:color w:val="000000"/>
          <w:spacing w:val="0"/>
          <w:kern w:val="0"/>
          <w:sz w:val="32"/>
          <w:szCs w:val="32"/>
          <w:lang w:val="en-US" w:eastAsia="zh-CN" w:bidi="ar"/>
        </w:rPr>
        <w:t>（五）监督保障情况。</w:t>
      </w:r>
      <w:r>
        <w:rPr>
          <w:rFonts w:hint="eastAsia" w:ascii="仿宋_GB2312" w:hAnsi="仿宋_GB2312" w:eastAsia="仿宋_GB2312" w:cs="仿宋_GB2312"/>
          <w:sz w:val="32"/>
          <w:szCs w:val="32"/>
          <w:lang w:val="en-US" w:eastAsia="zh-CN"/>
        </w:rPr>
        <w:t>我分局成立了由局长任组长、分管副局长任副组长、各股室负责同志为成员的信息公开工作领导小组，具体负责组织统筹协调、监督指导本局信息公开工作，确保信息公开工作落实到位。行政执法股为该项工作牵头股室，形成了分管领导统筹抓、责任部门具体抓、各股室齐抓共推的信息公开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firstLine="640" w:firstLineChars="200"/>
        <w:jc w:val="both"/>
        <w:textAlignment w:val="auto"/>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32"/>
          <w:szCs w:val="32"/>
          <w:shd w:val="clear" w:fill="FFFFFF"/>
          <w:lang w:val="en-US" w:eastAsia="zh-CN" w:bidi="ar"/>
        </w:rPr>
        <w:t>二、主动公开政府信息情况</w:t>
      </w:r>
    </w:p>
    <w:tbl>
      <w:tblPr>
        <w:tblStyle w:val="6"/>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70"/>
        <w:gridCol w:w="2270"/>
        <w:gridCol w:w="2270"/>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8" w:hRule="atLeast"/>
          <w:jc w:val="center"/>
        </w:trPr>
        <w:tc>
          <w:tcPr>
            <w:tcW w:w="908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227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本年制发件数</w:t>
            </w:r>
          </w:p>
        </w:tc>
        <w:tc>
          <w:tcPr>
            <w:tcW w:w="227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本年废止件数</w:t>
            </w:r>
          </w:p>
        </w:tc>
        <w:tc>
          <w:tcPr>
            <w:tcW w:w="2270"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规章</w:t>
            </w:r>
          </w:p>
        </w:tc>
        <w:tc>
          <w:tcPr>
            <w:tcW w:w="22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2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2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行政规范性文件</w:t>
            </w:r>
          </w:p>
        </w:tc>
        <w:tc>
          <w:tcPr>
            <w:tcW w:w="22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2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227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908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81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行政许可</w:t>
            </w:r>
          </w:p>
        </w:tc>
        <w:tc>
          <w:tcPr>
            <w:tcW w:w="681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908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810"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行政处罚</w:t>
            </w:r>
          </w:p>
        </w:tc>
        <w:tc>
          <w:tcPr>
            <w:tcW w:w="681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行政强制</w:t>
            </w:r>
          </w:p>
        </w:tc>
        <w:tc>
          <w:tcPr>
            <w:tcW w:w="681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908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信息内容</w:t>
            </w:r>
          </w:p>
        </w:tc>
        <w:tc>
          <w:tcPr>
            <w:tcW w:w="6810"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jc w:val="center"/>
        </w:trPr>
        <w:tc>
          <w:tcPr>
            <w:tcW w:w="2270"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行政事业性收费</w:t>
            </w:r>
          </w:p>
        </w:tc>
        <w:tc>
          <w:tcPr>
            <w:tcW w:w="6810"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三、收到和处理政府信息公开申请情况</w:t>
      </w:r>
    </w:p>
    <w:tbl>
      <w:tblPr>
        <w:tblStyle w:val="6"/>
        <w:tblW w:w="85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4"/>
        <w:gridCol w:w="1074"/>
        <w:gridCol w:w="2456"/>
        <w:gridCol w:w="596"/>
        <w:gridCol w:w="596"/>
        <w:gridCol w:w="596"/>
        <w:gridCol w:w="596"/>
        <w:gridCol w:w="596"/>
        <w:gridCol w:w="597"/>
        <w:gridCol w:w="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4360" w:type="dxa"/>
            <w:gridSpan w:val="3"/>
            <w:vMerge w:val="restart"/>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4179"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4360" w:type="dxa"/>
            <w:gridSpan w:val="3"/>
            <w:vMerge w:val="continue"/>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596"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自然人</w:t>
            </w:r>
          </w:p>
        </w:tc>
        <w:tc>
          <w:tcPr>
            <w:tcW w:w="2985"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法人或其他组织</w:t>
            </w:r>
          </w:p>
        </w:tc>
        <w:tc>
          <w:tcPr>
            <w:tcW w:w="598" w:type="dxa"/>
            <w:vMerge w:val="restart"/>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4" w:hRule="atLeast"/>
          <w:jc w:val="center"/>
        </w:trPr>
        <w:tc>
          <w:tcPr>
            <w:tcW w:w="4360" w:type="dxa"/>
            <w:gridSpan w:val="3"/>
            <w:vMerge w:val="continue"/>
            <w:tcBorders>
              <w:top w:val="single" w:color="auto" w:sz="8" w:space="0"/>
              <w:left w:val="single" w:color="auto" w:sz="8" w:space="0"/>
              <w:bottom w:val="in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596"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企业</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机构</w:t>
            </w:r>
          </w:p>
        </w:tc>
        <w:tc>
          <w:tcPr>
            <w:tcW w:w="597"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社会公益组织</w:t>
            </w:r>
          </w:p>
        </w:tc>
        <w:tc>
          <w:tcPr>
            <w:tcW w:w="597"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法律服务机构</w:t>
            </w:r>
          </w:p>
        </w:tc>
        <w:tc>
          <w:tcPr>
            <w:tcW w:w="59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598" w:type="dxa"/>
            <w:vMerge w:val="continue"/>
            <w:tcBorders>
              <w:top w:val="single" w:color="auto" w:sz="8" w:space="0"/>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436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一、本年新收政府信息公开申请数量</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436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二、上年结转政府信息公开申请数量</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restart"/>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三、本年度办理结果</w:t>
            </w:r>
          </w:p>
        </w:tc>
        <w:tc>
          <w:tcPr>
            <w:tcW w:w="367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（一）予以公开</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367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（二）部分公开（区分处理的，只计这一情形，不计其他情形）</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（三）不予公开</w:t>
            </w: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1.属于国家秘密</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2.其他法律行政法规禁止公开</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3.危及“三安全一稳定”</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4.保护第三方合法权益</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5.属于三类内部事务信息</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6.属于四类过程性信息</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7.属于行政执法案卷</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8.属于行政查询事项</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（四）无法提供</w:t>
            </w:r>
          </w:p>
        </w:tc>
        <w:tc>
          <w:tcPr>
            <w:tcW w:w="2799" w:type="dxa"/>
            <w:tcBorders>
              <w:top w:val="nil"/>
              <w:left w:val="nil"/>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1.本机关不掌握相关政府信息</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2.没有现成信息需要另行制作</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3.补正后申请内容仍不明确</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（五）不予处理</w:t>
            </w: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1.信访举报投诉类申请</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2.重复申请</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3.要求提供公开出版物</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4.无正当理由大量反复申请</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5.要求行政机关确认或重新出具已获取信息</w:t>
            </w:r>
          </w:p>
        </w:tc>
        <w:tc>
          <w:tcPr>
            <w:tcW w:w="596"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inset" w:color="auto" w:sz="8" w:space="0"/>
              <w:right w:val="outset"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restart"/>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（六）其他处理</w:t>
            </w: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1.申请人无正当理由逾期不补正、行政机关不再处理其政府信息公开申请</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7"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2.申请人逾期未按收费通知要求缴纳费用、行政机关不再处理其政府信息公开申请</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872" w:type="dxa"/>
            <w:vMerge w:val="continue"/>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279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3.其他</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89" w:type="dxa"/>
            <w:vMerge w:val="continue"/>
            <w:tcBorders>
              <w:top w:val="nil"/>
              <w:left w:val="single" w:color="auto" w:sz="8" w:space="0"/>
              <w:bottom w:val="in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hAnsi="宋体" w:eastAsia="宋体" w:cs="宋体"/>
                <w:sz w:val="24"/>
                <w:szCs w:val="24"/>
              </w:rPr>
            </w:pPr>
          </w:p>
        </w:tc>
        <w:tc>
          <w:tcPr>
            <w:tcW w:w="367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（七）总计</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360"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四、结转下年度继续办理</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7"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shd w:val="clear" w:fill="FFFFFF"/>
          <w:lang w:val="en-US" w:eastAsia="zh-CN" w:bidi="ar"/>
        </w:rPr>
        <w:t>四、政府信息公开行政复议、行政诉讼情况</w:t>
      </w:r>
    </w:p>
    <w:tbl>
      <w:tblPr>
        <w:tblStyle w:val="6"/>
        <w:tblpPr w:leftFromText="180" w:rightFromText="180" w:vertAnchor="text" w:horzAnchor="page" w:tblpX="2165" w:tblpY="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8" w:hRule="atLeast"/>
        </w:trPr>
        <w:tc>
          <w:tcPr>
            <w:tcW w:w="284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行政复议</w:t>
            </w:r>
          </w:p>
        </w:tc>
        <w:tc>
          <w:tcPr>
            <w:tcW w:w="5682" w:type="dxa"/>
            <w:gridSpan w:val="10"/>
            <w:tcBorders>
              <w:top w:val="single" w:color="auto" w:sz="8" w:space="0"/>
              <w:left w:val="nil"/>
              <w:bottom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8" w:hRule="atLeast"/>
        </w:trPr>
        <w:tc>
          <w:tcPr>
            <w:tcW w:w="5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结果维持</w:t>
            </w:r>
          </w:p>
        </w:tc>
        <w:tc>
          <w:tcPr>
            <w:tcW w:w="56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纠正</w:t>
            </w:r>
          </w:p>
        </w:tc>
        <w:tc>
          <w:tcPr>
            <w:tcW w:w="56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结果</w:t>
            </w:r>
          </w:p>
        </w:tc>
        <w:tc>
          <w:tcPr>
            <w:tcW w:w="56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审结</w:t>
            </w:r>
          </w:p>
        </w:tc>
        <w:tc>
          <w:tcPr>
            <w:tcW w:w="56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总计</w:t>
            </w:r>
          </w:p>
        </w:tc>
        <w:tc>
          <w:tcPr>
            <w:tcW w:w="284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未经复议直接起诉</w:t>
            </w:r>
          </w:p>
        </w:tc>
        <w:tc>
          <w:tcPr>
            <w:tcW w:w="284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5" w:hRule="atLeast"/>
        </w:trPr>
        <w:tc>
          <w:tcPr>
            <w:tcW w:w="5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56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56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56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56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微软雅黑" w:hAnsi="微软雅黑" w:eastAsia="微软雅黑" w:cs="微软雅黑"/>
                <w:sz w:val="24"/>
                <w:szCs w:val="24"/>
              </w:rPr>
            </w:pP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维持</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纠正</w:t>
            </w:r>
          </w:p>
        </w:tc>
        <w:tc>
          <w:tcPr>
            <w:tcW w:w="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结果</w:t>
            </w:r>
          </w:p>
        </w:tc>
        <w:tc>
          <w:tcPr>
            <w:tcW w:w="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审结</w:t>
            </w:r>
          </w:p>
        </w:tc>
        <w:tc>
          <w:tcPr>
            <w:tcW w:w="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总计</w:t>
            </w:r>
          </w:p>
        </w:tc>
        <w:tc>
          <w:tcPr>
            <w:tcW w:w="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维持</w:t>
            </w:r>
          </w:p>
        </w:tc>
        <w:tc>
          <w:tcPr>
            <w:tcW w:w="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纠正</w:t>
            </w:r>
          </w:p>
        </w:tc>
        <w:tc>
          <w:tcPr>
            <w:tcW w:w="5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结果</w:t>
            </w:r>
          </w:p>
        </w:tc>
        <w:tc>
          <w:tcPr>
            <w:tcW w:w="5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审结</w:t>
            </w:r>
          </w:p>
        </w:tc>
        <w:tc>
          <w:tcPr>
            <w:tcW w:w="56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center"/>
              <w:rPr>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5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c>
          <w:tcPr>
            <w:tcW w:w="56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120" w:right="120"/>
              <w:jc w:val="both"/>
              <w:rPr>
                <w:sz w:val="24"/>
                <w:szCs w:val="24"/>
              </w:rPr>
            </w:pPr>
            <w:r>
              <w:rPr>
                <w:rFonts w:hint="eastAsia" w:ascii="宋体" w:hAnsi="宋体" w:eastAsia="宋体" w:cs="宋体"/>
                <w:kern w:val="0"/>
                <w:sz w:val="24"/>
                <w:szCs w:val="24"/>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2023年，我分局在推进政府信息公开工作方面做了大量的工作，取得了一定的成效，但是在工作中也存出一些问题。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（一）存在问题。</w:t>
      </w:r>
      <w:r>
        <w:rPr>
          <w:rFonts w:hint="eastAsia" w:ascii="仿宋_GB2312" w:hAnsi="仿宋_GB2312" w:eastAsia="仿宋_GB2312" w:cs="仿宋_GB2312"/>
          <w:kern w:val="2"/>
          <w:sz w:val="32"/>
          <w:szCs w:val="32"/>
          <w:lang w:val="en-US" w:eastAsia="zh-CN" w:bidi="ar-SA"/>
        </w:rPr>
        <w:t>对县政府门户网站和政务新媒体的信息公开时效性有待进一步提高；政务公开工作深度和广度有待进一步拓展；政策解读工作有待进一步提升；政务公开业务能力还需提升。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sz w:val="32"/>
          <w:szCs w:val="32"/>
          <w:lang w:val="en-US" w:eastAsia="zh-CN"/>
        </w:rPr>
      </w:pPr>
      <w:r>
        <w:rPr>
          <w:rFonts w:hint="eastAsia" w:ascii="微软雅黑" w:hAnsi="微软雅黑" w:eastAsia="微软雅黑" w:cs="微软雅黑"/>
          <w:i w:val="0"/>
          <w:iCs w:val="0"/>
          <w:caps w:val="0"/>
          <w:color w:val="424242"/>
          <w:spacing w:val="0"/>
          <w:sz w:val="27"/>
          <w:szCs w:val="27"/>
          <w:shd w:val="clear" w:fill="FFFFFF"/>
        </w:rPr>
        <w:t>　　</w:t>
      </w:r>
      <w:r>
        <w:rPr>
          <w:rFonts w:hint="eastAsia" w:ascii="楷体_GB2312" w:hAnsi="楷体_GB2312" w:eastAsia="楷体_GB2312" w:cs="楷体_GB2312"/>
          <w:b/>
          <w:bCs/>
          <w:kern w:val="2"/>
          <w:sz w:val="32"/>
          <w:szCs w:val="32"/>
          <w:lang w:val="en-US" w:eastAsia="zh-CN" w:bidi="ar-SA"/>
        </w:rPr>
        <w:t>（二）下一步改进措施。</w:t>
      </w:r>
      <w:r>
        <w:rPr>
          <w:rFonts w:hint="eastAsia" w:ascii="仿宋_GB2312" w:hAnsi="仿宋_GB2312" w:eastAsia="仿宋_GB2312" w:cs="仿宋_GB2312"/>
          <w:kern w:val="2"/>
          <w:sz w:val="32"/>
          <w:szCs w:val="32"/>
          <w:lang w:val="en-US" w:eastAsia="zh-CN" w:bidi="ar-SA"/>
        </w:rPr>
        <w:t>一是加大政务公开督导力度。按照“谁制作、谁公开，谁公开、谁负责”原则，督促各股室认真落实政务公开工作责任，及时公开相关信息，努力推动信息公开质量与时效双提升。二是积极扩展信息公开范围。坚持以公开为常态、不公开为例外，遵循公正、公平、合法、便民的原则，认真梳理，查漏补缺，确保应公开的政务信息全部公开。三是规范做好政策解读工作。及时通过县政府门户网站、微信公众号等政务新媒体，以文字为主、图文并茂、音频和视频为辅的形式解读政策及时公示。四是持续深化业务知识学习。组织各股室认真学习《条例》和政务公开有关政策文件，不断提升主动公开和依申请公开事项办理能力，</w:t>
      </w:r>
      <w:r>
        <w:rPr>
          <w:rFonts w:hint="eastAsia" w:ascii="仿宋_GB2312" w:hAnsi="宋体" w:eastAsia="仿宋_GB2312" w:cs="仿宋_GB2312"/>
          <w:i w:val="0"/>
          <w:iCs w:val="0"/>
          <w:caps w:val="0"/>
          <w:color w:val="000000"/>
          <w:spacing w:val="0"/>
          <w:sz w:val="32"/>
          <w:szCs w:val="32"/>
        </w:rPr>
        <w:t>把政务公开工作打造成</w:t>
      </w:r>
      <w:r>
        <w:rPr>
          <w:rFonts w:hint="eastAsia" w:ascii="仿宋_GB2312" w:hAnsi="宋体" w:eastAsia="仿宋_GB2312" w:cs="仿宋_GB2312"/>
          <w:i w:val="0"/>
          <w:iCs w:val="0"/>
          <w:caps w:val="0"/>
          <w:color w:val="000000"/>
          <w:spacing w:val="0"/>
          <w:sz w:val="32"/>
          <w:szCs w:val="32"/>
          <w:lang w:eastAsia="zh-CN"/>
        </w:rPr>
        <w:t>“</w:t>
      </w:r>
      <w:r>
        <w:rPr>
          <w:rFonts w:hint="eastAsia" w:ascii="仿宋_GB2312" w:hAnsi="宋体" w:eastAsia="仿宋_GB2312" w:cs="仿宋_GB2312"/>
          <w:i w:val="0"/>
          <w:iCs w:val="0"/>
          <w:caps w:val="0"/>
          <w:color w:val="000000"/>
          <w:spacing w:val="0"/>
          <w:sz w:val="32"/>
          <w:szCs w:val="32"/>
        </w:rPr>
        <w:t>顺民心、解民忧、惠</w:t>
      </w:r>
      <w:r>
        <w:rPr>
          <w:rFonts w:hint="eastAsia" w:ascii="仿宋_GB2312" w:hAnsi="宋体" w:eastAsia="仿宋_GB2312" w:cs="仿宋_GB2312"/>
          <w:i w:val="0"/>
          <w:iCs w:val="0"/>
          <w:caps w:val="0"/>
          <w:color w:val="000000"/>
          <w:spacing w:val="0"/>
          <w:sz w:val="32"/>
          <w:szCs w:val="32"/>
          <w:lang w:val="en-US" w:eastAsia="zh-CN"/>
        </w:rPr>
        <w:t>民生、暖民心</w:t>
      </w:r>
      <w:r>
        <w:rPr>
          <w:rFonts w:hint="eastAsia" w:ascii="仿宋_GB2312" w:hAnsi="宋体" w:eastAsia="仿宋_GB2312" w:cs="仿宋_GB2312"/>
          <w:i w:val="0"/>
          <w:iCs w:val="0"/>
          <w:caps w:val="0"/>
          <w:color w:val="000000"/>
          <w:spacing w:val="0"/>
          <w:sz w:val="32"/>
          <w:szCs w:val="32"/>
          <w:lang w:eastAsia="zh-CN"/>
        </w:rPr>
        <w:t>”</w:t>
      </w:r>
      <w:r>
        <w:rPr>
          <w:rFonts w:hint="eastAsia" w:ascii="仿宋_GB2312" w:hAnsi="宋体" w:eastAsia="仿宋_GB2312" w:cs="仿宋_GB2312"/>
          <w:i w:val="0"/>
          <w:iCs w:val="0"/>
          <w:caps w:val="0"/>
          <w:color w:val="000000"/>
          <w:spacing w:val="0"/>
          <w:sz w:val="32"/>
          <w:szCs w:val="32"/>
          <w:lang w:val="en-US" w:eastAsia="zh-CN"/>
        </w:rPr>
        <w:t>工程，</w:t>
      </w:r>
      <w:r>
        <w:rPr>
          <w:rFonts w:hint="eastAsia" w:ascii="仿宋_GB2312" w:hAnsi="仿宋_GB2312" w:eastAsia="仿宋_GB2312" w:cs="仿宋_GB2312"/>
          <w:sz w:val="32"/>
          <w:szCs w:val="32"/>
          <w:lang w:val="en-US" w:eastAsia="zh-CN"/>
        </w:rPr>
        <w:t>为公众提供更便捷的政务服务。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认真贯彻执行国务院办公厅《政府信息公开信息处理费管理办法》和《关于政府信息公开处理费管理有关事项的通知》。2023年未收取信息处理费。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58975158"/>
    <w:rsid w:val="01C0150A"/>
    <w:rsid w:val="02B04EBD"/>
    <w:rsid w:val="02F079B0"/>
    <w:rsid w:val="041D07B3"/>
    <w:rsid w:val="04F11C30"/>
    <w:rsid w:val="065B3392"/>
    <w:rsid w:val="073836D3"/>
    <w:rsid w:val="075B6A1A"/>
    <w:rsid w:val="07724849"/>
    <w:rsid w:val="07E76EF1"/>
    <w:rsid w:val="0A7A04B5"/>
    <w:rsid w:val="0AE023EE"/>
    <w:rsid w:val="0B1C7E4A"/>
    <w:rsid w:val="0D757F39"/>
    <w:rsid w:val="10A46FC0"/>
    <w:rsid w:val="1122342A"/>
    <w:rsid w:val="151F4E01"/>
    <w:rsid w:val="1582564B"/>
    <w:rsid w:val="15F33C90"/>
    <w:rsid w:val="17622F41"/>
    <w:rsid w:val="194A1D76"/>
    <w:rsid w:val="1AD32B0B"/>
    <w:rsid w:val="1AD53259"/>
    <w:rsid w:val="1AFC4CEC"/>
    <w:rsid w:val="1BBA2999"/>
    <w:rsid w:val="1EB12291"/>
    <w:rsid w:val="1EF57FC1"/>
    <w:rsid w:val="1F027D1E"/>
    <w:rsid w:val="2025639A"/>
    <w:rsid w:val="20785D3D"/>
    <w:rsid w:val="20865991"/>
    <w:rsid w:val="21FC539C"/>
    <w:rsid w:val="24B645B7"/>
    <w:rsid w:val="25490842"/>
    <w:rsid w:val="2702368A"/>
    <w:rsid w:val="27B94ABC"/>
    <w:rsid w:val="27DD7C53"/>
    <w:rsid w:val="283C3C20"/>
    <w:rsid w:val="2E13623A"/>
    <w:rsid w:val="31D16A7B"/>
    <w:rsid w:val="335556EC"/>
    <w:rsid w:val="33D64A34"/>
    <w:rsid w:val="37190453"/>
    <w:rsid w:val="37FE2AA3"/>
    <w:rsid w:val="38897F8E"/>
    <w:rsid w:val="38CF7E86"/>
    <w:rsid w:val="399E3B89"/>
    <w:rsid w:val="3B751C98"/>
    <w:rsid w:val="3E712EAA"/>
    <w:rsid w:val="3FE835D9"/>
    <w:rsid w:val="42162288"/>
    <w:rsid w:val="425F55CD"/>
    <w:rsid w:val="4320139D"/>
    <w:rsid w:val="44901564"/>
    <w:rsid w:val="46ED7A5B"/>
    <w:rsid w:val="49413E94"/>
    <w:rsid w:val="4A563B69"/>
    <w:rsid w:val="4CA420B3"/>
    <w:rsid w:val="4CDA0496"/>
    <w:rsid w:val="4D956757"/>
    <w:rsid w:val="4F5F39B4"/>
    <w:rsid w:val="50494A06"/>
    <w:rsid w:val="51DB440E"/>
    <w:rsid w:val="523A073B"/>
    <w:rsid w:val="56E6566F"/>
    <w:rsid w:val="5728063B"/>
    <w:rsid w:val="582757C6"/>
    <w:rsid w:val="58975158"/>
    <w:rsid w:val="5B5B0898"/>
    <w:rsid w:val="5BEA7E6A"/>
    <w:rsid w:val="5BF525CF"/>
    <w:rsid w:val="5C5B6E7F"/>
    <w:rsid w:val="5C7142C5"/>
    <w:rsid w:val="5F0279C4"/>
    <w:rsid w:val="5F5A335C"/>
    <w:rsid w:val="60FE69B5"/>
    <w:rsid w:val="61C64397"/>
    <w:rsid w:val="625D2FA9"/>
    <w:rsid w:val="65C14135"/>
    <w:rsid w:val="65D200F0"/>
    <w:rsid w:val="665C6A05"/>
    <w:rsid w:val="69311FE3"/>
    <w:rsid w:val="6E4B4EE4"/>
    <w:rsid w:val="6FA3503F"/>
    <w:rsid w:val="73850B38"/>
    <w:rsid w:val="75504B8E"/>
    <w:rsid w:val="78C170E1"/>
    <w:rsid w:val="7F56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2024-01-17T02:09:00Z</dcterms:created>
  <dc:creator>Administrator</dc:creator>
  <cp:lastModifiedBy>八爪小鱼</cp:lastModifiedBy>
  <cp:lastPrinted>2024-01-29T05:34:00Z</cp:lastPrinted>
  <dcterms:modified xsi:type="dcterms:W3CDTF">2024-02-01T10:19:47Z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93666847C4DB42B0AE8E05F92C1144D4_11</vt:lpwstr>
  </property>
</Properties>
</file>