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w:t>
      </w:r>
      <w:r>
        <w:rPr>
          <w:rFonts w:hint="eastAsia" w:ascii="黑体" w:hAnsi="黑体" w:eastAsia="黑体" w:cs="黑体"/>
          <w:b/>
          <w:color w:val="000000"/>
          <w:sz w:val="44"/>
          <w:lang w:val="en-US" w:eastAsia="zh-CN"/>
        </w:rPr>
        <w:t>自然资源和规划</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5</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7</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9</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2</w:t>
      </w:r>
      <w:r>
        <w:rPr>
          <w:rFonts w:hint="eastAsia" w:eastAsiaTheme="minorEastAsia"/>
          <w:lang w:eastAsia="zh-CN"/>
        </w:rPr>
        <w:fldChar w:fldCharType="end"/>
      </w:r>
      <w:r>
        <w:rPr>
          <w:rFonts w:hint="eastAsia" w:eastAsiaTheme="minorEastAsia"/>
          <w:lang w:val="en-US" w:eastAsia="zh-CN"/>
        </w:rPr>
        <w:t>1</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70</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74</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75</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76</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126" w:type="dxa"/>
            <w:tcBorders>
              <w:top w:val="single" w:color="FFFFFF" w:sz="6" w:space="0"/>
              <w:left w:val="single" w:color="FFFFFF" w:sz="6" w:space="0"/>
              <w:right w:val="single" w:color="FFFFFF" w:sz="6" w:space="0"/>
            </w:tcBorders>
            <w:vAlign w:val="center"/>
          </w:tcPr>
          <w:p>
            <w:pPr>
              <w:pStyle w:val="13"/>
              <w:rPr>
                <w:rFonts w:hint="eastAsia"/>
                <w:lang w:val="en-US" w:eastAsia="zh-CN"/>
              </w:rPr>
            </w:pPr>
            <w:r>
              <w:rPr>
                <w:rFonts w:hint="eastAsia"/>
              </w:rPr>
              <w:t>预算年度：</w:t>
            </w:r>
            <w:r>
              <w:t>202</w:t>
            </w:r>
            <w:r>
              <w:rPr>
                <w:rFonts w:hint="eastAsia"/>
                <w:lang w:val="en-US" w:eastAsia="zh-CN"/>
              </w:rPr>
              <w:t>3</w:t>
            </w:r>
          </w:p>
          <w:p>
            <w:pPr>
              <w:pStyle w:val="13"/>
              <w:rPr>
                <w:rFonts w:hint="eastAsia"/>
                <w:lang w:val="en-US" w:eastAsia="zh-CN"/>
              </w:rPr>
            </w:pP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5088.05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2177.52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2131.42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3421.48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top"/>
          </w:tcPr>
          <w:p>
            <w:pPr>
              <w:jc w:val="left"/>
            </w:pPr>
          </w:p>
        </w:tc>
        <w:tc>
          <w:tcPr>
            <w:tcW w:w="2126" w:type="dxa"/>
            <w:vAlign w:val="top"/>
          </w:tcPr>
          <w:p>
            <w:pPr>
              <w:jc w:val="righ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144398.28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147104.02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2705.74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2705.74</w:t>
            </w:r>
          </w:p>
        </w:tc>
        <w:tc>
          <w:tcPr>
            <w:tcW w:w="4535" w:type="dxa"/>
            <w:vAlign w:val="top"/>
          </w:tcPr>
          <w:p>
            <w:pPr>
              <w:jc w:val="left"/>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126" w:type="dxa"/>
            <w:vAlign w:val="top"/>
          </w:tcPr>
          <w:p>
            <w:pPr>
              <w:jc w:val="right"/>
            </w:pPr>
          </w:p>
        </w:tc>
        <w:tc>
          <w:tcPr>
            <w:tcW w:w="4535" w:type="dxa"/>
            <w:vAlign w:val="top"/>
          </w:tcPr>
          <w:p>
            <w:pPr>
              <w:jc w:val="left"/>
              <w:rPr>
                <w:rFonts w:hint="eastAsia"/>
              </w:rPr>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126" w:type="dxa"/>
            <w:vAlign w:val="top"/>
          </w:tcPr>
          <w:p>
            <w:pPr>
              <w:jc w:val="right"/>
            </w:pPr>
          </w:p>
        </w:tc>
        <w:tc>
          <w:tcPr>
            <w:tcW w:w="4535" w:type="dxa"/>
            <w:vAlign w:val="top"/>
          </w:tcPr>
          <w:p>
            <w:pPr>
              <w:jc w:val="left"/>
              <w:rPr>
                <w:rFonts w:hint="eastAsia"/>
              </w:rPr>
            </w:pP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收入总计</w:t>
            </w:r>
          </w:p>
        </w:tc>
        <w:tc>
          <w:tcPr>
            <w:tcW w:w="2126"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147104.02</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支出总计</w:t>
            </w:r>
          </w:p>
        </w:tc>
        <w:tc>
          <w:tcPr>
            <w:tcW w:w="2126"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47104.02</w:t>
            </w:r>
          </w:p>
        </w:tc>
      </w:tr>
    </w:tbl>
    <w:p/>
    <w:p>
      <w:pPr>
        <w:sectPr>
          <w:footerReference r:id="rId3" w:type="default"/>
          <w:footerReference r:id="rId4" w:type="even"/>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250"/>
        <w:gridCol w:w="1260"/>
        <w:gridCol w:w="1275"/>
        <w:gridCol w:w="990"/>
        <w:gridCol w:w="1020"/>
        <w:gridCol w:w="1095"/>
        <w:gridCol w:w="1048"/>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41"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3285"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545"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250" w:type="dxa"/>
            <w:vMerge w:val="restart"/>
            <w:vAlign w:val="center"/>
          </w:tcPr>
          <w:p>
            <w:pPr>
              <w:pStyle w:val="15"/>
            </w:pPr>
            <w:r>
              <w:rPr>
                <w:rFonts w:hint="eastAsia"/>
              </w:rPr>
              <w:t>合计</w:t>
            </w:r>
          </w:p>
        </w:tc>
        <w:tc>
          <w:tcPr>
            <w:tcW w:w="8956"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250" w:type="dxa"/>
            <w:vMerge w:val="continue"/>
          </w:tcPr>
          <w:p/>
        </w:tc>
        <w:tc>
          <w:tcPr>
            <w:tcW w:w="1260" w:type="dxa"/>
            <w:vAlign w:val="center"/>
          </w:tcPr>
          <w:p>
            <w:pPr>
              <w:pStyle w:val="15"/>
            </w:pPr>
            <w:r>
              <w:rPr>
                <w:rFonts w:hint="eastAsia"/>
              </w:rPr>
              <w:t>小计</w:t>
            </w:r>
          </w:p>
        </w:tc>
        <w:tc>
          <w:tcPr>
            <w:tcW w:w="1275" w:type="dxa"/>
            <w:vAlign w:val="center"/>
          </w:tcPr>
          <w:p>
            <w:pPr>
              <w:pStyle w:val="15"/>
            </w:pPr>
            <w:r>
              <w:rPr>
                <w:rFonts w:hint="eastAsia"/>
              </w:rPr>
              <w:t>财政拨款</w:t>
            </w:r>
            <w:r>
              <w:t xml:space="preserve"> </w:t>
            </w:r>
            <w:r>
              <w:rPr>
                <w:rFonts w:hint="eastAsia"/>
              </w:rPr>
              <w:t>收入</w:t>
            </w:r>
          </w:p>
        </w:tc>
        <w:tc>
          <w:tcPr>
            <w:tcW w:w="990" w:type="dxa"/>
            <w:vAlign w:val="center"/>
          </w:tcPr>
          <w:p>
            <w:pPr>
              <w:pStyle w:val="15"/>
            </w:pPr>
            <w:r>
              <w:rPr>
                <w:rFonts w:hint="eastAsia"/>
              </w:rPr>
              <w:t>财政专户</w:t>
            </w:r>
            <w:r>
              <w:t xml:space="preserve"> </w:t>
            </w:r>
            <w:r>
              <w:rPr>
                <w:rFonts w:hint="eastAsia"/>
              </w:rPr>
              <w:t>收入</w:t>
            </w:r>
          </w:p>
        </w:tc>
        <w:tc>
          <w:tcPr>
            <w:tcW w:w="1020" w:type="dxa"/>
            <w:vAlign w:val="center"/>
          </w:tcPr>
          <w:p>
            <w:pPr>
              <w:pStyle w:val="15"/>
            </w:pPr>
            <w:r>
              <w:rPr>
                <w:rFonts w:hint="eastAsia"/>
              </w:rPr>
              <w:t>事业收入</w:t>
            </w:r>
          </w:p>
        </w:tc>
        <w:tc>
          <w:tcPr>
            <w:tcW w:w="1095" w:type="dxa"/>
            <w:vAlign w:val="center"/>
          </w:tcPr>
          <w:p>
            <w:pPr>
              <w:pStyle w:val="15"/>
            </w:pPr>
            <w:r>
              <w:rPr>
                <w:rFonts w:hint="eastAsia"/>
              </w:rPr>
              <w:t>经营收入</w:t>
            </w:r>
          </w:p>
        </w:tc>
        <w:tc>
          <w:tcPr>
            <w:tcW w:w="1048"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250" w:type="dxa"/>
            <w:vAlign w:val="center"/>
          </w:tcPr>
          <w:p>
            <w:pPr>
              <w:pStyle w:val="15"/>
            </w:pPr>
            <w:r>
              <w:t>3</w:t>
            </w:r>
          </w:p>
        </w:tc>
        <w:tc>
          <w:tcPr>
            <w:tcW w:w="1260" w:type="dxa"/>
            <w:vAlign w:val="center"/>
          </w:tcPr>
          <w:p>
            <w:pPr>
              <w:pStyle w:val="15"/>
            </w:pPr>
            <w:r>
              <w:t>4</w:t>
            </w:r>
          </w:p>
        </w:tc>
        <w:tc>
          <w:tcPr>
            <w:tcW w:w="1275" w:type="dxa"/>
            <w:vAlign w:val="center"/>
          </w:tcPr>
          <w:p>
            <w:pPr>
              <w:pStyle w:val="15"/>
            </w:pPr>
            <w:r>
              <w:t>5</w:t>
            </w:r>
          </w:p>
        </w:tc>
        <w:tc>
          <w:tcPr>
            <w:tcW w:w="990" w:type="dxa"/>
            <w:vAlign w:val="center"/>
          </w:tcPr>
          <w:p>
            <w:pPr>
              <w:pStyle w:val="15"/>
            </w:pPr>
            <w:r>
              <w:t>6</w:t>
            </w:r>
          </w:p>
        </w:tc>
        <w:tc>
          <w:tcPr>
            <w:tcW w:w="1020" w:type="dxa"/>
            <w:vAlign w:val="center"/>
          </w:tcPr>
          <w:p>
            <w:pPr>
              <w:pStyle w:val="15"/>
            </w:pPr>
            <w:r>
              <w:t>7</w:t>
            </w:r>
          </w:p>
        </w:tc>
        <w:tc>
          <w:tcPr>
            <w:tcW w:w="1095" w:type="dxa"/>
            <w:vAlign w:val="center"/>
          </w:tcPr>
          <w:p>
            <w:pPr>
              <w:pStyle w:val="15"/>
            </w:pPr>
            <w:r>
              <w:t>8</w:t>
            </w:r>
          </w:p>
        </w:tc>
        <w:tc>
          <w:tcPr>
            <w:tcW w:w="1048"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pPr>
              <w:jc w:val="left"/>
            </w:pP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1250" w:type="dxa"/>
            <w:vAlign w:val="center"/>
          </w:tcPr>
          <w:p>
            <w:pPr>
              <w:keepNext w:val="0"/>
              <w:keepLines w:val="0"/>
              <w:widowControl/>
              <w:suppressLineNumbers w:val="0"/>
              <w:jc w:val="left"/>
              <w:textAlignment w:val="center"/>
              <w:rPr>
                <w:rFonts w:hint="default"/>
                <w:lang w:val="en-US"/>
              </w:rPr>
            </w:pPr>
            <w:r>
              <w:rPr>
                <w:rFonts w:hint="eastAsia" w:ascii="宋体" w:hAnsi="宋体" w:cs="宋体"/>
                <w:i w:val="0"/>
                <w:iCs w:val="0"/>
                <w:color w:val="000000"/>
                <w:kern w:val="0"/>
                <w:sz w:val="22"/>
                <w:szCs w:val="22"/>
                <w:u w:val="none"/>
                <w:lang w:val="en-US" w:eastAsia="zh-CN" w:bidi="ar"/>
              </w:rPr>
              <w:t>147104.02</w:t>
            </w:r>
          </w:p>
        </w:tc>
        <w:tc>
          <w:tcPr>
            <w:tcW w:w="1260" w:type="dxa"/>
            <w:vAlign w:val="center"/>
          </w:tcPr>
          <w:p>
            <w:pPr>
              <w:keepNext w:val="0"/>
              <w:keepLines w:val="0"/>
              <w:widowControl/>
              <w:suppressLineNumbers w:val="0"/>
              <w:jc w:val="left"/>
              <w:textAlignment w:val="center"/>
              <w:rPr>
                <w:rFonts w:hint="default"/>
                <w:lang w:val="en-US"/>
              </w:rPr>
            </w:pPr>
            <w:r>
              <w:rPr>
                <w:rFonts w:hint="eastAsia" w:ascii="宋体" w:hAnsi="宋体" w:cs="宋体"/>
                <w:i w:val="0"/>
                <w:iCs w:val="0"/>
                <w:color w:val="000000"/>
                <w:kern w:val="0"/>
                <w:sz w:val="22"/>
                <w:szCs w:val="22"/>
                <w:u w:val="none"/>
                <w:lang w:val="en-US" w:eastAsia="zh-CN" w:bidi="ar"/>
              </w:rPr>
              <w:t>144398.28</w:t>
            </w:r>
          </w:p>
        </w:tc>
        <w:tc>
          <w:tcPr>
            <w:tcW w:w="1275" w:type="dxa"/>
            <w:vAlign w:val="center"/>
          </w:tcPr>
          <w:p>
            <w:pPr>
              <w:keepNext w:val="0"/>
              <w:keepLines w:val="0"/>
              <w:widowControl/>
              <w:suppressLineNumbers w:val="0"/>
              <w:jc w:val="lef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44398.28</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2705.74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12.52</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12.52</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12.52</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2101103</w:t>
            </w:r>
          </w:p>
        </w:tc>
        <w:tc>
          <w:tcPr>
            <w:tcW w:w="1559"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公务员医疗补助</w:t>
            </w:r>
          </w:p>
        </w:tc>
        <w:tc>
          <w:tcPr>
            <w:tcW w:w="1250"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w:t>
            </w:r>
          </w:p>
        </w:tc>
        <w:tc>
          <w:tcPr>
            <w:tcW w:w="1260"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w:t>
            </w:r>
          </w:p>
        </w:tc>
        <w:tc>
          <w:tcPr>
            <w:tcW w:w="1275"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eastAsia="宋体"/>
                <w:lang w:val="en-US" w:eastAsia="zh-CN"/>
              </w:rPr>
            </w:pPr>
            <w:r>
              <w:rPr>
                <w:rFonts w:hint="eastAsia" w:ascii="宋体" w:hAnsi="宋体" w:eastAsia="宋体" w:cs="宋体"/>
                <w:sz w:val="22"/>
                <w:szCs w:val="22"/>
                <w:lang w:val="en-US" w:eastAsia="zh-CN"/>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1250"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2177.52</w:t>
            </w:r>
          </w:p>
        </w:tc>
        <w:tc>
          <w:tcPr>
            <w:tcW w:w="1260"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337.78</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337.78</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1839.74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lang w:val="en-US" w:eastAsia="zh-CN"/>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1878.00</w:t>
            </w:r>
          </w:p>
        </w:tc>
        <w:tc>
          <w:tcPr>
            <w:tcW w:w="126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128</w:t>
            </w:r>
            <w:r>
              <w:rPr>
                <w:rFonts w:hint="eastAsia" w:ascii="宋体" w:hAnsi="宋体" w:eastAsia="宋体" w:cs="宋体"/>
                <w:i w:val="0"/>
                <w:iCs w:val="0"/>
                <w:color w:val="000000"/>
                <w:kern w:val="0"/>
                <w:sz w:val="22"/>
                <w:szCs w:val="22"/>
                <w:u w:val="none"/>
                <w:lang w:val="en-US" w:eastAsia="zh-CN" w:bidi="ar"/>
              </w:rPr>
              <w:t>.00</w:t>
            </w:r>
          </w:p>
        </w:tc>
        <w:tc>
          <w:tcPr>
            <w:tcW w:w="1275"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128</w:t>
            </w:r>
            <w:r>
              <w:rPr>
                <w:rFonts w:hint="eastAsia" w:ascii="宋体" w:hAnsi="宋体" w:eastAsia="宋体" w:cs="宋体"/>
                <w:i w:val="0"/>
                <w:iCs w:val="0"/>
                <w:color w:val="000000"/>
                <w:kern w:val="0"/>
                <w:sz w:val="22"/>
                <w:szCs w:val="22"/>
                <w:u w:val="none"/>
                <w:lang w:val="en-US" w:eastAsia="zh-CN" w:bidi="ar"/>
              </w:rPr>
              <w:t>.00</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1750</w:t>
            </w:r>
            <w:r>
              <w:rPr>
                <w:rFonts w:hint="eastAsia" w:ascii="宋体" w:hAnsi="宋体" w:eastAsia="宋体" w:cs="宋体"/>
                <w:i w:val="0"/>
                <w:iCs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1878.00</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128</w:t>
            </w:r>
            <w:r>
              <w:rPr>
                <w:rFonts w:hint="eastAsia" w:ascii="宋体" w:hAnsi="宋体" w:cs="宋体"/>
                <w:sz w:val="22"/>
                <w:szCs w:val="22"/>
                <w:lang w:val="en-US" w:eastAsia="zh-CN"/>
              </w:rPr>
              <w:t>.00</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128</w:t>
            </w:r>
            <w:r>
              <w:rPr>
                <w:rFonts w:hint="eastAsia" w:ascii="宋体" w:hAnsi="宋体" w:cs="宋体"/>
                <w:sz w:val="22"/>
                <w:szCs w:val="22"/>
                <w:lang w:val="en-US" w:eastAsia="zh-CN"/>
              </w:rPr>
              <w:t>.00</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299.52</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209.78</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209.78</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89.7</w:t>
            </w:r>
            <w:r>
              <w:rPr>
                <w:rFonts w:hint="eastAsia" w:ascii="宋体" w:hAnsi="宋体" w:eastAsia="宋体" w:cs="宋体"/>
                <w:i w:val="0"/>
                <w:iCs w:val="0"/>
                <w:color w:val="000000"/>
                <w:kern w:val="0"/>
                <w:sz w:val="22"/>
                <w:szCs w:val="22"/>
                <w:u w:val="none"/>
                <w:lang w:val="en-US" w:eastAsia="zh-CN" w:bidi="ar"/>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1559"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1250"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299.52</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209.78</w:t>
            </w:r>
          </w:p>
        </w:tc>
        <w:tc>
          <w:tcPr>
            <w:tcW w:w="1275"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209.78</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250"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139310.23</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139310.23</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139310.23</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139310.23</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139310.23</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139310.23</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征地和拆迁补偿支出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210.14</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210.14</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210.14</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土地开发支出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62560.49</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62560.49</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62560.49</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城市建设支出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13896.31</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13896.31</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13896.31</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农村基础设施建设支出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3777.29</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3777.29</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3777.29</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补助被征地农民支出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741.85</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741.85</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741.85</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6</w:t>
            </w:r>
          </w:p>
        </w:tc>
        <w:tc>
          <w:tcPr>
            <w:tcW w:w="1559" w:type="dxa"/>
            <w:vAlign w:val="top"/>
          </w:tcPr>
          <w:p>
            <w:pPr>
              <w:keepNext w:val="0"/>
              <w:keepLines w:val="0"/>
              <w:widowControl/>
              <w:suppressLineNumbers w:val="0"/>
              <w:jc w:val="left"/>
              <w:textAlignment w:val="top"/>
              <w:rPr>
                <w:rFonts w:hint="default"/>
                <w:lang w:val="en-US"/>
              </w:rPr>
            </w:pPr>
            <w:r>
              <w:rPr>
                <w:rFonts w:hint="eastAsia" w:ascii="宋体" w:hAnsi="宋体" w:cs="宋体"/>
                <w:i w:val="0"/>
                <w:iCs w:val="0"/>
                <w:color w:val="000000"/>
                <w:kern w:val="0"/>
                <w:sz w:val="22"/>
                <w:szCs w:val="22"/>
                <w:u w:val="none"/>
                <w:lang w:val="en-US" w:eastAsia="zh-CN" w:bidi="ar"/>
              </w:rPr>
              <w:t>农业农村生态环境支出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4220.45</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4220.45</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4220.45</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53903.70</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53903.70</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53903.70</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250"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cs="宋体"/>
                <w:i w:val="0"/>
                <w:iCs w:val="0"/>
                <w:color w:val="000000"/>
                <w:kern w:val="0"/>
                <w:sz w:val="22"/>
                <w:szCs w:val="22"/>
                <w:u w:val="none"/>
                <w:lang w:val="en-US" w:eastAsia="zh-CN" w:bidi="ar"/>
              </w:rPr>
              <w:t>2131.4</w:t>
            </w:r>
            <w:r>
              <w:rPr>
                <w:rFonts w:hint="eastAsia" w:ascii="宋体" w:hAnsi="宋体" w:eastAsia="宋体" w:cs="宋体"/>
                <w:i w:val="0"/>
                <w:iCs w:val="0"/>
                <w:color w:val="000000"/>
                <w:kern w:val="0"/>
                <w:sz w:val="22"/>
                <w:szCs w:val="22"/>
                <w:u w:val="none"/>
                <w:lang w:val="en-US" w:eastAsia="zh-CN" w:bidi="ar"/>
              </w:rPr>
              <w:t>2</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1608.42</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1608.42</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523.00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2131.42</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1608.42</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1608.42</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523.00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森林资源培育</w:t>
            </w:r>
          </w:p>
        </w:tc>
        <w:tc>
          <w:tcPr>
            <w:tcW w:w="1250"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cs="宋体"/>
                <w:i w:val="0"/>
                <w:iCs w:val="0"/>
                <w:color w:val="000000"/>
                <w:kern w:val="0"/>
                <w:sz w:val="22"/>
                <w:szCs w:val="22"/>
                <w:u w:val="none"/>
                <w:lang w:val="en-US" w:eastAsia="zh-CN" w:bidi="ar"/>
              </w:rPr>
              <w:t>343</w:t>
            </w:r>
            <w:r>
              <w:rPr>
                <w:rFonts w:hint="eastAsia" w:ascii="宋体" w:hAnsi="宋体" w:eastAsia="宋体" w:cs="宋体"/>
                <w:i w:val="0"/>
                <w:iCs w:val="0"/>
                <w:color w:val="000000"/>
                <w:kern w:val="0"/>
                <w:sz w:val="22"/>
                <w:szCs w:val="22"/>
                <w:u w:val="none"/>
                <w:lang w:val="en-US" w:eastAsia="zh-CN" w:bidi="ar"/>
              </w:rPr>
              <w:t>.00</w:t>
            </w:r>
          </w:p>
        </w:tc>
        <w:tc>
          <w:tcPr>
            <w:tcW w:w="1260"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cs="宋体"/>
                <w:i w:val="0"/>
                <w:iCs w:val="0"/>
                <w:color w:val="000000"/>
                <w:kern w:val="0"/>
                <w:sz w:val="22"/>
                <w:szCs w:val="22"/>
                <w:u w:val="none"/>
                <w:lang w:val="en-US" w:eastAsia="zh-CN" w:bidi="ar"/>
              </w:rPr>
              <w:t>183</w:t>
            </w:r>
            <w:r>
              <w:rPr>
                <w:rFonts w:hint="eastAsia" w:ascii="宋体" w:hAnsi="宋体" w:eastAsia="宋体" w:cs="宋体"/>
                <w:i w:val="0"/>
                <w:iCs w:val="0"/>
                <w:color w:val="000000"/>
                <w:kern w:val="0"/>
                <w:sz w:val="22"/>
                <w:szCs w:val="22"/>
                <w:u w:val="none"/>
                <w:lang w:val="en-US" w:eastAsia="zh-CN" w:bidi="ar"/>
              </w:rPr>
              <w:t>.00</w:t>
            </w:r>
          </w:p>
        </w:tc>
        <w:tc>
          <w:tcPr>
            <w:tcW w:w="1275"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cs="宋体"/>
                <w:i w:val="0"/>
                <w:iCs w:val="0"/>
                <w:color w:val="000000"/>
                <w:kern w:val="0"/>
                <w:sz w:val="22"/>
                <w:szCs w:val="22"/>
                <w:u w:val="none"/>
                <w:lang w:val="en-US" w:eastAsia="zh-CN" w:bidi="ar"/>
              </w:rPr>
              <w:t>183</w:t>
            </w:r>
            <w:r>
              <w:rPr>
                <w:rFonts w:hint="eastAsia" w:ascii="宋体" w:hAnsi="宋体" w:eastAsia="宋体" w:cs="宋体"/>
                <w:i w:val="0"/>
                <w:iCs w:val="0"/>
                <w:color w:val="000000"/>
                <w:kern w:val="0"/>
                <w:sz w:val="22"/>
                <w:szCs w:val="22"/>
                <w:u w:val="none"/>
                <w:lang w:val="en-US" w:eastAsia="zh-CN" w:bidi="ar"/>
              </w:rPr>
              <w:t>.00</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cs="宋体"/>
                <w:i w:val="0"/>
                <w:iCs w:val="0"/>
                <w:color w:val="000000"/>
                <w:kern w:val="0"/>
                <w:sz w:val="22"/>
                <w:szCs w:val="22"/>
                <w:u w:val="none"/>
                <w:lang w:val="en-US" w:eastAsia="zh-CN" w:bidi="ar"/>
              </w:rPr>
              <w:t>160</w:t>
            </w:r>
            <w:r>
              <w:rPr>
                <w:rFonts w:hint="eastAsia" w:ascii="宋体" w:hAnsi="宋体" w:eastAsia="宋体" w:cs="宋体"/>
                <w:i w:val="0"/>
                <w:iCs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8.64</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8.64</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8.64</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1059.20</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1059.20</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1059.20</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28</w:t>
            </w:r>
          </w:p>
        </w:tc>
        <w:tc>
          <w:tcPr>
            <w:tcW w:w="992"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213021</w:t>
            </w:r>
            <w:r>
              <w:rPr>
                <w:rFonts w:hint="eastAsia" w:ascii="宋体" w:hAnsi="宋体" w:cs="宋体"/>
                <w:i w:val="0"/>
                <w:iCs w:val="0"/>
                <w:color w:val="000000"/>
                <w:kern w:val="0"/>
                <w:sz w:val="22"/>
                <w:szCs w:val="22"/>
                <w:u w:val="none"/>
                <w:lang w:val="en-US" w:eastAsia="zh-CN" w:bidi="ar"/>
              </w:rPr>
              <w:t>1</w:t>
            </w:r>
          </w:p>
        </w:tc>
        <w:tc>
          <w:tcPr>
            <w:tcW w:w="1559" w:type="dxa"/>
            <w:vAlign w:val="top"/>
          </w:tcPr>
          <w:p>
            <w:pPr>
              <w:keepNext w:val="0"/>
              <w:keepLines w:val="0"/>
              <w:widowControl/>
              <w:suppressLineNumbers w:val="0"/>
              <w:jc w:val="left"/>
              <w:textAlignment w:val="top"/>
              <w:rPr>
                <w:rFonts w:hint="default"/>
                <w:lang w:val="en-US"/>
              </w:rPr>
            </w:pPr>
            <w:r>
              <w:rPr>
                <w:rFonts w:hint="eastAsia" w:ascii="宋体" w:hAnsi="宋体" w:cs="宋体"/>
                <w:i w:val="0"/>
                <w:iCs w:val="0"/>
                <w:color w:val="000000"/>
                <w:kern w:val="0"/>
                <w:sz w:val="22"/>
                <w:szCs w:val="22"/>
                <w:u w:val="none"/>
                <w:lang w:val="en-US" w:eastAsia="zh-CN" w:bidi="ar"/>
              </w:rPr>
              <w:t>动植物保护</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6.30</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6.30</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6.30</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714.28</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351.28</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351.28</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250" w:type="dxa"/>
            <w:vAlign w:val="center"/>
          </w:tcPr>
          <w:p>
            <w:pPr>
              <w:keepNext w:val="0"/>
              <w:keepLines w:val="0"/>
              <w:widowControl/>
              <w:suppressLineNumbers w:val="0"/>
              <w:jc w:val="right"/>
              <w:textAlignment w:val="center"/>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3421.48</w:t>
            </w:r>
          </w:p>
        </w:tc>
        <w:tc>
          <w:tcPr>
            <w:tcW w:w="1260" w:type="dxa"/>
            <w:vAlign w:val="center"/>
          </w:tcPr>
          <w:p>
            <w:pPr>
              <w:keepNext w:val="0"/>
              <w:keepLines w:val="0"/>
              <w:widowControl/>
              <w:suppressLineNumbers w:val="0"/>
              <w:jc w:val="right"/>
              <w:textAlignment w:val="center"/>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3078.48</w:t>
            </w:r>
          </w:p>
        </w:tc>
        <w:tc>
          <w:tcPr>
            <w:tcW w:w="1275" w:type="dxa"/>
            <w:vAlign w:val="center"/>
          </w:tcPr>
          <w:p>
            <w:pPr>
              <w:keepNext w:val="0"/>
              <w:keepLines w:val="0"/>
              <w:widowControl/>
              <w:suppressLineNumbers w:val="0"/>
              <w:jc w:val="right"/>
              <w:textAlignment w:val="center"/>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3078.48</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3416.48</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3073.48</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3073.48</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3007.48</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3007.48</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3007.48</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220010</w:t>
            </w:r>
            <w:r>
              <w:rPr>
                <w:rFonts w:hint="eastAsia" w:ascii="宋体" w:hAnsi="宋体" w:cs="宋体"/>
                <w:i w:val="0"/>
                <w:iCs w:val="0"/>
                <w:color w:val="000000"/>
                <w:kern w:val="0"/>
                <w:sz w:val="22"/>
                <w:szCs w:val="22"/>
                <w:u w:val="none"/>
                <w:lang w:val="en-US" w:eastAsia="zh-CN" w:bidi="ar"/>
              </w:rPr>
              <w:t>2</w:t>
            </w:r>
          </w:p>
        </w:tc>
        <w:tc>
          <w:tcPr>
            <w:tcW w:w="1559" w:type="dxa"/>
            <w:vAlign w:val="top"/>
          </w:tcPr>
          <w:p>
            <w:pPr>
              <w:keepNext w:val="0"/>
              <w:keepLines w:val="0"/>
              <w:widowControl/>
              <w:suppressLineNumbers w:val="0"/>
              <w:jc w:val="left"/>
              <w:textAlignment w:val="top"/>
              <w:rPr>
                <w:rFonts w:hint="default"/>
                <w:lang w:val="en-US"/>
              </w:rPr>
            </w:pPr>
            <w:r>
              <w:rPr>
                <w:rFonts w:hint="eastAsia" w:ascii="宋体" w:hAnsi="宋体" w:cs="宋体"/>
                <w:i w:val="0"/>
                <w:iCs w:val="0"/>
                <w:color w:val="000000"/>
                <w:kern w:val="0"/>
                <w:sz w:val="22"/>
                <w:szCs w:val="22"/>
                <w:u w:val="none"/>
                <w:lang w:val="en-US" w:eastAsia="zh-CN" w:bidi="ar"/>
              </w:rPr>
              <w:t>一般行政管理事务</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66.00</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66.00</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66.00</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343.00</w:t>
            </w:r>
          </w:p>
        </w:tc>
        <w:tc>
          <w:tcPr>
            <w:tcW w:w="1260" w:type="dxa"/>
            <w:vAlign w:val="top"/>
          </w:tcPr>
          <w:p>
            <w:pPr>
              <w:keepNext w:val="0"/>
              <w:keepLines w:val="0"/>
              <w:widowControl/>
              <w:suppressLineNumbers w:val="0"/>
              <w:jc w:val="right"/>
              <w:textAlignment w:val="top"/>
              <w:rPr>
                <w:rFonts w:hint="eastAsia" w:ascii="宋体" w:hAnsi="宋体" w:eastAsia="宋体" w:cs="宋体"/>
                <w:sz w:val="22"/>
                <w:szCs w:val="22"/>
              </w:rPr>
            </w:pPr>
          </w:p>
        </w:tc>
        <w:tc>
          <w:tcPr>
            <w:tcW w:w="1275" w:type="dxa"/>
            <w:vAlign w:val="top"/>
          </w:tcPr>
          <w:p>
            <w:pPr>
              <w:keepNext w:val="0"/>
              <w:keepLines w:val="0"/>
              <w:widowControl/>
              <w:suppressLineNumbers w:val="0"/>
              <w:jc w:val="right"/>
              <w:textAlignment w:val="top"/>
              <w:rPr>
                <w:rFonts w:hint="eastAsia" w:ascii="宋体" w:hAnsi="宋体" w:eastAsia="宋体" w:cs="宋体"/>
                <w:sz w:val="22"/>
                <w:szCs w:val="22"/>
              </w:rPr>
            </w:pP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1250"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5.00</w:t>
            </w:r>
          </w:p>
        </w:tc>
        <w:tc>
          <w:tcPr>
            <w:tcW w:w="1260"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5.00</w:t>
            </w:r>
          </w:p>
        </w:tc>
        <w:tc>
          <w:tcPr>
            <w:tcW w:w="1275"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5.00</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2200510</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气象装备保障维护</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5.00</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5.00</w:t>
            </w:r>
          </w:p>
        </w:tc>
        <w:tc>
          <w:tcPr>
            <w:tcW w:w="1275" w:type="dxa"/>
            <w:vAlign w:val="top"/>
          </w:tcPr>
          <w:p>
            <w:pPr>
              <w:keepNext w:val="0"/>
              <w:keepLines w:val="0"/>
              <w:widowControl/>
              <w:suppressLineNumbers w:val="0"/>
              <w:jc w:val="right"/>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5.00</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25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17.50</w:t>
            </w:r>
          </w:p>
        </w:tc>
        <w:tc>
          <w:tcPr>
            <w:tcW w:w="1260"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17.50</w:t>
            </w:r>
          </w:p>
        </w:tc>
        <w:tc>
          <w:tcPr>
            <w:tcW w:w="1275" w:type="dxa"/>
            <w:vAlign w:val="top"/>
          </w:tcPr>
          <w:p>
            <w:pPr>
              <w:keepNext w:val="0"/>
              <w:keepLines w:val="0"/>
              <w:widowControl/>
              <w:suppressLineNumbers w:val="0"/>
              <w:jc w:val="right"/>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17.50</w:t>
            </w:r>
          </w:p>
        </w:tc>
        <w:tc>
          <w:tcPr>
            <w:tcW w:w="990" w:type="dxa"/>
            <w:vAlign w:val="top"/>
          </w:tcPr>
          <w:p>
            <w:pPr>
              <w:jc w:val="right"/>
              <w:rPr>
                <w:rFonts w:hint="eastAsia" w:ascii="宋体" w:hAnsi="宋体" w:eastAsia="宋体" w:cs="宋体"/>
                <w:sz w:val="22"/>
                <w:szCs w:val="22"/>
              </w:rPr>
            </w:pPr>
          </w:p>
        </w:tc>
        <w:tc>
          <w:tcPr>
            <w:tcW w:w="1020" w:type="dxa"/>
            <w:vAlign w:val="top"/>
          </w:tcPr>
          <w:p>
            <w:pPr>
              <w:jc w:val="right"/>
              <w:rPr>
                <w:rFonts w:hint="eastAsia" w:ascii="宋体" w:hAnsi="宋体" w:eastAsia="宋体" w:cs="宋体"/>
                <w:sz w:val="22"/>
                <w:szCs w:val="22"/>
              </w:rPr>
            </w:pPr>
          </w:p>
        </w:tc>
        <w:tc>
          <w:tcPr>
            <w:tcW w:w="1095" w:type="dxa"/>
            <w:vAlign w:val="top"/>
          </w:tcPr>
          <w:p>
            <w:pPr>
              <w:jc w:val="right"/>
              <w:rPr>
                <w:rFonts w:hint="eastAsia" w:ascii="宋体" w:hAnsi="宋体" w:eastAsia="宋体" w:cs="宋体"/>
                <w:sz w:val="22"/>
                <w:szCs w:val="22"/>
              </w:rPr>
            </w:pPr>
          </w:p>
        </w:tc>
        <w:tc>
          <w:tcPr>
            <w:tcW w:w="1048"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c>
          <w:tcPr>
            <w:tcW w:w="1134" w:type="dxa"/>
            <w:vAlign w:val="top"/>
          </w:tcPr>
          <w:p>
            <w:pPr>
              <w:jc w:val="right"/>
              <w:rPr>
                <w:rFonts w:hint="eastAsia" w:ascii="宋体" w:hAnsi="宋体" w:eastAsia="宋体" w:cs="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1559"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125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260"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275"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990" w:type="dxa"/>
            <w:vAlign w:val="top"/>
          </w:tcPr>
          <w:p>
            <w:pPr>
              <w:jc w:val="right"/>
            </w:pPr>
          </w:p>
        </w:tc>
        <w:tc>
          <w:tcPr>
            <w:tcW w:w="1020" w:type="dxa"/>
            <w:vAlign w:val="top"/>
          </w:tcPr>
          <w:p>
            <w:pPr>
              <w:jc w:val="right"/>
            </w:pPr>
          </w:p>
        </w:tc>
        <w:tc>
          <w:tcPr>
            <w:tcW w:w="1095" w:type="dxa"/>
            <w:vAlign w:val="top"/>
          </w:tcPr>
          <w:p>
            <w:pPr>
              <w:jc w:val="right"/>
            </w:pPr>
          </w:p>
        </w:tc>
        <w:tc>
          <w:tcPr>
            <w:tcW w:w="1048"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w:t>
            </w:r>
          </w:p>
        </w:tc>
        <w:tc>
          <w:tcPr>
            <w:tcW w:w="992" w:type="dxa"/>
            <w:vAlign w:val="top"/>
          </w:tcPr>
          <w:p>
            <w:pPr>
              <w:jc w:val="left"/>
            </w:pP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147104.02</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3070.85</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144033.17</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.65</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.65</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.65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16.22</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16.22</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12.52</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12.52</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2101103</w:t>
            </w:r>
          </w:p>
        </w:tc>
        <w:tc>
          <w:tcPr>
            <w:tcW w:w="4536"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3.70</w:t>
            </w:r>
          </w:p>
        </w:tc>
        <w:tc>
          <w:tcPr>
            <w:tcW w:w="136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3.70</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2177.52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2177.52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1878.00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1878.00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1878.00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1878.00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299.52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299.52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299.52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299.52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139310.23</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139310.23</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210.14</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210.14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2120802</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土地开发支出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62560.49</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62560.49</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城市建设支出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13896.31</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13896.31</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19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农村基础设施建设支出</w:t>
            </w: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3777.29</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3777.29</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补助被征地农民支出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741.85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741.85</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21208</w:t>
            </w:r>
            <w:r>
              <w:rPr>
                <w:rFonts w:hint="eastAsia" w:ascii="宋体" w:hAnsi="宋体" w:cs="宋体"/>
                <w:i w:val="0"/>
                <w:iCs w:val="0"/>
                <w:color w:val="000000"/>
                <w:kern w:val="0"/>
                <w:sz w:val="22"/>
                <w:szCs w:val="22"/>
                <w:u w:val="none"/>
                <w:lang w:val="en-US" w:eastAsia="zh-CN" w:bidi="ar"/>
              </w:rPr>
              <w:t>16</w:t>
            </w:r>
          </w:p>
        </w:tc>
        <w:tc>
          <w:tcPr>
            <w:tcW w:w="4536"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农业农村生态环境支出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4220.45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4220.45</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53903.70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53903.70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2131.42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2131.42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2131.42</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2131.42</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森林资源培育</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343.00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343.00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8.64</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8.64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27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1059.20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1059.20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28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213021</w:t>
            </w:r>
            <w:r>
              <w:rPr>
                <w:rFonts w:hint="eastAsia" w:ascii="宋体" w:hAnsi="宋体" w:cs="宋体"/>
                <w:i w:val="0"/>
                <w:iCs w:val="0"/>
                <w:color w:val="000000"/>
                <w:kern w:val="0"/>
                <w:sz w:val="22"/>
                <w:szCs w:val="22"/>
                <w:u w:val="none"/>
                <w:lang w:val="en-US" w:eastAsia="zh-CN" w:bidi="ar"/>
              </w:rPr>
              <w:t>1</w:t>
            </w:r>
          </w:p>
        </w:tc>
        <w:tc>
          <w:tcPr>
            <w:tcW w:w="4536"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动植物保护</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6.30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6.30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29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714.28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714.28</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3421.48</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3007.48</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414.00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3416.48</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3007.48</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409.00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3007.48</w:t>
            </w:r>
          </w:p>
        </w:tc>
        <w:tc>
          <w:tcPr>
            <w:tcW w:w="136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3007.48</w:t>
            </w:r>
          </w:p>
        </w:tc>
        <w:tc>
          <w:tcPr>
            <w:tcW w:w="1361" w:type="dxa"/>
            <w:vAlign w:val="top"/>
          </w:tcPr>
          <w:p>
            <w:pPr>
              <w:keepNext w:val="0"/>
              <w:keepLines w:val="0"/>
              <w:widowControl/>
              <w:suppressLineNumbers w:val="0"/>
              <w:jc w:val="right"/>
              <w:textAlignment w:val="top"/>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w:t>
            </w:r>
            <w:r>
              <w:rPr>
                <w:rFonts w:hint="eastAsia" w:ascii="宋体" w:hAnsi="宋体" w:cs="宋体"/>
                <w:i w:val="0"/>
                <w:iCs w:val="0"/>
                <w:color w:val="000000"/>
                <w:kern w:val="0"/>
                <w:sz w:val="22"/>
                <w:szCs w:val="22"/>
                <w:u w:val="none"/>
                <w:lang w:val="en-US" w:eastAsia="zh-CN" w:bidi="ar"/>
              </w:rPr>
              <w:t>2</w:t>
            </w:r>
          </w:p>
        </w:tc>
        <w:tc>
          <w:tcPr>
            <w:tcW w:w="4536"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一般行政管理事务</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66.00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66.00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343.00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343.00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2200510</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气象装备保障维护</w:t>
            </w: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sz w:val="22"/>
                <w:szCs w:val="22"/>
                <w:lang w:val="en-US" w:eastAsia="zh-CN"/>
              </w:rPr>
            </w:pPr>
            <w:r>
              <w:rPr>
                <w:rFonts w:hint="eastAsia" w:ascii="宋体" w:hAnsi="宋体" w:cs="宋体"/>
                <w:sz w:val="22"/>
                <w:szCs w:val="22"/>
                <w:lang w:val="en-US" w:eastAsia="zh-CN"/>
              </w:rPr>
              <w:t>39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4536"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36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5088.05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一、一般公共服务支出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139310.23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二、外交支出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四、公共安全支出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五、教育支出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六、科学技术支出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九、社会保险基金支出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16.22</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十一、节能环保支出</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2177.52</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2177.52</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十二、城乡社区支出</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139310.23</w:t>
            </w:r>
          </w:p>
        </w:tc>
        <w:tc>
          <w:tcPr>
            <w:tcW w:w="1474" w:type="dxa"/>
            <w:vAlign w:val="top"/>
          </w:tcPr>
          <w:p>
            <w:pPr>
              <w:jc w:val="right"/>
            </w:pP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139310.23</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十三、农林水支出</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2131.42</w:t>
            </w:r>
          </w:p>
        </w:tc>
        <w:tc>
          <w:tcPr>
            <w:tcW w:w="1474" w:type="dxa"/>
            <w:vAlign w:val="top"/>
          </w:tcPr>
          <w:p>
            <w:pPr>
              <w:keepNext w:val="0"/>
              <w:keepLines w:val="0"/>
              <w:widowControl/>
              <w:suppressLineNumbers w:val="0"/>
              <w:jc w:val="right"/>
              <w:textAlignment w:val="top"/>
              <w:rPr>
                <w:rFonts w:hint="default" w:eastAsia="宋体"/>
                <w:lang w:val="en-US" w:eastAsia="zh-CN"/>
              </w:rPr>
            </w:pPr>
            <w:r>
              <w:rPr>
                <w:rFonts w:hint="eastAsia" w:ascii="宋体" w:hAnsi="宋体" w:eastAsia="宋体" w:cs="宋体"/>
                <w:sz w:val="22"/>
                <w:szCs w:val="22"/>
                <w:lang w:val="en-US" w:eastAsia="zh-CN"/>
              </w:rPr>
              <w:t>2131.42</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十四、交通运输支出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十六、商业服务业等支出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十七、金融支出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十八、援助其他地区支出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474"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3421.48</w:t>
            </w:r>
          </w:p>
        </w:tc>
        <w:tc>
          <w:tcPr>
            <w:tcW w:w="1474"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3421.48</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w:t>
            </w:r>
          </w:p>
        </w:tc>
        <w:tc>
          <w:tcPr>
            <w:tcW w:w="1474"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17.5</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二十四、预备费</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二十五、其他支出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二十六、转移性支出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二十七、债务还本支出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二十八、债务付息支出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144398.28</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本年支出合计</w:t>
            </w:r>
          </w:p>
        </w:tc>
        <w:tc>
          <w:tcPr>
            <w:tcW w:w="1474"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147104.02</w:t>
            </w:r>
          </w:p>
        </w:tc>
        <w:tc>
          <w:tcPr>
            <w:tcW w:w="1474" w:type="dxa"/>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cs="宋体"/>
                <w:sz w:val="22"/>
                <w:szCs w:val="22"/>
                <w:lang w:val="en-US" w:eastAsia="zh-CN"/>
              </w:rPr>
              <w:t>7793.79</w:t>
            </w:r>
          </w:p>
        </w:tc>
        <w:tc>
          <w:tcPr>
            <w:tcW w:w="1474"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139310.23</w:t>
            </w: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2705.74</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2705.74</w:t>
            </w: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147104.02</w:t>
            </w:r>
          </w:p>
        </w:tc>
        <w:tc>
          <w:tcPr>
            <w:tcW w:w="340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支出总计</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147104.02</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7793.79</w:t>
            </w:r>
          </w:p>
        </w:tc>
        <w:tc>
          <w:tcPr>
            <w:tcW w:w="147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139310.23</w:t>
            </w:r>
          </w:p>
        </w:tc>
        <w:tc>
          <w:tcPr>
            <w:tcW w:w="1474"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7793.79</w:t>
            </w:r>
          </w:p>
        </w:tc>
        <w:tc>
          <w:tcPr>
            <w:tcW w:w="2551"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3070.85</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4722.94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29.65</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.65</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.65</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.65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16.22</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16.22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16.22</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16.22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12.52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公务员医疗支出</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3.70</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节能环保支出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2177.52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2177.52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自然生态保护</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1878.00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1878.00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2110401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生态保护</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1878.00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1878.00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天然林保护</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299.52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rPr>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停伐补助</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299.52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299.52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农林水支出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2131.42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2131.42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林业和草原</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2131.42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2131.42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森林资源培育</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343.00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2130207</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森林资源管理</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8.64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2130209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森林生态效益补偿</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1059.20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1059.20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2130211</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动植物保护</w:t>
            </w: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6.30</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2130234</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林业草原防灾减灾</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714.28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22"/>
                <w:szCs w:val="22"/>
                <w:u w:val="none"/>
                <w:lang w:val="en-US" w:eastAsia="zh-CN" w:bidi="ar"/>
              </w:rPr>
              <w:t>3421.48</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22"/>
                <w:szCs w:val="22"/>
                <w:u w:val="none"/>
                <w:lang w:val="en-US" w:eastAsia="zh-CN" w:bidi="ar"/>
              </w:rPr>
              <w:t>3007.48</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414.00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自然资源事务</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22"/>
                <w:szCs w:val="22"/>
                <w:u w:val="none"/>
                <w:lang w:val="en-US" w:eastAsia="zh-CN" w:bidi="ar"/>
              </w:rPr>
              <w:t>3416.48</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22"/>
                <w:szCs w:val="22"/>
                <w:u w:val="none"/>
                <w:lang w:val="en-US" w:eastAsia="zh-CN" w:bidi="ar"/>
              </w:rPr>
              <w:t>3007.48</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409.00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行政运行</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22"/>
                <w:szCs w:val="22"/>
                <w:u w:val="none"/>
                <w:lang w:val="en-US" w:eastAsia="zh-CN" w:bidi="ar"/>
              </w:rPr>
              <w:t>3007.48</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22"/>
                <w:szCs w:val="22"/>
                <w:u w:val="none"/>
                <w:lang w:val="en-US" w:eastAsia="zh-CN" w:bidi="ar"/>
              </w:rPr>
              <w:t>3007.48</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220010</w:t>
            </w:r>
            <w:r>
              <w:rPr>
                <w:rFonts w:hint="eastAsia" w:ascii="宋体" w:hAnsi="宋体" w:cs="宋体"/>
                <w:i w:val="0"/>
                <w:iCs w:val="0"/>
                <w:color w:val="000000"/>
                <w:kern w:val="0"/>
                <w:sz w:val="22"/>
                <w:szCs w:val="22"/>
                <w:u w:val="none"/>
                <w:lang w:val="en-US" w:eastAsia="zh-CN" w:bidi="ar"/>
              </w:rPr>
              <w:t>2</w:t>
            </w:r>
          </w:p>
        </w:tc>
        <w:tc>
          <w:tcPr>
            <w:tcW w:w="4535" w:type="dxa"/>
            <w:vAlign w:val="top"/>
          </w:tcPr>
          <w:p>
            <w:pPr>
              <w:keepNext w:val="0"/>
              <w:keepLines w:val="0"/>
              <w:widowControl/>
              <w:suppressLineNumbers w:val="0"/>
              <w:jc w:val="left"/>
              <w:textAlignment w:val="top"/>
              <w:rPr>
                <w:rFonts w:hint="default"/>
                <w:lang w:val="en-US"/>
              </w:rPr>
            </w:pPr>
            <w:r>
              <w:rPr>
                <w:rFonts w:hint="eastAsia" w:ascii="宋体" w:hAnsi="宋体" w:cs="宋体"/>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66.00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rPr>
            </w:pPr>
            <w:r>
              <w:rPr>
                <w:rFonts w:hint="eastAsia" w:ascii="宋体" w:hAnsi="宋体" w:eastAsia="宋体" w:cs="宋体"/>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2200106</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自然资源利用与保护</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343.00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气象事务</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2200510</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气象装备保障维护</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17.50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17.50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17.50</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624"/>
        <w:gridCol w:w="2478"/>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624"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030"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624" w:type="dxa"/>
            <w:vAlign w:val="center"/>
          </w:tcPr>
          <w:p>
            <w:pPr>
              <w:pStyle w:val="15"/>
            </w:pPr>
            <w:r>
              <w:rPr>
                <w:rFonts w:hint="eastAsia"/>
              </w:rPr>
              <w:t>合计</w:t>
            </w:r>
          </w:p>
        </w:tc>
        <w:tc>
          <w:tcPr>
            <w:tcW w:w="2478"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624" w:type="dxa"/>
            <w:vAlign w:val="center"/>
          </w:tcPr>
          <w:p>
            <w:pPr>
              <w:pStyle w:val="15"/>
            </w:pPr>
            <w:r>
              <w:t>3</w:t>
            </w:r>
          </w:p>
        </w:tc>
        <w:tc>
          <w:tcPr>
            <w:tcW w:w="2478"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62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3070.85</w:t>
            </w:r>
          </w:p>
        </w:tc>
        <w:tc>
          <w:tcPr>
            <w:tcW w:w="2478"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2769.61</w:t>
            </w:r>
          </w:p>
        </w:tc>
        <w:tc>
          <w:tcPr>
            <w:tcW w:w="2552"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62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2766.96</w:t>
            </w:r>
          </w:p>
        </w:tc>
        <w:tc>
          <w:tcPr>
            <w:tcW w:w="2478"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2766.96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624"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2545.33</w:t>
            </w:r>
          </w:p>
        </w:tc>
        <w:tc>
          <w:tcPr>
            <w:tcW w:w="2478"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22"/>
                <w:szCs w:val="22"/>
                <w:u w:val="none"/>
                <w:lang w:val="en-US" w:eastAsia="zh-CN" w:bidi="ar"/>
              </w:rPr>
              <w:t>2545.33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624"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22"/>
                <w:szCs w:val="22"/>
                <w:u w:val="none"/>
                <w:lang w:val="en-US" w:eastAsia="zh-CN" w:bidi="ar"/>
              </w:rPr>
              <w:t>46.55</w:t>
            </w:r>
            <w:r>
              <w:rPr>
                <w:rFonts w:hint="eastAsia" w:ascii="宋体" w:hAnsi="宋体" w:eastAsia="宋体" w:cs="宋体"/>
                <w:i w:val="0"/>
                <w:iCs w:val="0"/>
                <w:color w:val="000000"/>
                <w:kern w:val="0"/>
                <w:sz w:val="22"/>
                <w:szCs w:val="22"/>
                <w:u w:val="none"/>
                <w:lang w:val="en-US" w:eastAsia="zh-CN" w:bidi="ar"/>
              </w:rPr>
              <w:t xml:space="preserve"> </w:t>
            </w:r>
          </w:p>
        </w:tc>
        <w:tc>
          <w:tcPr>
            <w:tcW w:w="2478"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46.55</w:t>
            </w:r>
            <w:r>
              <w:rPr>
                <w:rFonts w:hint="eastAsia" w:ascii="宋体" w:hAnsi="宋体" w:eastAsia="宋体" w:cs="宋体"/>
                <w:i w:val="0"/>
                <w:iCs w:val="0"/>
                <w:color w:val="000000"/>
                <w:kern w:val="0"/>
                <w:sz w:val="22"/>
                <w:szCs w:val="22"/>
                <w:u w:val="none"/>
                <w:lang w:val="en-US" w:eastAsia="zh-CN" w:bidi="ar"/>
              </w:rPr>
              <w:t xml:space="preserve">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62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84.97</w:t>
            </w:r>
          </w:p>
        </w:tc>
        <w:tc>
          <w:tcPr>
            <w:tcW w:w="2478"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84.97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绩效工资</w:t>
            </w:r>
          </w:p>
        </w:tc>
        <w:tc>
          <w:tcPr>
            <w:tcW w:w="262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25.82</w:t>
            </w:r>
          </w:p>
        </w:tc>
        <w:tc>
          <w:tcPr>
            <w:tcW w:w="2478"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25.82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62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2478"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29.65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62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12.52</w:t>
            </w:r>
          </w:p>
        </w:tc>
        <w:tc>
          <w:tcPr>
            <w:tcW w:w="2478"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12.52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公务员医疗补助</w:t>
            </w:r>
          </w:p>
        </w:tc>
        <w:tc>
          <w:tcPr>
            <w:tcW w:w="2624"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3.70</w:t>
            </w:r>
          </w:p>
        </w:tc>
        <w:tc>
          <w:tcPr>
            <w:tcW w:w="2478" w:type="dxa"/>
            <w:vAlign w:val="top"/>
          </w:tcPr>
          <w:p>
            <w:pPr>
              <w:keepNext w:val="0"/>
              <w:keepLines w:val="0"/>
              <w:widowControl/>
              <w:suppressLineNumbers w:val="0"/>
              <w:jc w:val="right"/>
              <w:textAlignment w:val="top"/>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3.70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62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0.92</w:t>
            </w:r>
          </w:p>
        </w:tc>
        <w:tc>
          <w:tcPr>
            <w:tcW w:w="2478"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0.92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624"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2478"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17.50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624" w:type="dxa"/>
            <w:vAlign w:val="top"/>
          </w:tcPr>
          <w:p>
            <w:pPr>
              <w:keepNext w:val="0"/>
              <w:keepLines w:val="0"/>
              <w:widowControl/>
              <w:suppressLineNumbers w:val="0"/>
              <w:jc w:val="right"/>
              <w:textAlignment w:val="top"/>
              <w:rPr>
                <w:rFonts w:hint="default" w:eastAsia="宋体"/>
                <w:lang w:val="en-US" w:eastAsia="zh-CN"/>
              </w:rPr>
            </w:pPr>
            <w:r>
              <w:rPr>
                <w:rFonts w:hint="eastAsia" w:ascii="宋体" w:hAnsi="宋体" w:cs="宋体"/>
                <w:sz w:val="22"/>
                <w:szCs w:val="22"/>
                <w:lang w:val="en-US" w:eastAsia="zh-CN"/>
              </w:rPr>
              <w:t>301.24</w:t>
            </w:r>
          </w:p>
        </w:tc>
        <w:tc>
          <w:tcPr>
            <w:tcW w:w="2478"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301.24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624"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75.08</w:t>
            </w:r>
          </w:p>
        </w:tc>
        <w:tc>
          <w:tcPr>
            <w:tcW w:w="2478"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75.08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62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c>
          <w:tcPr>
            <w:tcW w:w="2478" w:type="dxa"/>
            <w:vAlign w:val="top"/>
          </w:tcPr>
          <w:p>
            <w:pPr>
              <w:jc w:val="right"/>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624"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6.77</w:t>
            </w:r>
          </w:p>
        </w:tc>
        <w:tc>
          <w:tcPr>
            <w:tcW w:w="2478" w:type="dxa"/>
            <w:vAlign w:val="top"/>
          </w:tcPr>
          <w:p>
            <w:pPr>
              <w:jc w:val="right"/>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6.77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624"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38.20</w:t>
            </w:r>
          </w:p>
        </w:tc>
        <w:tc>
          <w:tcPr>
            <w:tcW w:w="2478" w:type="dxa"/>
            <w:vAlign w:val="top"/>
          </w:tcPr>
          <w:p>
            <w:pPr>
              <w:jc w:val="right"/>
            </w:pPr>
          </w:p>
        </w:tc>
        <w:tc>
          <w:tcPr>
            <w:tcW w:w="2552"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38.20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公务接待费</w:t>
            </w:r>
          </w:p>
        </w:tc>
        <w:tc>
          <w:tcPr>
            <w:tcW w:w="2624" w:type="dxa"/>
            <w:vAlign w:val="center"/>
          </w:tcPr>
          <w:p>
            <w:pPr>
              <w:keepNext w:val="0"/>
              <w:keepLines w:val="0"/>
              <w:widowControl/>
              <w:suppressLineNumbers w:val="0"/>
              <w:jc w:val="righ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8.96</w:t>
            </w:r>
          </w:p>
        </w:tc>
        <w:tc>
          <w:tcPr>
            <w:tcW w:w="2478" w:type="dxa"/>
            <w:vAlign w:val="top"/>
          </w:tcPr>
          <w:p>
            <w:pPr>
              <w:wordWrap w:val="0"/>
              <w:jc w:val="right"/>
              <w:rPr>
                <w:rFonts w:hint="eastAsia" w:ascii="宋体" w:hAnsi="宋体" w:eastAsia="宋体" w:cs="宋体"/>
                <w:sz w:val="22"/>
                <w:szCs w:val="22"/>
                <w:lang w:val="en-US" w:eastAsia="zh-CN"/>
              </w:rPr>
            </w:pPr>
            <w:r>
              <w:rPr>
                <w:rFonts w:hint="eastAsia" w:ascii="宋体" w:hAnsi="宋体" w:cs="宋体"/>
                <w:sz w:val="22"/>
                <w:szCs w:val="22"/>
                <w:lang w:val="en-US" w:eastAsia="zh-CN"/>
              </w:rPr>
              <w:t xml:space="preserve"> </w:t>
            </w:r>
          </w:p>
        </w:tc>
        <w:tc>
          <w:tcPr>
            <w:tcW w:w="2552" w:type="dxa"/>
            <w:vAlign w:val="center"/>
          </w:tcPr>
          <w:p>
            <w:pPr>
              <w:keepNext w:val="0"/>
              <w:keepLines w:val="0"/>
              <w:widowControl/>
              <w:suppressLineNumbers w:val="0"/>
              <w:jc w:val="righ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624" w:type="dxa"/>
            <w:vAlign w:val="center"/>
          </w:tcPr>
          <w:p>
            <w:pPr>
              <w:keepNext w:val="0"/>
              <w:keepLines w:val="0"/>
              <w:widowControl/>
              <w:suppressLineNumbers w:val="0"/>
              <w:jc w:val="righ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56.95</w:t>
            </w:r>
          </w:p>
        </w:tc>
        <w:tc>
          <w:tcPr>
            <w:tcW w:w="2478" w:type="dxa"/>
            <w:vAlign w:val="top"/>
          </w:tcPr>
          <w:p>
            <w:pPr>
              <w:jc w:val="right"/>
              <w:rPr>
                <w:rFonts w:hint="eastAsia" w:ascii="宋体" w:hAnsi="宋体" w:eastAsia="宋体" w:cs="宋体"/>
                <w:sz w:val="22"/>
                <w:szCs w:val="22"/>
              </w:rPr>
            </w:pPr>
          </w:p>
        </w:tc>
        <w:tc>
          <w:tcPr>
            <w:tcW w:w="2552" w:type="dxa"/>
            <w:vAlign w:val="center"/>
          </w:tcPr>
          <w:p>
            <w:pPr>
              <w:keepNext w:val="0"/>
              <w:keepLines w:val="0"/>
              <w:widowControl/>
              <w:suppressLineNumbers w:val="0"/>
              <w:jc w:val="righ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624"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8.41</w:t>
            </w:r>
          </w:p>
        </w:tc>
        <w:tc>
          <w:tcPr>
            <w:tcW w:w="2478" w:type="dxa"/>
            <w:vAlign w:val="top"/>
          </w:tcPr>
          <w:p>
            <w:pPr>
              <w:jc w:val="right"/>
            </w:pPr>
          </w:p>
        </w:tc>
        <w:tc>
          <w:tcPr>
            <w:tcW w:w="2552"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8.41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624"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46.45</w:t>
            </w:r>
          </w:p>
        </w:tc>
        <w:tc>
          <w:tcPr>
            <w:tcW w:w="2478" w:type="dxa"/>
            <w:vAlign w:val="top"/>
          </w:tcPr>
          <w:p>
            <w:pPr>
              <w:jc w:val="right"/>
            </w:pPr>
          </w:p>
        </w:tc>
        <w:tc>
          <w:tcPr>
            <w:tcW w:w="2552" w:type="dxa"/>
            <w:vAlign w:val="center"/>
          </w:tcPr>
          <w:p>
            <w:pPr>
              <w:keepNext w:val="0"/>
              <w:keepLines w:val="0"/>
              <w:widowControl/>
              <w:suppressLineNumbers w:val="0"/>
              <w:jc w:val="right"/>
              <w:textAlignment w:val="center"/>
              <w:rPr>
                <w:rFonts w:hint="default"/>
                <w:lang w:val="en-US"/>
              </w:rPr>
            </w:pPr>
            <w:r>
              <w:rPr>
                <w:rFonts w:hint="eastAsia" w:ascii="宋体" w:hAnsi="宋体" w:cs="宋体"/>
                <w:i w:val="0"/>
                <w:iCs w:val="0"/>
                <w:color w:val="000000"/>
                <w:kern w:val="0"/>
                <w:sz w:val="22"/>
                <w:szCs w:val="22"/>
                <w:u w:val="none"/>
                <w:lang w:val="en-US" w:eastAsia="zh-CN" w:bidi="ar"/>
              </w:rPr>
              <w:t>46.45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624"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.00</w:t>
            </w:r>
          </w:p>
        </w:tc>
        <w:tc>
          <w:tcPr>
            <w:tcW w:w="2478" w:type="dxa"/>
            <w:vAlign w:val="top"/>
          </w:tcPr>
          <w:p>
            <w:pPr>
              <w:jc w:val="right"/>
            </w:pPr>
          </w:p>
        </w:tc>
        <w:tc>
          <w:tcPr>
            <w:tcW w:w="2552"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其他交通费用</w:t>
            </w:r>
          </w:p>
        </w:tc>
        <w:tc>
          <w:tcPr>
            <w:tcW w:w="2624"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8.7</w:t>
            </w:r>
            <w:r>
              <w:rPr>
                <w:rFonts w:hint="eastAsia" w:ascii="宋体" w:hAnsi="宋体" w:eastAsia="宋体" w:cs="宋体"/>
                <w:i w:val="0"/>
                <w:iCs w:val="0"/>
                <w:color w:val="000000"/>
                <w:kern w:val="0"/>
                <w:sz w:val="22"/>
                <w:szCs w:val="22"/>
                <w:u w:val="none"/>
                <w:lang w:val="en-US" w:eastAsia="zh-CN" w:bidi="ar"/>
              </w:rPr>
              <w:t>0</w:t>
            </w:r>
          </w:p>
        </w:tc>
        <w:tc>
          <w:tcPr>
            <w:tcW w:w="2478" w:type="dxa"/>
            <w:vAlign w:val="top"/>
          </w:tcPr>
          <w:p>
            <w:pPr>
              <w:jc w:val="right"/>
            </w:pPr>
          </w:p>
        </w:tc>
        <w:tc>
          <w:tcPr>
            <w:tcW w:w="2552" w:type="dxa"/>
            <w:vAlign w:val="top"/>
          </w:tcPr>
          <w:p>
            <w:pPr>
              <w:keepNext w:val="0"/>
              <w:keepLines w:val="0"/>
              <w:widowControl/>
              <w:suppressLineNumbers w:val="0"/>
              <w:jc w:val="righ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8.7</w:t>
            </w: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2624" w:type="dxa"/>
            <w:vAlign w:val="top"/>
          </w:tcPr>
          <w:p>
            <w:pPr>
              <w:keepNext w:val="0"/>
              <w:keepLines w:val="0"/>
              <w:widowControl/>
              <w:suppressLineNumbers w:val="0"/>
              <w:jc w:val="righ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36</w:t>
            </w:r>
          </w:p>
        </w:tc>
        <w:tc>
          <w:tcPr>
            <w:tcW w:w="2478" w:type="dxa"/>
            <w:vAlign w:val="top"/>
          </w:tcPr>
          <w:p>
            <w:pPr>
              <w:jc w:val="right"/>
            </w:pPr>
          </w:p>
        </w:tc>
        <w:tc>
          <w:tcPr>
            <w:tcW w:w="2552" w:type="dxa"/>
            <w:vAlign w:val="top"/>
          </w:tcPr>
          <w:p>
            <w:pPr>
              <w:keepNext w:val="0"/>
              <w:keepLines w:val="0"/>
              <w:widowControl/>
              <w:suppressLineNumbers w:val="0"/>
              <w:jc w:val="righ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624" w:type="dxa"/>
            <w:vAlign w:val="top"/>
          </w:tcPr>
          <w:p>
            <w:pPr>
              <w:keepNext w:val="0"/>
              <w:keepLines w:val="0"/>
              <w:widowControl/>
              <w:suppressLineNumbers w:val="0"/>
              <w:jc w:val="righ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2.65</w:t>
            </w:r>
          </w:p>
        </w:tc>
        <w:tc>
          <w:tcPr>
            <w:tcW w:w="2478"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2.65</w:t>
            </w:r>
          </w:p>
        </w:tc>
        <w:tc>
          <w:tcPr>
            <w:tcW w:w="2552" w:type="dxa"/>
            <w:vAlign w:val="top"/>
          </w:tcPr>
          <w:p>
            <w:pPr>
              <w:jc w:val="right"/>
              <w:rPr>
                <w:rFonts w:hint="eastAsia" w:ascii="宋体" w:hAnsi="宋体" w:eastAsia="宋体" w:cs="宋体"/>
                <w:i w:val="0"/>
                <w:iCs w:val="0"/>
                <w:color w:val="000000"/>
                <w:kern w:val="0"/>
                <w:sz w:val="22"/>
                <w:szCs w:val="22"/>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生活补助</w:t>
            </w:r>
          </w:p>
        </w:tc>
        <w:tc>
          <w:tcPr>
            <w:tcW w:w="2624" w:type="dxa"/>
            <w:vAlign w:val="top"/>
          </w:tcPr>
          <w:p>
            <w:pPr>
              <w:keepNext w:val="0"/>
              <w:keepLines w:val="0"/>
              <w:widowControl/>
              <w:suppressLineNumbers w:val="0"/>
              <w:jc w:val="right"/>
              <w:textAlignment w:val="top"/>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2.65</w:t>
            </w:r>
          </w:p>
        </w:tc>
        <w:tc>
          <w:tcPr>
            <w:tcW w:w="2478"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2.65</w:t>
            </w:r>
          </w:p>
        </w:tc>
        <w:tc>
          <w:tcPr>
            <w:tcW w:w="2552" w:type="dxa"/>
            <w:vAlign w:val="top"/>
          </w:tcPr>
          <w:p>
            <w:pPr>
              <w:jc w:val="right"/>
              <w:rPr>
                <w:rFonts w:hint="eastAsia" w:ascii="宋体" w:hAnsi="宋体" w:eastAsia="宋体" w:cs="宋体"/>
                <w:i w:val="0"/>
                <w:iCs w:val="0"/>
                <w:color w:val="000000"/>
                <w:kern w:val="0"/>
                <w:sz w:val="22"/>
                <w:szCs w:val="22"/>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c>
          <w:tcPr>
            <w:tcW w:w="2551" w:type="dxa"/>
            <w:vAlign w:val="top"/>
          </w:tcPr>
          <w:p>
            <w:pPr>
              <w:jc w:val="right"/>
            </w:pP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39310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cs="宋体"/>
                <w:i w:val="0"/>
                <w:iCs w:val="0"/>
                <w:color w:val="000000"/>
                <w:kern w:val="0"/>
                <w:sz w:val="22"/>
                <w:szCs w:val="22"/>
                <w:u w:val="none"/>
                <w:lang w:val="en-US" w:eastAsia="zh-CN" w:bidi="ar"/>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城乡社区支出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139310.23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征地和拆迁补偿支出</w:t>
            </w:r>
          </w:p>
        </w:tc>
        <w:tc>
          <w:tcPr>
            <w:tcW w:w="2551" w:type="dxa"/>
            <w:vAlign w:val="top"/>
          </w:tcPr>
          <w:p>
            <w:pPr>
              <w:keepNext w:val="0"/>
              <w:keepLines w:val="0"/>
              <w:widowControl/>
              <w:suppressLineNumbers w:val="0"/>
              <w:jc w:val="right"/>
              <w:textAlignment w:val="top"/>
              <w:rPr>
                <w:rFonts w:hint="default"/>
                <w:lang w:val="en-US"/>
              </w:rPr>
            </w:pPr>
            <w:r>
              <w:rPr>
                <w:rFonts w:hint="eastAsia" w:ascii="宋体" w:hAnsi="宋体" w:cs="宋体"/>
                <w:i w:val="0"/>
                <w:iCs w:val="0"/>
                <w:color w:val="000000"/>
                <w:kern w:val="0"/>
                <w:sz w:val="22"/>
                <w:szCs w:val="22"/>
                <w:u w:val="none"/>
                <w:lang w:val="en-US" w:eastAsia="zh-CN" w:bidi="ar"/>
              </w:rPr>
              <w:t>210.14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210.14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土地开发支出</w:t>
            </w:r>
          </w:p>
        </w:tc>
        <w:tc>
          <w:tcPr>
            <w:tcW w:w="2551" w:type="dxa"/>
            <w:vAlign w:val="top"/>
          </w:tcPr>
          <w:p>
            <w:pPr>
              <w:keepNext w:val="0"/>
              <w:keepLines w:val="0"/>
              <w:widowControl/>
              <w:suppressLineNumbers w:val="0"/>
              <w:jc w:val="right"/>
              <w:textAlignment w:val="top"/>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62560.49</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sz w:val="22"/>
                <w:szCs w:val="22"/>
                <w:lang w:val="en-US" w:eastAsia="zh-CN"/>
              </w:rPr>
              <w:t>62560.49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城市建设支出</w:t>
            </w:r>
          </w:p>
        </w:tc>
        <w:tc>
          <w:tcPr>
            <w:tcW w:w="2551"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13896.31</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13896.31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2120804</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农村基础设施建设支出</w:t>
            </w:r>
          </w:p>
        </w:tc>
        <w:tc>
          <w:tcPr>
            <w:tcW w:w="2551"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3777.29</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3777.29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补助被征地农民支出</w:t>
            </w:r>
          </w:p>
        </w:tc>
        <w:tc>
          <w:tcPr>
            <w:tcW w:w="2551"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741.85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741.85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宋体" w:hAnsi="宋体" w:eastAsia="宋体" w:cs="宋体"/>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6</w:t>
            </w:r>
          </w:p>
        </w:tc>
        <w:tc>
          <w:tcPr>
            <w:tcW w:w="4535" w:type="dxa"/>
            <w:vAlign w:val="top"/>
          </w:tcPr>
          <w:p>
            <w:pPr>
              <w:keepNext w:val="0"/>
              <w:keepLines w:val="0"/>
              <w:widowControl/>
              <w:suppressLineNumbers w:val="0"/>
              <w:jc w:val="left"/>
              <w:textAlignment w:val="top"/>
              <w:rPr>
                <w:rFonts w:hint="eastAsia" w:eastAsia="宋体"/>
                <w:lang w:eastAsia="zh-CN"/>
              </w:rPr>
            </w:pPr>
            <w:r>
              <w:rPr>
                <w:rFonts w:hint="eastAsia"/>
                <w:lang w:eastAsia="zh-CN"/>
              </w:rPr>
              <w:t>农业农村生态环境支出</w:t>
            </w:r>
          </w:p>
        </w:tc>
        <w:tc>
          <w:tcPr>
            <w:tcW w:w="2551"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4220.45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4220.45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宋体" w:hAnsi="宋体" w:cs="宋体"/>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2120899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其他国有土地使用权出让收入安排的支出</w:t>
            </w:r>
          </w:p>
        </w:tc>
        <w:tc>
          <w:tcPr>
            <w:tcW w:w="2551" w:type="dxa"/>
            <w:vAlign w:val="top"/>
          </w:tcPr>
          <w:p>
            <w:pPr>
              <w:keepNext w:val="0"/>
              <w:keepLines w:val="0"/>
              <w:widowControl/>
              <w:suppressLineNumbers w:val="0"/>
              <w:jc w:val="right"/>
              <w:textAlignment w:val="top"/>
              <w:rPr>
                <w:rFonts w:hint="default" w:ascii="宋体" w:hAnsi="宋体" w:eastAsia="宋体" w:cs="宋体"/>
                <w:sz w:val="22"/>
                <w:szCs w:val="22"/>
                <w:lang w:val="en-US"/>
              </w:rPr>
            </w:pPr>
            <w:r>
              <w:rPr>
                <w:rFonts w:hint="eastAsia" w:ascii="宋体" w:hAnsi="宋体" w:cs="宋体"/>
                <w:i w:val="0"/>
                <w:iCs w:val="0"/>
                <w:color w:val="000000"/>
                <w:kern w:val="0"/>
                <w:sz w:val="22"/>
                <w:szCs w:val="22"/>
                <w:u w:val="none"/>
                <w:lang w:val="en-US" w:eastAsia="zh-CN" w:bidi="ar"/>
              </w:rPr>
              <w:t>53903.70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cs="宋体"/>
                <w:i w:val="0"/>
                <w:iCs w:val="0"/>
                <w:color w:val="000000"/>
                <w:kern w:val="0"/>
                <w:sz w:val="22"/>
                <w:szCs w:val="22"/>
                <w:u w:val="none"/>
                <w:lang w:val="en-US" w:eastAsia="zh-CN" w:bidi="ar"/>
              </w:rPr>
              <w:t>53903.70</w:t>
            </w:r>
          </w:p>
        </w:tc>
      </w:tr>
    </w:tbl>
    <w:p>
      <w:pPr>
        <w:ind w:firstLine="420"/>
        <w:rPr>
          <w:rFonts w:ascii="方正书宋_GBK" w:hAnsi="方正书宋_GBK" w:eastAsia="方正书宋_GBK" w:cs="方正书宋_GBK"/>
          <w:color w:val="000000"/>
          <w:sz w:val="21"/>
        </w:rPr>
      </w:pPr>
    </w:p>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324涞水县自然资源和规划局</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38.96</w:t>
            </w:r>
          </w:p>
        </w:tc>
        <w:tc>
          <w:tcPr>
            <w:tcW w:w="2381" w:type="dxa"/>
            <w:vAlign w:val="top"/>
          </w:tcPr>
          <w:p>
            <w:pPr>
              <w:keepNext w:val="0"/>
              <w:keepLines w:val="0"/>
              <w:widowControl/>
              <w:suppressLineNumbers w:val="0"/>
              <w:jc w:val="right"/>
              <w:textAlignment w:val="top"/>
              <w:rPr>
                <w:rFonts w:hint="default" w:ascii="Times New Roman" w:hAnsi="Times New Roman" w:eastAsia="Times New Roman" w:cs="Times New Roman"/>
                <w:sz w:val="24"/>
                <w:szCs w:val="24"/>
                <w:lang w:val="en-US" w:eastAsia="uk-UA" w:bidi="ar-SA"/>
              </w:rPr>
            </w:pPr>
            <w:r>
              <w:rPr>
                <w:rFonts w:hint="eastAsia" w:ascii="Calibri" w:hAnsi="Calibri" w:eastAsia="宋体" w:cs="Calibri"/>
                <w:i w:val="0"/>
                <w:iCs w:val="0"/>
                <w:color w:val="000000"/>
                <w:kern w:val="0"/>
                <w:sz w:val="22"/>
                <w:szCs w:val="22"/>
                <w:u w:val="none"/>
                <w:lang w:val="en-US" w:eastAsia="zh-CN" w:bidi="ar"/>
              </w:rPr>
              <w:t>38.96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38.</w:t>
            </w:r>
            <w:r>
              <w:rPr>
                <w:rFonts w:hint="default" w:ascii="Calibri" w:hAnsi="Calibri" w:eastAsia="宋体" w:cs="Calibri"/>
                <w:i w:val="0"/>
                <w:iCs w:val="0"/>
                <w:color w:val="000000"/>
                <w:kern w:val="0"/>
                <w:sz w:val="22"/>
                <w:szCs w:val="22"/>
                <w:u w:val="none"/>
                <w:lang w:val="en-US" w:eastAsia="zh-CN" w:bidi="ar"/>
              </w:rPr>
              <w:t>96</w:t>
            </w:r>
          </w:p>
        </w:tc>
        <w:tc>
          <w:tcPr>
            <w:tcW w:w="2381"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38</w:t>
            </w:r>
            <w:r>
              <w:rPr>
                <w:rFonts w:hint="default" w:ascii="Calibri" w:hAnsi="Calibri" w:eastAsia="宋体" w:cs="Calibri"/>
                <w:i w:val="0"/>
                <w:iCs w:val="0"/>
                <w:color w:val="000000"/>
                <w:kern w:val="0"/>
                <w:sz w:val="22"/>
                <w:szCs w:val="22"/>
                <w:u w:val="none"/>
                <w:lang w:val="en-US" w:eastAsia="zh-CN" w:bidi="ar"/>
              </w:rPr>
              <w:t>.96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top"/>
          </w:tcPr>
          <w:p>
            <w:pPr>
              <w:keepNext w:val="0"/>
              <w:keepLines w:val="0"/>
              <w:widowControl/>
              <w:suppressLineNumbers w:val="0"/>
              <w:jc w:val="right"/>
              <w:textAlignment w:val="top"/>
            </w:pPr>
            <w:r>
              <w:rPr>
                <w:rFonts w:hint="eastAsia" w:ascii="Calibri" w:hAnsi="Calibri" w:eastAsia="宋体" w:cs="Calibri"/>
                <w:i w:val="0"/>
                <w:iCs w:val="0"/>
                <w:color w:val="000000"/>
                <w:kern w:val="0"/>
                <w:sz w:val="22"/>
                <w:szCs w:val="22"/>
                <w:u w:val="none"/>
                <w:lang w:val="en-US" w:eastAsia="zh-CN" w:bidi="ar"/>
              </w:rPr>
              <w:t>30</w:t>
            </w:r>
            <w:r>
              <w:rPr>
                <w:rFonts w:hint="default" w:ascii="Calibri" w:hAnsi="Calibri" w:eastAsia="宋体" w:cs="Calibri"/>
                <w:i w:val="0"/>
                <w:iCs w:val="0"/>
                <w:color w:val="000000"/>
                <w:kern w:val="0"/>
                <w:sz w:val="22"/>
                <w:szCs w:val="22"/>
                <w:u w:val="none"/>
                <w:lang w:val="en-US" w:eastAsia="zh-CN" w:bidi="ar"/>
              </w:rPr>
              <w:t>.00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0</w:t>
            </w:r>
            <w:r>
              <w:rPr>
                <w:rFonts w:hint="default" w:ascii="Calibri" w:hAnsi="Calibri" w:eastAsia="宋体" w:cs="Calibri"/>
                <w:i w:val="0"/>
                <w:iCs w:val="0"/>
                <w:color w:val="000000"/>
                <w:kern w:val="0"/>
                <w:sz w:val="22"/>
                <w:szCs w:val="22"/>
                <w:u w:val="none"/>
                <w:lang w:val="en-US" w:eastAsia="zh-CN" w:bidi="ar"/>
              </w:rPr>
              <w:t>.00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vAlign w:val="top"/>
          </w:tcPr>
          <w:p>
            <w:pPr>
              <w:keepNext w:val="0"/>
              <w:keepLines w:val="0"/>
              <w:widowControl/>
              <w:suppressLineNumbers w:val="0"/>
              <w:jc w:val="right"/>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0.00</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0</w:t>
            </w:r>
            <w:r>
              <w:rPr>
                <w:rFonts w:hint="default" w:ascii="Calibri" w:hAnsi="Calibri" w:eastAsia="宋体" w:cs="Calibri"/>
                <w:i w:val="0"/>
                <w:iCs w:val="0"/>
                <w:color w:val="000000"/>
                <w:kern w:val="0"/>
                <w:sz w:val="22"/>
                <w:szCs w:val="22"/>
                <w:u w:val="none"/>
                <w:lang w:val="en-US" w:eastAsia="zh-CN" w:bidi="ar"/>
              </w:rPr>
              <w:t>.00</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8.96</w:t>
            </w: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2" w:type="dxa"/>
            <w:vAlign w:val="top"/>
          </w:tcPr>
          <w:p>
            <w:pPr>
              <w:jc w:val="right"/>
            </w:pPr>
          </w:p>
        </w:tc>
        <w:tc>
          <w:tcPr>
            <w:tcW w:w="2381" w:type="dxa"/>
            <w:vAlign w:val="top"/>
          </w:tcPr>
          <w:p>
            <w:pPr>
              <w:jc w:val="right"/>
            </w:pPr>
          </w:p>
        </w:tc>
        <w:tc>
          <w:tcPr>
            <w:tcW w:w="2381" w:type="dxa"/>
            <w:vAlign w:val="top"/>
          </w:tcPr>
          <w:p>
            <w:pPr>
              <w:jc w:val="right"/>
            </w:pPr>
          </w:p>
        </w:tc>
        <w:tc>
          <w:tcPr>
            <w:tcW w:w="2381" w:type="dxa"/>
            <w:vAlign w:val="top"/>
          </w:tcPr>
          <w:p>
            <w:pPr>
              <w:jc w:val="right"/>
            </w:pPr>
          </w:p>
        </w:tc>
      </w:tr>
    </w:tbl>
    <w:p>
      <w:pPr>
        <w:jc w:val="both"/>
        <w:outlineLvl w:val="0"/>
        <w:sectPr>
          <w:pgSz w:w="16840" w:h="11900" w:orient="landscape"/>
          <w:pgMar w:top="1361" w:right="1020" w:bottom="1361"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val="en-US" w:eastAsia="zh-CN"/>
        </w:rPr>
        <w:t>涞水县自然资源和规划局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涞水县自然资源和规划局</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eastAsia="方正仿宋_GBK"/>
          <w:color w:val="000000"/>
          <w:sz w:val="28"/>
          <w:lang w:val="en-US" w:eastAsia="zh-CN"/>
        </w:rPr>
        <w:t>涞水县自然资源和规划局</w:t>
      </w:r>
      <w:r>
        <w:t>部门职责</w:t>
      </w:r>
    </w:p>
    <w:p>
      <w:pPr>
        <w:pStyle w:val="22"/>
        <w:rPr>
          <w:rFonts w:hint="eastAsia" w:eastAsia="方正仿宋_GBK"/>
          <w:color w:val="000000"/>
          <w:sz w:val="28"/>
          <w:lang w:val="en-US" w:eastAsia="zh-CN"/>
        </w:rPr>
      </w:pPr>
      <w:r>
        <w:rPr>
          <w:rFonts w:hint="eastAsia" w:eastAsia="方正仿宋_GBK"/>
          <w:color w:val="000000"/>
          <w:sz w:val="28"/>
          <w:lang w:val="en-US" w:eastAsia="zh-CN"/>
        </w:rPr>
        <w:t xml:space="preserve">(一）贯彻执行国家、省、市有关法律、行政法规和政策，保证其在本行政区域内的有效实施；拟定土地资源、矿产资源等自然资源规范性文件和政策性规定，并负责实施和监督检查。 </w:t>
      </w:r>
    </w:p>
    <w:p>
      <w:pPr>
        <w:pStyle w:val="22"/>
        <w:rPr>
          <w:rFonts w:hint="eastAsia" w:eastAsia="方正仿宋_GBK"/>
          <w:color w:val="000000"/>
          <w:sz w:val="28"/>
          <w:lang w:val="en-US" w:eastAsia="zh-CN"/>
        </w:rPr>
      </w:pPr>
      <w:r>
        <w:rPr>
          <w:rFonts w:hint="eastAsia" w:eastAsia="方正仿宋_GBK"/>
          <w:color w:val="000000"/>
          <w:sz w:val="28"/>
          <w:lang w:val="en-US" w:eastAsia="zh-CN"/>
        </w:rPr>
        <w:t>(二）组织编制和实施全县土地利用总体规划和其它专项规划；组织矿产资源的调查评价，编制全县矿产资源总体规划及专项规划。</w:t>
      </w:r>
    </w:p>
    <w:p>
      <w:pPr>
        <w:pStyle w:val="22"/>
        <w:rPr>
          <w:rFonts w:hint="eastAsia" w:eastAsia="方正仿宋_GBK"/>
          <w:color w:val="000000"/>
          <w:sz w:val="28"/>
          <w:lang w:val="en-US" w:eastAsia="zh-CN"/>
        </w:rPr>
      </w:pPr>
      <w:r>
        <w:rPr>
          <w:rFonts w:hint="eastAsia" w:eastAsia="方正仿宋_GBK"/>
          <w:color w:val="000000"/>
          <w:sz w:val="28"/>
          <w:lang w:val="en-US" w:eastAsia="zh-CN"/>
        </w:rPr>
        <w:t>(三）监督检查全县土地资源和矿产资源的规划执行情况；依法保护土地、矿产资源所有者和使用者的合法权益；承办并组织调处本行政区域内的权属纠纷；查处重大违法案件。</w:t>
      </w:r>
    </w:p>
    <w:p>
      <w:pPr>
        <w:pStyle w:val="22"/>
        <w:rPr>
          <w:rFonts w:hint="eastAsia" w:eastAsia="方正仿宋_GBK"/>
          <w:color w:val="000000"/>
          <w:sz w:val="28"/>
          <w:lang w:val="en-US" w:eastAsia="zh-CN"/>
        </w:rPr>
      </w:pPr>
      <w:r>
        <w:rPr>
          <w:rFonts w:hint="eastAsia" w:eastAsia="方正仿宋_GBK"/>
          <w:color w:val="000000"/>
          <w:sz w:val="28"/>
          <w:lang w:val="en-US" w:eastAsia="zh-CN"/>
        </w:rPr>
        <w:t>(四）拟定并实施全县耕地特殊保护和鼓励耕地开发政策；实施农用地用途管制，组织基本农田保护；指导未利用土地开发、土地整理、土地复垦和开发耕地监督工作，确保耕地总量动态平衡。</w:t>
      </w:r>
    </w:p>
    <w:p>
      <w:pPr>
        <w:pStyle w:val="22"/>
        <w:rPr>
          <w:rFonts w:hint="eastAsia" w:eastAsia="方正仿宋_GBK"/>
          <w:color w:val="000000"/>
          <w:sz w:val="28"/>
          <w:lang w:val="en-US" w:eastAsia="zh-CN"/>
        </w:rPr>
      </w:pPr>
      <w:r>
        <w:rPr>
          <w:rFonts w:hint="eastAsia" w:eastAsia="方正仿宋_GBK"/>
          <w:color w:val="000000"/>
          <w:sz w:val="28"/>
          <w:lang w:val="en-US" w:eastAsia="zh-CN"/>
        </w:rPr>
        <w:t>(五）管理全县城乡地籍工作，实施地籍管理办法；组织土地资源调查、地籍调查、土地统计和动态监测；负责土地确权，土地纠纷调处、城乡地籍和土地登记、发证等工作。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(六）按规定组织实施土地使用权出让、租赁、作价出资、转让、交易和政府收购管理办法；拟定乡（镇）、村用地管理办法；负责农村集体非农土地使用权流转工作。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(七）负责全县土地的分管定级和基准地价、标定地价评测；审核评估机构从事土地评估的资格；承担报国务院、省、市和县政府审批的各类用地审查报批工作。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质成果。</w:t>
      </w:r>
    </w:p>
    <w:p>
      <w:pPr>
        <w:pStyle w:val="22"/>
        <w:rPr>
          <w:rFonts w:hint="eastAsia" w:eastAsia="方正仿宋_GBK"/>
          <w:color w:val="000000"/>
          <w:sz w:val="28"/>
          <w:lang w:val="en-US" w:eastAsia="zh-CN"/>
        </w:rPr>
      </w:pPr>
      <w:r>
        <w:rPr>
          <w:rFonts w:hint="eastAsia" w:eastAsia="方正仿宋_GBK"/>
          <w:color w:val="000000"/>
          <w:sz w:val="28"/>
          <w:lang w:val="en-US" w:eastAsia="zh-CN"/>
        </w:rPr>
        <w:t>(九）组织协调本行政区域内地质灾害防治；保护地质境；按权限认定并管理具有重要价值的地质遗迹保护区。</w:t>
      </w:r>
    </w:p>
    <w:p>
      <w:pPr>
        <w:pStyle w:val="22"/>
        <w:rPr>
          <w:rFonts w:hint="eastAsia" w:eastAsia="方正仿宋_GBK"/>
          <w:color w:val="000000"/>
          <w:sz w:val="28"/>
          <w:lang w:val="en-US" w:eastAsia="zh-CN"/>
        </w:rPr>
      </w:pPr>
      <w:r>
        <w:rPr>
          <w:rFonts w:hint="eastAsia" w:eastAsia="方正仿宋_GBK"/>
          <w:color w:val="000000"/>
          <w:sz w:val="28"/>
          <w:lang w:val="en-US" w:eastAsia="zh-CN"/>
        </w:rPr>
        <w:t>(十）贯彻执行国家</w:t>
      </w:r>
      <w:r>
        <w:rPr>
          <w:rFonts w:hint="eastAsia"/>
          <w:color w:val="000000"/>
          <w:sz w:val="28"/>
          <w:lang w:val="en-US" w:eastAsia="zh-CN"/>
        </w:rPr>
        <w:t>《中华人民共和国测绘法》</w:t>
      </w:r>
      <w:r>
        <w:rPr>
          <w:rFonts w:hint="eastAsia" w:eastAsia="方正仿宋_GBK"/>
          <w:color w:val="000000"/>
          <w:sz w:val="28"/>
          <w:lang w:val="en-US" w:eastAsia="zh-CN"/>
        </w:rPr>
        <w:t>等法律法规，对本行政区域内的测绘规划及实施情况依法进行管理和监督检查；按法定权限对测绘基准、测绘系统、测绘成果进行管理；对界限测绘进行初审；按法定权限负责测量标志的保护工作；依法查处违反国家测绘法律法规的违法行为。</w:t>
      </w:r>
    </w:p>
    <w:p>
      <w:pPr>
        <w:pStyle w:val="22"/>
        <w:rPr>
          <w:rFonts w:hint="eastAsia" w:eastAsia="方正仿宋_GBK"/>
          <w:color w:val="000000"/>
          <w:sz w:val="28"/>
          <w:lang w:val="en-US" w:eastAsia="zh-CN"/>
        </w:rPr>
      </w:pPr>
      <w:r>
        <w:rPr>
          <w:rFonts w:hint="eastAsia" w:eastAsia="方正仿宋_GBK"/>
          <w:color w:val="000000"/>
          <w:sz w:val="28"/>
          <w:lang w:val="en-US" w:eastAsia="zh-CN"/>
        </w:rPr>
        <w:t>(十一）依法征收有关专项规费并负责专项管理；负责作，确保机关及所属事业单位年度经费预算建议计划的编审；安排上级拨给的地勘费和其它资金，并监督检查使用情况。</w:t>
      </w:r>
    </w:p>
    <w:p>
      <w:pPr>
        <w:pStyle w:val="22"/>
        <w:rPr>
          <w:rFonts w:hint="eastAsia" w:eastAsia="方正仿宋_GBK"/>
          <w:color w:val="000000"/>
          <w:sz w:val="28"/>
          <w:lang w:val="en-US" w:eastAsia="zh-CN"/>
        </w:rPr>
      </w:pPr>
      <w:r>
        <w:rPr>
          <w:rFonts w:hint="eastAsia" w:eastAsia="方正仿宋_GBK"/>
          <w:color w:val="000000"/>
          <w:sz w:val="28"/>
          <w:lang w:val="en-US" w:eastAsia="zh-CN"/>
        </w:rPr>
        <w:t>(十二）组织开展土地资源、矿产资源等自然资源的对外合作与交流等工作。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(十三）贯彻执行国家和省市城乡规划的法律、法规、规章及有关方针、政策。</w:t>
      </w:r>
    </w:p>
    <w:p>
      <w:pPr>
        <w:pStyle w:val="22"/>
        <w:rPr>
          <w:rFonts w:hint="eastAsia" w:eastAsia="方正仿宋_GBK"/>
          <w:color w:val="000000"/>
          <w:sz w:val="28"/>
          <w:lang w:val="en-US" w:eastAsia="zh-CN"/>
        </w:rPr>
      </w:pPr>
      <w:r>
        <w:rPr>
          <w:rFonts w:hint="eastAsia" w:eastAsia="方正仿宋_GBK"/>
          <w:color w:val="000000"/>
          <w:sz w:val="28"/>
          <w:lang w:val="en-US" w:eastAsia="zh-CN"/>
        </w:rPr>
        <w:t>(十四）负责组织编制县域总体规划，并会同有关部门组织实施；组织编制分区规划、详细规划和各项专业规划并按法定程序组织上报及审批；参与制定县域建设发展战略、国土和区域规划及大型建设项目可行性研究。</w:t>
      </w:r>
    </w:p>
    <w:p>
      <w:pPr>
        <w:pStyle w:val="22"/>
        <w:rPr>
          <w:rFonts w:hint="eastAsia" w:eastAsia="方正仿宋_GBK"/>
          <w:color w:val="000000"/>
          <w:sz w:val="28"/>
          <w:lang w:val="en-US" w:eastAsia="zh-CN"/>
        </w:rPr>
      </w:pPr>
      <w:r>
        <w:rPr>
          <w:rFonts w:hint="eastAsia" w:eastAsia="方正仿宋_GBK"/>
          <w:color w:val="000000"/>
          <w:sz w:val="28"/>
          <w:lang w:val="en-US" w:eastAsia="zh-CN"/>
        </w:rPr>
        <w:t>(十五）负责规划区内的各项永久性、临时性建设用地和各类建设工程的统一规划管理，核发“一书两证”；负责规划区内大中型建设项目的选址和建设工程的设计方案招标、施工图（包括抗震）审查及规划验收；负责查处规划区内违法、违章建设用地和建设工程及收取授权的建设费。</w:t>
      </w:r>
    </w:p>
    <w:p>
      <w:pPr>
        <w:pStyle w:val="22"/>
        <w:rPr>
          <w:rFonts w:hint="eastAsia" w:eastAsia="方正仿宋_GBK"/>
          <w:color w:val="000000"/>
          <w:sz w:val="28"/>
          <w:lang w:val="en-US" w:eastAsia="zh-CN"/>
        </w:rPr>
      </w:pPr>
      <w:r>
        <w:rPr>
          <w:rFonts w:hint="eastAsia" w:eastAsia="方正仿宋_GBK"/>
          <w:color w:val="000000"/>
          <w:sz w:val="28"/>
          <w:lang w:val="en-US" w:eastAsia="zh-CN"/>
        </w:rPr>
        <w:t>(十六）对各乡（镇）规划管理工作进行业务指导；审核各乡（镇）、村总体规划和开发区、风景、旅游、文物保护区等规划方案，并上报审批；负责县域内大型建设工程项目的规划审查和报批。</w:t>
      </w:r>
    </w:p>
    <w:p>
      <w:pPr>
        <w:pStyle w:val="22"/>
        <w:rPr>
          <w:rFonts w:hint="eastAsia" w:eastAsia="方正仿宋_GBK"/>
          <w:color w:val="000000"/>
          <w:sz w:val="28"/>
          <w:lang w:val="en-US" w:eastAsia="zh-CN"/>
        </w:rPr>
      </w:pPr>
      <w:r>
        <w:rPr>
          <w:rFonts w:hint="eastAsia" w:eastAsia="方正仿宋_GBK"/>
          <w:color w:val="000000"/>
          <w:sz w:val="28"/>
          <w:lang w:val="en-US" w:eastAsia="zh-CN"/>
        </w:rPr>
        <w:t>(十七）负责规划区内市政工程项目的规划审批。</w:t>
      </w:r>
    </w:p>
    <w:p>
      <w:pPr>
        <w:pStyle w:val="22"/>
        <w:rPr>
          <w:rFonts w:hint="eastAsia" w:eastAsia="方正仿宋_GBK"/>
          <w:color w:val="000000"/>
          <w:sz w:val="28"/>
          <w:lang w:val="en-US" w:eastAsia="zh-CN"/>
        </w:rPr>
      </w:pPr>
      <w:r>
        <w:rPr>
          <w:rFonts w:hint="eastAsia" w:eastAsia="方正仿宋_GBK"/>
          <w:color w:val="000000"/>
          <w:sz w:val="28"/>
          <w:lang w:val="en-US" w:eastAsia="zh-CN"/>
        </w:rPr>
        <w:t>(十八）拟定全县有关城乡规划、勘察技术规定、细则，并组织实施</w:t>
      </w:r>
    </w:p>
    <w:p>
      <w:pPr>
        <w:pStyle w:val="22"/>
        <w:rPr>
          <w:rFonts w:hint="eastAsia" w:eastAsia="方正仿宋_GBK"/>
          <w:color w:val="000000"/>
          <w:sz w:val="28"/>
          <w:lang w:val="en-US" w:eastAsia="zh-CN"/>
        </w:rPr>
      </w:pPr>
      <w:r>
        <w:rPr>
          <w:rFonts w:hint="eastAsia" w:eastAsia="方正仿宋_GBK"/>
          <w:color w:val="000000"/>
          <w:sz w:val="28"/>
          <w:lang w:val="en-US" w:eastAsia="zh-CN"/>
        </w:rPr>
        <w:t>(十九）负责县域基础勤察工作，组织制定有关规划，并组织实施；负责基础勘察、规划测绘资料的统一管理。</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(二十）依据上级林业政策，结合涞水实际，起草全县林业政策性文件，并加以贯彻落实。要</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(二十一）编制全县造林绿化的长期和年度方案，并组织实施。负责工程造林的规划设计、技术培训、技术指导及检查验收工作。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(二十二）编制现有林经营方案，严格执行上级下达的森林采伐限额，负责“三项作业”（主伐、抚育间伐、低质林改造）的勘查设计、作业审批、施工指导及检查验收工作。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(二十三）负责水资源调查和确权登记管理工作。</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(二十四）负责组织编制主体功能区规划管理工作工。</w:t>
      </w:r>
    </w:p>
    <w:p>
      <w:pPr>
        <w:pStyle w:val="22"/>
        <w:rPr>
          <w:rFonts w:hint="eastAsia" w:eastAsia="方正仿宋_GBK"/>
          <w:color w:val="000000"/>
          <w:sz w:val="28"/>
          <w:lang w:val="en-US" w:eastAsia="zh-CN"/>
        </w:rPr>
      </w:pPr>
      <w:r>
        <w:rPr>
          <w:rFonts w:hint="eastAsia" w:eastAsia="方正仿宋_GBK"/>
          <w:color w:val="000000"/>
          <w:sz w:val="28"/>
          <w:lang w:val="en-US" w:eastAsia="zh-CN"/>
        </w:rPr>
        <w:t>(二十五）负责风景名胜区管理。</w:t>
      </w:r>
    </w:p>
    <w:p>
      <w:pPr>
        <w:pStyle w:val="22"/>
      </w:pPr>
      <w:r>
        <w:rPr>
          <w:rFonts w:hint="eastAsia" w:eastAsia="方正仿宋_GBK"/>
          <w:color w:val="000000"/>
          <w:sz w:val="28"/>
          <w:lang w:val="en-US" w:eastAsia="zh-CN"/>
        </w:rPr>
        <w:t>(二十六）承办县委、县政府交办的其他事项。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kinsoku/>
              <w:wordWrap/>
              <w:overflowPunct/>
              <w:topLinePunct w:val="0"/>
              <w:autoSpaceDE/>
              <w:autoSpaceDN/>
              <w:bidi w:val="0"/>
              <w:adjustRightInd/>
              <w:snapToGrid/>
              <w:spacing w:line="540" w:lineRule="exact"/>
              <w:textAlignment w:val="auto"/>
            </w:pPr>
            <w:r>
              <w:rPr>
                <w:rFonts w:hint="eastAsia" w:ascii="宋体" w:hAnsi="宋体" w:eastAsia="宋体" w:cs="宋体"/>
                <w:sz w:val="20"/>
                <w:szCs w:val="20"/>
                <w:lang w:eastAsia="zh-CN"/>
              </w:rPr>
              <w:t>涞水县自然资源和规划局</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行政</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正科级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pPr>
            <w:r>
              <w:rPr>
                <w:rFonts w:hint="eastAsia" w:ascii="宋体" w:hAnsi="宋体" w:eastAsia="宋体" w:cs="宋体"/>
                <w:color w:val="000000"/>
                <w:kern w:val="0"/>
                <w:sz w:val="20"/>
                <w:szCs w:val="20"/>
              </w:rPr>
              <w:t>财政拨款</w:t>
            </w:r>
          </w:p>
        </w:tc>
      </w:tr>
    </w:tbl>
    <w:p>
      <w:pPr>
        <w:spacing w:before="10" w:after="10" w:line="360" w:lineRule="auto"/>
        <w:outlineLvl w:val="2"/>
        <w:rPr>
          <w:rFonts w:ascii="黑体" w:hAnsi="黑体" w:eastAsia="黑体" w:cs="黑体"/>
          <w:color w:val="000000"/>
          <w:sz w:val="32"/>
        </w:rPr>
      </w:pPr>
      <w:bookmarkStart w:id="9" w:name="_Toc_3_3_0000000011"/>
    </w:p>
    <w:p>
      <w:pPr>
        <w:spacing w:before="10" w:after="10" w:line="360" w:lineRule="auto"/>
        <w:ind w:firstLine="640" w:firstLineChars="20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涞水县自然资源和规划局</w:t>
      </w:r>
      <w:r>
        <w:rPr>
          <w:rFonts w:eastAsia="方正仿宋_GBK"/>
          <w:color w:val="000000"/>
          <w:sz w:val="28"/>
        </w:rPr>
        <w:t>机关及所属事业单位的收支包含在部门预算中。</w:t>
      </w:r>
    </w:p>
    <w:p>
      <w:pPr>
        <w:spacing w:line="500" w:lineRule="exact"/>
        <w:ind w:firstLine="560"/>
        <w:rPr>
          <w:rFonts w:hint="eastAsia" w:eastAsia="方正仿宋_GBK"/>
          <w:color w:val="000000"/>
          <w:sz w:val="28"/>
          <w:lang w:eastAsia="zh-CN"/>
        </w:rPr>
      </w:pPr>
      <w:r>
        <w:rPr>
          <w:rFonts w:hint="eastAsia" w:eastAsia="方正仿宋_GBK"/>
          <w:color w:val="000000"/>
          <w:sz w:val="28"/>
        </w:rPr>
        <w:t>1、部门预算收入</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2023年预算收入总额</w:t>
      </w:r>
      <w:r>
        <w:rPr>
          <w:rFonts w:hint="eastAsia" w:eastAsia="方正仿宋_GBK"/>
          <w:sz w:val="28"/>
          <w:szCs w:val="28"/>
          <w:lang w:val="en-US" w:eastAsia="zh-CN"/>
        </w:rPr>
        <w:t>147104.02</w:t>
      </w:r>
      <w:r>
        <w:rPr>
          <w:rFonts w:hint="eastAsia" w:eastAsia="方正仿宋_GBK"/>
          <w:color w:val="000000"/>
          <w:sz w:val="28"/>
          <w:lang w:val="en-US" w:eastAsia="zh-CN"/>
        </w:rPr>
        <w:t>万元，均为财政拨款收入。其中：一般公共预算拨款</w:t>
      </w:r>
      <w:r>
        <w:rPr>
          <w:rFonts w:hint="eastAsia" w:eastAsia="方正仿宋_GBK"/>
          <w:sz w:val="28"/>
          <w:szCs w:val="28"/>
          <w:lang w:val="en-US" w:eastAsia="zh-CN"/>
        </w:rPr>
        <w:t>5088.05</w:t>
      </w:r>
      <w:r>
        <w:rPr>
          <w:rFonts w:hint="eastAsia" w:eastAsia="方正仿宋_GBK"/>
          <w:color w:val="000000"/>
          <w:sz w:val="28"/>
          <w:lang w:val="en-US" w:eastAsia="zh-CN"/>
        </w:rPr>
        <w:t>万元，政府性基金预算拨款139310.23万元，国有资本经营预算拨款0万元，上级补助收入0万元，事业收入0万元，经营收入0万元，附属单位上缴收入0万元，其他收入0万元，上年结转结余2705.74万元。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2、部门预算支出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收支预算总表支出栏、基本支出表、项目支出表按经济分类和支出功能分类科目编制，反映我部门预算中支出预算的总体情况。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2023年预算支出总额</w:t>
      </w:r>
      <w:r>
        <w:rPr>
          <w:rFonts w:hint="eastAsia" w:eastAsia="方正仿宋_GBK"/>
          <w:sz w:val="28"/>
          <w:szCs w:val="28"/>
          <w:lang w:val="en-US" w:eastAsia="zh-CN"/>
        </w:rPr>
        <w:t>147104.02</w:t>
      </w:r>
      <w:r>
        <w:rPr>
          <w:rFonts w:hint="eastAsia" w:eastAsia="方正仿宋_GBK"/>
          <w:color w:val="000000"/>
          <w:sz w:val="28"/>
          <w:lang w:val="en-US" w:eastAsia="zh-CN"/>
        </w:rPr>
        <w:t>万元，其中基本支出</w:t>
      </w:r>
      <w:r>
        <w:rPr>
          <w:rFonts w:hint="eastAsia" w:eastAsia="方正仿宋_GBK"/>
          <w:sz w:val="28"/>
          <w:szCs w:val="28"/>
          <w:lang w:val="en-US" w:eastAsia="zh-CN"/>
        </w:rPr>
        <w:t>3070.85</w:t>
      </w:r>
      <w:r>
        <w:rPr>
          <w:rFonts w:hint="eastAsia" w:eastAsia="方正仿宋_GBK"/>
          <w:color w:val="000000"/>
          <w:sz w:val="28"/>
          <w:lang w:val="en-US" w:eastAsia="zh-CN"/>
        </w:rPr>
        <w:t>万元，包括人员经费</w:t>
      </w:r>
      <w:r>
        <w:rPr>
          <w:rFonts w:hint="eastAsia" w:eastAsia="方正仿宋_GBK"/>
          <w:sz w:val="28"/>
          <w:szCs w:val="28"/>
          <w:lang w:val="en-US" w:eastAsia="zh-CN"/>
        </w:rPr>
        <w:t>2769.61</w:t>
      </w:r>
      <w:r>
        <w:rPr>
          <w:rFonts w:hint="eastAsia" w:eastAsia="方正仿宋_GBK"/>
          <w:color w:val="000000"/>
          <w:sz w:val="28"/>
          <w:lang w:val="en-US" w:eastAsia="zh-CN"/>
        </w:rPr>
        <w:t>万元和日常公用经费</w:t>
      </w:r>
      <w:r>
        <w:rPr>
          <w:rFonts w:hint="eastAsia" w:eastAsia="方正仿宋_GBK"/>
          <w:sz w:val="28"/>
          <w:szCs w:val="28"/>
          <w:lang w:val="en-US" w:eastAsia="zh-CN"/>
        </w:rPr>
        <w:t>301.24</w:t>
      </w:r>
      <w:r>
        <w:rPr>
          <w:rFonts w:hint="eastAsia" w:eastAsia="方正仿宋_GBK"/>
          <w:color w:val="000000"/>
          <w:sz w:val="28"/>
          <w:lang w:val="en-US" w:eastAsia="zh-CN"/>
        </w:rPr>
        <w:t>万元；项目支出144033.17万元，为本级支出； 上缴上级支出0万元；经营支出0万元；对附属单位补助支出0万元。</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3、比上年增减情况</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本年度预算收支安排</w:t>
      </w:r>
      <w:r>
        <w:rPr>
          <w:rFonts w:hint="eastAsia" w:eastAsia="方正仿宋_GBK"/>
          <w:sz w:val="28"/>
          <w:szCs w:val="28"/>
          <w:lang w:val="en-US" w:eastAsia="zh-CN"/>
        </w:rPr>
        <w:t>144033.17</w:t>
      </w:r>
      <w:r>
        <w:rPr>
          <w:rFonts w:hint="eastAsia" w:eastAsia="方正仿宋_GBK"/>
          <w:color w:val="000000"/>
          <w:sz w:val="28"/>
          <w:lang w:val="en-US" w:eastAsia="zh-CN"/>
        </w:rPr>
        <w:t>万元，较上年增加13768.17万元。其中:基本支出增加85万元，主要增加为年度人员工资、保险调整；项目支出增加13683.17万元，主要增加为农村基础设施建设支出、土地开发支出。</w:t>
      </w:r>
      <w:bookmarkStart w:id="10" w:name="_Toc_3_3_0000000012"/>
    </w:p>
    <w:p>
      <w:pPr>
        <w:spacing w:line="500" w:lineRule="exact"/>
        <w:ind w:firstLine="560"/>
        <w:rPr>
          <w:rFonts w:hint="eastAsia" w:eastAsia="方正仿宋_GBK"/>
          <w:color w:val="000000"/>
          <w:sz w:val="28"/>
        </w:rPr>
      </w:pPr>
      <w:r>
        <w:rPr>
          <w:rFonts w:hint="eastAsia" w:eastAsia="方正仿宋_GBK"/>
          <w:color w:val="000000"/>
          <w:sz w:val="28"/>
        </w:rPr>
        <w:t>三、机关运行经费安排情况</w:t>
      </w:r>
      <w:bookmarkEnd w:id="10"/>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机关运行经费安排301.24万元，其中：办公费75.08万元，邮电费0.36万元，取暖费6.77万元，差旅费38.2万元，公务用车运行维护费30万元，公务接待费8.96万元，公务交通补贴8.7万元，离、退休人员公用经费1.36万元，劳务费56.95万元，工会经费28.41万元，职工福利费46.45万元。</w:t>
      </w:r>
    </w:p>
    <w:p>
      <w:pPr>
        <w:spacing w:line="500" w:lineRule="exact"/>
        <w:ind w:firstLine="560"/>
        <w:rPr>
          <w:rFonts w:hint="eastAsia" w:eastAsia="方正仿宋_GBK"/>
          <w:color w:val="000000"/>
          <w:sz w:val="28"/>
        </w:rPr>
      </w:pPr>
      <w:bookmarkStart w:id="11" w:name="_Toc_3_3_0000000013"/>
      <w:r>
        <w:rPr>
          <w:rFonts w:hint="eastAsia" w:eastAsia="方正仿宋_GBK"/>
          <w:color w:val="000000"/>
          <w:sz w:val="28"/>
        </w:rPr>
        <w:t>四、财政拨款“三公”经费预算情况及增减变化原因</w:t>
      </w:r>
      <w:bookmarkEnd w:id="11"/>
    </w:p>
    <w:tbl>
      <w:tblPr>
        <w:tblStyle w:val="9"/>
        <w:tblW w:w="0" w:type="auto"/>
        <w:tblInd w:w="0" w:type="dxa"/>
        <w:tblLayout w:type="fixed"/>
        <w:tblCellMar>
          <w:top w:w="0" w:type="dxa"/>
          <w:left w:w="108" w:type="dxa"/>
          <w:bottom w:w="0" w:type="dxa"/>
          <w:right w:w="108" w:type="dxa"/>
        </w:tblCellMar>
      </w:tblPr>
      <w:tblGrid>
        <w:gridCol w:w="2861"/>
        <w:gridCol w:w="2299"/>
        <w:gridCol w:w="2299"/>
        <w:gridCol w:w="1576"/>
        <w:gridCol w:w="4162"/>
      </w:tblGrid>
      <w:tr>
        <w:tblPrEx>
          <w:tblCellMar>
            <w:top w:w="0" w:type="dxa"/>
            <w:left w:w="108" w:type="dxa"/>
            <w:bottom w:w="0" w:type="dxa"/>
            <w:right w:w="108" w:type="dxa"/>
          </w:tblCellMar>
        </w:tblPrEx>
        <w:trPr>
          <w:trHeight w:val="90" w:hRule="atLeast"/>
        </w:trPr>
        <w:tc>
          <w:tcPr>
            <w:tcW w:w="2861" w:type="dxa"/>
            <w:tcBorders>
              <w:top w:val="nil"/>
              <w:left w:val="nil"/>
              <w:bottom w:val="nil"/>
              <w:right w:val="nil"/>
            </w:tcBorders>
            <w:vAlign w:val="center"/>
          </w:tcPr>
          <w:p>
            <w:pPr>
              <w:rPr>
                <w:rFonts w:ascii="宋体" w:hAnsi="宋体" w:eastAsia="宋体" w:cs="宋体"/>
              </w:rPr>
            </w:pPr>
          </w:p>
        </w:tc>
        <w:tc>
          <w:tcPr>
            <w:tcW w:w="2299" w:type="dxa"/>
            <w:tcBorders>
              <w:top w:val="nil"/>
              <w:left w:val="nil"/>
              <w:bottom w:val="nil"/>
              <w:right w:val="nil"/>
            </w:tcBorders>
            <w:vAlign w:val="center"/>
          </w:tcPr>
          <w:p>
            <w:pPr>
              <w:rPr>
                <w:rFonts w:ascii="宋体" w:hAnsi="宋体" w:eastAsia="宋体" w:cs="宋体"/>
              </w:rPr>
            </w:pPr>
          </w:p>
        </w:tc>
        <w:tc>
          <w:tcPr>
            <w:tcW w:w="2299" w:type="dxa"/>
            <w:tcBorders>
              <w:top w:val="nil"/>
              <w:left w:val="nil"/>
              <w:bottom w:val="nil"/>
              <w:right w:val="nil"/>
            </w:tcBorders>
            <w:vAlign w:val="center"/>
          </w:tcPr>
          <w:p>
            <w:pPr>
              <w:rPr>
                <w:rFonts w:ascii="宋体" w:hAnsi="宋体" w:eastAsia="宋体" w:cs="宋体"/>
              </w:rPr>
            </w:pPr>
          </w:p>
        </w:tc>
        <w:tc>
          <w:tcPr>
            <w:tcW w:w="1576" w:type="dxa"/>
            <w:tcBorders>
              <w:top w:val="nil"/>
              <w:left w:val="nil"/>
              <w:bottom w:val="nil"/>
              <w:right w:val="nil"/>
            </w:tcBorders>
            <w:vAlign w:val="center"/>
          </w:tcPr>
          <w:p>
            <w:pPr>
              <w:rPr>
                <w:rFonts w:ascii="宋体" w:hAnsi="宋体" w:eastAsia="宋体" w:cs="宋体"/>
              </w:rPr>
            </w:pPr>
          </w:p>
        </w:tc>
        <w:tc>
          <w:tcPr>
            <w:tcW w:w="4162"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90" w:hRule="atLeast"/>
        </w:trPr>
        <w:tc>
          <w:tcPr>
            <w:tcW w:w="28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项目名称</w:t>
            </w:r>
          </w:p>
        </w:tc>
        <w:tc>
          <w:tcPr>
            <w:tcW w:w="22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22</w:t>
            </w:r>
            <w:r>
              <w:rPr>
                <w:rFonts w:hint="eastAsia" w:ascii="宋体" w:hAnsi="宋体" w:eastAsia="宋体" w:cs="宋体"/>
                <w:sz w:val="20"/>
                <w:szCs w:val="20"/>
              </w:rPr>
              <w:t>年度预算</w:t>
            </w:r>
          </w:p>
        </w:tc>
        <w:tc>
          <w:tcPr>
            <w:tcW w:w="229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20</w:t>
            </w:r>
            <w:r>
              <w:rPr>
                <w:rFonts w:hint="eastAsia" w:ascii="宋体" w:hAnsi="宋体" w:eastAsia="宋体" w:cs="宋体"/>
                <w:sz w:val="20"/>
                <w:szCs w:val="20"/>
                <w:lang w:val="en-US" w:eastAsia="zh-CN"/>
              </w:rPr>
              <w:t>23</w:t>
            </w:r>
            <w:r>
              <w:rPr>
                <w:rFonts w:hint="eastAsia" w:ascii="宋体" w:hAnsi="宋体" w:eastAsia="宋体" w:cs="宋体"/>
                <w:sz w:val="20"/>
                <w:szCs w:val="20"/>
              </w:rPr>
              <w:t>年度预算</w:t>
            </w:r>
          </w:p>
        </w:tc>
        <w:tc>
          <w:tcPr>
            <w:tcW w:w="15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增减金额</w:t>
            </w:r>
          </w:p>
        </w:tc>
        <w:tc>
          <w:tcPr>
            <w:tcW w:w="41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变化原因</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因公出国经费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公务用车购置经费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宋体" w:eastAsia="仿宋_GB2312" w:cs="宋体"/>
                <w:lang w:eastAsia="zh-CN"/>
              </w:rPr>
            </w:pPr>
            <w:r>
              <w:rPr>
                <w:rFonts w:hint="eastAsia" w:ascii="宋体" w:hAnsi="宋体" w:eastAsia="宋体" w:cs="宋体"/>
                <w:sz w:val="20"/>
                <w:szCs w:val="20"/>
              </w:rPr>
              <w:t>无增减变化</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公务用车运行经费</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36</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cs="宋体"/>
                <w:sz w:val="20"/>
                <w:szCs w:val="20"/>
                <w:lang w:val="en-US" w:eastAsia="zh-CN"/>
              </w:rPr>
              <w:t>30</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_GB2312" w:hAnsi="宋体" w:eastAsia="仿宋_GB2312" w:cs="宋体"/>
                <w:lang w:val="en-US" w:eastAsia="zh-CN"/>
              </w:rPr>
            </w:pPr>
            <w:r>
              <w:rPr>
                <w:rFonts w:hint="eastAsia" w:ascii="宋体" w:hAnsi="宋体" w:eastAsia="宋体" w:cs="宋体"/>
                <w:lang w:val="en-US" w:eastAsia="zh-CN"/>
              </w:rPr>
              <w:t>－</w:t>
            </w:r>
            <w:r>
              <w:rPr>
                <w:rFonts w:hint="eastAsia" w:ascii="仿宋_GB2312" w:hAnsi="宋体" w:eastAsia="仿宋_GB2312" w:cs="宋体"/>
                <w:lang w:val="en-US" w:eastAsia="zh-CN"/>
              </w:rPr>
              <w:t>6</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仿宋_GB2312" w:hAnsi="宋体" w:eastAsia="仿宋_GB2312" w:cs="宋体"/>
                <w:lang w:val="en-US" w:eastAsia="zh-CN"/>
              </w:rPr>
            </w:pPr>
            <w:r>
              <w:rPr>
                <w:rFonts w:hint="eastAsia" w:ascii="宋体" w:hAnsi="宋体" w:eastAsia="宋体" w:cs="宋体"/>
                <w:sz w:val="20"/>
                <w:szCs w:val="20"/>
                <w:lang w:val="en-US" w:eastAsia="zh-CN"/>
              </w:rPr>
              <w:t>加强公务用车管理</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rPr>
              <w:t>公务接待费支出</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rPr>
            </w:pPr>
            <w:r>
              <w:rPr>
                <w:rFonts w:hint="eastAsia" w:ascii="宋体" w:hAnsi="宋体" w:eastAsia="宋体" w:cs="宋体"/>
                <w:sz w:val="20"/>
                <w:szCs w:val="20"/>
                <w:lang w:val="en-US" w:eastAsia="zh-CN"/>
              </w:rPr>
              <w:t>0</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eastAsia="宋体" w:cs="宋体"/>
                <w:sz w:val="20"/>
                <w:szCs w:val="20"/>
                <w:lang w:val="en-US" w:eastAsia="zh-CN"/>
              </w:rPr>
              <w:t>8</w:t>
            </w:r>
            <w:r>
              <w:rPr>
                <w:rFonts w:hint="eastAsia" w:ascii="宋体" w:hAnsi="宋体" w:eastAsia="宋体" w:cs="宋体"/>
                <w:sz w:val="20"/>
                <w:szCs w:val="20"/>
              </w:rPr>
              <w:t>.96</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eastAsia="zh-CN"/>
              </w:rPr>
            </w:pPr>
            <w:r>
              <w:rPr>
                <w:rFonts w:hint="eastAsia" w:ascii="宋体" w:hAnsi="宋体" w:eastAsia="宋体" w:cs="宋体"/>
                <w:lang w:val="en-US" w:eastAsia="zh-CN"/>
              </w:rPr>
              <w:t>＋</w:t>
            </w:r>
            <w:r>
              <w:rPr>
                <w:rFonts w:hint="eastAsia" w:ascii="仿宋_GB2312" w:hAnsi="宋体" w:eastAsia="仿宋_GB2312" w:cs="宋体"/>
                <w:lang w:val="en-US" w:eastAsia="zh-CN"/>
              </w:rPr>
              <w:t>8.96</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default" w:ascii="仿宋_GB2312" w:hAnsi="宋体" w:eastAsia="仿宋_GB2312" w:cs="宋体"/>
                <w:lang w:val="en-US" w:eastAsia="zh-CN"/>
              </w:rPr>
            </w:pPr>
            <w:r>
              <w:rPr>
                <w:rFonts w:hint="eastAsia" w:ascii="宋体" w:hAnsi="宋体" w:eastAsia="宋体" w:cs="宋体"/>
                <w:sz w:val="20"/>
                <w:szCs w:val="20"/>
                <w:lang w:val="en-US" w:eastAsia="zh-CN"/>
              </w:rPr>
              <w:t>接待人员增多；物价上涨</w:t>
            </w:r>
          </w:p>
        </w:tc>
      </w:tr>
      <w:tr>
        <w:tblPrEx>
          <w:tblCellMar>
            <w:top w:w="0" w:type="dxa"/>
            <w:left w:w="108" w:type="dxa"/>
            <w:bottom w:w="0" w:type="dxa"/>
            <w:right w:w="108" w:type="dxa"/>
          </w:tblCellMar>
        </w:tblPrEx>
        <w:trPr>
          <w:trHeight w:val="90" w:hRule="atLeast"/>
        </w:trPr>
        <w:tc>
          <w:tcPr>
            <w:tcW w:w="286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宋体" w:eastAsia="仿宋_GB2312" w:cs="宋体"/>
              </w:rPr>
            </w:pPr>
            <w:r>
              <w:rPr>
                <w:rFonts w:hint="eastAsia" w:ascii="宋体" w:hAnsi="宋体" w:cs="宋体"/>
                <w:sz w:val="20"/>
                <w:szCs w:val="20"/>
                <w:lang w:val="en-US" w:eastAsia="zh-CN"/>
              </w:rPr>
              <w:t>合计</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_GB2312" w:hAnsi="宋体" w:eastAsia="仿宋_GB2312" w:cs="宋体"/>
                <w:lang w:val="en-US"/>
              </w:rPr>
            </w:pPr>
            <w:r>
              <w:rPr>
                <w:rFonts w:hint="eastAsia" w:ascii="宋体" w:hAnsi="宋体" w:cs="宋体"/>
                <w:sz w:val="20"/>
                <w:szCs w:val="20"/>
                <w:lang w:val="en-US" w:eastAsia="zh-CN"/>
              </w:rPr>
              <w:t>36</w:t>
            </w:r>
          </w:p>
        </w:tc>
        <w:tc>
          <w:tcPr>
            <w:tcW w:w="22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cs="宋体"/>
                <w:sz w:val="20"/>
                <w:szCs w:val="20"/>
                <w:lang w:val="en-US" w:eastAsia="zh-CN"/>
              </w:rPr>
              <w:t>38.96</w:t>
            </w:r>
          </w:p>
        </w:tc>
        <w:tc>
          <w:tcPr>
            <w:tcW w:w="15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仿宋_GB2312" w:hAnsi="宋体" w:eastAsia="仿宋_GB2312" w:cs="宋体"/>
                <w:lang w:eastAsia="zh-CN"/>
              </w:rPr>
            </w:pPr>
            <w:r>
              <w:rPr>
                <w:rFonts w:hint="eastAsia" w:ascii="宋体" w:hAnsi="宋体" w:cs="宋体"/>
                <w:sz w:val="20"/>
                <w:szCs w:val="20"/>
                <w:lang w:val="en-US" w:eastAsia="zh-CN"/>
              </w:rPr>
              <w:t>0</w:t>
            </w:r>
          </w:p>
        </w:tc>
        <w:tc>
          <w:tcPr>
            <w:tcW w:w="416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ascii="仿宋_GB2312" w:hAnsi="宋体" w:eastAsia="仿宋_GB2312" w:cs="宋体"/>
              </w:rPr>
            </w:pPr>
            <w:r>
              <w:rPr>
                <w:rFonts w:hint="eastAsia" w:ascii="宋体" w:hAnsi="宋体" w:eastAsia="宋体" w:cs="宋体"/>
                <w:sz w:val="20"/>
                <w:szCs w:val="20"/>
              </w:rPr>
              <w:t>无增减变化</w:t>
            </w:r>
          </w:p>
        </w:tc>
      </w:tr>
    </w:tbl>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2023年我单位“三公”经费预算支出38.96万元，其中：公车运行维护费30万元，公务接待费8.96万元，因公出国出境0万元。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2022年我单位“三公”经费预算支出36万元，其中：公车运行维护费36万元，公务接待费0万元，因公出国出境0万元。2023年“三公”预算比2022年增加2.96万元。</w:t>
      </w:r>
    </w:p>
    <w:p>
      <w:pPr>
        <w:pStyle w:val="25"/>
      </w:pPr>
    </w:p>
    <w:p>
      <w:pPr>
        <w:spacing w:before="10" w:after="10" w:line="360" w:lineRule="auto"/>
        <w:ind w:firstLine="640" w:firstLineChars="20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spacing w:line="500" w:lineRule="exact"/>
        <w:ind w:firstLine="560"/>
        <w:rPr>
          <w:rFonts w:hint="eastAsia" w:eastAsia="方正仿宋_GBK"/>
          <w:b w:val="0"/>
          <w:bCs w:val="0"/>
          <w:color w:val="000000"/>
          <w:sz w:val="32"/>
          <w:szCs w:val="32"/>
          <w:lang w:val="en-US" w:eastAsia="zh-CN"/>
        </w:rPr>
      </w:pPr>
      <w:r>
        <w:rPr>
          <w:rFonts w:hint="eastAsia" w:eastAsia="方正仿宋_GBK"/>
          <w:b w:val="0"/>
          <w:bCs w:val="0"/>
          <w:color w:val="000000"/>
          <w:sz w:val="32"/>
          <w:szCs w:val="32"/>
          <w:lang w:val="en-US" w:eastAsia="zh-CN"/>
        </w:rPr>
        <w:t>第一部分 部门整体绩效目标</w:t>
      </w:r>
    </w:p>
    <w:p>
      <w:pPr>
        <w:spacing w:before="10" w:after="10"/>
        <w:ind w:firstLine="560"/>
        <w:jc w:val="left"/>
        <w:outlineLvl w:val="1"/>
        <w:rPr>
          <w:rFonts w:ascii="方正黑体_GBK" w:hAnsi="方正黑体_GBK" w:eastAsia="方正黑体_GBK" w:cs="方正黑体_GBK"/>
          <w:b/>
          <w:bCs/>
          <w:color w:val="000000"/>
          <w:sz w:val="32"/>
          <w:szCs w:val="32"/>
        </w:rPr>
      </w:pPr>
      <w:bookmarkStart w:id="13" w:name="_Toc_2_2_0000000001"/>
    </w:p>
    <w:p>
      <w:pPr>
        <w:spacing w:before="10" w:after="10"/>
        <w:ind w:firstLine="560"/>
        <w:jc w:val="left"/>
        <w:outlineLvl w:val="1"/>
      </w:pPr>
      <w:r>
        <w:rPr>
          <w:rFonts w:ascii="方正黑体_GBK" w:hAnsi="方正黑体_GBK" w:eastAsia="方正黑体_GBK" w:cs="方正黑体_GBK"/>
          <w:color w:val="000000"/>
          <w:sz w:val="28"/>
        </w:rPr>
        <w:t>一、总体绩效目标</w:t>
      </w:r>
      <w:bookmarkEnd w:id="13"/>
    </w:p>
    <w:p>
      <w:pPr>
        <w:pStyle w:val="26"/>
        <w:ind w:left="0" w:leftChars="0" w:firstLine="560" w:firstLineChars="200"/>
      </w:pPr>
      <w:r>
        <w:t>部门整体绩效目标</w:t>
      </w:r>
    </w:p>
    <w:p>
      <w:pPr>
        <w:pStyle w:val="26"/>
        <w:ind w:left="0" w:leftChars="0" w:firstLine="560" w:firstLineChars="200"/>
      </w:pPr>
      <w:r>
        <w:t>（一）总体绩效目标</w:t>
      </w:r>
    </w:p>
    <w:p>
      <w:pPr>
        <w:pStyle w:val="26"/>
      </w:pPr>
      <w:r>
        <w:t>1、2023年，我局将持续发力，提前谋划急需开工建设的项目清单，提前进入组卷报批工作进程，加强与财政、社保、涉及乡镇政府等部门的协作沟通，更好的完成项目用地保障任务。上级每年下达我县600亩脱贫攻坚指标。2022年指标已全部用于新发地项目，2023年脱贫攻坚指标预计用于新发地“花之都”项目138亩，剩余部分为基础设施、乡村振兴、“一、二、三产业融合”等项目预留，如指标不足积极向市局申请配置。入驻我县的军工企业明年预计使用新增建设用地计划指标约1243亩，其中31所项目183亩、239厂项目153亩、283厂二期项目907亩，我局将会加强与市局沟通对接，申请使用保定市新增建设用地指标，并积极争取更多用地政策支持，为军工企业做好服务。</w:t>
      </w:r>
    </w:p>
    <w:p>
      <w:pPr>
        <w:pStyle w:val="26"/>
      </w:pPr>
      <w:r>
        <w:t>2、2023年实施太行山生态综合治理项目，共投资2150万元（中央预算内投资1750万元、省配套资金400万元），涉及九龙镇、三坡镇、赵各庄镇、龙门乡、一渡镇、娄村镇等6个乡镇24个村及国营赵各庄林场，高标准完成造林绿化任务3.5万亩（人工造林2万亩、封山育林1.5万亩）。以国家级森林城市和省级森林乡村创建为抓手，在各乡镇全域持续增林扩绿，加快形成县乡村森林网络，进一步加强城乡增绿工程建设，实施村镇绿化工作，大力营造环村林，推进省级森林乡村创建步伐，2023年力争各项指标全部达到国家级森林城市的标准要求。</w:t>
      </w:r>
    </w:p>
    <w:p>
      <w:pPr>
        <w:pStyle w:val="26"/>
      </w:pPr>
      <w:r>
        <w:t>3、深化“一窗受理、并行办理”，加强信息共享获取数据应用，提供不动产登记数据共享服务，加强不动产登记与税务、交易等业务衔接。加强开展不动产登记队伍作风建设，强化窗口作风纪律建设，提高登记人员业务素质，提升为民服务水平。</w:t>
      </w:r>
    </w:p>
    <w:p>
      <w:pPr>
        <w:pStyle w:val="26"/>
      </w:pPr>
      <w:r>
        <w:t>4、根据《涞水县农村宅基地房地一体化首次登记工作实施方案》要求，以未发证宅基地为重点，以旧证换新证为契机，采取切实可行的工作措施，协调东文山、石亭两乡镇进行宅基地信息核对，公示公告工作。持续规范开展农村宅基地日常登记发证工作。</w:t>
      </w:r>
    </w:p>
    <w:p>
      <w:pPr>
        <w:pStyle w:val="26"/>
      </w:pPr>
      <w:r>
        <w:t>5、2023年，将进一步严格落实防火责任，坚持人防、物防、技防相结合。一是为及时发现火情并有效处置，拟将森林草原防火视频监控系统平台搬迁至原矿产局办公处并成立专职视频监控值守队伍。二是河北省太行山北部草原高火险区建设项目计划今年年底开始实施，今年计划投资403万元，2023年计划投资167.01万元，总投资570.01万元。</w:t>
      </w:r>
    </w:p>
    <w:p>
      <w:pPr>
        <w:pStyle w:val="26"/>
      </w:pPr>
      <w:r>
        <w:t>6、充分发挥矿山综合治理工作牵头部门职能，2023年持续巩固拓展矿山综合治理攻坚行动成果，按照省、市下达的目标任务，对拟列入2022年关闭计划的矿山依法依规关闭到位；加大矿山整合重组实施工作力度，按时限要求完成矿山整合重组工作；积极与省、市对接，合理安排部署“十四五”责任主体灭失矿山迹地修复治理工作。持续加大有证矿山的监管力度，必要时聘请专业技术力量进行定期勘测，进一步规范矿山企业有序开采。另外，明年抓紧完成涞水煤矿（永阳镇檀山石灰石矿）修复治理项目拓展治理区域工程，报请市局组织竣工验收。</w:t>
      </w:r>
    </w:p>
    <w:p>
      <w:pPr>
        <w:pStyle w:val="26"/>
      </w:pPr>
      <w:r>
        <w:t xml:space="preserve">7、2020年7月3日，国务院召开乱占耕地建房专项整治会议以后，绝不允许再出现新增违法乱占耕地建房行为，实行“零容忍”，依法从严从重从快查处。2023年，我局将继续按照中央和省市会议精神，坚持农村乱占耕地建房“八不准”、坚决制止耕地“非农化”，统筹推进批而未供和闲置土地处置、土地卫片执法整改、农村乱占耕地建房、制止耕地“非农化”，防止耕地“非粮化”，全力遏制违法违规乱象，确保遗留问题加速解决，新增问题迅速处置到位。根据河北省自然资源厅《关于开展农村乱占耕地建房非住宅类补充信息摸排工作通知》要求，将最终补充摸排成果，于2023年2月1日前上报省自然资源厅。   </w:t>
      </w:r>
    </w:p>
    <w:p>
      <w:pPr>
        <w:spacing w:before="10" w:after="10"/>
        <w:ind w:firstLine="560"/>
        <w:jc w:val="left"/>
        <w:outlineLvl w:val="1"/>
      </w:pPr>
      <w:r>
        <w:rPr>
          <w:rFonts w:ascii="方正黑体_GBK" w:hAnsi="方正黑体_GBK" w:eastAsia="方正黑体_GBK" w:cs="方正黑体_GBK"/>
          <w:color w:val="000000"/>
          <w:sz w:val="28"/>
        </w:rPr>
        <w:t>二、分项绩效目标</w:t>
      </w:r>
    </w:p>
    <w:p>
      <w:pPr>
        <w:pStyle w:val="27"/>
      </w:pPr>
      <w:r>
        <w:t>（二）分项绩效目标</w:t>
      </w:r>
    </w:p>
    <w:p>
      <w:pPr>
        <w:pStyle w:val="27"/>
      </w:pPr>
      <w:r>
        <w:t>1、土地资源管理</w:t>
      </w:r>
    </w:p>
    <w:p>
      <w:pPr>
        <w:pStyle w:val="27"/>
      </w:pPr>
      <w:r>
        <w:t>内容描述：组织实施耕地与基本农田保护工作,组织建设用地审批，开展农村集体土地确权登记发证与土地变更调查,做好土地利用工作和不动产登记。</w:t>
      </w:r>
    </w:p>
    <w:p>
      <w:pPr>
        <w:pStyle w:val="27"/>
      </w:pPr>
      <w:r>
        <w:t>绩效目标：实现基本农田面积不减少，质量有提高，各行业合理用地需求得到保障，土地节约集约利用水平进一步提高，保证全县耕地占补平衡。</w:t>
      </w:r>
    </w:p>
    <w:p>
      <w:pPr>
        <w:pStyle w:val="27"/>
      </w:pPr>
      <w:r>
        <w:t>2、矿产资源管理</w:t>
      </w:r>
    </w:p>
    <w:p>
      <w:pPr>
        <w:pStyle w:val="27"/>
      </w:pPr>
      <w:r>
        <w:t>内容描述：负责全县矿产资源开发管理，组织实施矿产资源勘查、重大地质勘查，推动地质环境恢复治理和地质遗迹保护工作。</w:t>
      </w:r>
    </w:p>
    <w:p>
      <w:pPr>
        <w:pStyle w:val="27"/>
      </w:pPr>
      <w:r>
        <w:t>绩效目标：地质找矿取得显著成效，加强地质灾害防治力度和环境治理，按规定推进矿产资源管理。</w:t>
      </w:r>
    </w:p>
    <w:p>
      <w:pPr>
        <w:pStyle w:val="27"/>
      </w:pPr>
      <w:r>
        <w:t>3、地理信息</w:t>
      </w:r>
    </w:p>
    <w:p>
      <w:pPr>
        <w:pStyle w:val="27"/>
      </w:pPr>
      <w:r>
        <w:t>内容描述：拟定本行政区地理信息发展规划，基础测绘、地籍测绘和其他测绘项目。</w:t>
      </w:r>
    </w:p>
    <w:p>
      <w:pPr>
        <w:pStyle w:val="27"/>
      </w:pPr>
      <w:r>
        <w:t>绩效目标：按期保质保量完成项目建设任务</w:t>
      </w:r>
    </w:p>
    <w:p>
      <w:pPr>
        <w:pStyle w:val="27"/>
      </w:pPr>
      <w:r>
        <w:t>4、国土资源执法与监察</w:t>
      </w:r>
    </w:p>
    <w:p>
      <w:pPr>
        <w:pStyle w:val="27"/>
      </w:pPr>
      <w:r>
        <w:t>内容描述：强化县级国土资源执法监察工作,提高国土资源执法能力。</w:t>
      </w:r>
    </w:p>
    <w:p>
      <w:pPr>
        <w:pStyle w:val="27"/>
      </w:pPr>
      <w:r>
        <w:t>绩效目标：进一步加大执法监督力度。</w:t>
      </w:r>
    </w:p>
    <w:p>
      <w:pPr>
        <w:pStyle w:val="27"/>
      </w:pPr>
      <w:r>
        <w:t>5、综合业务管理</w:t>
      </w:r>
    </w:p>
    <w:p>
      <w:pPr>
        <w:pStyle w:val="27"/>
      </w:pPr>
      <w:r>
        <w:t>内容描述：制定编制县级国土资源规划，制定相关政策法规，开展国土资源科技发展研究等。</w:t>
      </w:r>
    </w:p>
    <w:p>
      <w:pPr>
        <w:pStyle w:val="27"/>
      </w:pPr>
      <w:r>
        <w:t>绩效目标：规范做好国土资源（海洋）各类规划编制和实施，全面推行国土资源（海洋）工作依法行政，推动普法工作落实，做好行政复议、行政应诉工作，推进国土资源（海洋）科技的应用和推广。</w:t>
      </w:r>
    </w:p>
    <w:p>
      <w:pPr>
        <w:spacing w:before="10" w:after="10"/>
        <w:ind w:firstLine="560"/>
        <w:jc w:val="left"/>
        <w:outlineLvl w:val="1"/>
      </w:pPr>
      <w:r>
        <w:rPr>
          <w:rFonts w:ascii="方正黑体_GBK" w:hAnsi="方正黑体_GBK" w:eastAsia="方正黑体_GBK" w:cs="方正黑体_GBK"/>
          <w:color w:val="000000"/>
          <w:sz w:val="28"/>
        </w:rPr>
        <w:t>三、工作保障措施</w:t>
      </w:r>
    </w:p>
    <w:p>
      <w:pPr>
        <w:pStyle w:val="28"/>
      </w:pPr>
      <w:r>
        <w:t>（三）工作保障措施</w:t>
      </w:r>
    </w:p>
    <w:p>
      <w:pPr>
        <w:pStyle w:val="28"/>
      </w:pPr>
      <w:r>
        <w:t>1.完善制度和队伍建设。编印《涞水县自然资源和规划局财务管理办法》，为部门适应预算绩效管理改革提供了政策遵循。全过程绩效管理内容单独进行明确，区分总体、专项资金、预算项目三个层次提出绩效信息填报要求。组织局机关、及下属各预算单位分期分批进行培训，讲解预算绩效管理改革相关内容，提高人员业务水平。</w:t>
      </w:r>
    </w:p>
    <w:p>
      <w:pPr>
        <w:pStyle w:val="28"/>
      </w:pPr>
      <w:r>
        <w:t>2.强化绩效监控评价管理。进一步提升自然资源系统预算绩效管理工作水平，按要求开展绩效运行监控，发现问题及时整改，确保实现绩效目标指标，发挥资金使用效益。及时开展上年度部门预算绩效自评和重点评价，对评价中发现的问题及时整改。运用评价结果，对年度资金项目开展成本效益评估分析，为调整优化支出结构，加强源头管理提供借鉴参考。</w:t>
      </w:r>
    </w:p>
    <w:p>
      <w:pPr>
        <w:pStyle w:val="28"/>
      </w:pPr>
      <w:r>
        <w:t>3.严格执行预算。加强监控分析，科学调度，努力均衡实现全年专项收入任务目标，保障预算支出和自然资源投入。强化项目主管处室局首要责任、主体责任，督促项目单位提高预算执行进度。严格执行预算，规范拨付支出资金，避免调整预算，确保预算执行进度达标。</w:t>
      </w:r>
    </w:p>
    <w:p>
      <w:pPr>
        <w:pStyle w:val="28"/>
      </w:pPr>
      <w:r>
        <w:t>4.规范监督管理。加强内部控制建设，建立自然资源财务管理制度体系，严格审批程序，做到支出合理，财尽其用、物尽其用。按要求开展绩效目标实现程度和预算执行进度“双监控”，严格内部审计，并配合审计、财政监督等外部监督工作，确保财政资金使用安全有效。</w:t>
      </w:r>
    </w:p>
    <w:p>
      <w:pPr>
        <w:pStyle w:val="28"/>
      </w:pPr>
      <w:r>
        <w:t>5.加强新职责新定位宣传。加大自然资源部门“两个统一”职责宣传力度，强化全民所有自然资源资产所有者职责、所有国土空间用途管制和生态保护修复职责意识，努力开创全县自然资源工作新局面，为新时代全面建设经济强县、美丽涞水做出新的更大贡献。</w:t>
      </w:r>
    </w:p>
    <w:p>
      <w:pPr>
        <w:spacing w:before="0" w:after="0" w:line="240" w:lineRule="auto"/>
        <w:ind w:firstLine="0"/>
        <w:jc w:val="center"/>
        <w:outlineLvl w:val="9"/>
        <w:sectPr>
          <w:pgSz w:w="16840" w:h="11900" w:orient="landscape"/>
          <w:pgMar w:top="1304" w:right="1984" w:bottom="1304" w:left="1134" w:header="720" w:footer="720" w:gutter="0"/>
          <w:pgNumType w:fmt="decimal"/>
          <w:cols w:space="720" w:num="1"/>
        </w:sectPr>
      </w:pPr>
    </w:p>
    <w:p>
      <w:pPr>
        <w:spacing w:line="500" w:lineRule="exact"/>
        <w:ind w:firstLine="560"/>
        <w:rPr>
          <w:rFonts w:hint="eastAsia" w:eastAsia="方正仿宋_GBK"/>
          <w:color w:val="000000"/>
          <w:sz w:val="28"/>
          <w:lang w:val="en-US" w:eastAsia="zh-CN"/>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line="240" w:lineRule="auto"/>
        <w:ind w:firstLine="0"/>
        <w:jc w:val="both"/>
        <w:outlineLvl w:val="9"/>
      </w:pPr>
      <w:bookmarkStart w:id="14" w:name="_Toc_3_3_0000000015"/>
    </w:p>
    <w:p>
      <w:pPr>
        <w:spacing w:before="0" w:after="0"/>
        <w:jc w:val="left"/>
        <w:outlineLvl w:val="3"/>
        <w:rPr>
          <w:rFonts w:ascii="方正仿宋_GBK" w:hAnsi="方正仿宋_GBK" w:eastAsia="方正仿宋_GBK" w:cs="方正仿宋_GBK"/>
          <w:color w:val="000000"/>
          <w:sz w:val="28"/>
        </w:rPr>
      </w:pPr>
    </w:p>
    <w:p>
      <w:pPr>
        <w:spacing w:before="0" w:after="0"/>
        <w:jc w:val="left"/>
        <w:outlineLvl w:val="3"/>
      </w:pPr>
      <w:r>
        <w:rPr>
          <w:rFonts w:ascii="方正仿宋_GBK" w:hAnsi="方正仿宋_GBK" w:eastAsia="方正仿宋_GBK" w:cs="方正仿宋_GBK"/>
          <w:color w:val="000000"/>
          <w:sz w:val="28"/>
        </w:rPr>
        <w:t>1.112国道栗村等路口安装电子警察监控项目绩效目标表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13062323P00940810045B</w:t>
            </w:r>
          </w:p>
        </w:tc>
        <w:tc>
          <w:tcPr>
            <w:tcW w:w="1587" w:type="dxa"/>
            <w:vAlign w:val="center"/>
          </w:tcPr>
          <w:p>
            <w:pPr>
              <w:pStyle w:val="15"/>
            </w:pPr>
            <w:r>
              <w:t>项目名称</w:t>
            </w:r>
          </w:p>
        </w:tc>
        <w:tc>
          <w:tcPr>
            <w:tcW w:w="4422" w:type="dxa"/>
            <w:gridSpan w:val="3"/>
            <w:vAlign w:val="center"/>
          </w:tcPr>
          <w:p>
            <w:pPr>
              <w:pStyle w:val="17"/>
            </w:pPr>
            <w:r>
              <w:t>112国道栗村等路口安装电子警察监控项目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112.00</w:t>
            </w:r>
          </w:p>
        </w:tc>
        <w:tc>
          <w:tcPr>
            <w:tcW w:w="1587" w:type="dxa"/>
            <w:vAlign w:val="center"/>
          </w:tcPr>
          <w:p>
            <w:pPr>
              <w:pStyle w:val="15"/>
            </w:pPr>
            <w:r>
              <w:t>其中：财政    资金</w:t>
            </w:r>
          </w:p>
        </w:tc>
        <w:tc>
          <w:tcPr>
            <w:tcW w:w="1304" w:type="dxa"/>
            <w:vAlign w:val="center"/>
          </w:tcPr>
          <w:p>
            <w:pPr>
              <w:pStyle w:val="17"/>
            </w:pPr>
            <w:r>
              <w:t>112.00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缓解城市交通拥堵，维护道路交通安全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28.00</w:t>
            </w:r>
          </w:p>
        </w:tc>
        <w:tc>
          <w:tcPr>
            <w:tcW w:w="1587" w:type="dxa"/>
            <w:vAlign w:val="center"/>
          </w:tcPr>
          <w:p>
            <w:pPr>
              <w:pStyle w:val="18"/>
            </w:pPr>
            <w:r>
              <w:t>56.00</w:t>
            </w:r>
          </w:p>
        </w:tc>
        <w:tc>
          <w:tcPr>
            <w:tcW w:w="1304" w:type="dxa"/>
            <w:vAlign w:val="center"/>
          </w:tcPr>
          <w:p>
            <w:pPr>
              <w:pStyle w:val="18"/>
            </w:pPr>
            <w:r>
              <w:t>84.00</w:t>
            </w:r>
          </w:p>
        </w:tc>
        <w:tc>
          <w:tcPr>
            <w:tcW w:w="3118" w:type="dxa"/>
            <w:gridSpan w:val="2"/>
            <w:vAlign w:val="center"/>
          </w:tcPr>
          <w:p>
            <w:pPr>
              <w:pStyle w:val="18"/>
            </w:pPr>
            <w:r>
              <w:t>112.00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1.缓解城市交通拥堵，维护道路交通安全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购置设备使用时长</w:t>
            </w:r>
          </w:p>
        </w:tc>
        <w:tc>
          <w:tcPr>
            <w:tcW w:w="2891" w:type="dxa"/>
            <w:vAlign w:val="center"/>
          </w:tcPr>
          <w:p>
            <w:pPr>
              <w:pStyle w:val="17"/>
            </w:pPr>
            <w:r>
              <w:t>购置设备使用时长</w:t>
            </w:r>
          </w:p>
        </w:tc>
        <w:tc>
          <w:tcPr>
            <w:tcW w:w="1276" w:type="dxa"/>
            <w:vAlign w:val="center"/>
          </w:tcPr>
          <w:p>
            <w:pPr>
              <w:pStyle w:val="17"/>
            </w:pPr>
            <w:r>
              <w:t>≥5年</w:t>
            </w:r>
          </w:p>
        </w:tc>
        <w:tc>
          <w:tcPr>
            <w:tcW w:w="1843" w:type="dxa"/>
            <w:vAlign w:val="center"/>
          </w:tcPr>
          <w:p>
            <w:pPr>
              <w:pStyle w:val="17"/>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产品合格率（%）</w:t>
            </w:r>
          </w:p>
        </w:tc>
        <w:tc>
          <w:tcPr>
            <w:tcW w:w="2891" w:type="dxa"/>
            <w:vAlign w:val="center"/>
          </w:tcPr>
          <w:p>
            <w:pPr>
              <w:pStyle w:val="17"/>
            </w:pPr>
            <w:r>
              <w:t>产品合格率（%）</w:t>
            </w:r>
          </w:p>
        </w:tc>
        <w:tc>
          <w:tcPr>
            <w:tcW w:w="1276" w:type="dxa"/>
            <w:vAlign w:val="center"/>
          </w:tcPr>
          <w:p>
            <w:pPr>
              <w:pStyle w:val="17"/>
            </w:pPr>
            <w:r>
              <w:t>100百分比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≥90百分比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≤112万元</w:t>
            </w:r>
          </w:p>
        </w:tc>
        <w:tc>
          <w:tcPr>
            <w:tcW w:w="1843" w:type="dxa"/>
            <w:vAlign w:val="center"/>
          </w:tcPr>
          <w:p>
            <w:pPr>
              <w:pStyle w:val="17"/>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缓解城市交通拥堵，维护道路交通安全</w:t>
            </w:r>
          </w:p>
        </w:tc>
        <w:tc>
          <w:tcPr>
            <w:tcW w:w="2891" w:type="dxa"/>
            <w:vAlign w:val="center"/>
          </w:tcPr>
          <w:p>
            <w:pPr>
              <w:pStyle w:val="17"/>
            </w:pPr>
            <w:r>
              <w:t>缓解城市交通拥堵，维护道路交通安全</w:t>
            </w:r>
          </w:p>
        </w:tc>
        <w:tc>
          <w:tcPr>
            <w:tcW w:w="1276" w:type="dxa"/>
            <w:vAlign w:val="center"/>
          </w:tcPr>
          <w:p>
            <w:pPr>
              <w:pStyle w:val="17"/>
            </w:pPr>
            <w:r>
              <w:t>良好</w:t>
            </w:r>
          </w:p>
        </w:tc>
        <w:tc>
          <w:tcPr>
            <w:tcW w:w="1843" w:type="dxa"/>
            <w:vAlign w:val="center"/>
          </w:tcPr>
          <w:p>
            <w:pPr>
              <w:pStyle w:val="17"/>
            </w:pPr>
            <w:r>
              <w:t>缓解城市交通拥堵维护道路交通安全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满意度和较满意度占满意度的百分比</w:t>
            </w:r>
          </w:p>
        </w:tc>
        <w:tc>
          <w:tcPr>
            <w:tcW w:w="1276" w:type="dxa"/>
            <w:vAlign w:val="center"/>
          </w:tcPr>
          <w:p>
            <w:pPr>
              <w:pStyle w:val="17"/>
            </w:pPr>
            <w:r>
              <w:t>≥95百分比</w:t>
            </w:r>
          </w:p>
        </w:tc>
        <w:tc>
          <w:tcPr>
            <w:tcW w:w="1843" w:type="dxa"/>
            <w:vAlign w:val="center"/>
          </w:tcPr>
          <w:p>
            <w:pPr>
              <w:pStyle w:val="17"/>
            </w:pPr>
            <w:r>
              <w:t>完成指标值比率</w:t>
            </w:r>
          </w:p>
        </w:tc>
      </w:tr>
    </w:tbl>
    <w:p>
      <w:pPr>
        <w:sectPr>
          <w:pgSz w:w="16840" w:h="11900" w:orient="landscape"/>
          <w:pgMar w:top="1304" w:right="1531" w:bottom="1304" w:left="1531"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2.112国道绕城段和祖冲之大街交通设施提升项目设计等费用绩效目标表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13062323P00940810042G</w:t>
            </w:r>
          </w:p>
        </w:tc>
        <w:tc>
          <w:tcPr>
            <w:tcW w:w="1587" w:type="dxa"/>
            <w:vAlign w:val="center"/>
          </w:tcPr>
          <w:p>
            <w:pPr>
              <w:pStyle w:val="15"/>
            </w:pPr>
            <w:r>
              <w:t>项目名称</w:t>
            </w:r>
          </w:p>
        </w:tc>
        <w:tc>
          <w:tcPr>
            <w:tcW w:w="4422" w:type="dxa"/>
            <w:gridSpan w:val="3"/>
            <w:vAlign w:val="center"/>
          </w:tcPr>
          <w:p>
            <w:pPr>
              <w:pStyle w:val="17"/>
            </w:pPr>
            <w:r>
              <w:t>112国道绕城段和祖冲之大街交通设施提升项目设计等费用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37.80</w:t>
            </w:r>
          </w:p>
        </w:tc>
        <w:tc>
          <w:tcPr>
            <w:tcW w:w="1587" w:type="dxa"/>
            <w:vAlign w:val="center"/>
          </w:tcPr>
          <w:p>
            <w:pPr>
              <w:pStyle w:val="15"/>
            </w:pPr>
            <w:r>
              <w:t>其中：财政    资金</w:t>
            </w:r>
          </w:p>
        </w:tc>
        <w:tc>
          <w:tcPr>
            <w:tcW w:w="1304" w:type="dxa"/>
            <w:vAlign w:val="center"/>
          </w:tcPr>
          <w:p>
            <w:pPr>
              <w:pStyle w:val="17"/>
            </w:pPr>
            <w:r>
              <w:t>37.80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缓解城市交通拥堵，维护道路交通安全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9.45</w:t>
            </w:r>
          </w:p>
        </w:tc>
        <w:tc>
          <w:tcPr>
            <w:tcW w:w="1587" w:type="dxa"/>
            <w:vAlign w:val="center"/>
          </w:tcPr>
          <w:p>
            <w:pPr>
              <w:pStyle w:val="18"/>
            </w:pPr>
            <w:r>
              <w:t>18.90</w:t>
            </w:r>
          </w:p>
        </w:tc>
        <w:tc>
          <w:tcPr>
            <w:tcW w:w="1304" w:type="dxa"/>
            <w:vAlign w:val="center"/>
          </w:tcPr>
          <w:p>
            <w:pPr>
              <w:pStyle w:val="18"/>
            </w:pPr>
            <w:r>
              <w:t>28.35</w:t>
            </w:r>
          </w:p>
        </w:tc>
        <w:tc>
          <w:tcPr>
            <w:tcW w:w="3118" w:type="dxa"/>
            <w:gridSpan w:val="2"/>
            <w:vAlign w:val="center"/>
          </w:tcPr>
          <w:p>
            <w:pPr>
              <w:pStyle w:val="18"/>
            </w:pPr>
            <w:r>
              <w:t>37.80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1.缓解城市交通拥堵，维护道路交通安全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提供服务次数</w:t>
            </w:r>
          </w:p>
        </w:tc>
        <w:tc>
          <w:tcPr>
            <w:tcW w:w="2891" w:type="dxa"/>
            <w:vAlign w:val="center"/>
          </w:tcPr>
          <w:p>
            <w:pPr>
              <w:pStyle w:val="17"/>
            </w:pPr>
            <w:r>
              <w:t>提供服务次数</w:t>
            </w:r>
          </w:p>
        </w:tc>
        <w:tc>
          <w:tcPr>
            <w:tcW w:w="1276" w:type="dxa"/>
            <w:vAlign w:val="center"/>
          </w:tcPr>
          <w:p>
            <w:pPr>
              <w:pStyle w:val="17"/>
            </w:pPr>
            <w:r>
              <w:t>≥1次</w:t>
            </w:r>
          </w:p>
        </w:tc>
        <w:tc>
          <w:tcPr>
            <w:tcW w:w="1843" w:type="dxa"/>
            <w:vAlign w:val="center"/>
          </w:tcPr>
          <w:p>
            <w:pPr>
              <w:pStyle w:val="17"/>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服务满意度（%）</w:t>
            </w:r>
          </w:p>
        </w:tc>
        <w:tc>
          <w:tcPr>
            <w:tcW w:w="2891" w:type="dxa"/>
            <w:vAlign w:val="center"/>
          </w:tcPr>
          <w:p>
            <w:pPr>
              <w:pStyle w:val="17"/>
            </w:pPr>
            <w:r>
              <w:t>服务满意度（%）</w:t>
            </w:r>
          </w:p>
        </w:tc>
        <w:tc>
          <w:tcPr>
            <w:tcW w:w="1276" w:type="dxa"/>
            <w:vAlign w:val="center"/>
          </w:tcPr>
          <w:p>
            <w:pPr>
              <w:pStyle w:val="17"/>
            </w:pPr>
            <w:r>
              <w:t>≥95百分比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≥80百分比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≤37.8万元</w:t>
            </w:r>
          </w:p>
        </w:tc>
        <w:tc>
          <w:tcPr>
            <w:tcW w:w="1843" w:type="dxa"/>
            <w:vAlign w:val="center"/>
          </w:tcPr>
          <w:p>
            <w:pPr>
              <w:pStyle w:val="17"/>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缓解城市交通拥堵，维护道路交通安全</w:t>
            </w:r>
          </w:p>
        </w:tc>
        <w:tc>
          <w:tcPr>
            <w:tcW w:w="2891" w:type="dxa"/>
            <w:vAlign w:val="center"/>
          </w:tcPr>
          <w:p>
            <w:pPr>
              <w:pStyle w:val="17"/>
            </w:pPr>
            <w:r>
              <w:t>缓解城市交通拥堵，维护道路交通安全</w:t>
            </w:r>
          </w:p>
        </w:tc>
        <w:tc>
          <w:tcPr>
            <w:tcW w:w="1276" w:type="dxa"/>
            <w:vAlign w:val="center"/>
          </w:tcPr>
          <w:p>
            <w:pPr>
              <w:pStyle w:val="17"/>
            </w:pPr>
            <w:r>
              <w:t>良好</w:t>
            </w:r>
          </w:p>
        </w:tc>
        <w:tc>
          <w:tcPr>
            <w:tcW w:w="1843" w:type="dxa"/>
            <w:vAlign w:val="center"/>
          </w:tcPr>
          <w:p>
            <w:pPr>
              <w:pStyle w:val="17"/>
            </w:pPr>
            <w:r>
              <w:t>缓解城市交通拥堵维护道路交通安全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满意度和较满意度占满意度的百分比</w:t>
            </w:r>
          </w:p>
        </w:tc>
        <w:tc>
          <w:tcPr>
            <w:tcW w:w="1276" w:type="dxa"/>
            <w:vAlign w:val="center"/>
          </w:tcPr>
          <w:p>
            <w:pPr>
              <w:pStyle w:val="17"/>
            </w:pPr>
            <w:r>
              <w:t>≥95百分比</w:t>
            </w:r>
          </w:p>
        </w:tc>
        <w:tc>
          <w:tcPr>
            <w:tcW w:w="1843" w:type="dxa"/>
            <w:vAlign w:val="center"/>
          </w:tcPr>
          <w:p>
            <w:pPr>
              <w:pStyle w:val="17"/>
            </w:pPr>
            <w:r>
              <w:t>完成指标值比率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3.123体系报告编制费绩效目标表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13062323P00940810017Y</w:t>
            </w:r>
          </w:p>
        </w:tc>
        <w:tc>
          <w:tcPr>
            <w:tcW w:w="1587" w:type="dxa"/>
            <w:vAlign w:val="center"/>
          </w:tcPr>
          <w:p>
            <w:pPr>
              <w:pStyle w:val="15"/>
            </w:pPr>
            <w:r>
              <w:t>项目名称</w:t>
            </w:r>
          </w:p>
        </w:tc>
        <w:tc>
          <w:tcPr>
            <w:tcW w:w="4422" w:type="dxa"/>
            <w:gridSpan w:val="3"/>
            <w:vAlign w:val="center"/>
          </w:tcPr>
          <w:p>
            <w:pPr>
              <w:pStyle w:val="17"/>
            </w:pPr>
            <w:r>
              <w:t>123体系报告编制费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9.00</w:t>
            </w:r>
          </w:p>
        </w:tc>
        <w:tc>
          <w:tcPr>
            <w:tcW w:w="1587" w:type="dxa"/>
            <w:vAlign w:val="center"/>
          </w:tcPr>
          <w:p>
            <w:pPr>
              <w:pStyle w:val="15"/>
            </w:pPr>
            <w:r>
              <w:t>其中：财政    资金</w:t>
            </w:r>
          </w:p>
        </w:tc>
        <w:tc>
          <w:tcPr>
            <w:tcW w:w="1304" w:type="dxa"/>
            <w:vAlign w:val="center"/>
          </w:tcPr>
          <w:p>
            <w:pPr>
              <w:pStyle w:val="17"/>
            </w:pPr>
            <w:r>
              <w:t>9.00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123体系报告编制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2.25</w:t>
            </w:r>
          </w:p>
        </w:tc>
        <w:tc>
          <w:tcPr>
            <w:tcW w:w="1587" w:type="dxa"/>
            <w:vAlign w:val="center"/>
          </w:tcPr>
          <w:p>
            <w:pPr>
              <w:pStyle w:val="18"/>
            </w:pPr>
            <w:r>
              <w:t>4.50</w:t>
            </w:r>
          </w:p>
        </w:tc>
        <w:tc>
          <w:tcPr>
            <w:tcW w:w="1304" w:type="dxa"/>
            <w:vAlign w:val="center"/>
          </w:tcPr>
          <w:p>
            <w:pPr>
              <w:pStyle w:val="18"/>
            </w:pPr>
            <w:r>
              <w:t>6.75</w:t>
            </w:r>
          </w:p>
        </w:tc>
        <w:tc>
          <w:tcPr>
            <w:tcW w:w="3118" w:type="dxa"/>
            <w:gridSpan w:val="2"/>
            <w:vAlign w:val="center"/>
          </w:tcPr>
          <w:p>
            <w:pPr>
              <w:pStyle w:val="18"/>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1.123体系报告编制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项目完成率</w:t>
            </w:r>
          </w:p>
        </w:tc>
        <w:tc>
          <w:tcPr>
            <w:tcW w:w="2891" w:type="dxa"/>
            <w:vAlign w:val="center"/>
          </w:tcPr>
          <w:p>
            <w:pPr>
              <w:pStyle w:val="17"/>
            </w:pPr>
            <w:r>
              <w:t>项目实际完成量占年度计划完成量的比例</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规划书有效使用率</w:t>
            </w:r>
          </w:p>
        </w:tc>
        <w:tc>
          <w:tcPr>
            <w:tcW w:w="2891" w:type="dxa"/>
            <w:vAlign w:val="center"/>
          </w:tcPr>
          <w:p>
            <w:pPr>
              <w:pStyle w:val="17"/>
            </w:pPr>
            <w:r>
              <w:t>规划书有效使用率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及时率</w:t>
            </w:r>
          </w:p>
        </w:tc>
        <w:tc>
          <w:tcPr>
            <w:tcW w:w="2891" w:type="dxa"/>
            <w:vAlign w:val="center"/>
          </w:tcPr>
          <w:p>
            <w:pPr>
              <w:pStyle w:val="17"/>
            </w:pPr>
            <w:r>
              <w:t>完成编制书的及时率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成本控制占预算的比率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长期使用率</w:t>
            </w:r>
          </w:p>
        </w:tc>
        <w:tc>
          <w:tcPr>
            <w:tcW w:w="2891" w:type="dxa"/>
            <w:vAlign w:val="center"/>
          </w:tcPr>
          <w:p>
            <w:pPr>
              <w:pStyle w:val="17"/>
            </w:pPr>
            <w:r>
              <w:t>长期使用率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客户满意率</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4.2016年野三坡片区美丽乡村建设及相关费用项目绩效目标表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13062323P000030100023</w:t>
            </w:r>
          </w:p>
        </w:tc>
        <w:tc>
          <w:tcPr>
            <w:tcW w:w="1587" w:type="dxa"/>
            <w:vAlign w:val="center"/>
          </w:tcPr>
          <w:p>
            <w:pPr>
              <w:pStyle w:val="15"/>
            </w:pPr>
            <w:r>
              <w:t>项目名称</w:t>
            </w:r>
          </w:p>
        </w:tc>
        <w:tc>
          <w:tcPr>
            <w:tcW w:w="4422" w:type="dxa"/>
            <w:gridSpan w:val="3"/>
            <w:vAlign w:val="center"/>
          </w:tcPr>
          <w:p>
            <w:pPr>
              <w:pStyle w:val="17"/>
            </w:pPr>
            <w:r>
              <w:t>2016年野三坡片区美丽乡村建设及相关费用项目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51.10</w:t>
            </w:r>
          </w:p>
        </w:tc>
        <w:tc>
          <w:tcPr>
            <w:tcW w:w="1587" w:type="dxa"/>
            <w:vAlign w:val="center"/>
          </w:tcPr>
          <w:p>
            <w:pPr>
              <w:pStyle w:val="15"/>
            </w:pPr>
            <w:r>
              <w:t>其中：财政    资金</w:t>
            </w:r>
          </w:p>
        </w:tc>
        <w:tc>
          <w:tcPr>
            <w:tcW w:w="1304" w:type="dxa"/>
            <w:vAlign w:val="center"/>
          </w:tcPr>
          <w:p>
            <w:pPr>
              <w:pStyle w:val="17"/>
            </w:pPr>
            <w:r>
              <w:t>51.10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用于美丽乡村建设及相关费用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51.10</w:t>
            </w:r>
          </w:p>
        </w:tc>
        <w:tc>
          <w:tcPr>
            <w:tcW w:w="1304" w:type="dxa"/>
            <w:vAlign w:val="center"/>
          </w:tcPr>
          <w:p>
            <w:pPr>
              <w:pStyle w:val="18"/>
            </w:pPr>
            <w:r>
              <w:t>51.10</w:t>
            </w:r>
          </w:p>
        </w:tc>
        <w:tc>
          <w:tcPr>
            <w:tcW w:w="3118" w:type="dxa"/>
            <w:gridSpan w:val="2"/>
            <w:vAlign w:val="center"/>
          </w:tcPr>
          <w:p>
            <w:pPr>
              <w:pStyle w:val="18"/>
            </w:pPr>
            <w:r>
              <w:t>51.10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按偿还金额偿还</w:t>
            </w:r>
          </w:p>
        </w:tc>
        <w:tc>
          <w:tcPr>
            <w:tcW w:w="2891" w:type="dxa"/>
            <w:vAlign w:val="center"/>
          </w:tcPr>
          <w:p>
            <w:pPr>
              <w:pStyle w:val="17"/>
            </w:pPr>
            <w:r>
              <w:t>按偿还金额偿还</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按标准偿还</w:t>
            </w:r>
          </w:p>
        </w:tc>
        <w:tc>
          <w:tcPr>
            <w:tcW w:w="2891" w:type="dxa"/>
            <w:vAlign w:val="center"/>
          </w:tcPr>
          <w:p>
            <w:pPr>
              <w:pStyle w:val="17"/>
            </w:pPr>
            <w:r>
              <w:t>按标准偿还</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按规定时间偿还</w:t>
            </w:r>
          </w:p>
        </w:tc>
        <w:tc>
          <w:tcPr>
            <w:tcW w:w="2891" w:type="dxa"/>
            <w:vAlign w:val="center"/>
          </w:tcPr>
          <w:p>
            <w:pPr>
              <w:pStyle w:val="17"/>
            </w:pPr>
            <w:r>
              <w:t>按规定时间偿还</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维护稳定、防止信访隐患</w:t>
            </w:r>
          </w:p>
        </w:tc>
        <w:tc>
          <w:tcPr>
            <w:tcW w:w="2891" w:type="dxa"/>
            <w:vAlign w:val="center"/>
          </w:tcPr>
          <w:p>
            <w:pPr>
              <w:pStyle w:val="17"/>
            </w:pPr>
            <w:r>
              <w:t>维护稳定、防止信访隐患</w:t>
            </w:r>
          </w:p>
        </w:tc>
        <w:tc>
          <w:tcPr>
            <w:tcW w:w="1276" w:type="dxa"/>
            <w:vAlign w:val="center"/>
          </w:tcPr>
          <w:p>
            <w:pPr>
              <w:pStyle w:val="17"/>
            </w:pPr>
            <w:r>
              <w:t>是</w:t>
            </w:r>
          </w:p>
        </w:tc>
        <w:tc>
          <w:tcPr>
            <w:tcW w:w="1843" w:type="dxa"/>
            <w:vAlign w:val="center"/>
          </w:tcPr>
          <w:p>
            <w:pPr>
              <w:pStyle w:val="17"/>
            </w:pPr>
            <w:r>
              <w:t>常委会会议纪要</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常委会会议纪要</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5.2021年-2022年厕所革命所欠款项目绩效目标表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13062323P00003410002R</w:t>
            </w:r>
          </w:p>
        </w:tc>
        <w:tc>
          <w:tcPr>
            <w:tcW w:w="1587" w:type="dxa"/>
            <w:vAlign w:val="center"/>
          </w:tcPr>
          <w:p>
            <w:pPr>
              <w:pStyle w:val="15"/>
            </w:pPr>
            <w:r>
              <w:t>项目名称</w:t>
            </w:r>
          </w:p>
        </w:tc>
        <w:tc>
          <w:tcPr>
            <w:tcW w:w="4422" w:type="dxa"/>
            <w:gridSpan w:val="3"/>
            <w:vAlign w:val="center"/>
          </w:tcPr>
          <w:p>
            <w:pPr>
              <w:pStyle w:val="17"/>
            </w:pPr>
            <w:r>
              <w:t>2021年-2022年厕所革命所欠款项目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1073.00</w:t>
            </w:r>
          </w:p>
        </w:tc>
        <w:tc>
          <w:tcPr>
            <w:tcW w:w="1587" w:type="dxa"/>
            <w:vAlign w:val="center"/>
          </w:tcPr>
          <w:p>
            <w:pPr>
              <w:pStyle w:val="15"/>
            </w:pPr>
            <w:r>
              <w:t>其中：财政    资金</w:t>
            </w:r>
          </w:p>
        </w:tc>
        <w:tc>
          <w:tcPr>
            <w:tcW w:w="1304" w:type="dxa"/>
            <w:vAlign w:val="center"/>
          </w:tcPr>
          <w:p>
            <w:pPr>
              <w:pStyle w:val="17"/>
            </w:pPr>
            <w:r>
              <w:t>1073.00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用于厕所建设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1073.00</w:t>
            </w:r>
          </w:p>
        </w:tc>
        <w:tc>
          <w:tcPr>
            <w:tcW w:w="3118" w:type="dxa"/>
            <w:gridSpan w:val="2"/>
            <w:vAlign w:val="center"/>
          </w:tcPr>
          <w:p>
            <w:pPr>
              <w:pStyle w:val="18"/>
            </w:pPr>
            <w:r>
              <w:t>1073.00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排查问题厕所数量</w:t>
            </w:r>
          </w:p>
        </w:tc>
        <w:tc>
          <w:tcPr>
            <w:tcW w:w="2891" w:type="dxa"/>
            <w:vAlign w:val="center"/>
          </w:tcPr>
          <w:p>
            <w:pPr>
              <w:pStyle w:val="17"/>
            </w:pPr>
            <w:r>
              <w:t>完成排查问题厕所整改数量</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按标准任务完成情况</w:t>
            </w:r>
          </w:p>
        </w:tc>
        <w:tc>
          <w:tcPr>
            <w:tcW w:w="2891" w:type="dxa"/>
            <w:vAlign w:val="center"/>
          </w:tcPr>
          <w:p>
            <w:pPr>
              <w:pStyle w:val="17"/>
            </w:pPr>
            <w:r>
              <w:t>按标准任务完成情况</w:t>
            </w:r>
          </w:p>
        </w:tc>
        <w:tc>
          <w:tcPr>
            <w:tcW w:w="1276" w:type="dxa"/>
            <w:vAlign w:val="center"/>
          </w:tcPr>
          <w:p>
            <w:pPr>
              <w:pStyle w:val="17"/>
            </w:pPr>
            <w:r>
              <w:t>≥90%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及时拨付资金</w:t>
            </w:r>
          </w:p>
        </w:tc>
        <w:tc>
          <w:tcPr>
            <w:tcW w:w="2891" w:type="dxa"/>
            <w:vAlign w:val="center"/>
          </w:tcPr>
          <w:p>
            <w:pPr>
              <w:pStyle w:val="17"/>
            </w:pPr>
            <w:r>
              <w:t>及时拨付资金</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line="240" w:lineRule="auto"/>
        <w:ind w:firstLine="0"/>
        <w:jc w:val="both"/>
        <w:outlineLvl w:val="9"/>
      </w:pPr>
    </w:p>
    <w:p>
      <w:pPr>
        <w:spacing w:before="0" w:after="0"/>
        <w:ind w:firstLine="560"/>
        <w:jc w:val="left"/>
        <w:outlineLvl w:val="3"/>
      </w:pPr>
      <w:r>
        <w:rPr>
          <w:rFonts w:ascii="方正仿宋_GBK" w:hAnsi="方正仿宋_GBK" w:eastAsia="方正仿宋_GBK" w:cs="方正仿宋_GBK"/>
          <w:color w:val="000000"/>
          <w:sz w:val="28"/>
        </w:rPr>
        <w:t>6.2022、2023年封山禁牧工作经费绩效目标表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13062323P00007610013H</w:t>
            </w:r>
          </w:p>
        </w:tc>
        <w:tc>
          <w:tcPr>
            <w:tcW w:w="1587" w:type="dxa"/>
            <w:vAlign w:val="center"/>
          </w:tcPr>
          <w:p>
            <w:pPr>
              <w:pStyle w:val="15"/>
            </w:pPr>
            <w:r>
              <w:t>项目名称</w:t>
            </w:r>
          </w:p>
        </w:tc>
        <w:tc>
          <w:tcPr>
            <w:tcW w:w="4422" w:type="dxa"/>
            <w:gridSpan w:val="3"/>
            <w:vAlign w:val="center"/>
          </w:tcPr>
          <w:p>
            <w:pPr>
              <w:pStyle w:val="17"/>
            </w:pPr>
            <w:r>
              <w:t>2022、2023年封山禁牧工作经费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2022、2023年封山禁牧工作经费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1.目标内容1：2022、2023年封山禁牧工作经费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森林防火安全检查覆盖率</w:t>
            </w:r>
          </w:p>
        </w:tc>
        <w:tc>
          <w:tcPr>
            <w:tcW w:w="2891" w:type="dxa"/>
            <w:vAlign w:val="center"/>
          </w:tcPr>
          <w:p>
            <w:pPr>
              <w:pStyle w:val="17"/>
            </w:pPr>
            <w:r>
              <w:t>森林防火安全检查覆盖率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有效保障国家木材安全</w:t>
            </w:r>
          </w:p>
        </w:tc>
        <w:tc>
          <w:tcPr>
            <w:tcW w:w="2891" w:type="dxa"/>
            <w:vAlign w:val="center"/>
          </w:tcPr>
          <w:p>
            <w:pPr>
              <w:pStyle w:val="17"/>
            </w:pPr>
            <w:r>
              <w:t>有效保障国家木材安全</w:t>
            </w:r>
          </w:p>
        </w:tc>
        <w:tc>
          <w:tcPr>
            <w:tcW w:w="1276" w:type="dxa"/>
            <w:vAlign w:val="center"/>
          </w:tcPr>
          <w:p>
            <w:pPr>
              <w:pStyle w:val="17"/>
            </w:pPr>
            <w:r>
              <w:t>显著</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和周边群众满意度（%）</w:t>
            </w:r>
          </w:p>
        </w:tc>
        <w:tc>
          <w:tcPr>
            <w:tcW w:w="2891" w:type="dxa"/>
            <w:vAlign w:val="center"/>
          </w:tcPr>
          <w:p>
            <w:pPr>
              <w:pStyle w:val="17"/>
            </w:pPr>
            <w:r>
              <w:t>和周边群众满意度（%）</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7.2022、2023年规划、矿山、土地等审批验收专家劳务费绩效目标表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13062323P00007610010N</w:t>
            </w:r>
          </w:p>
        </w:tc>
        <w:tc>
          <w:tcPr>
            <w:tcW w:w="1587" w:type="dxa"/>
            <w:vAlign w:val="center"/>
          </w:tcPr>
          <w:p>
            <w:pPr>
              <w:pStyle w:val="15"/>
            </w:pPr>
            <w:r>
              <w:t>项目名称</w:t>
            </w:r>
          </w:p>
        </w:tc>
        <w:tc>
          <w:tcPr>
            <w:tcW w:w="4422" w:type="dxa"/>
            <w:gridSpan w:val="3"/>
            <w:vAlign w:val="center"/>
          </w:tcPr>
          <w:p>
            <w:pPr>
              <w:pStyle w:val="17"/>
            </w:pPr>
            <w:r>
              <w:t>2022、2023年规划、矿山、土地等审批验收专家劳务费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2022、2023年规划、矿山、土地等审批验收专家劳务费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1.目标内容1：2022、2023年规划、矿山、土地等审批验收专家劳务费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评定项目报告合格率</w:t>
            </w:r>
          </w:p>
        </w:tc>
        <w:tc>
          <w:tcPr>
            <w:tcW w:w="2891" w:type="dxa"/>
            <w:vAlign w:val="center"/>
          </w:tcPr>
          <w:p>
            <w:pPr>
              <w:pStyle w:val="17"/>
            </w:pPr>
            <w:r>
              <w:t>审计项目报告合格率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外业调查完成量与计划总量的比例</w:t>
            </w:r>
          </w:p>
        </w:tc>
        <w:tc>
          <w:tcPr>
            <w:tcW w:w="2891" w:type="dxa"/>
            <w:vAlign w:val="center"/>
          </w:tcPr>
          <w:p>
            <w:pPr>
              <w:pStyle w:val="17"/>
            </w:pPr>
            <w:r>
              <w:t>外业调查完成量与计划总量的比例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8.2022、2023年律师、保安、保洁聘用费绩效目标表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13062323P00007610011A</w:t>
            </w:r>
          </w:p>
        </w:tc>
        <w:tc>
          <w:tcPr>
            <w:tcW w:w="1587" w:type="dxa"/>
            <w:vAlign w:val="center"/>
          </w:tcPr>
          <w:p>
            <w:pPr>
              <w:pStyle w:val="15"/>
            </w:pPr>
            <w:r>
              <w:t>项目名称</w:t>
            </w:r>
          </w:p>
        </w:tc>
        <w:tc>
          <w:tcPr>
            <w:tcW w:w="4422" w:type="dxa"/>
            <w:gridSpan w:val="3"/>
            <w:vAlign w:val="center"/>
          </w:tcPr>
          <w:p>
            <w:pPr>
              <w:pStyle w:val="17"/>
            </w:pPr>
            <w:r>
              <w:t>2022、2023年律师、保安、保洁聘用费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2022、2023年律师、保安、保洁聘用费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1.目标内容1：2022、2023年律师、保安、保洁聘用费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案件结案率(%)</w:t>
            </w:r>
          </w:p>
        </w:tc>
        <w:tc>
          <w:tcPr>
            <w:tcW w:w="2891" w:type="dxa"/>
            <w:vAlign w:val="center"/>
          </w:tcPr>
          <w:p>
            <w:pPr>
              <w:pStyle w:val="17"/>
            </w:pPr>
            <w:r>
              <w:t>案件结案率(%)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案件、资料上报及时率</w:t>
            </w:r>
          </w:p>
        </w:tc>
        <w:tc>
          <w:tcPr>
            <w:tcW w:w="2891" w:type="dxa"/>
            <w:vAlign w:val="center"/>
          </w:tcPr>
          <w:p>
            <w:pPr>
              <w:pStyle w:val="17"/>
            </w:pPr>
            <w:r>
              <w:t>案件、资料上报及时率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化解矛盾率(%)</w:t>
            </w:r>
          </w:p>
        </w:tc>
        <w:tc>
          <w:tcPr>
            <w:tcW w:w="2891" w:type="dxa"/>
            <w:vAlign w:val="center"/>
          </w:tcPr>
          <w:p>
            <w:pPr>
              <w:pStyle w:val="17"/>
            </w:pPr>
            <w:r>
              <w:t>化解矛盾率(%)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9.2022年-2022年野三坡片区美丽乡村绿化养护项目绩效目标表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13062323P00003510002F</w:t>
            </w:r>
          </w:p>
        </w:tc>
        <w:tc>
          <w:tcPr>
            <w:tcW w:w="1587" w:type="dxa"/>
            <w:vAlign w:val="center"/>
          </w:tcPr>
          <w:p>
            <w:pPr>
              <w:pStyle w:val="15"/>
            </w:pPr>
            <w:r>
              <w:t>项目名称</w:t>
            </w:r>
          </w:p>
        </w:tc>
        <w:tc>
          <w:tcPr>
            <w:tcW w:w="4422" w:type="dxa"/>
            <w:gridSpan w:val="3"/>
            <w:vAlign w:val="center"/>
          </w:tcPr>
          <w:p>
            <w:pPr>
              <w:pStyle w:val="17"/>
            </w:pPr>
            <w:r>
              <w:t>2022年-2022年野三坡片区美丽乡村绿化养护项目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95.72</w:t>
            </w:r>
          </w:p>
        </w:tc>
        <w:tc>
          <w:tcPr>
            <w:tcW w:w="1587" w:type="dxa"/>
            <w:vAlign w:val="center"/>
          </w:tcPr>
          <w:p>
            <w:pPr>
              <w:pStyle w:val="15"/>
            </w:pPr>
            <w:r>
              <w:t>其中：财政    资金</w:t>
            </w:r>
          </w:p>
        </w:tc>
        <w:tc>
          <w:tcPr>
            <w:tcW w:w="1304" w:type="dxa"/>
            <w:vAlign w:val="center"/>
          </w:tcPr>
          <w:p>
            <w:pPr>
              <w:pStyle w:val="17"/>
            </w:pPr>
            <w:r>
              <w:t>95.72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用于野三坡片区美丽乡村绿化养护项目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23.93</w:t>
            </w:r>
          </w:p>
        </w:tc>
        <w:tc>
          <w:tcPr>
            <w:tcW w:w="1587" w:type="dxa"/>
            <w:vAlign w:val="center"/>
          </w:tcPr>
          <w:p>
            <w:pPr>
              <w:pStyle w:val="18"/>
            </w:pPr>
            <w:r>
              <w:t>47.86</w:t>
            </w:r>
          </w:p>
        </w:tc>
        <w:tc>
          <w:tcPr>
            <w:tcW w:w="1304" w:type="dxa"/>
            <w:vAlign w:val="center"/>
          </w:tcPr>
          <w:p>
            <w:pPr>
              <w:pStyle w:val="18"/>
            </w:pPr>
            <w:r>
              <w:t>71.79</w:t>
            </w:r>
          </w:p>
        </w:tc>
        <w:tc>
          <w:tcPr>
            <w:tcW w:w="3118" w:type="dxa"/>
            <w:gridSpan w:val="2"/>
            <w:vAlign w:val="center"/>
          </w:tcPr>
          <w:p>
            <w:pPr>
              <w:pStyle w:val="18"/>
            </w:pPr>
            <w:r>
              <w:t>95.72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1.完成野三坡片区美丽乡村绿化养护工作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按合同金额支付绿化养护费用</w:t>
            </w:r>
          </w:p>
        </w:tc>
        <w:tc>
          <w:tcPr>
            <w:tcW w:w="2891" w:type="dxa"/>
            <w:vAlign w:val="center"/>
          </w:tcPr>
          <w:p>
            <w:pPr>
              <w:pStyle w:val="17"/>
            </w:pPr>
            <w:r>
              <w:t>按合同金额支付绿化养护费用</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w:t>
            </w:r>
          </w:p>
        </w:tc>
        <w:tc>
          <w:tcPr>
            <w:tcW w:w="2891" w:type="dxa"/>
            <w:vAlign w:val="center"/>
          </w:tcPr>
          <w:p>
            <w:pPr>
              <w:pStyle w:val="17"/>
            </w:pPr>
            <w:r>
              <w:t>是否完成</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通过绿化养护美化环境</w:t>
            </w:r>
          </w:p>
        </w:tc>
        <w:tc>
          <w:tcPr>
            <w:tcW w:w="2891" w:type="dxa"/>
            <w:vAlign w:val="center"/>
          </w:tcPr>
          <w:p>
            <w:pPr>
              <w:pStyle w:val="17"/>
            </w:pPr>
            <w:r>
              <w:t>通过绿化养护美化环境</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10.2022年草原防火等项目（第二批）中央基建投资预算-（冀财建[2022]177号绩效目标表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13062322P00936710002G</w:t>
            </w:r>
          </w:p>
        </w:tc>
        <w:tc>
          <w:tcPr>
            <w:tcW w:w="1587" w:type="dxa"/>
            <w:vAlign w:val="center"/>
          </w:tcPr>
          <w:p>
            <w:pPr>
              <w:pStyle w:val="15"/>
            </w:pPr>
            <w:r>
              <w:t>项目名称</w:t>
            </w:r>
          </w:p>
        </w:tc>
        <w:tc>
          <w:tcPr>
            <w:tcW w:w="4422" w:type="dxa"/>
            <w:gridSpan w:val="3"/>
            <w:vAlign w:val="center"/>
          </w:tcPr>
          <w:p>
            <w:pPr>
              <w:pStyle w:val="17"/>
            </w:pPr>
            <w:r>
              <w:t>2022年草原防火等项目（第二批）中央基建投资预算-（冀财建[2022]177号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363.00</w:t>
            </w:r>
          </w:p>
        </w:tc>
        <w:tc>
          <w:tcPr>
            <w:tcW w:w="1587" w:type="dxa"/>
            <w:vAlign w:val="center"/>
          </w:tcPr>
          <w:p>
            <w:pPr>
              <w:pStyle w:val="15"/>
            </w:pPr>
            <w:r>
              <w:t>其中：财政    资金</w:t>
            </w:r>
          </w:p>
        </w:tc>
        <w:tc>
          <w:tcPr>
            <w:tcW w:w="1304" w:type="dxa"/>
            <w:vAlign w:val="center"/>
          </w:tcPr>
          <w:p>
            <w:pPr>
              <w:pStyle w:val="17"/>
            </w:pPr>
            <w:r>
              <w:t>363.00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2022年草原防火等项目（第二批）中央基建投资预算（冀财建【2022】177号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363.00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1.2022年草原防火等项目（第二批）中央基建投资预算（冀财建【2022】177号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森林防火安全检查覆盖率</w:t>
            </w:r>
          </w:p>
        </w:tc>
        <w:tc>
          <w:tcPr>
            <w:tcW w:w="2891" w:type="dxa"/>
            <w:vAlign w:val="center"/>
          </w:tcPr>
          <w:p>
            <w:pPr>
              <w:pStyle w:val="17"/>
            </w:pPr>
            <w:r>
              <w:t>森林防火安全检查覆盖率</w:t>
            </w:r>
          </w:p>
        </w:tc>
        <w:tc>
          <w:tcPr>
            <w:tcW w:w="1276" w:type="dxa"/>
            <w:vAlign w:val="center"/>
          </w:tcPr>
          <w:p>
            <w:pPr>
              <w:pStyle w:val="17"/>
            </w:pPr>
            <w:r>
              <w:t>≥80百分比</w:t>
            </w:r>
          </w:p>
        </w:tc>
        <w:tc>
          <w:tcPr>
            <w:tcW w:w="1843" w:type="dxa"/>
            <w:vAlign w:val="center"/>
          </w:tcPr>
          <w:p>
            <w:pPr>
              <w:pStyle w:val="17"/>
            </w:pPr>
            <w:r>
              <w:t>冀财建【2022】177号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森林防火督导任务完成率</w:t>
            </w:r>
          </w:p>
        </w:tc>
        <w:tc>
          <w:tcPr>
            <w:tcW w:w="2891" w:type="dxa"/>
            <w:vAlign w:val="center"/>
          </w:tcPr>
          <w:p>
            <w:pPr>
              <w:pStyle w:val="17"/>
            </w:pPr>
            <w:r>
              <w:t>森林防火督导任务完成率</w:t>
            </w:r>
          </w:p>
        </w:tc>
        <w:tc>
          <w:tcPr>
            <w:tcW w:w="1276" w:type="dxa"/>
            <w:vAlign w:val="center"/>
          </w:tcPr>
          <w:p>
            <w:pPr>
              <w:pStyle w:val="17"/>
            </w:pPr>
            <w:r>
              <w:t>≥80百分比</w:t>
            </w:r>
          </w:p>
        </w:tc>
        <w:tc>
          <w:tcPr>
            <w:tcW w:w="1843" w:type="dxa"/>
            <w:vAlign w:val="center"/>
          </w:tcPr>
          <w:p>
            <w:pPr>
              <w:pStyle w:val="17"/>
            </w:pPr>
            <w:r>
              <w:t>冀财建【2022】177号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冀财建【2022】177号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冀财建【2022】177号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森林火灾受害率</w:t>
            </w:r>
          </w:p>
        </w:tc>
        <w:tc>
          <w:tcPr>
            <w:tcW w:w="2891" w:type="dxa"/>
            <w:vAlign w:val="center"/>
          </w:tcPr>
          <w:p>
            <w:pPr>
              <w:pStyle w:val="17"/>
            </w:pPr>
            <w:r>
              <w:t>森林火灾受害率</w:t>
            </w:r>
          </w:p>
        </w:tc>
        <w:tc>
          <w:tcPr>
            <w:tcW w:w="1276" w:type="dxa"/>
            <w:vAlign w:val="center"/>
          </w:tcPr>
          <w:p>
            <w:pPr>
              <w:pStyle w:val="17"/>
            </w:pPr>
            <w:r>
              <w:t>明显降低</w:t>
            </w:r>
          </w:p>
        </w:tc>
        <w:tc>
          <w:tcPr>
            <w:tcW w:w="1843" w:type="dxa"/>
            <w:vAlign w:val="center"/>
          </w:tcPr>
          <w:p>
            <w:pPr>
              <w:pStyle w:val="17"/>
            </w:pPr>
            <w:r>
              <w:t>冀财建【2022】177号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≥80百分比</w:t>
            </w:r>
          </w:p>
        </w:tc>
        <w:tc>
          <w:tcPr>
            <w:tcW w:w="1843" w:type="dxa"/>
            <w:vAlign w:val="center"/>
          </w:tcPr>
          <w:p>
            <w:pPr>
              <w:pStyle w:val="17"/>
            </w:pPr>
            <w:r>
              <w:t>冀财建【2022】177号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11.2022年度省级林业草原转移支付资金—造林绿化重点工程奖补（冀财资环[2021]117号）绩效目标表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13062322P00882510001Q</w:t>
            </w:r>
          </w:p>
        </w:tc>
        <w:tc>
          <w:tcPr>
            <w:tcW w:w="1587" w:type="dxa"/>
            <w:vAlign w:val="center"/>
          </w:tcPr>
          <w:p>
            <w:pPr>
              <w:pStyle w:val="15"/>
            </w:pPr>
            <w:r>
              <w:t>项目名称</w:t>
            </w:r>
          </w:p>
        </w:tc>
        <w:tc>
          <w:tcPr>
            <w:tcW w:w="4422" w:type="dxa"/>
            <w:gridSpan w:val="3"/>
            <w:vAlign w:val="center"/>
          </w:tcPr>
          <w:p>
            <w:pPr>
              <w:pStyle w:val="17"/>
            </w:pPr>
            <w:r>
              <w:t>2022年度省级林业草原转移支付资金—造林绿化重点工程奖补（冀财资环[2021]117号）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160.00</w:t>
            </w:r>
          </w:p>
        </w:tc>
        <w:tc>
          <w:tcPr>
            <w:tcW w:w="1587" w:type="dxa"/>
            <w:vAlign w:val="center"/>
          </w:tcPr>
          <w:p>
            <w:pPr>
              <w:pStyle w:val="15"/>
            </w:pPr>
            <w:r>
              <w:t>其中：财政    资金</w:t>
            </w:r>
          </w:p>
        </w:tc>
        <w:tc>
          <w:tcPr>
            <w:tcW w:w="1304" w:type="dxa"/>
            <w:vAlign w:val="center"/>
          </w:tcPr>
          <w:p>
            <w:pPr>
              <w:pStyle w:val="17"/>
            </w:pPr>
            <w:r>
              <w:t>160.00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2022年度省级林业草原转移支付资金—造林绿化重点工程奖补（冀财资环[2021]117号）</w:t>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1.目标内容1：2022年度省级林业草原转移支付资金—造林绿化重点工程奖补（冀财资环[2021]117号）</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≥90百分比</w:t>
            </w:r>
          </w:p>
        </w:tc>
        <w:tc>
          <w:tcPr>
            <w:tcW w:w="1843" w:type="dxa"/>
            <w:vAlign w:val="center"/>
          </w:tcPr>
          <w:p>
            <w:pPr>
              <w:pStyle w:val="17"/>
            </w:pPr>
            <w:r>
              <w:t>冀财资环[2021]117号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≥90百分比</w:t>
            </w:r>
          </w:p>
        </w:tc>
        <w:tc>
          <w:tcPr>
            <w:tcW w:w="1843" w:type="dxa"/>
            <w:vAlign w:val="center"/>
          </w:tcPr>
          <w:p>
            <w:pPr>
              <w:pStyle w:val="17"/>
            </w:pPr>
            <w:r>
              <w:t>冀财资环[2021]117号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12.2022年计鹿污水处理项目绩效目标表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13062323P00883910002Q</w:t>
            </w:r>
          </w:p>
        </w:tc>
        <w:tc>
          <w:tcPr>
            <w:tcW w:w="1587" w:type="dxa"/>
            <w:vAlign w:val="center"/>
          </w:tcPr>
          <w:p>
            <w:pPr>
              <w:pStyle w:val="15"/>
            </w:pPr>
            <w:r>
              <w:t>项目名称</w:t>
            </w:r>
          </w:p>
        </w:tc>
        <w:tc>
          <w:tcPr>
            <w:tcW w:w="4422" w:type="dxa"/>
            <w:gridSpan w:val="3"/>
            <w:vAlign w:val="center"/>
          </w:tcPr>
          <w:p>
            <w:pPr>
              <w:pStyle w:val="17"/>
            </w:pPr>
            <w:r>
              <w:t>2022年计鹿污水处理项目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64.49</w:t>
            </w:r>
          </w:p>
        </w:tc>
        <w:tc>
          <w:tcPr>
            <w:tcW w:w="1587" w:type="dxa"/>
            <w:vAlign w:val="center"/>
          </w:tcPr>
          <w:p>
            <w:pPr>
              <w:pStyle w:val="15"/>
            </w:pPr>
            <w:r>
              <w:t>其中：财政    资金</w:t>
            </w:r>
          </w:p>
        </w:tc>
        <w:tc>
          <w:tcPr>
            <w:tcW w:w="1304" w:type="dxa"/>
            <w:vAlign w:val="center"/>
          </w:tcPr>
          <w:p>
            <w:pPr>
              <w:pStyle w:val="17"/>
            </w:pPr>
            <w:r>
              <w:t>64.49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用于2022年计鹿污水处理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16.12</w:t>
            </w:r>
          </w:p>
        </w:tc>
        <w:tc>
          <w:tcPr>
            <w:tcW w:w="1587" w:type="dxa"/>
            <w:vAlign w:val="center"/>
          </w:tcPr>
          <w:p>
            <w:pPr>
              <w:pStyle w:val="18"/>
            </w:pPr>
            <w:r>
              <w:t>32.25</w:t>
            </w:r>
          </w:p>
        </w:tc>
        <w:tc>
          <w:tcPr>
            <w:tcW w:w="1304" w:type="dxa"/>
            <w:vAlign w:val="center"/>
          </w:tcPr>
          <w:p>
            <w:pPr>
              <w:pStyle w:val="18"/>
            </w:pPr>
            <w:r>
              <w:t>48.37</w:t>
            </w:r>
          </w:p>
        </w:tc>
        <w:tc>
          <w:tcPr>
            <w:tcW w:w="3118" w:type="dxa"/>
            <w:gridSpan w:val="2"/>
            <w:vAlign w:val="center"/>
          </w:tcPr>
          <w:p>
            <w:pPr>
              <w:pStyle w:val="18"/>
            </w:pPr>
            <w:r>
              <w:t>64.49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污水处理量</w:t>
            </w:r>
          </w:p>
        </w:tc>
        <w:tc>
          <w:tcPr>
            <w:tcW w:w="2891" w:type="dxa"/>
            <w:vAlign w:val="center"/>
          </w:tcPr>
          <w:p>
            <w:pPr>
              <w:pStyle w:val="17"/>
            </w:pPr>
            <w:r>
              <w:t>污水处理站污水处理量</w:t>
            </w:r>
          </w:p>
        </w:tc>
        <w:tc>
          <w:tcPr>
            <w:tcW w:w="1276" w:type="dxa"/>
            <w:vAlign w:val="center"/>
          </w:tcPr>
          <w:p>
            <w:pPr>
              <w:pStyle w:val="17"/>
            </w:pPr>
            <w:r>
              <w:t>≥800立方/天</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全格率</w:t>
            </w:r>
          </w:p>
        </w:tc>
        <w:tc>
          <w:tcPr>
            <w:tcW w:w="2891" w:type="dxa"/>
            <w:vAlign w:val="center"/>
          </w:tcPr>
          <w:p>
            <w:pPr>
              <w:pStyle w:val="17"/>
            </w:pPr>
            <w:r>
              <w:t>污水处理质量合格率</w:t>
            </w:r>
          </w:p>
        </w:tc>
        <w:tc>
          <w:tcPr>
            <w:tcW w:w="1276" w:type="dxa"/>
            <w:vAlign w:val="center"/>
          </w:tcPr>
          <w:p>
            <w:pPr>
              <w:pStyle w:val="17"/>
            </w:pPr>
            <w:r>
              <w:t>≥80%</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水质量改善</w:t>
            </w:r>
          </w:p>
        </w:tc>
        <w:tc>
          <w:tcPr>
            <w:tcW w:w="2891" w:type="dxa"/>
            <w:vAlign w:val="center"/>
          </w:tcPr>
          <w:p>
            <w:pPr>
              <w:pStyle w:val="17"/>
            </w:pPr>
            <w:r>
              <w:t>通过项目实施改善水质量</w:t>
            </w:r>
          </w:p>
        </w:tc>
        <w:tc>
          <w:tcPr>
            <w:tcW w:w="1276" w:type="dxa"/>
            <w:vAlign w:val="center"/>
          </w:tcPr>
          <w:p>
            <w:pPr>
              <w:pStyle w:val="17"/>
            </w:pPr>
            <w:r>
              <w:t>很好改善</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群众满意率</w:t>
            </w:r>
          </w:p>
        </w:tc>
        <w:tc>
          <w:tcPr>
            <w:tcW w:w="2891" w:type="dxa"/>
            <w:vAlign w:val="center"/>
          </w:tcPr>
          <w:p>
            <w:pPr>
              <w:pStyle w:val="17"/>
            </w:pPr>
            <w:r>
              <w:t>群众满意率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13.2022年农药兽药包装废弃物回收处置项目绩效目标表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13062323P008450100025</w:t>
            </w:r>
          </w:p>
        </w:tc>
        <w:tc>
          <w:tcPr>
            <w:tcW w:w="1587" w:type="dxa"/>
            <w:vAlign w:val="center"/>
          </w:tcPr>
          <w:p>
            <w:pPr>
              <w:pStyle w:val="15"/>
            </w:pPr>
            <w:r>
              <w:t>项目名称</w:t>
            </w:r>
          </w:p>
        </w:tc>
        <w:tc>
          <w:tcPr>
            <w:tcW w:w="4422" w:type="dxa"/>
            <w:gridSpan w:val="3"/>
            <w:vAlign w:val="center"/>
          </w:tcPr>
          <w:p>
            <w:pPr>
              <w:pStyle w:val="17"/>
            </w:pPr>
            <w:r>
              <w:t>2022年农药兽药包装废弃物回收处置项目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9.86</w:t>
            </w:r>
          </w:p>
        </w:tc>
        <w:tc>
          <w:tcPr>
            <w:tcW w:w="1587" w:type="dxa"/>
            <w:vAlign w:val="center"/>
          </w:tcPr>
          <w:p>
            <w:pPr>
              <w:pStyle w:val="15"/>
            </w:pPr>
            <w:r>
              <w:t>其中：财政    资金</w:t>
            </w:r>
          </w:p>
        </w:tc>
        <w:tc>
          <w:tcPr>
            <w:tcW w:w="1304" w:type="dxa"/>
            <w:vAlign w:val="center"/>
          </w:tcPr>
          <w:p>
            <w:pPr>
              <w:pStyle w:val="17"/>
            </w:pPr>
            <w:r>
              <w:t>9.86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用于农药兽药包装废弃物回收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9.86</w:t>
            </w:r>
          </w:p>
        </w:tc>
        <w:tc>
          <w:tcPr>
            <w:tcW w:w="1304" w:type="dxa"/>
            <w:vAlign w:val="center"/>
          </w:tcPr>
          <w:p>
            <w:pPr>
              <w:pStyle w:val="18"/>
            </w:pPr>
            <w:r>
              <w:t>9.86</w:t>
            </w:r>
          </w:p>
        </w:tc>
        <w:tc>
          <w:tcPr>
            <w:tcW w:w="3118" w:type="dxa"/>
            <w:gridSpan w:val="2"/>
            <w:vAlign w:val="center"/>
          </w:tcPr>
          <w:p>
            <w:pPr>
              <w:pStyle w:val="18"/>
            </w:pPr>
            <w:r>
              <w:t>9.86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1.完成农药兽药包装废弃物回收工作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农药、兽药包装回收量</w:t>
            </w:r>
          </w:p>
        </w:tc>
        <w:tc>
          <w:tcPr>
            <w:tcW w:w="2891" w:type="dxa"/>
            <w:vAlign w:val="center"/>
          </w:tcPr>
          <w:p>
            <w:pPr>
              <w:pStyle w:val="17"/>
            </w:pPr>
            <w:r>
              <w:t>农药、兽药包装回收量</w:t>
            </w:r>
          </w:p>
        </w:tc>
        <w:tc>
          <w:tcPr>
            <w:tcW w:w="1276" w:type="dxa"/>
            <w:vAlign w:val="center"/>
          </w:tcPr>
          <w:p>
            <w:pPr>
              <w:pStyle w:val="17"/>
            </w:pPr>
            <w:r>
              <w:t>10吨</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按标准处理</w:t>
            </w:r>
          </w:p>
        </w:tc>
        <w:tc>
          <w:tcPr>
            <w:tcW w:w="2891" w:type="dxa"/>
            <w:vAlign w:val="center"/>
          </w:tcPr>
          <w:p>
            <w:pPr>
              <w:pStyle w:val="17"/>
            </w:pPr>
            <w:r>
              <w:t>按标准处理</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按规定完成</w:t>
            </w:r>
          </w:p>
        </w:tc>
        <w:tc>
          <w:tcPr>
            <w:tcW w:w="2891" w:type="dxa"/>
            <w:vAlign w:val="center"/>
          </w:tcPr>
          <w:p>
            <w:pPr>
              <w:pStyle w:val="17"/>
            </w:pPr>
            <w:r>
              <w:t>按规定完成</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减少污染，改善环境</w:t>
            </w:r>
          </w:p>
        </w:tc>
        <w:tc>
          <w:tcPr>
            <w:tcW w:w="2891" w:type="dxa"/>
            <w:vAlign w:val="center"/>
          </w:tcPr>
          <w:p>
            <w:pPr>
              <w:pStyle w:val="17"/>
            </w:pPr>
            <w:r>
              <w:t>减少污染，改善环境</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14.2022年小丰口、大龙门污水处理项目绩效目标表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13062323P00884110002J</w:t>
            </w:r>
          </w:p>
        </w:tc>
        <w:tc>
          <w:tcPr>
            <w:tcW w:w="1587" w:type="dxa"/>
            <w:vAlign w:val="center"/>
          </w:tcPr>
          <w:p>
            <w:pPr>
              <w:pStyle w:val="15"/>
            </w:pPr>
            <w:r>
              <w:t>项目名称</w:t>
            </w:r>
          </w:p>
        </w:tc>
        <w:tc>
          <w:tcPr>
            <w:tcW w:w="4422" w:type="dxa"/>
            <w:gridSpan w:val="3"/>
            <w:vAlign w:val="center"/>
          </w:tcPr>
          <w:p>
            <w:pPr>
              <w:pStyle w:val="17"/>
            </w:pPr>
            <w:r>
              <w:t>2022年小丰口、大龙门污水处理项目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28.80</w:t>
            </w:r>
          </w:p>
        </w:tc>
        <w:tc>
          <w:tcPr>
            <w:tcW w:w="1587" w:type="dxa"/>
            <w:vAlign w:val="center"/>
          </w:tcPr>
          <w:p>
            <w:pPr>
              <w:pStyle w:val="15"/>
            </w:pPr>
            <w:r>
              <w:t>其中：财政    资金</w:t>
            </w:r>
          </w:p>
        </w:tc>
        <w:tc>
          <w:tcPr>
            <w:tcW w:w="1304" w:type="dxa"/>
            <w:vAlign w:val="center"/>
          </w:tcPr>
          <w:p>
            <w:pPr>
              <w:pStyle w:val="17"/>
            </w:pPr>
            <w:r>
              <w:t>28.80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用于2022年小丰口、大龙门污水处理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7.20</w:t>
            </w:r>
          </w:p>
        </w:tc>
        <w:tc>
          <w:tcPr>
            <w:tcW w:w="1587" w:type="dxa"/>
            <w:vAlign w:val="center"/>
          </w:tcPr>
          <w:p>
            <w:pPr>
              <w:pStyle w:val="18"/>
            </w:pPr>
            <w:r>
              <w:t>14.40</w:t>
            </w:r>
          </w:p>
        </w:tc>
        <w:tc>
          <w:tcPr>
            <w:tcW w:w="1304" w:type="dxa"/>
            <w:vAlign w:val="center"/>
          </w:tcPr>
          <w:p>
            <w:pPr>
              <w:pStyle w:val="18"/>
            </w:pPr>
            <w:r>
              <w:t>21.60</w:t>
            </w:r>
          </w:p>
        </w:tc>
        <w:tc>
          <w:tcPr>
            <w:tcW w:w="3118" w:type="dxa"/>
            <w:gridSpan w:val="2"/>
            <w:vAlign w:val="center"/>
          </w:tcPr>
          <w:p>
            <w:pPr>
              <w:pStyle w:val="18"/>
            </w:pPr>
            <w:r>
              <w:t>28.80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污水处理站个数</w:t>
            </w:r>
          </w:p>
        </w:tc>
        <w:tc>
          <w:tcPr>
            <w:tcW w:w="2891" w:type="dxa"/>
            <w:vAlign w:val="center"/>
          </w:tcPr>
          <w:p>
            <w:pPr>
              <w:pStyle w:val="17"/>
            </w:pPr>
            <w:r>
              <w:t>2个污水处理站</w:t>
            </w:r>
          </w:p>
        </w:tc>
        <w:tc>
          <w:tcPr>
            <w:tcW w:w="1276" w:type="dxa"/>
            <w:vAlign w:val="center"/>
          </w:tcPr>
          <w:p>
            <w:pPr>
              <w:pStyle w:val="17"/>
            </w:pPr>
            <w:r>
              <w:t>2个</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完成污水处理质量</w:t>
            </w:r>
          </w:p>
        </w:tc>
        <w:tc>
          <w:tcPr>
            <w:tcW w:w="2891" w:type="dxa"/>
            <w:vAlign w:val="center"/>
          </w:tcPr>
          <w:p>
            <w:pPr>
              <w:pStyle w:val="17"/>
            </w:pPr>
            <w:r>
              <w:t>污水处理合格率</w:t>
            </w:r>
          </w:p>
        </w:tc>
        <w:tc>
          <w:tcPr>
            <w:tcW w:w="1276" w:type="dxa"/>
            <w:vAlign w:val="center"/>
          </w:tcPr>
          <w:p>
            <w:pPr>
              <w:pStyle w:val="17"/>
            </w:pPr>
            <w:r>
              <w:t>≥80%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按时完成污水处理</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水质量改善</w:t>
            </w:r>
          </w:p>
        </w:tc>
        <w:tc>
          <w:tcPr>
            <w:tcW w:w="2891" w:type="dxa"/>
            <w:vAlign w:val="center"/>
          </w:tcPr>
          <w:p>
            <w:pPr>
              <w:pStyle w:val="17"/>
            </w:pPr>
            <w:r>
              <w:t>水质量是否改善</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15.2022年野三坡雅净污水处理厂运营及维护费绩效目标表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13062323P009408100530</w:t>
            </w:r>
          </w:p>
        </w:tc>
        <w:tc>
          <w:tcPr>
            <w:tcW w:w="1587" w:type="dxa"/>
            <w:vAlign w:val="center"/>
          </w:tcPr>
          <w:p>
            <w:pPr>
              <w:pStyle w:val="15"/>
            </w:pPr>
            <w:r>
              <w:t>项目名称</w:t>
            </w:r>
          </w:p>
        </w:tc>
        <w:tc>
          <w:tcPr>
            <w:tcW w:w="4422" w:type="dxa"/>
            <w:gridSpan w:val="3"/>
            <w:vAlign w:val="center"/>
          </w:tcPr>
          <w:p>
            <w:pPr>
              <w:pStyle w:val="17"/>
            </w:pPr>
            <w:r>
              <w:t>2022年野三坡雅净污水处理厂运营及维护费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230.49</w:t>
            </w:r>
          </w:p>
        </w:tc>
        <w:tc>
          <w:tcPr>
            <w:tcW w:w="1587" w:type="dxa"/>
            <w:vAlign w:val="center"/>
          </w:tcPr>
          <w:p>
            <w:pPr>
              <w:pStyle w:val="15"/>
            </w:pPr>
            <w:r>
              <w:t>其中：财政    资金</w:t>
            </w:r>
          </w:p>
        </w:tc>
        <w:tc>
          <w:tcPr>
            <w:tcW w:w="1304" w:type="dxa"/>
            <w:vAlign w:val="center"/>
          </w:tcPr>
          <w:p>
            <w:pPr>
              <w:pStyle w:val="17"/>
            </w:pPr>
            <w:r>
              <w:t>230.49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用于野三坡雅净污水处理厂运营及维护费。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50.00</w:t>
            </w:r>
          </w:p>
        </w:tc>
        <w:tc>
          <w:tcPr>
            <w:tcW w:w="1587" w:type="dxa"/>
            <w:vAlign w:val="center"/>
          </w:tcPr>
          <w:p>
            <w:pPr>
              <w:pStyle w:val="18"/>
            </w:pPr>
            <w:r>
              <w:t>100.00</w:t>
            </w:r>
          </w:p>
        </w:tc>
        <w:tc>
          <w:tcPr>
            <w:tcW w:w="1304" w:type="dxa"/>
            <w:vAlign w:val="center"/>
          </w:tcPr>
          <w:p>
            <w:pPr>
              <w:pStyle w:val="18"/>
            </w:pPr>
            <w:r>
              <w:t>180.00</w:t>
            </w:r>
          </w:p>
        </w:tc>
        <w:tc>
          <w:tcPr>
            <w:tcW w:w="3118" w:type="dxa"/>
            <w:gridSpan w:val="2"/>
            <w:vAlign w:val="center"/>
          </w:tcPr>
          <w:p>
            <w:pPr>
              <w:pStyle w:val="18"/>
            </w:pPr>
            <w:r>
              <w:t>230.49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项目建设完成率</w:t>
            </w:r>
          </w:p>
        </w:tc>
        <w:tc>
          <w:tcPr>
            <w:tcW w:w="2891" w:type="dxa"/>
            <w:vAlign w:val="center"/>
          </w:tcPr>
          <w:p>
            <w:pPr>
              <w:pStyle w:val="17"/>
            </w:pPr>
            <w:r>
              <w:t>项目建设完成率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是否达标</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规定时间上报成果</w:t>
            </w:r>
          </w:p>
        </w:tc>
        <w:tc>
          <w:tcPr>
            <w:tcW w:w="2891" w:type="dxa"/>
            <w:vAlign w:val="center"/>
          </w:tcPr>
          <w:p>
            <w:pPr>
              <w:pStyle w:val="17"/>
            </w:pPr>
            <w:r>
              <w:t>规定时间上报成果</w:t>
            </w:r>
          </w:p>
        </w:tc>
        <w:tc>
          <w:tcPr>
            <w:tcW w:w="1276" w:type="dxa"/>
            <w:vAlign w:val="center"/>
          </w:tcPr>
          <w:p>
            <w:pPr>
              <w:pStyle w:val="17"/>
            </w:pPr>
            <w:r>
              <w:t>是否按时</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总成本控制</w:t>
            </w:r>
          </w:p>
        </w:tc>
        <w:tc>
          <w:tcPr>
            <w:tcW w:w="2891" w:type="dxa"/>
            <w:vAlign w:val="center"/>
          </w:tcPr>
          <w:p>
            <w:pPr>
              <w:pStyle w:val="17"/>
            </w:pPr>
            <w:r>
              <w:t>总成本控制</w:t>
            </w:r>
          </w:p>
        </w:tc>
        <w:tc>
          <w:tcPr>
            <w:tcW w:w="1276" w:type="dxa"/>
            <w:vAlign w:val="center"/>
          </w:tcPr>
          <w:p>
            <w:pPr>
              <w:pStyle w:val="17"/>
            </w:pPr>
            <w:r>
              <w:t>≤230.49万元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群众居住条件改善</w:t>
            </w:r>
          </w:p>
        </w:tc>
        <w:tc>
          <w:tcPr>
            <w:tcW w:w="2891" w:type="dxa"/>
            <w:vAlign w:val="center"/>
          </w:tcPr>
          <w:p>
            <w:pPr>
              <w:pStyle w:val="17"/>
            </w:pPr>
            <w:r>
              <w:t>群众居住条件改善</w:t>
            </w:r>
          </w:p>
        </w:tc>
        <w:tc>
          <w:tcPr>
            <w:tcW w:w="1276" w:type="dxa"/>
            <w:vAlign w:val="center"/>
          </w:tcPr>
          <w:p>
            <w:pPr>
              <w:pStyle w:val="17"/>
            </w:pPr>
            <w:r>
              <w:t>是否改善</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促进生态文明建设，推动绿色发展</w:t>
            </w:r>
          </w:p>
        </w:tc>
        <w:tc>
          <w:tcPr>
            <w:tcW w:w="2891" w:type="dxa"/>
            <w:vAlign w:val="center"/>
          </w:tcPr>
          <w:p>
            <w:pPr>
              <w:pStyle w:val="17"/>
            </w:pPr>
            <w:r>
              <w:t>促进生态文明建设，推动绿色发展和绿色生活方式</w:t>
            </w:r>
          </w:p>
        </w:tc>
        <w:tc>
          <w:tcPr>
            <w:tcW w:w="1276" w:type="dxa"/>
            <w:vAlign w:val="center"/>
          </w:tcPr>
          <w:p>
            <w:pPr>
              <w:pStyle w:val="17"/>
            </w:pPr>
            <w:r>
              <w:t>是否完成</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实现风景名胜区自然资源的合理利用和可持续发展</w:t>
            </w:r>
          </w:p>
        </w:tc>
        <w:tc>
          <w:tcPr>
            <w:tcW w:w="2891" w:type="dxa"/>
            <w:vAlign w:val="center"/>
          </w:tcPr>
          <w:p>
            <w:pPr>
              <w:pStyle w:val="17"/>
            </w:pPr>
            <w:r>
              <w:t>实现风景名胜区自然资源的合理利用和可持续发展</w:t>
            </w:r>
          </w:p>
        </w:tc>
        <w:tc>
          <w:tcPr>
            <w:tcW w:w="1276" w:type="dxa"/>
            <w:vAlign w:val="center"/>
          </w:tcPr>
          <w:p>
            <w:pPr>
              <w:pStyle w:val="17"/>
            </w:pPr>
            <w:r>
              <w:t>是否实现</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是否满意</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16.2022年中央财政林业草原生态保护恢复资金9冀财资环【2022】108号）绩效目标表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13062322P00941010001Q</w:t>
            </w:r>
          </w:p>
        </w:tc>
        <w:tc>
          <w:tcPr>
            <w:tcW w:w="1587" w:type="dxa"/>
            <w:vAlign w:val="center"/>
          </w:tcPr>
          <w:p>
            <w:pPr>
              <w:pStyle w:val="15"/>
            </w:pPr>
            <w:r>
              <w:t>项目名称</w:t>
            </w:r>
          </w:p>
        </w:tc>
        <w:tc>
          <w:tcPr>
            <w:tcW w:w="4422" w:type="dxa"/>
            <w:gridSpan w:val="3"/>
            <w:vAlign w:val="center"/>
          </w:tcPr>
          <w:p>
            <w:pPr>
              <w:pStyle w:val="17"/>
            </w:pPr>
            <w:r>
              <w:t>2022年中央财政林业草原生态保护恢复资金9冀财资环【2022】108号）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89.74</w:t>
            </w:r>
          </w:p>
        </w:tc>
        <w:tc>
          <w:tcPr>
            <w:tcW w:w="1587" w:type="dxa"/>
            <w:vAlign w:val="center"/>
          </w:tcPr>
          <w:p>
            <w:pPr>
              <w:pStyle w:val="15"/>
            </w:pPr>
            <w:r>
              <w:t>其中：财政    资金</w:t>
            </w:r>
          </w:p>
        </w:tc>
        <w:tc>
          <w:tcPr>
            <w:tcW w:w="1304" w:type="dxa"/>
            <w:vAlign w:val="center"/>
          </w:tcPr>
          <w:p>
            <w:pPr>
              <w:pStyle w:val="17"/>
            </w:pPr>
            <w:r>
              <w:t>89.74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2022年中央财政林业草原生态保护恢复资金（冀财资环【2022】108号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89.74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1.2022年中央财政林业草原生态保护恢复资金（冀财资环【2022】108号）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生态公益林建设达标率</w:t>
            </w:r>
          </w:p>
        </w:tc>
        <w:tc>
          <w:tcPr>
            <w:tcW w:w="2891" w:type="dxa"/>
            <w:vAlign w:val="center"/>
          </w:tcPr>
          <w:p>
            <w:pPr>
              <w:pStyle w:val="17"/>
            </w:pPr>
            <w:r>
              <w:t>生态公益林建设达标率</w:t>
            </w:r>
          </w:p>
        </w:tc>
        <w:tc>
          <w:tcPr>
            <w:tcW w:w="1276" w:type="dxa"/>
            <w:vAlign w:val="center"/>
          </w:tcPr>
          <w:p>
            <w:pPr>
              <w:pStyle w:val="17"/>
            </w:pPr>
            <w:r>
              <w:t>≥80百分比</w:t>
            </w:r>
          </w:p>
        </w:tc>
        <w:tc>
          <w:tcPr>
            <w:tcW w:w="1843" w:type="dxa"/>
            <w:vAlign w:val="center"/>
          </w:tcPr>
          <w:p>
            <w:pPr>
              <w:pStyle w:val="17"/>
            </w:pPr>
            <w:r>
              <w:t>冀财资环【2022】108号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森林抚育质量合格率</w:t>
            </w:r>
          </w:p>
        </w:tc>
        <w:tc>
          <w:tcPr>
            <w:tcW w:w="2891" w:type="dxa"/>
            <w:vAlign w:val="center"/>
          </w:tcPr>
          <w:p>
            <w:pPr>
              <w:pStyle w:val="17"/>
            </w:pPr>
            <w:r>
              <w:t>森林抚育质量合格率</w:t>
            </w:r>
          </w:p>
        </w:tc>
        <w:tc>
          <w:tcPr>
            <w:tcW w:w="1276" w:type="dxa"/>
            <w:vAlign w:val="center"/>
          </w:tcPr>
          <w:p>
            <w:pPr>
              <w:pStyle w:val="17"/>
            </w:pPr>
            <w:r>
              <w:t>≥80百分比</w:t>
            </w:r>
          </w:p>
        </w:tc>
        <w:tc>
          <w:tcPr>
            <w:tcW w:w="1843" w:type="dxa"/>
            <w:vAlign w:val="center"/>
          </w:tcPr>
          <w:p>
            <w:pPr>
              <w:pStyle w:val="17"/>
            </w:pPr>
            <w:r>
              <w:t>冀财资环【2022】108号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冀财资环【2022】108号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冀财资环【2022】108号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生态环境质量改善</w:t>
            </w:r>
          </w:p>
        </w:tc>
        <w:tc>
          <w:tcPr>
            <w:tcW w:w="2891" w:type="dxa"/>
            <w:vAlign w:val="center"/>
          </w:tcPr>
          <w:p>
            <w:pPr>
              <w:pStyle w:val="17"/>
            </w:pPr>
            <w:r>
              <w:t>生态环境质量改善</w:t>
            </w:r>
          </w:p>
        </w:tc>
        <w:tc>
          <w:tcPr>
            <w:tcW w:w="1276" w:type="dxa"/>
            <w:vAlign w:val="center"/>
          </w:tcPr>
          <w:p>
            <w:pPr>
              <w:pStyle w:val="17"/>
            </w:pPr>
            <w:r>
              <w:t>显著</w:t>
            </w:r>
          </w:p>
        </w:tc>
        <w:tc>
          <w:tcPr>
            <w:tcW w:w="1843" w:type="dxa"/>
            <w:vAlign w:val="center"/>
          </w:tcPr>
          <w:p>
            <w:pPr>
              <w:pStyle w:val="17"/>
            </w:pPr>
            <w:r>
              <w:t>冀财资环【2022】108号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天然林资源管护员满意度</w:t>
            </w:r>
          </w:p>
        </w:tc>
        <w:tc>
          <w:tcPr>
            <w:tcW w:w="2891" w:type="dxa"/>
            <w:vAlign w:val="center"/>
          </w:tcPr>
          <w:p>
            <w:pPr>
              <w:pStyle w:val="17"/>
            </w:pPr>
            <w:r>
              <w:t>天然林资源管护员满意度</w:t>
            </w:r>
          </w:p>
        </w:tc>
        <w:tc>
          <w:tcPr>
            <w:tcW w:w="1276" w:type="dxa"/>
            <w:vAlign w:val="center"/>
          </w:tcPr>
          <w:p>
            <w:pPr>
              <w:pStyle w:val="17"/>
            </w:pPr>
            <w:r>
              <w:t>≥80百分比</w:t>
            </w:r>
          </w:p>
        </w:tc>
        <w:tc>
          <w:tcPr>
            <w:tcW w:w="1843" w:type="dxa"/>
            <w:vAlign w:val="center"/>
          </w:tcPr>
          <w:p>
            <w:pPr>
              <w:pStyle w:val="17"/>
            </w:pPr>
            <w:r>
              <w:t>冀财资环【2022】108号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17.2022年重点区域生态保护和修复专项资金--中央基建投资项目--太行山（河北）生态综合治理项目（冀财建[2022]73号）绩效目标表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13062322P009246100011</w:t>
            </w:r>
          </w:p>
        </w:tc>
        <w:tc>
          <w:tcPr>
            <w:tcW w:w="1587" w:type="dxa"/>
            <w:vAlign w:val="center"/>
          </w:tcPr>
          <w:p>
            <w:pPr>
              <w:pStyle w:val="15"/>
            </w:pPr>
            <w:r>
              <w:t>项目名称</w:t>
            </w:r>
          </w:p>
        </w:tc>
        <w:tc>
          <w:tcPr>
            <w:tcW w:w="4422" w:type="dxa"/>
            <w:gridSpan w:val="3"/>
            <w:vAlign w:val="center"/>
          </w:tcPr>
          <w:p>
            <w:pPr>
              <w:pStyle w:val="17"/>
            </w:pPr>
            <w:r>
              <w:t>2022年重点区域生态保护和修复专项资金--中央基建投资项目--太行山（河北）生态综合治理项目（冀财建[2022]73号）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1750.00</w:t>
            </w:r>
          </w:p>
        </w:tc>
        <w:tc>
          <w:tcPr>
            <w:tcW w:w="1587" w:type="dxa"/>
            <w:vAlign w:val="center"/>
          </w:tcPr>
          <w:p>
            <w:pPr>
              <w:pStyle w:val="15"/>
            </w:pPr>
            <w:r>
              <w:t>其中：财政    资金</w:t>
            </w:r>
          </w:p>
        </w:tc>
        <w:tc>
          <w:tcPr>
            <w:tcW w:w="1304" w:type="dxa"/>
            <w:vAlign w:val="center"/>
          </w:tcPr>
          <w:p>
            <w:pPr>
              <w:pStyle w:val="17"/>
            </w:pPr>
            <w:r>
              <w:t>1750.00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2022年重点区域生态保护和修复专项资金-中央基建投资项目-太行山（河北）生态综合治理项目（冀财建【2022】73号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1750.00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1.2022年重点区域生态保护和修复专项资金-中央基建投资项目-太行山（河北）生态综合治理项目（冀财建【2022】73号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≥85百分比</w:t>
            </w:r>
          </w:p>
        </w:tc>
        <w:tc>
          <w:tcPr>
            <w:tcW w:w="1843" w:type="dxa"/>
            <w:vAlign w:val="center"/>
          </w:tcPr>
          <w:p>
            <w:pPr>
              <w:pStyle w:val="17"/>
            </w:pPr>
            <w:r>
              <w:t>冀财资环【2022】73号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控制在预算资金内</w:t>
            </w:r>
          </w:p>
        </w:tc>
        <w:tc>
          <w:tcPr>
            <w:tcW w:w="2891" w:type="dxa"/>
            <w:vAlign w:val="center"/>
          </w:tcPr>
          <w:p>
            <w:pPr>
              <w:pStyle w:val="17"/>
            </w:pPr>
            <w:r>
              <w:t>控制在预算资金内</w:t>
            </w:r>
          </w:p>
        </w:tc>
        <w:tc>
          <w:tcPr>
            <w:tcW w:w="1276" w:type="dxa"/>
            <w:vAlign w:val="center"/>
          </w:tcPr>
          <w:p>
            <w:pPr>
              <w:pStyle w:val="17"/>
            </w:pPr>
            <w:r>
              <w:t>≤1750万元</w:t>
            </w:r>
          </w:p>
        </w:tc>
        <w:tc>
          <w:tcPr>
            <w:tcW w:w="1843" w:type="dxa"/>
            <w:vAlign w:val="center"/>
          </w:tcPr>
          <w:p>
            <w:pPr>
              <w:pStyle w:val="17"/>
            </w:pPr>
            <w:r>
              <w:t>冀财资环【2022】73号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工作按时完成率</w:t>
            </w:r>
          </w:p>
        </w:tc>
        <w:tc>
          <w:tcPr>
            <w:tcW w:w="2891" w:type="dxa"/>
            <w:vAlign w:val="center"/>
          </w:tcPr>
          <w:p>
            <w:pPr>
              <w:pStyle w:val="17"/>
            </w:pPr>
            <w:r>
              <w:t>工作按时完成率</w:t>
            </w:r>
          </w:p>
        </w:tc>
        <w:tc>
          <w:tcPr>
            <w:tcW w:w="1276" w:type="dxa"/>
            <w:vAlign w:val="center"/>
          </w:tcPr>
          <w:p>
            <w:pPr>
              <w:pStyle w:val="17"/>
            </w:pPr>
            <w:r>
              <w:t>≥85百分比</w:t>
            </w:r>
          </w:p>
        </w:tc>
        <w:tc>
          <w:tcPr>
            <w:tcW w:w="1843" w:type="dxa"/>
            <w:vAlign w:val="center"/>
          </w:tcPr>
          <w:p>
            <w:pPr>
              <w:pStyle w:val="17"/>
            </w:pPr>
            <w:r>
              <w:t>冀财资环【2022】73号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≥85百分比</w:t>
            </w:r>
          </w:p>
        </w:tc>
        <w:tc>
          <w:tcPr>
            <w:tcW w:w="1843" w:type="dxa"/>
            <w:vAlign w:val="center"/>
          </w:tcPr>
          <w:p>
            <w:pPr>
              <w:pStyle w:val="17"/>
            </w:pPr>
            <w:r>
              <w:t>冀财资环【2022】73号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 xml:space="preserve">森林生态效益发挥  </w:t>
            </w:r>
          </w:p>
        </w:tc>
        <w:tc>
          <w:tcPr>
            <w:tcW w:w="2891" w:type="dxa"/>
            <w:vAlign w:val="center"/>
          </w:tcPr>
          <w:p>
            <w:pPr>
              <w:pStyle w:val="17"/>
            </w:pPr>
            <w:r>
              <w:t xml:space="preserve">森林生态效益发挥  </w:t>
            </w:r>
          </w:p>
        </w:tc>
        <w:tc>
          <w:tcPr>
            <w:tcW w:w="1276" w:type="dxa"/>
            <w:vAlign w:val="center"/>
          </w:tcPr>
          <w:p>
            <w:pPr>
              <w:pStyle w:val="17"/>
            </w:pPr>
            <w:r>
              <w:t>百分比</w:t>
            </w:r>
          </w:p>
        </w:tc>
        <w:tc>
          <w:tcPr>
            <w:tcW w:w="1843" w:type="dxa"/>
            <w:vAlign w:val="center"/>
          </w:tcPr>
          <w:p>
            <w:pPr>
              <w:pStyle w:val="17"/>
            </w:pPr>
            <w:r>
              <w:t>冀财资环【2022】73号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≥85百分比</w:t>
            </w:r>
          </w:p>
        </w:tc>
        <w:tc>
          <w:tcPr>
            <w:tcW w:w="1843" w:type="dxa"/>
            <w:vAlign w:val="center"/>
          </w:tcPr>
          <w:p>
            <w:pPr>
              <w:pStyle w:val="17"/>
            </w:pPr>
            <w:r>
              <w:t>冀财资环【2022】73号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18.2023年城乡环卫一体化项目全年运营费绩效目标表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13062323P000078100031</w:t>
            </w:r>
          </w:p>
        </w:tc>
        <w:tc>
          <w:tcPr>
            <w:tcW w:w="1587" w:type="dxa"/>
            <w:vAlign w:val="center"/>
          </w:tcPr>
          <w:p>
            <w:pPr>
              <w:pStyle w:val="15"/>
            </w:pPr>
            <w:r>
              <w:t>项目名称</w:t>
            </w:r>
          </w:p>
        </w:tc>
        <w:tc>
          <w:tcPr>
            <w:tcW w:w="4422" w:type="dxa"/>
            <w:gridSpan w:val="3"/>
            <w:vAlign w:val="center"/>
          </w:tcPr>
          <w:p>
            <w:pPr>
              <w:pStyle w:val="17"/>
            </w:pPr>
            <w:r>
              <w:t>2023年城乡环卫一体化项目全年运营费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3135.25</w:t>
            </w:r>
          </w:p>
        </w:tc>
        <w:tc>
          <w:tcPr>
            <w:tcW w:w="1587" w:type="dxa"/>
            <w:vAlign w:val="center"/>
          </w:tcPr>
          <w:p>
            <w:pPr>
              <w:pStyle w:val="15"/>
            </w:pPr>
            <w:r>
              <w:t>其中：财政    资金</w:t>
            </w:r>
          </w:p>
        </w:tc>
        <w:tc>
          <w:tcPr>
            <w:tcW w:w="1304" w:type="dxa"/>
            <w:vAlign w:val="center"/>
          </w:tcPr>
          <w:p>
            <w:pPr>
              <w:pStyle w:val="17"/>
            </w:pPr>
            <w:r>
              <w:t>3135.25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2023年城乡环卫一体化项目全年运营费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783.81</w:t>
            </w:r>
          </w:p>
        </w:tc>
        <w:tc>
          <w:tcPr>
            <w:tcW w:w="1587" w:type="dxa"/>
            <w:vAlign w:val="center"/>
          </w:tcPr>
          <w:p>
            <w:pPr>
              <w:pStyle w:val="18"/>
            </w:pPr>
            <w:r>
              <w:t>783.81</w:t>
            </w:r>
          </w:p>
        </w:tc>
        <w:tc>
          <w:tcPr>
            <w:tcW w:w="1304" w:type="dxa"/>
            <w:vAlign w:val="center"/>
          </w:tcPr>
          <w:p>
            <w:pPr>
              <w:pStyle w:val="18"/>
            </w:pPr>
            <w:r>
              <w:t>783.81</w:t>
            </w:r>
          </w:p>
        </w:tc>
        <w:tc>
          <w:tcPr>
            <w:tcW w:w="3118" w:type="dxa"/>
            <w:gridSpan w:val="2"/>
            <w:vAlign w:val="center"/>
          </w:tcPr>
          <w:p>
            <w:pPr>
              <w:pStyle w:val="18"/>
            </w:pPr>
            <w:r>
              <w:t>783.81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1.2023年城乡环卫一体化项目全年运营费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278个村</w:t>
            </w:r>
          </w:p>
        </w:tc>
        <w:tc>
          <w:tcPr>
            <w:tcW w:w="2891" w:type="dxa"/>
            <w:vAlign w:val="center"/>
          </w:tcPr>
          <w:p>
            <w:pPr>
              <w:pStyle w:val="17"/>
            </w:pPr>
            <w:r>
              <w:t>建成区外278个行政村日常保洁</w:t>
            </w:r>
          </w:p>
        </w:tc>
        <w:tc>
          <w:tcPr>
            <w:tcW w:w="1276" w:type="dxa"/>
            <w:vAlign w:val="center"/>
          </w:tcPr>
          <w:p>
            <w:pPr>
              <w:pStyle w:val="17"/>
            </w:pPr>
            <w:r>
              <w:t>278村</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达到合同要求</w:t>
            </w:r>
          </w:p>
        </w:tc>
        <w:tc>
          <w:tcPr>
            <w:tcW w:w="2891" w:type="dxa"/>
            <w:vAlign w:val="center"/>
          </w:tcPr>
          <w:p>
            <w:pPr>
              <w:pStyle w:val="17"/>
            </w:pPr>
            <w:r>
              <w:t>达到合同要求</w:t>
            </w:r>
          </w:p>
        </w:tc>
        <w:tc>
          <w:tcPr>
            <w:tcW w:w="1276" w:type="dxa"/>
            <w:vAlign w:val="center"/>
          </w:tcPr>
          <w:p>
            <w:pPr>
              <w:pStyle w:val="17"/>
            </w:pPr>
            <w:r>
              <w:t>85%</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项目运营时限</w:t>
            </w:r>
          </w:p>
        </w:tc>
        <w:tc>
          <w:tcPr>
            <w:tcW w:w="2891" w:type="dxa"/>
            <w:vAlign w:val="center"/>
          </w:tcPr>
          <w:p>
            <w:pPr>
              <w:pStyle w:val="17"/>
            </w:pPr>
            <w:r>
              <w:t>农村清扫保洁服务运营时限</w:t>
            </w:r>
          </w:p>
        </w:tc>
        <w:tc>
          <w:tcPr>
            <w:tcW w:w="1276" w:type="dxa"/>
            <w:vAlign w:val="center"/>
          </w:tcPr>
          <w:p>
            <w:pPr>
              <w:pStyle w:val="17"/>
            </w:pPr>
            <w:r>
              <w:t xml:space="preserve">100% </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运营费控制在合同额度内</w:t>
            </w:r>
          </w:p>
        </w:tc>
        <w:tc>
          <w:tcPr>
            <w:tcW w:w="2891" w:type="dxa"/>
            <w:vAlign w:val="center"/>
          </w:tcPr>
          <w:p>
            <w:pPr>
              <w:pStyle w:val="17"/>
            </w:pPr>
            <w:r>
              <w:t>运营费控制在合同额度内</w:t>
            </w:r>
          </w:p>
        </w:tc>
        <w:tc>
          <w:tcPr>
            <w:tcW w:w="1276" w:type="dxa"/>
            <w:vAlign w:val="center"/>
          </w:tcPr>
          <w:p>
            <w:pPr>
              <w:pStyle w:val="17"/>
            </w:pPr>
            <w:r>
              <w:t>100%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≥85%</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群众满意度调查</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19.2023年东文山乡“乡改镇”面貌提升工程款绩效目标表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13062323P008JY9100029</w:t>
            </w:r>
          </w:p>
        </w:tc>
        <w:tc>
          <w:tcPr>
            <w:tcW w:w="1587" w:type="dxa"/>
            <w:vAlign w:val="center"/>
          </w:tcPr>
          <w:p>
            <w:pPr>
              <w:pStyle w:val="15"/>
            </w:pPr>
            <w:r>
              <w:t>项目名称</w:t>
            </w:r>
          </w:p>
        </w:tc>
        <w:tc>
          <w:tcPr>
            <w:tcW w:w="4422" w:type="dxa"/>
            <w:gridSpan w:val="3"/>
            <w:vAlign w:val="center"/>
          </w:tcPr>
          <w:p>
            <w:pPr>
              <w:pStyle w:val="17"/>
            </w:pPr>
            <w:r>
              <w:t>2023年东文山乡“乡改镇”面貌提升工程款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113.82</w:t>
            </w:r>
          </w:p>
        </w:tc>
        <w:tc>
          <w:tcPr>
            <w:tcW w:w="1587" w:type="dxa"/>
            <w:vAlign w:val="center"/>
          </w:tcPr>
          <w:p>
            <w:pPr>
              <w:pStyle w:val="15"/>
            </w:pPr>
            <w:r>
              <w:t>其中：财政    资金</w:t>
            </w:r>
          </w:p>
        </w:tc>
        <w:tc>
          <w:tcPr>
            <w:tcW w:w="1304" w:type="dxa"/>
            <w:vAlign w:val="center"/>
          </w:tcPr>
          <w:p>
            <w:pPr>
              <w:pStyle w:val="17"/>
            </w:pPr>
            <w:r>
              <w:t>113.82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东文山乡“乡改镇”面貌提升工程款尾款</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60.00</w:t>
            </w:r>
          </w:p>
        </w:tc>
        <w:tc>
          <w:tcPr>
            <w:tcW w:w="1304" w:type="dxa"/>
            <w:vAlign w:val="center"/>
          </w:tcPr>
          <w:p>
            <w:pPr>
              <w:pStyle w:val="18"/>
            </w:pPr>
            <w:r>
              <w:t>90.00</w:t>
            </w:r>
          </w:p>
        </w:tc>
        <w:tc>
          <w:tcPr>
            <w:tcW w:w="3118" w:type="dxa"/>
            <w:gridSpan w:val="2"/>
            <w:vAlign w:val="center"/>
          </w:tcPr>
          <w:p>
            <w:pPr>
              <w:pStyle w:val="18"/>
            </w:pPr>
            <w:r>
              <w:t>113.82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1.及时支付东文山乡“乡改镇”面貌提升工程款尾款</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修缮改造任务完成率（%）</w:t>
            </w:r>
          </w:p>
        </w:tc>
        <w:tc>
          <w:tcPr>
            <w:tcW w:w="2891" w:type="dxa"/>
            <w:vAlign w:val="center"/>
          </w:tcPr>
          <w:p>
            <w:pPr>
              <w:pStyle w:val="17"/>
            </w:pPr>
            <w:r>
              <w:t>修缮改造任务完成率（%）</w:t>
            </w:r>
          </w:p>
        </w:tc>
        <w:tc>
          <w:tcPr>
            <w:tcW w:w="1276" w:type="dxa"/>
            <w:vAlign w:val="center"/>
          </w:tcPr>
          <w:p>
            <w:pPr>
              <w:pStyle w:val="17"/>
            </w:pPr>
            <w:r>
              <w:t>≥95百分比</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正常使用率</w:t>
            </w:r>
          </w:p>
        </w:tc>
        <w:tc>
          <w:tcPr>
            <w:tcW w:w="2891" w:type="dxa"/>
            <w:vAlign w:val="center"/>
          </w:tcPr>
          <w:p>
            <w:pPr>
              <w:pStyle w:val="17"/>
            </w:pPr>
            <w:r>
              <w:t>正常使用率</w:t>
            </w:r>
          </w:p>
        </w:tc>
        <w:tc>
          <w:tcPr>
            <w:tcW w:w="1276" w:type="dxa"/>
            <w:vAlign w:val="center"/>
          </w:tcPr>
          <w:p>
            <w:pPr>
              <w:pStyle w:val="17"/>
            </w:pPr>
            <w:r>
              <w:t>≥95百分比</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≥95百分比</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≤113.82万元</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项目工程完成情况</w:t>
            </w:r>
          </w:p>
        </w:tc>
        <w:tc>
          <w:tcPr>
            <w:tcW w:w="2891" w:type="dxa"/>
            <w:vAlign w:val="center"/>
          </w:tcPr>
          <w:p>
            <w:pPr>
              <w:pStyle w:val="17"/>
            </w:pPr>
            <w:r>
              <w:t>项目工程完成情况</w:t>
            </w:r>
          </w:p>
        </w:tc>
        <w:tc>
          <w:tcPr>
            <w:tcW w:w="1276" w:type="dxa"/>
            <w:vAlign w:val="center"/>
          </w:tcPr>
          <w:p>
            <w:pPr>
              <w:pStyle w:val="17"/>
            </w:pPr>
            <w:r>
              <w:t>≥95百分比</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能力提升率</w:t>
            </w:r>
          </w:p>
        </w:tc>
        <w:tc>
          <w:tcPr>
            <w:tcW w:w="2891" w:type="dxa"/>
            <w:vAlign w:val="center"/>
          </w:tcPr>
          <w:p>
            <w:pPr>
              <w:pStyle w:val="17"/>
            </w:pPr>
            <w:r>
              <w:t>能力提升率</w:t>
            </w:r>
          </w:p>
        </w:tc>
        <w:tc>
          <w:tcPr>
            <w:tcW w:w="1276" w:type="dxa"/>
            <w:vAlign w:val="center"/>
          </w:tcPr>
          <w:p>
            <w:pPr>
              <w:pStyle w:val="17"/>
            </w:pPr>
            <w:r>
              <w:t>≥95百分比</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项目建成效果</w:t>
            </w:r>
          </w:p>
        </w:tc>
        <w:tc>
          <w:tcPr>
            <w:tcW w:w="2891" w:type="dxa"/>
            <w:vAlign w:val="center"/>
          </w:tcPr>
          <w:p>
            <w:pPr>
              <w:pStyle w:val="17"/>
            </w:pPr>
            <w:r>
              <w:t>项目建成效果</w:t>
            </w:r>
          </w:p>
        </w:tc>
        <w:tc>
          <w:tcPr>
            <w:tcW w:w="1276" w:type="dxa"/>
            <w:vAlign w:val="center"/>
          </w:tcPr>
          <w:p>
            <w:pPr>
              <w:pStyle w:val="17"/>
            </w:pPr>
            <w:r>
              <w:t>≥95百分比</w:t>
            </w:r>
          </w:p>
        </w:tc>
        <w:tc>
          <w:tcPr>
            <w:tcW w:w="1843" w:type="dxa"/>
            <w:vAlign w:val="center"/>
          </w:tcPr>
          <w:p>
            <w:pPr>
              <w:pStyle w:val="17"/>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文件批示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20.2023年度2022年中节能生活垃圾焚烧处置服务费绩效目标表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13062323P00007810002D</w:t>
            </w:r>
          </w:p>
        </w:tc>
        <w:tc>
          <w:tcPr>
            <w:tcW w:w="1587" w:type="dxa"/>
            <w:vAlign w:val="center"/>
          </w:tcPr>
          <w:p>
            <w:pPr>
              <w:pStyle w:val="15"/>
            </w:pPr>
            <w:r>
              <w:t>项目名称</w:t>
            </w:r>
          </w:p>
        </w:tc>
        <w:tc>
          <w:tcPr>
            <w:tcW w:w="4422" w:type="dxa"/>
            <w:gridSpan w:val="3"/>
            <w:vAlign w:val="center"/>
          </w:tcPr>
          <w:p>
            <w:pPr>
              <w:pStyle w:val="17"/>
            </w:pPr>
            <w:r>
              <w:t>2023年度2022年中节能生活垃圾焚烧处置服务费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417.46</w:t>
            </w:r>
          </w:p>
        </w:tc>
        <w:tc>
          <w:tcPr>
            <w:tcW w:w="1587" w:type="dxa"/>
            <w:vAlign w:val="center"/>
          </w:tcPr>
          <w:p>
            <w:pPr>
              <w:pStyle w:val="15"/>
            </w:pPr>
            <w:r>
              <w:t>其中：财政    资金</w:t>
            </w:r>
          </w:p>
        </w:tc>
        <w:tc>
          <w:tcPr>
            <w:tcW w:w="1304" w:type="dxa"/>
            <w:vAlign w:val="center"/>
          </w:tcPr>
          <w:p>
            <w:pPr>
              <w:pStyle w:val="17"/>
            </w:pPr>
            <w:r>
              <w:t>417.46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保障垃圾焚烧工作正常进行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417.46</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1.保障垃圾焚烧工作正常进行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垃圾焚烧数量</w:t>
            </w:r>
          </w:p>
        </w:tc>
        <w:tc>
          <w:tcPr>
            <w:tcW w:w="2891" w:type="dxa"/>
            <w:vAlign w:val="center"/>
          </w:tcPr>
          <w:p>
            <w:pPr>
              <w:pStyle w:val="17"/>
            </w:pPr>
            <w:r>
              <w:t>垃圾焚烧数量</w:t>
            </w:r>
          </w:p>
        </w:tc>
        <w:tc>
          <w:tcPr>
            <w:tcW w:w="1276" w:type="dxa"/>
            <w:vAlign w:val="center"/>
          </w:tcPr>
          <w:p>
            <w:pPr>
              <w:pStyle w:val="17"/>
            </w:pPr>
            <w:r>
              <w:t>≥7万吨</w:t>
            </w:r>
          </w:p>
        </w:tc>
        <w:tc>
          <w:tcPr>
            <w:tcW w:w="1843" w:type="dxa"/>
            <w:vAlign w:val="center"/>
          </w:tcPr>
          <w:p>
            <w:pPr>
              <w:pStyle w:val="17"/>
            </w:pPr>
            <w:r>
              <w:t>历年统计数据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w:t>
            </w:r>
          </w:p>
        </w:tc>
        <w:tc>
          <w:tcPr>
            <w:tcW w:w="1843" w:type="dxa"/>
            <w:vAlign w:val="center"/>
          </w:tcPr>
          <w:p>
            <w:pPr>
              <w:pStyle w:val="17"/>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服务时间</w:t>
            </w:r>
          </w:p>
        </w:tc>
        <w:tc>
          <w:tcPr>
            <w:tcW w:w="2891" w:type="dxa"/>
            <w:vAlign w:val="center"/>
          </w:tcPr>
          <w:p>
            <w:pPr>
              <w:pStyle w:val="17"/>
            </w:pPr>
            <w:r>
              <w:t>服务时间</w:t>
            </w:r>
          </w:p>
        </w:tc>
        <w:tc>
          <w:tcPr>
            <w:tcW w:w="1276" w:type="dxa"/>
            <w:vAlign w:val="center"/>
          </w:tcPr>
          <w:p>
            <w:pPr>
              <w:pStyle w:val="17"/>
            </w:pPr>
            <w:r>
              <w:t>1年</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500万元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生态环境质量改善</w:t>
            </w:r>
          </w:p>
        </w:tc>
        <w:tc>
          <w:tcPr>
            <w:tcW w:w="2891" w:type="dxa"/>
            <w:vAlign w:val="center"/>
          </w:tcPr>
          <w:p>
            <w:pPr>
              <w:pStyle w:val="17"/>
            </w:pPr>
            <w:r>
              <w:t>生态环境质量改善</w:t>
            </w:r>
          </w:p>
        </w:tc>
        <w:tc>
          <w:tcPr>
            <w:tcW w:w="1276" w:type="dxa"/>
            <w:vAlign w:val="center"/>
          </w:tcPr>
          <w:p>
            <w:pPr>
              <w:pStyle w:val="17"/>
            </w:pPr>
            <w:r>
              <w:t>≥90%</w:t>
            </w:r>
          </w:p>
        </w:tc>
        <w:tc>
          <w:tcPr>
            <w:tcW w:w="1843" w:type="dxa"/>
            <w:vAlign w:val="center"/>
          </w:tcPr>
          <w:p>
            <w:pPr>
              <w:pStyle w:val="17"/>
            </w:pPr>
            <w: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21.2023年度城乡环卫一体化项目2022年山区2标段公司第四季度运营费绩效目标表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13062323P00007810001R</w:t>
            </w:r>
          </w:p>
        </w:tc>
        <w:tc>
          <w:tcPr>
            <w:tcW w:w="1587" w:type="dxa"/>
            <w:vAlign w:val="center"/>
          </w:tcPr>
          <w:p>
            <w:pPr>
              <w:pStyle w:val="15"/>
            </w:pPr>
            <w:r>
              <w:t>项目名称</w:t>
            </w:r>
          </w:p>
        </w:tc>
        <w:tc>
          <w:tcPr>
            <w:tcW w:w="4422" w:type="dxa"/>
            <w:gridSpan w:val="3"/>
            <w:vAlign w:val="center"/>
          </w:tcPr>
          <w:p>
            <w:pPr>
              <w:pStyle w:val="17"/>
            </w:pPr>
            <w:r>
              <w:t>2023年度城乡环卫一体化项目2022年山区2标段公司第四季度运营费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267.74</w:t>
            </w:r>
          </w:p>
        </w:tc>
        <w:tc>
          <w:tcPr>
            <w:tcW w:w="1587" w:type="dxa"/>
            <w:vAlign w:val="center"/>
          </w:tcPr>
          <w:p>
            <w:pPr>
              <w:pStyle w:val="15"/>
            </w:pPr>
            <w:r>
              <w:t>其中：财政    资金</w:t>
            </w:r>
          </w:p>
        </w:tc>
        <w:tc>
          <w:tcPr>
            <w:tcW w:w="1304" w:type="dxa"/>
            <w:vAlign w:val="center"/>
          </w:tcPr>
          <w:p>
            <w:pPr>
              <w:pStyle w:val="17"/>
            </w:pPr>
            <w:r>
              <w:t>267.74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2023年度城乡环卫一体化项目山区两标段公司第四季度运营费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267.74</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1.2023年度城乡环卫一体化项目山区两标段公司第四季度运营费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山区5乡镇</w:t>
            </w:r>
          </w:p>
        </w:tc>
        <w:tc>
          <w:tcPr>
            <w:tcW w:w="2891" w:type="dxa"/>
            <w:vAlign w:val="center"/>
          </w:tcPr>
          <w:p>
            <w:pPr>
              <w:pStyle w:val="17"/>
            </w:pPr>
            <w:r>
              <w:t>山区5乡镇日常保洁</w:t>
            </w:r>
          </w:p>
        </w:tc>
        <w:tc>
          <w:tcPr>
            <w:tcW w:w="1276" w:type="dxa"/>
            <w:vAlign w:val="center"/>
          </w:tcPr>
          <w:p>
            <w:pPr>
              <w:pStyle w:val="17"/>
            </w:pPr>
            <w:r>
              <w:t>5乡镇</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达到合同约定</w:t>
            </w:r>
          </w:p>
        </w:tc>
        <w:tc>
          <w:tcPr>
            <w:tcW w:w="2891" w:type="dxa"/>
            <w:vAlign w:val="center"/>
          </w:tcPr>
          <w:p>
            <w:pPr>
              <w:pStyle w:val="17"/>
            </w:pPr>
            <w:r>
              <w:t>达到合同要求</w:t>
            </w:r>
          </w:p>
        </w:tc>
        <w:tc>
          <w:tcPr>
            <w:tcW w:w="1276" w:type="dxa"/>
            <w:vAlign w:val="center"/>
          </w:tcPr>
          <w:p>
            <w:pPr>
              <w:pStyle w:val="17"/>
            </w:pPr>
            <w:r>
              <w:t>≥85%</w:t>
            </w:r>
          </w:p>
        </w:tc>
        <w:tc>
          <w:tcPr>
            <w:tcW w:w="1843" w:type="dxa"/>
            <w:vAlign w:val="center"/>
          </w:tcPr>
          <w:p>
            <w:pPr>
              <w:pStyle w:val="17"/>
            </w:pPr>
            <w:r>
              <w:t>合同约定</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项目运营时限</w:t>
            </w:r>
          </w:p>
        </w:tc>
        <w:tc>
          <w:tcPr>
            <w:tcW w:w="2891" w:type="dxa"/>
            <w:vAlign w:val="center"/>
          </w:tcPr>
          <w:p>
            <w:pPr>
              <w:pStyle w:val="17"/>
            </w:pPr>
            <w:r>
              <w:t>农村清扫保洁服务运营时限</w:t>
            </w:r>
          </w:p>
        </w:tc>
        <w:tc>
          <w:tcPr>
            <w:tcW w:w="1276" w:type="dxa"/>
            <w:vAlign w:val="center"/>
          </w:tcPr>
          <w:p>
            <w:pPr>
              <w:pStyle w:val="17"/>
            </w:pPr>
            <w:r>
              <w:t>100%</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运营费控制在合同额度内</w:t>
            </w:r>
          </w:p>
        </w:tc>
        <w:tc>
          <w:tcPr>
            <w:tcW w:w="2891" w:type="dxa"/>
            <w:vAlign w:val="center"/>
          </w:tcPr>
          <w:p>
            <w:pPr>
              <w:pStyle w:val="17"/>
            </w:pPr>
            <w:r>
              <w:t>运营费控制在合同额度内</w:t>
            </w:r>
          </w:p>
        </w:tc>
        <w:tc>
          <w:tcPr>
            <w:tcW w:w="1276" w:type="dxa"/>
            <w:vAlign w:val="center"/>
          </w:tcPr>
          <w:p>
            <w:pPr>
              <w:pStyle w:val="17"/>
            </w:pPr>
            <w:r>
              <w:t>100%</w:t>
            </w:r>
          </w:p>
        </w:tc>
        <w:tc>
          <w:tcPr>
            <w:tcW w:w="1843" w:type="dxa"/>
            <w:vAlign w:val="center"/>
          </w:tcPr>
          <w:p>
            <w:pPr>
              <w:pStyle w:val="17"/>
            </w:pPr>
            <w:r>
              <w:t>合同约定</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生态环境质量改善</w:t>
            </w:r>
          </w:p>
        </w:tc>
        <w:tc>
          <w:tcPr>
            <w:tcW w:w="2891" w:type="dxa"/>
            <w:vAlign w:val="center"/>
          </w:tcPr>
          <w:p>
            <w:pPr>
              <w:pStyle w:val="17"/>
            </w:pPr>
            <w:r>
              <w:t>生态环境质量改善</w:t>
            </w:r>
          </w:p>
        </w:tc>
        <w:tc>
          <w:tcPr>
            <w:tcW w:w="1276" w:type="dxa"/>
            <w:vAlign w:val="center"/>
          </w:tcPr>
          <w:p>
            <w:pPr>
              <w:pStyle w:val="17"/>
            </w:pPr>
            <w:r>
              <w:t>≥85%</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合同约定</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22.2023年度省级林业改革发展补助资金-林草湿综合监测资金（冀财资环【2022】104号）绩效目标表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13062323P000092100016</w:t>
            </w:r>
          </w:p>
        </w:tc>
        <w:tc>
          <w:tcPr>
            <w:tcW w:w="1587" w:type="dxa"/>
            <w:vAlign w:val="center"/>
          </w:tcPr>
          <w:p>
            <w:pPr>
              <w:pStyle w:val="15"/>
            </w:pPr>
            <w:r>
              <w:t>项目名称</w:t>
            </w:r>
          </w:p>
        </w:tc>
        <w:tc>
          <w:tcPr>
            <w:tcW w:w="4422" w:type="dxa"/>
            <w:gridSpan w:val="3"/>
            <w:vAlign w:val="center"/>
          </w:tcPr>
          <w:p>
            <w:pPr>
              <w:pStyle w:val="17"/>
            </w:pPr>
            <w:r>
              <w:t>2023年度省级林业改革发展补助资金-林草湿综合监测资金（冀财资环【2022】104号）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8.64</w:t>
            </w:r>
          </w:p>
        </w:tc>
        <w:tc>
          <w:tcPr>
            <w:tcW w:w="1587" w:type="dxa"/>
            <w:vAlign w:val="center"/>
          </w:tcPr>
          <w:p>
            <w:pPr>
              <w:pStyle w:val="15"/>
            </w:pPr>
            <w:r>
              <w:t>其中：财政    资金</w:t>
            </w:r>
          </w:p>
        </w:tc>
        <w:tc>
          <w:tcPr>
            <w:tcW w:w="1304" w:type="dxa"/>
            <w:vAlign w:val="center"/>
          </w:tcPr>
          <w:p>
            <w:pPr>
              <w:pStyle w:val="17"/>
            </w:pPr>
            <w:r>
              <w:t>8.64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2023年度省级林业改革发展补助资金-林草湿综合监测资金（冀财资环【2022】104号）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8.64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1.目标内容1：2023年度省级林业改革发展补助资金-林草湿综合监测资金（冀财资环【2022】104号）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≥80百分比</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林草湿综合监测任务完率</w:t>
            </w:r>
          </w:p>
        </w:tc>
        <w:tc>
          <w:tcPr>
            <w:tcW w:w="2891" w:type="dxa"/>
            <w:vAlign w:val="center"/>
          </w:tcPr>
          <w:p>
            <w:pPr>
              <w:pStyle w:val="17"/>
            </w:pPr>
            <w:r>
              <w:t>林草湿综合监测任务完率</w:t>
            </w:r>
          </w:p>
        </w:tc>
        <w:tc>
          <w:tcPr>
            <w:tcW w:w="1276" w:type="dxa"/>
            <w:vAlign w:val="center"/>
          </w:tcPr>
          <w:p>
            <w:pPr>
              <w:pStyle w:val="17"/>
            </w:pPr>
            <w:r>
              <w:t>≥90百分比</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 xml:space="preserve">森林生态系统功能改善可持续影响  </w:t>
            </w:r>
          </w:p>
        </w:tc>
        <w:tc>
          <w:tcPr>
            <w:tcW w:w="2891" w:type="dxa"/>
            <w:vAlign w:val="center"/>
          </w:tcPr>
          <w:p>
            <w:pPr>
              <w:pStyle w:val="17"/>
            </w:pPr>
            <w:r>
              <w:t xml:space="preserve">森林生态系统功能改善可持续影响  </w:t>
            </w:r>
          </w:p>
        </w:tc>
        <w:tc>
          <w:tcPr>
            <w:tcW w:w="1276" w:type="dxa"/>
            <w:vAlign w:val="center"/>
          </w:tcPr>
          <w:p>
            <w:pPr>
              <w:pStyle w:val="17"/>
            </w:pPr>
            <w:r>
              <w:t>显著</w:t>
            </w:r>
          </w:p>
        </w:tc>
        <w:tc>
          <w:tcPr>
            <w:tcW w:w="1843" w:type="dxa"/>
            <w:vAlign w:val="center"/>
          </w:tcPr>
          <w:p>
            <w:pPr>
              <w:pStyle w:val="17"/>
            </w:pPr>
            <w:r>
              <w:t>冀财资环【2022】1041号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周边群众满意度（%）</w:t>
            </w:r>
          </w:p>
        </w:tc>
        <w:tc>
          <w:tcPr>
            <w:tcW w:w="2891" w:type="dxa"/>
            <w:vAlign w:val="center"/>
          </w:tcPr>
          <w:p>
            <w:pPr>
              <w:pStyle w:val="17"/>
            </w:pPr>
            <w:r>
              <w:t>周边群众满意度（%）</w:t>
            </w:r>
          </w:p>
        </w:tc>
        <w:tc>
          <w:tcPr>
            <w:tcW w:w="1276" w:type="dxa"/>
            <w:vAlign w:val="center"/>
          </w:tcPr>
          <w:p>
            <w:pPr>
              <w:pStyle w:val="17"/>
            </w:pPr>
            <w:r>
              <w:t>≥80百分比</w:t>
            </w:r>
          </w:p>
        </w:tc>
        <w:tc>
          <w:tcPr>
            <w:tcW w:w="1843" w:type="dxa"/>
            <w:vAlign w:val="center"/>
          </w:tcPr>
          <w:p>
            <w:pPr>
              <w:pStyle w:val="17"/>
            </w:pPr>
            <w:r>
              <w:t>冀财资环【2022】1041号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23.2023年度省级林业改革发展补助资金-森林生态效益补偿资金（冀财资环【2022】104号）绩效目标表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13062323P00009110001G</w:t>
            </w:r>
          </w:p>
        </w:tc>
        <w:tc>
          <w:tcPr>
            <w:tcW w:w="1587" w:type="dxa"/>
            <w:vAlign w:val="center"/>
          </w:tcPr>
          <w:p>
            <w:pPr>
              <w:pStyle w:val="15"/>
            </w:pPr>
            <w:r>
              <w:t>项目名称</w:t>
            </w:r>
          </w:p>
        </w:tc>
        <w:tc>
          <w:tcPr>
            <w:tcW w:w="4422" w:type="dxa"/>
            <w:gridSpan w:val="3"/>
            <w:vAlign w:val="center"/>
          </w:tcPr>
          <w:p>
            <w:pPr>
              <w:pStyle w:val="17"/>
            </w:pPr>
            <w:r>
              <w:t>2023年度省级林业改革发展补助资金-森林生态效益补偿资金（冀财资环【2022】104号）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540.60</w:t>
            </w:r>
          </w:p>
        </w:tc>
        <w:tc>
          <w:tcPr>
            <w:tcW w:w="1587" w:type="dxa"/>
            <w:vAlign w:val="center"/>
          </w:tcPr>
          <w:p>
            <w:pPr>
              <w:pStyle w:val="15"/>
            </w:pPr>
            <w:r>
              <w:t>其中：财政    资金</w:t>
            </w:r>
          </w:p>
        </w:tc>
        <w:tc>
          <w:tcPr>
            <w:tcW w:w="1304" w:type="dxa"/>
            <w:vAlign w:val="center"/>
          </w:tcPr>
          <w:p>
            <w:pPr>
              <w:pStyle w:val="17"/>
            </w:pPr>
            <w:r>
              <w:t>540.60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2023年度省级林业改革发展补助资金-森林生态效益补偿资金（冀财资环【2022】104号）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540.60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1.目标内容1：2023年度省级林业改革发展补助资金-森林生态效益补偿资金（冀财资环【2022】104号）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造林绿面积覆盖率</w:t>
            </w:r>
          </w:p>
        </w:tc>
        <w:tc>
          <w:tcPr>
            <w:tcW w:w="2891" w:type="dxa"/>
            <w:vAlign w:val="center"/>
          </w:tcPr>
          <w:p>
            <w:pPr>
              <w:pStyle w:val="17"/>
            </w:pPr>
            <w:r>
              <w:t>造林绿面积覆盖率</w:t>
            </w:r>
          </w:p>
        </w:tc>
        <w:tc>
          <w:tcPr>
            <w:tcW w:w="1276" w:type="dxa"/>
            <w:vAlign w:val="center"/>
          </w:tcPr>
          <w:p>
            <w:pPr>
              <w:pStyle w:val="17"/>
            </w:pPr>
            <w:r>
              <w:t>≥80百分比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 xml:space="preserve">森林生态系统功能改善可持续影响 </w:t>
            </w:r>
          </w:p>
        </w:tc>
        <w:tc>
          <w:tcPr>
            <w:tcW w:w="2891" w:type="dxa"/>
            <w:vAlign w:val="center"/>
          </w:tcPr>
          <w:p>
            <w:pPr>
              <w:pStyle w:val="17"/>
            </w:pPr>
            <w:r>
              <w:t xml:space="preserve">森林生态系统功能改善可持续影响 </w:t>
            </w:r>
          </w:p>
        </w:tc>
        <w:tc>
          <w:tcPr>
            <w:tcW w:w="1276" w:type="dxa"/>
            <w:vAlign w:val="center"/>
          </w:tcPr>
          <w:p>
            <w:pPr>
              <w:pStyle w:val="17"/>
            </w:pPr>
            <w:r>
              <w:t>显著</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 xml:space="preserve">森林生态效益发挥  </w:t>
            </w:r>
          </w:p>
        </w:tc>
        <w:tc>
          <w:tcPr>
            <w:tcW w:w="2891" w:type="dxa"/>
            <w:vAlign w:val="center"/>
          </w:tcPr>
          <w:p>
            <w:pPr>
              <w:pStyle w:val="17"/>
            </w:pPr>
            <w:r>
              <w:t xml:space="preserve">森林生态效益发挥  </w:t>
            </w:r>
          </w:p>
        </w:tc>
        <w:tc>
          <w:tcPr>
            <w:tcW w:w="1276" w:type="dxa"/>
            <w:vAlign w:val="center"/>
          </w:tcPr>
          <w:p>
            <w:pPr>
              <w:pStyle w:val="17"/>
            </w:pPr>
            <w:r>
              <w:t>显著</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冀财资环【2022】104号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24.2023年度省级林业改革发展补助资金-造林绿化重点奖补资金（冀财资环【2022】104号）绩效目标表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13062323P00009010001T</w:t>
            </w:r>
          </w:p>
        </w:tc>
        <w:tc>
          <w:tcPr>
            <w:tcW w:w="1587" w:type="dxa"/>
            <w:vAlign w:val="center"/>
          </w:tcPr>
          <w:p>
            <w:pPr>
              <w:pStyle w:val="15"/>
            </w:pPr>
            <w:r>
              <w:t>项目名称</w:t>
            </w:r>
          </w:p>
        </w:tc>
        <w:tc>
          <w:tcPr>
            <w:tcW w:w="4422" w:type="dxa"/>
            <w:gridSpan w:val="3"/>
            <w:vAlign w:val="center"/>
          </w:tcPr>
          <w:p>
            <w:pPr>
              <w:pStyle w:val="17"/>
            </w:pPr>
            <w:r>
              <w:t>2023年度省级林业改革发展补助资金-造林绿化重点奖补资金（冀财资环【2022】104号）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103.00</w:t>
            </w:r>
          </w:p>
        </w:tc>
        <w:tc>
          <w:tcPr>
            <w:tcW w:w="1587" w:type="dxa"/>
            <w:vAlign w:val="center"/>
          </w:tcPr>
          <w:p>
            <w:pPr>
              <w:pStyle w:val="15"/>
            </w:pPr>
            <w:r>
              <w:t>其中：财政    资金</w:t>
            </w:r>
          </w:p>
        </w:tc>
        <w:tc>
          <w:tcPr>
            <w:tcW w:w="1304" w:type="dxa"/>
            <w:vAlign w:val="center"/>
          </w:tcPr>
          <w:p>
            <w:pPr>
              <w:pStyle w:val="17"/>
            </w:pPr>
            <w:r>
              <w:t>103.00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2023年度省级林业改革发展补助资金-造林绿化重点奖补资金（冀财资环【2022】104号）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1.目标内容1：2023年度省级林业改革发展补助资金-造林绿化重点奖补资金（冀财资环【2022】104号）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 xml:space="preserve">造林合格面积完成率  </w:t>
            </w:r>
          </w:p>
        </w:tc>
        <w:tc>
          <w:tcPr>
            <w:tcW w:w="2891" w:type="dxa"/>
            <w:vAlign w:val="center"/>
          </w:tcPr>
          <w:p>
            <w:pPr>
              <w:pStyle w:val="17"/>
            </w:pPr>
            <w:r>
              <w:t xml:space="preserve">造林合格面积完成率  </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≥90百分比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≥95百分比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 xml:space="preserve">森林生态效益发挥  </w:t>
            </w:r>
          </w:p>
        </w:tc>
        <w:tc>
          <w:tcPr>
            <w:tcW w:w="2891" w:type="dxa"/>
            <w:vAlign w:val="center"/>
          </w:tcPr>
          <w:p>
            <w:pPr>
              <w:pStyle w:val="17"/>
            </w:pPr>
            <w:r>
              <w:t xml:space="preserve">森林生态效益发挥  </w:t>
            </w:r>
          </w:p>
        </w:tc>
        <w:tc>
          <w:tcPr>
            <w:tcW w:w="1276" w:type="dxa"/>
            <w:vAlign w:val="center"/>
          </w:tcPr>
          <w:p>
            <w:pPr>
              <w:pStyle w:val="17"/>
            </w:pPr>
            <w:r>
              <w:t>百分比</w:t>
            </w:r>
          </w:p>
        </w:tc>
        <w:tc>
          <w:tcPr>
            <w:tcW w:w="1843" w:type="dxa"/>
            <w:vAlign w:val="center"/>
          </w:tcPr>
          <w:p>
            <w:pPr>
              <w:pStyle w:val="17"/>
            </w:pPr>
            <w:r>
              <w:t>冀财资环【2022】104号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冀财资环【2022】104号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25.2023年国有企业资本金注入绩效目标表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13062323P009334100028</w:t>
            </w:r>
          </w:p>
        </w:tc>
        <w:tc>
          <w:tcPr>
            <w:tcW w:w="1587" w:type="dxa"/>
            <w:vAlign w:val="center"/>
          </w:tcPr>
          <w:p>
            <w:pPr>
              <w:pStyle w:val="15"/>
            </w:pPr>
            <w:r>
              <w:t>项目名称</w:t>
            </w:r>
          </w:p>
        </w:tc>
        <w:tc>
          <w:tcPr>
            <w:tcW w:w="4422" w:type="dxa"/>
            <w:gridSpan w:val="3"/>
            <w:vAlign w:val="center"/>
          </w:tcPr>
          <w:p>
            <w:pPr>
              <w:pStyle w:val="17"/>
            </w:pPr>
            <w:r>
              <w:t>2023年国有企业资本金注入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27700.00</w:t>
            </w:r>
          </w:p>
        </w:tc>
        <w:tc>
          <w:tcPr>
            <w:tcW w:w="1587" w:type="dxa"/>
            <w:vAlign w:val="center"/>
          </w:tcPr>
          <w:p>
            <w:pPr>
              <w:pStyle w:val="15"/>
            </w:pPr>
            <w:r>
              <w:t>其中：财政    资金</w:t>
            </w:r>
          </w:p>
        </w:tc>
        <w:tc>
          <w:tcPr>
            <w:tcW w:w="1304" w:type="dxa"/>
            <w:vAlign w:val="center"/>
          </w:tcPr>
          <w:p>
            <w:pPr>
              <w:pStyle w:val="17"/>
            </w:pPr>
            <w:r>
              <w:t>27700.00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2023年国有企业资本金注入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16000.00</w:t>
            </w:r>
          </w:p>
        </w:tc>
        <w:tc>
          <w:tcPr>
            <w:tcW w:w="1587" w:type="dxa"/>
            <w:vAlign w:val="center"/>
          </w:tcPr>
          <w:p>
            <w:pPr>
              <w:pStyle w:val="18"/>
            </w:pPr>
            <w:r>
              <w:t>20000.00</w:t>
            </w:r>
          </w:p>
        </w:tc>
        <w:tc>
          <w:tcPr>
            <w:tcW w:w="1304" w:type="dxa"/>
            <w:vAlign w:val="center"/>
          </w:tcPr>
          <w:p>
            <w:pPr>
              <w:pStyle w:val="18"/>
            </w:pPr>
            <w:r>
              <w:t>23000.00</w:t>
            </w:r>
          </w:p>
        </w:tc>
        <w:tc>
          <w:tcPr>
            <w:tcW w:w="3118" w:type="dxa"/>
            <w:gridSpan w:val="2"/>
            <w:vAlign w:val="center"/>
          </w:tcPr>
          <w:p>
            <w:pPr>
              <w:pStyle w:val="18"/>
            </w:pPr>
            <w:r>
              <w:t>27700.00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1.目标内容1更好服务县域经济发展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项目完成数量</w:t>
            </w:r>
          </w:p>
        </w:tc>
        <w:tc>
          <w:tcPr>
            <w:tcW w:w="2891" w:type="dxa"/>
            <w:vAlign w:val="center"/>
          </w:tcPr>
          <w:p>
            <w:pPr>
              <w:pStyle w:val="17"/>
            </w:pPr>
            <w:r>
              <w:t>建设项目完成数量</w:t>
            </w:r>
          </w:p>
        </w:tc>
        <w:tc>
          <w:tcPr>
            <w:tcW w:w="1276" w:type="dxa"/>
            <w:vAlign w:val="center"/>
          </w:tcPr>
          <w:p>
            <w:pPr>
              <w:pStyle w:val="17"/>
            </w:pPr>
            <w:r>
              <w:t>≥95%</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项目完成质量</w:t>
            </w:r>
          </w:p>
        </w:tc>
        <w:tc>
          <w:tcPr>
            <w:tcW w:w="2891" w:type="dxa"/>
            <w:vAlign w:val="center"/>
          </w:tcPr>
          <w:p>
            <w:pPr>
              <w:pStyle w:val="17"/>
            </w:pPr>
            <w:r>
              <w:t>建设项目完成质量</w:t>
            </w:r>
          </w:p>
        </w:tc>
        <w:tc>
          <w:tcPr>
            <w:tcW w:w="1276" w:type="dxa"/>
            <w:vAlign w:val="center"/>
          </w:tcPr>
          <w:p>
            <w:pPr>
              <w:pStyle w:val="17"/>
            </w:pPr>
            <w:r>
              <w:t>≥95%</w:t>
            </w:r>
          </w:p>
        </w:tc>
        <w:tc>
          <w:tcPr>
            <w:tcW w:w="1843" w:type="dxa"/>
            <w:vAlign w:val="center"/>
          </w:tcPr>
          <w:p>
            <w:pPr>
              <w:pStyle w:val="17"/>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项目完成时效</w:t>
            </w:r>
          </w:p>
        </w:tc>
        <w:tc>
          <w:tcPr>
            <w:tcW w:w="2891" w:type="dxa"/>
            <w:vAlign w:val="center"/>
          </w:tcPr>
          <w:p>
            <w:pPr>
              <w:pStyle w:val="17"/>
            </w:pPr>
            <w:r>
              <w:t>建设项目完成时效</w:t>
            </w:r>
          </w:p>
        </w:tc>
        <w:tc>
          <w:tcPr>
            <w:tcW w:w="1276" w:type="dxa"/>
            <w:vAlign w:val="center"/>
          </w:tcPr>
          <w:p>
            <w:pPr>
              <w:pStyle w:val="17"/>
            </w:pPr>
            <w:r>
              <w:t>按时完成</w:t>
            </w:r>
          </w:p>
        </w:tc>
        <w:tc>
          <w:tcPr>
            <w:tcW w:w="1843" w:type="dxa"/>
            <w:vAlign w:val="center"/>
          </w:tcPr>
          <w:p>
            <w:pPr>
              <w:pStyle w:val="17"/>
            </w:pPr>
            <w:r>
              <w:t>规定时间节点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项目资金成本</w:t>
            </w:r>
          </w:p>
        </w:tc>
        <w:tc>
          <w:tcPr>
            <w:tcW w:w="2891" w:type="dxa"/>
            <w:vAlign w:val="center"/>
          </w:tcPr>
          <w:p>
            <w:pPr>
              <w:pStyle w:val="17"/>
            </w:pPr>
            <w:r>
              <w:t>建设项目资金所需成本</w:t>
            </w:r>
          </w:p>
        </w:tc>
        <w:tc>
          <w:tcPr>
            <w:tcW w:w="1276" w:type="dxa"/>
            <w:vAlign w:val="center"/>
          </w:tcPr>
          <w:p>
            <w:pPr>
              <w:pStyle w:val="17"/>
            </w:pPr>
            <w:r>
              <w:t>最低成本</w:t>
            </w:r>
          </w:p>
        </w:tc>
        <w:tc>
          <w:tcPr>
            <w:tcW w:w="1843" w:type="dxa"/>
            <w:vAlign w:val="center"/>
          </w:tcPr>
          <w:p>
            <w:pPr>
              <w:pStyle w:val="17"/>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县域经济发展</w:t>
            </w:r>
          </w:p>
        </w:tc>
        <w:tc>
          <w:tcPr>
            <w:tcW w:w="2891" w:type="dxa"/>
            <w:vAlign w:val="center"/>
          </w:tcPr>
          <w:p>
            <w:pPr>
              <w:pStyle w:val="17"/>
            </w:pPr>
            <w:r>
              <w:t>服务县域经济发展</w:t>
            </w:r>
          </w:p>
        </w:tc>
        <w:tc>
          <w:tcPr>
            <w:tcW w:w="1276" w:type="dxa"/>
            <w:vAlign w:val="center"/>
          </w:tcPr>
          <w:p>
            <w:pPr>
              <w:pStyle w:val="17"/>
            </w:pPr>
            <w:r>
              <w:t>服务经济</w:t>
            </w:r>
          </w:p>
        </w:tc>
        <w:tc>
          <w:tcPr>
            <w:tcW w:w="1843" w:type="dxa"/>
            <w:vAlign w:val="center"/>
          </w:tcPr>
          <w:p>
            <w:pPr>
              <w:pStyle w:val="17"/>
            </w:pPr>
            <w:r>
              <w:t>经济发展目标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企业满意度</w:t>
            </w:r>
          </w:p>
        </w:tc>
        <w:tc>
          <w:tcPr>
            <w:tcW w:w="2891" w:type="dxa"/>
            <w:vAlign w:val="center"/>
          </w:tcPr>
          <w:p>
            <w:pPr>
              <w:pStyle w:val="17"/>
            </w:pPr>
            <w:r>
              <w:t>企业满意度</w:t>
            </w:r>
          </w:p>
        </w:tc>
        <w:tc>
          <w:tcPr>
            <w:tcW w:w="1276" w:type="dxa"/>
            <w:vAlign w:val="center"/>
          </w:tcPr>
          <w:p>
            <w:pPr>
              <w:pStyle w:val="17"/>
            </w:pPr>
            <w:r>
              <w:t>≥95%</w:t>
            </w:r>
          </w:p>
        </w:tc>
        <w:tc>
          <w:tcPr>
            <w:tcW w:w="1843" w:type="dxa"/>
            <w:vAlign w:val="center"/>
          </w:tcPr>
          <w:p>
            <w:pPr>
              <w:pStyle w:val="17"/>
            </w:pPr>
            <w:r>
              <w:t>满意度指标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26.2023年胡家庄乡西武泉村LNG调峰储备站征地工作经费绩效目标表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13062323P009408100628</w:t>
            </w:r>
          </w:p>
        </w:tc>
        <w:tc>
          <w:tcPr>
            <w:tcW w:w="1587" w:type="dxa"/>
            <w:vAlign w:val="center"/>
          </w:tcPr>
          <w:p>
            <w:pPr>
              <w:pStyle w:val="15"/>
            </w:pPr>
            <w:r>
              <w:t>项目名称</w:t>
            </w:r>
          </w:p>
        </w:tc>
        <w:tc>
          <w:tcPr>
            <w:tcW w:w="4422" w:type="dxa"/>
            <w:gridSpan w:val="3"/>
            <w:vAlign w:val="center"/>
          </w:tcPr>
          <w:p>
            <w:pPr>
              <w:pStyle w:val="17"/>
            </w:pPr>
            <w:r>
              <w:t>2023年胡家庄乡西武泉村LNG调峰储备站征地工作经费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按时完成征地工作，为项目实施打好基础</w:t>
            </w:r>
            <w:r>
              <w:tab/>
            </w:r>
            <w:r>
              <w:tab/>
            </w:r>
            <w:r>
              <w:tab/>
            </w:r>
            <w:r>
              <w:tab/>
            </w:r>
            <w:r>
              <w:tab/>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4.00</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1.按时完成征地工作，为项目实施打好基础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协调推进数量</w:t>
            </w:r>
          </w:p>
        </w:tc>
        <w:tc>
          <w:tcPr>
            <w:tcW w:w="2891" w:type="dxa"/>
            <w:vAlign w:val="center"/>
          </w:tcPr>
          <w:p>
            <w:pPr>
              <w:pStyle w:val="17"/>
            </w:pPr>
            <w:r>
              <w:t>协调推进数量</w:t>
            </w:r>
          </w:p>
        </w:tc>
        <w:tc>
          <w:tcPr>
            <w:tcW w:w="1276" w:type="dxa"/>
            <w:vAlign w:val="center"/>
          </w:tcPr>
          <w:p>
            <w:pPr>
              <w:pStyle w:val="17"/>
            </w:pPr>
            <w:r>
              <w:t>≥5次</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矛盾纠纷调处率（%）</w:t>
            </w:r>
          </w:p>
        </w:tc>
        <w:tc>
          <w:tcPr>
            <w:tcW w:w="2891" w:type="dxa"/>
            <w:vAlign w:val="center"/>
          </w:tcPr>
          <w:p>
            <w:pPr>
              <w:pStyle w:val="17"/>
            </w:pPr>
            <w:r>
              <w:t>矛盾纠纷调处率（%）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突发事件发生率（%）</w:t>
            </w:r>
          </w:p>
        </w:tc>
        <w:tc>
          <w:tcPr>
            <w:tcW w:w="2891" w:type="dxa"/>
            <w:vAlign w:val="center"/>
          </w:tcPr>
          <w:p>
            <w:pPr>
              <w:pStyle w:val="17"/>
            </w:pPr>
            <w:r>
              <w:t>突发事件发生率（%）</w:t>
            </w:r>
          </w:p>
        </w:tc>
        <w:tc>
          <w:tcPr>
            <w:tcW w:w="1276" w:type="dxa"/>
            <w:vAlign w:val="center"/>
          </w:tcPr>
          <w:p>
            <w:pPr>
              <w:pStyle w:val="17"/>
            </w:pPr>
            <w:r>
              <w:t>≤5百分比</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27.2023年计鹿污水处理项目绩效目标表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13062323P000025100028</w:t>
            </w:r>
          </w:p>
        </w:tc>
        <w:tc>
          <w:tcPr>
            <w:tcW w:w="1587" w:type="dxa"/>
            <w:vAlign w:val="center"/>
          </w:tcPr>
          <w:p>
            <w:pPr>
              <w:pStyle w:val="15"/>
            </w:pPr>
            <w:r>
              <w:t>项目名称</w:t>
            </w:r>
          </w:p>
        </w:tc>
        <w:tc>
          <w:tcPr>
            <w:tcW w:w="4422" w:type="dxa"/>
            <w:gridSpan w:val="3"/>
            <w:vAlign w:val="center"/>
          </w:tcPr>
          <w:p>
            <w:pPr>
              <w:pStyle w:val="17"/>
            </w:pPr>
            <w:r>
              <w:t>2023年计鹿污水处理项目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47.12</w:t>
            </w:r>
          </w:p>
        </w:tc>
        <w:tc>
          <w:tcPr>
            <w:tcW w:w="1587" w:type="dxa"/>
            <w:vAlign w:val="center"/>
          </w:tcPr>
          <w:p>
            <w:pPr>
              <w:pStyle w:val="15"/>
            </w:pPr>
            <w:r>
              <w:t>其中：财政    资金</w:t>
            </w:r>
          </w:p>
        </w:tc>
        <w:tc>
          <w:tcPr>
            <w:tcW w:w="1304" w:type="dxa"/>
            <w:vAlign w:val="center"/>
          </w:tcPr>
          <w:p>
            <w:pPr>
              <w:pStyle w:val="17"/>
            </w:pPr>
            <w:r>
              <w:t>47.12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用于2023年计鹿污水处理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11.78</w:t>
            </w:r>
          </w:p>
        </w:tc>
        <w:tc>
          <w:tcPr>
            <w:tcW w:w="1587" w:type="dxa"/>
            <w:vAlign w:val="center"/>
          </w:tcPr>
          <w:p>
            <w:pPr>
              <w:pStyle w:val="18"/>
            </w:pPr>
            <w:r>
              <w:t>23.56</w:t>
            </w:r>
          </w:p>
        </w:tc>
        <w:tc>
          <w:tcPr>
            <w:tcW w:w="1304" w:type="dxa"/>
            <w:vAlign w:val="center"/>
          </w:tcPr>
          <w:p>
            <w:pPr>
              <w:pStyle w:val="18"/>
            </w:pPr>
            <w:r>
              <w:t>35.34</w:t>
            </w:r>
          </w:p>
        </w:tc>
        <w:tc>
          <w:tcPr>
            <w:tcW w:w="3118" w:type="dxa"/>
            <w:gridSpan w:val="2"/>
            <w:vAlign w:val="center"/>
          </w:tcPr>
          <w:p>
            <w:pPr>
              <w:pStyle w:val="18"/>
            </w:pPr>
            <w:r>
              <w:t>47.12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1.完成计鹿污水处理工作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污水处理量</w:t>
            </w:r>
          </w:p>
        </w:tc>
        <w:tc>
          <w:tcPr>
            <w:tcW w:w="2891" w:type="dxa"/>
            <w:vAlign w:val="center"/>
          </w:tcPr>
          <w:p>
            <w:pPr>
              <w:pStyle w:val="17"/>
            </w:pPr>
            <w:r>
              <w:t>污水处理站污水处理量</w:t>
            </w:r>
          </w:p>
        </w:tc>
        <w:tc>
          <w:tcPr>
            <w:tcW w:w="1276" w:type="dxa"/>
            <w:vAlign w:val="center"/>
          </w:tcPr>
          <w:p>
            <w:pPr>
              <w:pStyle w:val="17"/>
            </w:pPr>
            <w:r>
              <w:t>≥800立方/天</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全格率</w:t>
            </w:r>
          </w:p>
        </w:tc>
        <w:tc>
          <w:tcPr>
            <w:tcW w:w="2891" w:type="dxa"/>
            <w:vAlign w:val="center"/>
          </w:tcPr>
          <w:p>
            <w:pPr>
              <w:pStyle w:val="17"/>
            </w:pPr>
            <w:r>
              <w:t>污水处理质量合格率</w:t>
            </w:r>
          </w:p>
        </w:tc>
        <w:tc>
          <w:tcPr>
            <w:tcW w:w="1276" w:type="dxa"/>
            <w:vAlign w:val="center"/>
          </w:tcPr>
          <w:p>
            <w:pPr>
              <w:pStyle w:val="17"/>
            </w:pPr>
            <w:r>
              <w:t>≥80%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水质量改善</w:t>
            </w:r>
          </w:p>
        </w:tc>
        <w:tc>
          <w:tcPr>
            <w:tcW w:w="2891" w:type="dxa"/>
            <w:vAlign w:val="center"/>
          </w:tcPr>
          <w:p>
            <w:pPr>
              <w:pStyle w:val="17"/>
            </w:pPr>
            <w:r>
              <w:t>通过项目实施改善水质量</w:t>
            </w:r>
          </w:p>
        </w:tc>
        <w:tc>
          <w:tcPr>
            <w:tcW w:w="1276" w:type="dxa"/>
            <w:vAlign w:val="center"/>
          </w:tcPr>
          <w:p>
            <w:pPr>
              <w:pStyle w:val="17"/>
            </w:pPr>
            <w:r>
              <w:t>很好改善</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群众满意率</w:t>
            </w:r>
          </w:p>
        </w:tc>
        <w:tc>
          <w:tcPr>
            <w:tcW w:w="2891" w:type="dxa"/>
            <w:vAlign w:val="center"/>
          </w:tcPr>
          <w:p>
            <w:pPr>
              <w:pStyle w:val="17"/>
            </w:pPr>
            <w:r>
              <w:t>群众满意率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28.2023年拒马河综合整治项目绿化养护费绩效目标表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13062323P00940810059M</w:t>
            </w:r>
          </w:p>
        </w:tc>
        <w:tc>
          <w:tcPr>
            <w:tcW w:w="1587" w:type="dxa"/>
            <w:vAlign w:val="center"/>
          </w:tcPr>
          <w:p>
            <w:pPr>
              <w:pStyle w:val="15"/>
            </w:pPr>
            <w:r>
              <w:t>项目名称</w:t>
            </w:r>
          </w:p>
        </w:tc>
        <w:tc>
          <w:tcPr>
            <w:tcW w:w="4422" w:type="dxa"/>
            <w:gridSpan w:val="3"/>
            <w:vAlign w:val="center"/>
          </w:tcPr>
          <w:p>
            <w:pPr>
              <w:pStyle w:val="17"/>
            </w:pPr>
            <w:r>
              <w:t>2023年拒马河综合整治项目绿化养护费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用于拒马河综合整治项目绿化养护费用。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50.00</w:t>
            </w:r>
          </w:p>
        </w:tc>
        <w:tc>
          <w:tcPr>
            <w:tcW w:w="1304" w:type="dxa"/>
            <w:vAlign w:val="center"/>
          </w:tcPr>
          <w:p>
            <w:pPr>
              <w:pStyle w:val="18"/>
            </w:pPr>
            <w:r>
              <w:t>150.00</w:t>
            </w:r>
          </w:p>
        </w:tc>
        <w:tc>
          <w:tcPr>
            <w:tcW w:w="3118" w:type="dxa"/>
            <w:gridSpan w:val="2"/>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项目完成情况</w:t>
            </w:r>
          </w:p>
        </w:tc>
        <w:tc>
          <w:tcPr>
            <w:tcW w:w="2891" w:type="dxa"/>
            <w:vAlign w:val="center"/>
          </w:tcPr>
          <w:p>
            <w:pPr>
              <w:pStyle w:val="17"/>
            </w:pPr>
            <w:r>
              <w:t>项目完成情况</w:t>
            </w:r>
          </w:p>
        </w:tc>
        <w:tc>
          <w:tcPr>
            <w:tcW w:w="1276" w:type="dxa"/>
            <w:vAlign w:val="center"/>
          </w:tcPr>
          <w:p>
            <w:pPr>
              <w:pStyle w:val="17"/>
            </w:pPr>
            <w:r>
              <w:t>是否完成</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工作任务完成及时率</w:t>
            </w:r>
          </w:p>
        </w:tc>
        <w:tc>
          <w:tcPr>
            <w:tcW w:w="2891" w:type="dxa"/>
            <w:vAlign w:val="center"/>
          </w:tcPr>
          <w:p>
            <w:pPr>
              <w:pStyle w:val="17"/>
            </w:pPr>
            <w:r>
              <w:t>工作任务完成及时率</w:t>
            </w:r>
          </w:p>
        </w:tc>
        <w:tc>
          <w:tcPr>
            <w:tcW w:w="1276" w:type="dxa"/>
            <w:vAlign w:val="center"/>
          </w:tcPr>
          <w:p>
            <w:pPr>
              <w:pStyle w:val="17"/>
            </w:pPr>
            <w:r>
              <w:t>≤100%</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≤200万元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成本利用率</w:t>
            </w:r>
          </w:p>
        </w:tc>
        <w:tc>
          <w:tcPr>
            <w:tcW w:w="2891" w:type="dxa"/>
            <w:vAlign w:val="center"/>
          </w:tcPr>
          <w:p>
            <w:pPr>
              <w:pStyle w:val="17"/>
            </w:pPr>
            <w:r>
              <w:t>成本利用率</w:t>
            </w:r>
          </w:p>
        </w:tc>
        <w:tc>
          <w:tcPr>
            <w:tcW w:w="1276" w:type="dxa"/>
            <w:vAlign w:val="center"/>
          </w:tcPr>
          <w:p>
            <w:pPr>
              <w:pStyle w:val="17"/>
            </w:pPr>
            <w:r>
              <w:t>≤100%</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项目实现功能</w:t>
            </w:r>
          </w:p>
        </w:tc>
        <w:tc>
          <w:tcPr>
            <w:tcW w:w="2891" w:type="dxa"/>
            <w:vAlign w:val="center"/>
          </w:tcPr>
          <w:p>
            <w:pPr>
              <w:pStyle w:val="17"/>
            </w:pPr>
            <w:r>
              <w:t>项目实现功能</w:t>
            </w:r>
          </w:p>
        </w:tc>
        <w:tc>
          <w:tcPr>
            <w:tcW w:w="1276" w:type="dxa"/>
            <w:vAlign w:val="center"/>
          </w:tcPr>
          <w:p>
            <w:pPr>
              <w:pStyle w:val="17"/>
            </w:pPr>
            <w:r>
              <w:t>是否实现</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是否改善</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是否满意</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29.2023年拒马河综合整治项目土地流转费绩效目标表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13062323P009408100582</w:t>
            </w:r>
          </w:p>
        </w:tc>
        <w:tc>
          <w:tcPr>
            <w:tcW w:w="1587" w:type="dxa"/>
            <w:vAlign w:val="center"/>
          </w:tcPr>
          <w:p>
            <w:pPr>
              <w:pStyle w:val="15"/>
            </w:pPr>
            <w:r>
              <w:t>项目名称</w:t>
            </w:r>
          </w:p>
        </w:tc>
        <w:tc>
          <w:tcPr>
            <w:tcW w:w="4422" w:type="dxa"/>
            <w:gridSpan w:val="3"/>
            <w:vAlign w:val="center"/>
          </w:tcPr>
          <w:p>
            <w:pPr>
              <w:pStyle w:val="17"/>
            </w:pPr>
            <w:r>
              <w:t>2023年拒马河综合整治项目土地流转费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99.73</w:t>
            </w:r>
          </w:p>
        </w:tc>
        <w:tc>
          <w:tcPr>
            <w:tcW w:w="1587" w:type="dxa"/>
            <w:vAlign w:val="center"/>
          </w:tcPr>
          <w:p>
            <w:pPr>
              <w:pStyle w:val="15"/>
            </w:pPr>
            <w:r>
              <w:t>其中：财政    资金</w:t>
            </w:r>
          </w:p>
        </w:tc>
        <w:tc>
          <w:tcPr>
            <w:tcW w:w="1304" w:type="dxa"/>
            <w:vAlign w:val="center"/>
          </w:tcPr>
          <w:p>
            <w:pPr>
              <w:pStyle w:val="17"/>
            </w:pPr>
            <w:r>
              <w:t>99.73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用于拒马河综合整治项目土地流转费用。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50.00</w:t>
            </w:r>
          </w:p>
        </w:tc>
        <w:tc>
          <w:tcPr>
            <w:tcW w:w="1304" w:type="dxa"/>
            <w:vAlign w:val="center"/>
          </w:tcPr>
          <w:p>
            <w:pPr>
              <w:pStyle w:val="18"/>
            </w:pPr>
            <w:r>
              <w:t>80.00</w:t>
            </w:r>
          </w:p>
        </w:tc>
        <w:tc>
          <w:tcPr>
            <w:tcW w:w="3118" w:type="dxa"/>
            <w:gridSpan w:val="2"/>
            <w:vAlign w:val="center"/>
          </w:tcPr>
          <w:p>
            <w:pPr>
              <w:pStyle w:val="18"/>
            </w:pPr>
            <w:r>
              <w:t>99.73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流转土地亩数</w:t>
            </w:r>
          </w:p>
        </w:tc>
        <w:tc>
          <w:tcPr>
            <w:tcW w:w="2891" w:type="dxa"/>
            <w:vAlign w:val="center"/>
          </w:tcPr>
          <w:p>
            <w:pPr>
              <w:pStyle w:val="17"/>
            </w:pPr>
            <w:r>
              <w:t>流转土地亩数</w:t>
            </w:r>
          </w:p>
        </w:tc>
        <w:tc>
          <w:tcPr>
            <w:tcW w:w="1276" w:type="dxa"/>
            <w:vAlign w:val="center"/>
          </w:tcPr>
          <w:p>
            <w:pPr>
              <w:pStyle w:val="17"/>
            </w:pPr>
            <w:r>
              <w:t>是否属实</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景观效果质量</w:t>
            </w:r>
          </w:p>
        </w:tc>
        <w:tc>
          <w:tcPr>
            <w:tcW w:w="2891" w:type="dxa"/>
            <w:vAlign w:val="center"/>
          </w:tcPr>
          <w:p>
            <w:pPr>
              <w:pStyle w:val="17"/>
            </w:pPr>
            <w:r>
              <w:t>景观效果质量</w:t>
            </w:r>
          </w:p>
        </w:tc>
        <w:tc>
          <w:tcPr>
            <w:tcW w:w="1276" w:type="dxa"/>
            <w:vAlign w:val="center"/>
          </w:tcPr>
          <w:p>
            <w:pPr>
              <w:pStyle w:val="17"/>
            </w:pPr>
            <w:r>
              <w:t>景观效果是否明显</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支付及时率</w:t>
            </w:r>
          </w:p>
        </w:tc>
        <w:tc>
          <w:tcPr>
            <w:tcW w:w="2891" w:type="dxa"/>
            <w:vAlign w:val="center"/>
          </w:tcPr>
          <w:p>
            <w:pPr>
              <w:pStyle w:val="17"/>
            </w:pPr>
            <w:r>
              <w:t>支付及时率</w:t>
            </w:r>
          </w:p>
        </w:tc>
        <w:tc>
          <w:tcPr>
            <w:tcW w:w="1276" w:type="dxa"/>
            <w:vAlign w:val="center"/>
          </w:tcPr>
          <w:p>
            <w:pPr>
              <w:pStyle w:val="17"/>
            </w:pPr>
            <w:r>
              <w:t>≤100%</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≤99.73万元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是否改善生态环境质量</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30.2023年农村人居环境整治建设项目绩效目标表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13062323P00003210002E</w:t>
            </w:r>
          </w:p>
        </w:tc>
        <w:tc>
          <w:tcPr>
            <w:tcW w:w="1587" w:type="dxa"/>
            <w:vAlign w:val="center"/>
          </w:tcPr>
          <w:p>
            <w:pPr>
              <w:pStyle w:val="15"/>
            </w:pPr>
            <w:r>
              <w:t>项目名称</w:t>
            </w:r>
          </w:p>
        </w:tc>
        <w:tc>
          <w:tcPr>
            <w:tcW w:w="4422" w:type="dxa"/>
            <w:gridSpan w:val="3"/>
            <w:vAlign w:val="center"/>
          </w:tcPr>
          <w:p>
            <w:pPr>
              <w:pStyle w:val="17"/>
            </w:pPr>
            <w:r>
              <w:t>2023年农村人居环境整治建设项目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300.00</w:t>
            </w:r>
          </w:p>
        </w:tc>
        <w:tc>
          <w:tcPr>
            <w:tcW w:w="1587" w:type="dxa"/>
            <w:vAlign w:val="center"/>
          </w:tcPr>
          <w:p>
            <w:pPr>
              <w:pStyle w:val="15"/>
            </w:pPr>
            <w:r>
              <w:t>其中：财政    资金</w:t>
            </w:r>
          </w:p>
        </w:tc>
        <w:tc>
          <w:tcPr>
            <w:tcW w:w="1304" w:type="dxa"/>
            <w:vAlign w:val="center"/>
          </w:tcPr>
          <w:p>
            <w:pPr>
              <w:pStyle w:val="17"/>
            </w:pPr>
            <w:r>
              <w:t>300.00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用于厕所改造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完成污水处理站、粪污处理站、改造提升户厕、公厕</w:t>
            </w:r>
          </w:p>
        </w:tc>
        <w:tc>
          <w:tcPr>
            <w:tcW w:w="2891" w:type="dxa"/>
            <w:vAlign w:val="center"/>
          </w:tcPr>
          <w:p>
            <w:pPr>
              <w:pStyle w:val="17"/>
            </w:pPr>
            <w:r>
              <w:t>是否完成污水处理站、粪污处理站、改造提升户厕、公厕</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w:t>
            </w:r>
          </w:p>
        </w:tc>
        <w:tc>
          <w:tcPr>
            <w:tcW w:w="2891" w:type="dxa"/>
            <w:vAlign w:val="center"/>
          </w:tcPr>
          <w:p>
            <w:pPr>
              <w:pStyle w:val="17"/>
            </w:pPr>
            <w:r>
              <w:t>是否按时完成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 xml:space="preserve">提升人居环境 </w:t>
            </w:r>
          </w:p>
        </w:tc>
        <w:tc>
          <w:tcPr>
            <w:tcW w:w="2891" w:type="dxa"/>
            <w:vAlign w:val="center"/>
          </w:tcPr>
          <w:p>
            <w:pPr>
              <w:pStyle w:val="17"/>
            </w:pPr>
            <w:r>
              <w:t xml:space="preserve">是否提升 </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31.2023年农药兽药包装废弃物押金回收处置项目绩效目标表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13062323P00003110002Q</w:t>
            </w:r>
          </w:p>
        </w:tc>
        <w:tc>
          <w:tcPr>
            <w:tcW w:w="1587" w:type="dxa"/>
            <w:vAlign w:val="center"/>
          </w:tcPr>
          <w:p>
            <w:pPr>
              <w:pStyle w:val="15"/>
            </w:pPr>
            <w:r>
              <w:t>项目名称</w:t>
            </w:r>
          </w:p>
        </w:tc>
        <w:tc>
          <w:tcPr>
            <w:tcW w:w="4422" w:type="dxa"/>
            <w:gridSpan w:val="3"/>
            <w:vAlign w:val="center"/>
          </w:tcPr>
          <w:p>
            <w:pPr>
              <w:pStyle w:val="17"/>
            </w:pPr>
            <w:r>
              <w:t>2023年农药兽药包装废弃物押金回收处置项目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9.80</w:t>
            </w:r>
          </w:p>
        </w:tc>
        <w:tc>
          <w:tcPr>
            <w:tcW w:w="1587" w:type="dxa"/>
            <w:vAlign w:val="center"/>
          </w:tcPr>
          <w:p>
            <w:pPr>
              <w:pStyle w:val="15"/>
            </w:pPr>
            <w:r>
              <w:t>其中：财政    资金</w:t>
            </w:r>
          </w:p>
        </w:tc>
        <w:tc>
          <w:tcPr>
            <w:tcW w:w="1304" w:type="dxa"/>
            <w:vAlign w:val="center"/>
          </w:tcPr>
          <w:p>
            <w:pPr>
              <w:pStyle w:val="17"/>
            </w:pPr>
            <w:r>
              <w:t>9.80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用于2023年农药兽药包装废弃物回收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2.45</w:t>
            </w:r>
          </w:p>
        </w:tc>
        <w:tc>
          <w:tcPr>
            <w:tcW w:w="1587" w:type="dxa"/>
            <w:vAlign w:val="center"/>
          </w:tcPr>
          <w:p>
            <w:pPr>
              <w:pStyle w:val="18"/>
            </w:pPr>
            <w:r>
              <w:t>4.90</w:t>
            </w:r>
          </w:p>
        </w:tc>
        <w:tc>
          <w:tcPr>
            <w:tcW w:w="1304" w:type="dxa"/>
            <w:vAlign w:val="center"/>
          </w:tcPr>
          <w:p>
            <w:pPr>
              <w:pStyle w:val="18"/>
            </w:pPr>
            <w:r>
              <w:t>7.35</w:t>
            </w:r>
          </w:p>
        </w:tc>
        <w:tc>
          <w:tcPr>
            <w:tcW w:w="3118" w:type="dxa"/>
            <w:gridSpan w:val="2"/>
            <w:vAlign w:val="center"/>
          </w:tcPr>
          <w:p>
            <w:pPr>
              <w:pStyle w:val="18"/>
            </w:pPr>
            <w:r>
              <w:t>9.80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1.完成全年2023年农药兽药包装废弃物回收工作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农药、兽药包装回收量</w:t>
            </w:r>
          </w:p>
        </w:tc>
        <w:tc>
          <w:tcPr>
            <w:tcW w:w="2891" w:type="dxa"/>
            <w:vAlign w:val="center"/>
          </w:tcPr>
          <w:p>
            <w:pPr>
              <w:pStyle w:val="17"/>
            </w:pPr>
            <w:r>
              <w:t>农药、兽药包装回收量</w:t>
            </w:r>
          </w:p>
        </w:tc>
        <w:tc>
          <w:tcPr>
            <w:tcW w:w="1276" w:type="dxa"/>
            <w:vAlign w:val="center"/>
          </w:tcPr>
          <w:p>
            <w:pPr>
              <w:pStyle w:val="17"/>
            </w:pPr>
            <w:r>
              <w:t>≤10吨</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按标准处理</w:t>
            </w:r>
          </w:p>
        </w:tc>
        <w:tc>
          <w:tcPr>
            <w:tcW w:w="2891" w:type="dxa"/>
            <w:vAlign w:val="center"/>
          </w:tcPr>
          <w:p>
            <w:pPr>
              <w:pStyle w:val="17"/>
            </w:pPr>
            <w:r>
              <w:t>按标准处理</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按规定完成</w:t>
            </w:r>
          </w:p>
        </w:tc>
        <w:tc>
          <w:tcPr>
            <w:tcW w:w="2891" w:type="dxa"/>
            <w:vAlign w:val="center"/>
          </w:tcPr>
          <w:p>
            <w:pPr>
              <w:pStyle w:val="17"/>
            </w:pPr>
            <w:r>
              <w:t>按规定完成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减少污染，改善环境</w:t>
            </w:r>
          </w:p>
        </w:tc>
        <w:tc>
          <w:tcPr>
            <w:tcW w:w="2891" w:type="dxa"/>
            <w:vAlign w:val="center"/>
          </w:tcPr>
          <w:p>
            <w:pPr>
              <w:pStyle w:val="17"/>
            </w:pPr>
            <w:r>
              <w:t>减少污染，改善环境</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32.2023年三坡所煤炭检验站建设经费绩效目标表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13062323P00008910001N</w:t>
            </w:r>
          </w:p>
        </w:tc>
        <w:tc>
          <w:tcPr>
            <w:tcW w:w="1587" w:type="dxa"/>
            <w:vAlign w:val="center"/>
          </w:tcPr>
          <w:p>
            <w:pPr>
              <w:pStyle w:val="15"/>
            </w:pPr>
            <w:r>
              <w:t>项目名称</w:t>
            </w:r>
          </w:p>
        </w:tc>
        <w:tc>
          <w:tcPr>
            <w:tcW w:w="4422" w:type="dxa"/>
            <w:gridSpan w:val="3"/>
            <w:vAlign w:val="center"/>
          </w:tcPr>
          <w:p>
            <w:pPr>
              <w:pStyle w:val="17"/>
            </w:pPr>
            <w:r>
              <w:t>2023年三坡所煤炭检验站建设经费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75.41</w:t>
            </w:r>
          </w:p>
        </w:tc>
        <w:tc>
          <w:tcPr>
            <w:tcW w:w="1587" w:type="dxa"/>
            <w:vAlign w:val="center"/>
          </w:tcPr>
          <w:p>
            <w:pPr>
              <w:pStyle w:val="15"/>
            </w:pPr>
            <w:r>
              <w:t>其中：财政    资金</w:t>
            </w:r>
          </w:p>
        </w:tc>
        <w:tc>
          <w:tcPr>
            <w:tcW w:w="1304" w:type="dxa"/>
            <w:vAlign w:val="center"/>
          </w:tcPr>
          <w:p>
            <w:pPr>
              <w:pStyle w:val="17"/>
            </w:pPr>
            <w:r>
              <w:t>75.41</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三坡所煤检站建设支出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75.41</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1.建设煤检站，方便山区煤炭检验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建设面积</w:t>
            </w:r>
          </w:p>
        </w:tc>
        <w:tc>
          <w:tcPr>
            <w:tcW w:w="2891" w:type="dxa"/>
            <w:vAlign w:val="center"/>
          </w:tcPr>
          <w:p>
            <w:pPr>
              <w:pStyle w:val="17"/>
            </w:pPr>
            <w:r>
              <w:t>建设面积情况</w:t>
            </w:r>
          </w:p>
        </w:tc>
        <w:tc>
          <w:tcPr>
            <w:tcW w:w="1276" w:type="dxa"/>
            <w:vAlign w:val="center"/>
          </w:tcPr>
          <w:p>
            <w:pPr>
              <w:pStyle w:val="17"/>
            </w:pPr>
            <w:r>
              <w:t>≥300平米</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竣工验收合格</w:t>
            </w:r>
          </w:p>
        </w:tc>
        <w:tc>
          <w:tcPr>
            <w:tcW w:w="2891" w:type="dxa"/>
            <w:vAlign w:val="center"/>
          </w:tcPr>
          <w:p>
            <w:pPr>
              <w:pStyle w:val="17"/>
            </w:pPr>
            <w:r>
              <w:t>验收合格情况</w:t>
            </w:r>
          </w:p>
        </w:tc>
        <w:tc>
          <w:tcPr>
            <w:tcW w:w="1276" w:type="dxa"/>
            <w:vAlign w:val="center"/>
          </w:tcPr>
          <w:p>
            <w:pPr>
              <w:pStyle w:val="17"/>
            </w:pPr>
            <w:r>
              <w:t>验收合格</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w:t>
            </w:r>
          </w:p>
        </w:tc>
        <w:tc>
          <w:tcPr>
            <w:tcW w:w="2891" w:type="dxa"/>
            <w:vAlign w:val="center"/>
          </w:tcPr>
          <w:p>
            <w:pPr>
              <w:pStyle w:val="17"/>
            </w:pPr>
            <w:r>
              <w:t>完时限情况</w:t>
            </w:r>
          </w:p>
        </w:tc>
        <w:tc>
          <w:tcPr>
            <w:tcW w:w="1276" w:type="dxa"/>
            <w:vAlign w:val="center"/>
          </w:tcPr>
          <w:p>
            <w:pPr>
              <w:pStyle w:val="17"/>
            </w:pPr>
            <w:r>
              <w:t>10月底前完成</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严格预算执行</w:t>
            </w:r>
          </w:p>
        </w:tc>
        <w:tc>
          <w:tcPr>
            <w:tcW w:w="1843" w:type="dxa"/>
            <w:vAlign w:val="center"/>
          </w:tcPr>
          <w:p>
            <w:pPr>
              <w:pStyle w:val="17"/>
            </w:pPr>
            <w:r>
              <w:t>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方便辖区煤炭经营和使用单位检测</w:t>
            </w:r>
          </w:p>
        </w:tc>
        <w:tc>
          <w:tcPr>
            <w:tcW w:w="1843" w:type="dxa"/>
            <w:vAlign w:val="center"/>
          </w:tcPr>
          <w:p>
            <w:pPr>
              <w:pStyle w:val="17"/>
            </w:pPr>
            <w:r>
              <w:t>政府请示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33.2023年森林草原防火视频监控省级补助（冀财资环【2022】101号）绩效目标表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13062323P00008110003G</w:t>
            </w:r>
          </w:p>
        </w:tc>
        <w:tc>
          <w:tcPr>
            <w:tcW w:w="1587" w:type="dxa"/>
            <w:vAlign w:val="center"/>
          </w:tcPr>
          <w:p>
            <w:pPr>
              <w:pStyle w:val="15"/>
            </w:pPr>
            <w:r>
              <w:t>项目名称</w:t>
            </w:r>
          </w:p>
        </w:tc>
        <w:tc>
          <w:tcPr>
            <w:tcW w:w="4422" w:type="dxa"/>
            <w:gridSpan w:val="3"/>
            <w:vAlign w:val="center"/>
          </w:tcPr>
          <w:p>
            <w:pPr>
              <w:pStyle w:val="17"/>
            </w:pPr>
            <w:r>
              <w:t>2023年森林草原防火视频监控省级补助（冀财资环【2022】101号）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246.00</w:t>
            </w:r>
          </w:p>
        </w:tc>
        <w:tc>
          <w:tcPr>
            <w:tcW w:w="1587" w:type="dxa"/>
            <w:vAlign w:val="center"/>
          </w:tcPr>
          <w:p>
            <w:pPr>
              <w:pStyle w:val="15"/>
            </w:pPr>
            <w:r>
              <w:t>其中：财政    资金</w:t>
            </w:r>
          </w:p>
        </w:tc>
        <w:tc>
          <w:tcPr>
            <w:tcW w:w="1304" w:type="dxa"/>
            <w:vAlign w:val="center"/>
          </w:tcPr>
          <w:p>
            <w:pPr>
              <w:pStyle w:val="17"/>
            </w:pPr>
            <w:r>
              <w:t>246.00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2023年森林草原防火视频监控省级补助资金（冀财资环【2022】101号）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246.00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1.目标内容1：2023年森林草原防火视频监控省级补助资金（冀财资环【2022】101号）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是</w:t>
            </w:r>
          </w:p>
        </w:tc>
        <w:tc>
          <w:tcPr>
            <w:tcW w:w="1843" w:type="dxa"/>
            <w:vAlign w:val="center"/>
          </w:tcPr>
          <w:p>
            <w:pPr>
              <w:pStyle w:val="17"/>
            </w:pPr>
            <w:r>
              <w:t>冀财建[2022]101号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森林防火安全检查覆盖率</w:t>
            </w:r>
          </w:p>
        </w:tc>
        <w:tc>
          <w:tcPr>
            <w:tcW w:w="2891" w:type="dxa"/>
            <w:vAlign w:val="center"/>
          </w:tcPr>
          <w:p>
            <w:pPr>
              <w:pStyle w:val="17"/>
            </w:pPr>
            <w:r>
              <w:t>森林防火安全检查覆盖率</w:t>
            </w:r>
          </w:p>
        </w:tc>
        <w:tc>
          <w:tcPr>
            <w:tcW w:w="1276" w:type="dxa"/>
            <w:vAlign w:val="center"/>
          </w:tcPr>
          <w:p>
            <w:pPr>
              <w:pStyle w:val="17"/>
            </w:pPr>
            <w:r>
              <w:t>≥80百分比</w:t>
            </w:r>
          </w:p>
        </w:tc>
        <w:tc>
          <w:tcPr>
            <w:tcW w:w="1843" w:type="dxa"/>
            <w:vAlign w:val="center"/>
          </w:tcPr>
          <w:p>
            <w:pPr>
              <w:pStyle w:val="17"/>
            </w:pPr>
            <w:r>
              <w:t>冀财建[2022]101号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采购物品合格率</w:t>
            </w:r>
          </w:p>
        </w:tc>
        <w:tc>
          <w:tcPr>
            <w:tcW w:w="2891" w:type="dxa"/>
            <w:vAlign w:val="center"/>
          </w:tcPr>
          <w:p>
            <w:pPr>
              <w:pStyle w:val="17"/>
            </w:pPr>
            <w:r>
              <w:t>购置质量合格的数量</w:t>
            </w:r>
          </w:p>
        </w:tc>
        <w:tc>
          <w:tcPr>
            <w:tcW w:w="1276" w:type="dxa"/>
            <w:vAlign w:val="center"/>
          </w:tcPr>
          <w:p>
            <w:pPr>
              <w:pStyle w:val="17"/>
            </w:pPr>
            <w:r>
              <w:t>≥98百分比</w:t>
            </w:r>
          </w:p>
        </w:tc>
        <w:tc>
          <w:tcPr>
            <w:tcW w:w="1843" w:type="dxa"/>
            <w:vAlign w:val="center"/>
          </w:tcPr>
          <w:p>
            <w:pPr>
              <w:pStyle w:val="17"/>
            </w:pPr>
            <w:r>
              <w:t>冀财建[2022]101号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按工作计划完成</w:t>
            </w:r>
          </w:p>
        </w:tc>
        <w:tc>
          <w:tcPr>
            <w:tcW w:w="1276" w:type="dxa"/>
            <w:vAlign w:val="center"/>
          </w:tcPr>
          <w:p>
            <w:pPr>
              <w:pStyle w:val="17"/>
            </w:pPr>
            <w:r>
              <w:t>≥80百分比</w:t>
            </w:r>
          </w:p>
        </w:tc>
        <w:tc>
          <w:tcPr>
            <w:tcW w:w="1843" w:type="dxa"/>
            <w:vAlign w:val="center"/>
          </w:tcPr>
          <w:p>
            <w:pPr>
              <w:pStyle w:val="17"/>
            </w:pPr>
            <w:r>
              <w:t>冀财建[2022]101号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扩大防火安全宣传效应</w:t>
            </w:r>
          </w:p>
        </w:tc>
        <w:tc>
          <w:tcPr>
            <w:tcW w:w="2891" w:type="dxa"/>
            <w:vAlign w:val="center"/>
          </w:tcPr>
          <w:p>
            <w:pPr>
              <w:pStyle w:val="17"/>
            </w:pPr>
            <w:r>
              <w:t>扩大防火安全宣传效应</w:t>
            </w:r>
          </w:p>
        </w:tc>
        <w:tc>
          <w:tcPr>
            <w:tcW w:w="1276" w:type="dxa"/>
            <w:vAlign w:val="center"/>
          </w:tcPr>
          <w:p>
            <w:pPr>
              <w:pStyle w:val="17"/>
            </w:pPr>
            <w:r>
              <w:t>≥80百分比</w:t>
            </w:r>
          </w:p>
        </w:tc>
        <w:tc>
          <w:tcPr>
            <w:tcW w:w="1843" w:type="dxa"/>
            <w:vAlign w:val="center"/>
          </w:tcPr>
          <w:p>
            <w:pPr>
              <w:pStyle w:val="17"/>
            </w:pPr>
            <w:r>
              <w:t>冀财建[2022]101号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护林防火人员满意度</w:t>
            </w:r>
          </w:p>
        </w:tc>
        <w:tc>
          <w:tcPr>
            <w:tcW w:w="2891" w:type="dxa"/>
            <w:vAlign w:val="center"/>
          </w:tcPr>
          <w:p>
            <w:pPr>
              <w:pStyle w:val="17"/>
            </w:pPr>
            <w:r>
              <w:t>护林防火人员满意度</w:t>
            </w:r>
          </w:p>
        </w:tc>
        <w:tc>
          <w:tcPr>
            <w:tcW w:w="1276" w:type="dxa"/>
            <w:vAlign w:val="center"/>
          </w:tcPr>
          <w:p>
            <w:pPr>
              <w:pStyle w:val="17"/>
            </w:pPr>
            <w:r>
              <w:t>≥80百分比</w:t>
            </w:r>
          </w:p>
        </w:tc>
        <w:tc>
          <w:tcPr>
            <w:tcW w:w="1843" w:type="dxa"/>
            <w:vAlign w:val="center"/>
          </w:tcPr>
          <w:p>
            <w:pPr>
              <w:pStyle w:val="17"/>
            </w:pPr>
            <w:r>
              <w:t>冀财建[2022]101号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34.2023年消防大队营房升级改造项目绩效目标表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13062323P00007910003N</w:t>
            </w:r>
          </w:p>
        </w:tc>
        <w:tc>
          <w:tcPr>
            <w:tcW w:w="1587" w:type="dxa"/>
            <w:vAlign w:val="center"/>
          </w:tcPr>
          <w:p>
            <w:pPr>
              <w:pStyle w:val="15"/>
            </w:pPr>
            <w:r>
              <w:t>项目名称</w:t>
            </w:r>
          </w:p>
        </w:tc>
        <w:tc>
          <w:tcPr>
            <w:tcW w:w="4422" w:type="dxa"/>
            <w:gridSpan w:val="3"/>
            <w:vAlign w:val="center"/>
          </w:tcPr>
          <w:p>
            <w:pPr>
              <w:pStyle w:val="17"/>
            </w:pPr>
            <w:r>
              <w:t>2023年消防大队营房升级改造项目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80.00</w:t>
            </w:r>
          </w:p>
        </w:tc>
        <w:tc>
          <w:tcPr>
            <w:tcW w:w="1587" w:type="dxa"/>
            <w:vAlign w:val="center"/>
          </w:tcPr>
          <w:p>
            <w:pPr>
              <w:pStyle w:val="15"/>
            </w:pPr>
            <w:r>
              <w:t>其中：财政    资金</w:t>
            </w:r>
          </w:p>
        </w:tc>
        <w:tc>
          <w:tcPr>
            <w:tcW w:w="1304" w:type="dxa"/>
            <w:vAlign w:val="center"/>
          </w:tcPr>
          <w:p>
            <w:pPr>
              <w:pStyle w:val="17"/>
            </w:pPr>
            <w:r>
              <w:t>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用于支付指挥中心改造、办公楼楼道走廊等公共区域装修、室内训练场装修等费用，确保完成总队正规化管理要求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80.00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1.通过实施此项目，完成总队正规化管理要求</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按照总队正规化管理要求进行营房升级改造</w:t>
            </w:r>
          </w:p>
        </w:tc>
        <w:tc>
          <w:tcPr>
            <w:tcW w:w="2891" w:type="dxa"/>
            <w:vAlign w:val="center"/>
          </w:tcPr>
          <w:p>
            <w:pPr>
              <w:pStyle w:val="17"/>
            </w:pPr>
            <w:r>
              <w:t>楼道走廊等公共区域墙面粉刷，吊顶更换，屋顶防水处理、大队指挥中心改造；室内训练场铺设木地板、增加制冷通风设备，墙面改造</w:t>
            </w:r>
          </w:p>
        </w:tc>
        <w:tc>
          <w:tcPr>
            <w:tcW w:w="1276" w:type="dxa"/>
            <w:vAlign w:val="center"/>
          </w:tcPr>
          <w:p>
            <w:pPr>
              <w:pStyle w:val="17"/>
            </w:pPr>
            <w:r>
              <w:t>1项</w:t>
            </w:r>
          </w:p>
        </w:tc>
        <w:tc>
          <w:tcPr>
            <w:tcW w:w="1843" w:type="dxa"/>
            <w:vAlign w:val="center"/>
          </w:tcPr>
          <w:p>
            <w:pPr>
              <w:pStyle w:val="17"/>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升级改造项目合格率</w:t>
            </w:r>
          </w:p>
        </w:tc>
        <w:tc>
          <w:tcPr>
            <w:tcW w:w="2891" w:type="dxa"/>
            <w:vAlign w:val="center"/>
          </w:tcPr>
          <w:p>
            <w:pPr>
              <w:pStyle w:val="17"/>
            </w:pPr>
            <w:r>
              <w:t>升级改造项目内容合格率</w:t>
            </w:r>
          </w:p>
        </w:tc>
        <w:tc>
          <w:tcPr>
            <w:tcW w:w="1276" w:type="dxa"/>
            <w:vAlign w:val="center"/>
          </w:tcPr>
          <w:p>
            <w:pPr>
              <w:pStyle w:val="17"/>
            </w:pPr>
            <w:r>
              <w:t>≥95百分比</w:t>
            </w:r>
          </w:p>
        </w:tc>
        <w:tc>
          <w:tcPr>
            <w:tcW w:w="1843" w:type="dxa"/>
            <w:vAlign w:val="center"/>
          </w:tcPr>
          <w:p>
            <w:pPr>
              <w:pStyle w:val="17"/>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升级改造项目及时</w:t>
            </w:r>
          </w:p>
        </w:tc>
        <w:tc>
          <w:tcPr>
            <w:tcW w:w="2891" w:type="dxa"/>
            <w:vAlign w:val="center"/>
          </w:tcPr>
          <w:p>
            <w:pPr>
              <w:pStyle w:val="17"/>
            </w:pPr>
            <w:r>
              <w:t>升级改造项目及时率</w:t>
            </w:r>
          </w:p>
        </w:tc>
        <w:tc>
          <w:tcPr>
            <w:tcW w:w="1276" w:type="dxa"/>
            <w:vAlign w:val="center"/>
          </w:tcPr>
          <w:p>
            <w:pPr>
              <w:pStyle w:val="17"/>
            </w:pPr>
            <w:r>
              <w:t>≥95百分比</w:t>
            </w:r>
          </w:p>
        </w:tc>
        <w:tc>
          <w:tcPr>
            <w:tcW w:w="1843" w:type="dxa"/>
            <w:vAlign w:val="center"/>
          </w:tcPr>
          <w:p>
            <w:pPr>
              <w:pStyle w:val="17"/>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升级改造项目成本</w:t>
            </w:r>
          </w:p>
        </w:tc>
        <w:tc>
          <w:tcPr>
            <w:tcW w:w="2891" w:type="dxa"/>
            <w:vAlign w:val="center"/>
          </w:tcPr>
          <w:p>
            <w:pPr>
              <w:pStyle w:val="17"/>
            </w:pPr>
            <w:r>
              <w:t>升级改造项目成本</w:t>
            </w:r>
          </w:p>
        </w:tc>
        <w:tc>
          <w:tcPr>
            <w:tcW w:w="1276" w:type="dxa"/>
            <w:vAlign w:val="center"/>
          </w:tcPr>
          <w:p>
            <w:pPr>
              <w:pStyle w:val="17"/>
            </w:pPr>
            <w:r>
              <w:t>≤80万元</w:t>
            </w:r>
          </w:p>
        </w:tc>
        <w:tc>
          <w:tcPr>
            <w:tcW w:w="1843" w:type="dxa"/>
            <w:vAlign w:val="center"/>
          </w:tcPr>
          <w:p>
            <w:pPr>
              <w:pStyle w:val="17"/>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落实消防正规化管理</w:t>
            </w:r>
          </w:p>
        </w:tc>
        <w:tc>
          <w:tcPr>
            <w:tcW w:w="2891" w:type="dxa"/>
            <w:vAlign w:val="center"/>
          </w:tcPr>
          <w:p>
            <w:pPr>
              <w:pStyle w:val="17"/>
            </w:pPr>
            <w:r>
              <w:t>落实消防正规化管理</w:t>
            </w:r>
          </w:p>
        </w:tc>
        <w:tc>
          <w:tcPr>
            <w:tcW w:w="1276" w:type="dxa"/>
            <w:vAlign w:val="center"/>
          </w:tcPr>
          <w:p>
            <w:pPr>
              <w:pStyle w:val="17"/>
            </w:pPr>
            <w:r>
              <w:t>≥95百分比</w:t>
            </w:r>
          </w:p>
        </w:tc>
        <w:tc>
          <w:tcPr>
            <w:tcW w:w="1843" w:type="dxa"/>
            <w:vAlign w:val="center"/>
          </w:tcPr>
          <w:p>
            <w:pPr>
              <w:pStyle w:val="17"/>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消防营房使用满意度</w:t>
            </w:r>
          </w:p>
        </w:tc>
        <w:tc>
          <w:tcPr>
            <w:tcW w:w="2891" w:type="dxa"/>
            <w:vAlign w:val="center"/>
          </w:tcPr>
          <w:p>
            <w:pPr>
              <w:pStyle w:val="17"/>
            </w:pPr>
            <w:r>
              <w:t>考察消防营房使用满意度</w:t>
            </w:r>
          </w:p>
        </w:tc>
        <w:tc>
          <w:tcPr>
            <w:tcW w:w="1276" w:type="dxa"/>
            <w:vAlign w:val="center"/>
          </w:tcPr>
          <w:p>
            <w:pPr>
              <w:pStyle w:val="17"/>
            </w:pPr>
            <w:r>
              <w:t>≥90百分比</w:t>
            </w:r>
          </w:p>
        </w:tc>
        <w:tc>
          <w:tcPr>
            <w:tcW w:w="1843" w:type="dxa"/>
            <w:vAlign w:val="center"/>
          </w:tcPr>
          <w:p>
            <w:pPr>
              <w:pStyle w:val="17"/>
            </w:pPr>
            <w:r>
              <w:t>调查问卷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35.2023年消防专项规划编制费用绩效目标表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13062323P000079100023</w:t>
            </w:r>
          </w:p>
        </w:tc>
        <w:tc>
          <w:tcPr>
            <w:tcW w:w="1587" w:type="dxa"/>
            <w:vAlign w:val="center"/>
          </w:tcPr>
          <w:p>
            <w:pPr>
              <w:pStyle w:val="15"/>
            </w:pPr>
            <w:r>
              <w:t>项目名称</w:t>
            </w:r>
          </w:p>
        </w:tc>
        <w:tc>
          <w:tcPr>
            <w:tcW w:w="4422" w:type="dxa"/>
            <w:gridSpan w:val="3"/>
            <w:vAlign w:val="center"/>
          </w:tcPr>
          <w:p>
            <w:pPr>
              <w:pStyle w:val="17"/>
            </w:pPr>
            <w:r>
              <w:t>2023年消防专项规划编制费用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用于支付修编县级消防专项规划的相关费用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1.通过实施此项目，完成责任状的目标任务，分级修编城乡消防专项规划并纳入我县国土空间总体规划和祥细规划</w:t>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 xml:space="preserve">修编涞水县消防专项规划 </w:t>
            </w:r>
          </w:p>
        </w:tc>
        <w:tc>
          <w:tcPr>
            <w:tcW w:w="2891" w:type="dxa"/>
            <w:vAlign w:val="center"/>
          </w:tcPr>
          <w:p>
            <w:pPr>
              <w:pStyle w:val="17"/>
            </w:pPr>
            <w:r>
              <w:t>确保完成涞水县消防专项规划分级修编任务</w:t>
            </w:r>
          </w:p>
        </w:tc>
        <w:tc>
          <w:tcPr>
            <w:tcW w:w="1276" w:type="dxa"/>
            <w:vAlign w:val="center"/>
          </w:tcPr>
          <w:p>
            <w:pPr>
              <w:pStyle w:val="17"/>
            </w:pPr>
            <w:r>
              <w:t>1个</w:t>
            </w:r>
          </w:p>
        </w:tc>
        <w:tc>
          <w:tcPr>
            <w:tcW w:w="1843" w:type="dxa"/>
            <w:vAlign w:val="center"/>
          </w:tcPr>
          <w:p>
            <w:pPr>
              <w:pStyle w:val="17"/>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委托规划设计单位进行编制</w:t>
            </w:r>
          </w:p>
        </w:tc>
        <w:tc>
          <w:tcPr>
            <w:tcW w:w="2891" w:type="dxa"/>
            <w:vAlign w:val="center"/>
          </w:tcPr>
          <w:p>
            <w:pPr>
              <w:pStyle w:val="17"/>
            </w:pPr>
            <w:r>
              <w:t>委托规划设计单位进行编制确保公共消防设施建设与城乡整体建设同步实施</w:t>
            </w:r>
          </w:p>
        </w:tc>
        <w:tc>
          <w:tcPr>
            <w:tcW w:w="1276" w:type="dxa"/>
            <w:vAlign w:val="center"/>
          </w:tcPr>
          <w:p>
            <w:pPr>
              <w:pStyle w:val="17"/>
            </w:pPr>
            <w:r>
              <w:t>≥90百分比</w:t>
            </w:r>
          </w:p>
        </w:tc>
        <w:tc>
          <w:tcPr>
            <w:tcW w:w="1843" w:type="dxa"/>
            <w:vAlign w:val="center"/>
          </w:tcPr>
          <w:p>
            <w:pPr>
              <w:pStyle w:val="17"/>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按时效完成</w:t>
            </w:r>
          </w:p>
        </w:tc>
        <w:tc>
          <w:tcPr>
            <w:tcW w:w="2891" w:type="dxa"/>
            <w:vAlign w:val="center"/>
          </w:tcPr>
          <w:p>
            <w:pPr>
              <w:pStyle w:val="17"/>
            </w:pPr>
            <w:r>
              <w:t>按时效完成编制工作</w:t>
            </w:r>
          </w:p>
        </w:tc>
        <w:tc>
          <w:tcPr>
            <w:tcW w:w="1276" w:type="dxa"/>
            <w:vAlign w:val="center"/>
          </w:tcPr>
          <w:p>
            <w:pPr>
              <w:pStyle w:val="17"/>
            </w:pPr>
            <w:r>
              <w:t>≥90百分比</w:t>
            </w:r>
          </w:p>
        </w:tc>
        <w:tc>
          <w:tcPr>
            <w:tcW w:w="1843" w:type="dxa"/>
            <w:vAlign w:val="center"/>
          </w:tcPr>
          <w:p>
            <w:pPr>
              <w:pStyle w:val="17"/>
            </w:pPr>
            <w:r>
              <w:t>责任状要求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编制规划成本</w:t>
            </w:r>
          </w:p>
        </w:tc>
        <w:tc>
          <w:tcPr>
            <w:tcW w:w="2891" w:type="dxa"/>
            <w:vAlign w:val="center"/>
          </w:tcPr>
          <w:p>
            <w:pPr>
              <w:pStyle w:val="17"/>
            </w:pPr>
            <w:r>
              <w:t>编制规划成本</w:t>
            </w:r>
          </w:p>
        </w:tc>
        <w:tc>
          <w:tcPr>
            <w:tcW w:w="1276" w:type="dxa"/>
            <w:vAlign w:val="center"/>
          </w:tcPr>
          <w:p>
            <w:pPr>
              <w:pStyle w:val="17"/>
            </w:pPr>
            <w:r>
              <w:t>≤30万元</w:t>
            </w:r>
          </w:p>
        </w:tc>
        <w:tc>
          <w:tcPr>
            <w:tcW w:w="1843" w:type="dxa"/>
            <w:vAlign w:val="center"/>
          </w:tcPr>
          <w:p>
            <w:pPr>
              <w:pStyle w:val="17"/>
            </w:pPr>
            <w:r>
              <w:t>相关请示及政府领导批示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 xml:space="preserve"> 推动公共消防设施建设与城乡整体建设同步实施</w:t>
            </w:r>
          </w:p>
        </w:tc>
        <w:tc>
          <w:tcPr>
            <w:tcW w:w="2891" w:type="dxa"/>
            <w:vAlign w:val="center"/>
          </w:tcPr>
          <w:p>
            <w:pPr>
              <w:pStyle w:val="17"/>
            </w:pPr>
            <w:r>
              <w:t xml:space="preserve"> 推动公共消防设施建设与城乡整体建设同步实施</w:t>
            </w:r>
          </w:p>
        </w:tc>
        <w:tc>
          <w:tcPr>
            <w:tcW w:w="1276" w:type="dxa"/>
            <w:vAlign w:val="center"/>
          </w:tcPr>
          <w:p>
            <w:pPr>
              <w:pStyle w:val="17"/>
            </w:pPr>
            <w:r>
              <w:t>≥90百分比</w:t>
            </w:r>
          </w:p>
        </w:tc>
        <w:tc>
          <w:tcPr>
            <w:tcW w:w="1843" w:type="dxa"/>
            <w:vAlign w:val="center"/>
          </w:tcPr>
          <w:p>
            <w:pPr>
              <w:pStyle w:val="17"/>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 xml:space="preserve"> 使用人员满意度</w:t>
            </w:r>
          </w:p>
        </w:tc>
        <w:tc>
          <w:tcPr>
            <w:tcW w:w="2891" w:type="dxa"/>
            <w:vAlign w:val="center"/>
          </w:tcPr>
          <w:p>
            <w:pPr>
              <w:pStyle w:val="17"/>
            </w:pPr>
            <w:r>
              <w:t xml:space="preserve"> 考察使用人员满意度</w:t>
            </w:r>
          </w:p>
        </w:tc>
        <w:tc>
          <w:tcPr>
            <w:tcW w:w="1276" w:type="dxa"/>
            <w:vAlign w:val="center"/>
          </w:tcPr>
          <w:p>
            <w:pPr>
              <w:pStyle w:val="17"/>
            </w:pPr>
            <w:r>
              <w:t>≥90百分比</w:t>
            </w:r>
          </w:p>
        </w:tc>
        <w:tc>
          <w:tcPr>
            <w:tcW w:w="1843" w:type="dxa"/>
            <w:vAlign w:val="center"/>
          </w:tcPr>
          <w:p>
            <w:pPr>
              <w:pStyle w:val="17"/>
            </w:pPr>
            <w:r>
              <w:t>调查问卷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36.2023年小丰口、大龙门污水处理项目绩效目标表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13062323P00002910002Y</w:t>
            </w:r>
          </w:p>
        </w:tc>
        <w:tc>
          <w:tcPr>
            <w:tcW w:w="1587" w:type="dxa"/>
            <w:vAlign w:val="center"/>
          </w:tcPr>
          <w:p>
            <w:pPr>
              <w:pStyle w:val="15"/>
            </w:pPr>
            <w:r>
              <w:t>项目名称</w:t>
            </w:r>
          </w:p>
        </w:tc>
        <w:tc>
          <w:tcPr>
            <w:tcW w:w="4422" w:type="dxa"/>
            <w:gridSpan w:val="3"/>
            <w:vAlign w:val="center"/>
          </w:tcPr>
          <w:p>
            <w:pPr>
              <w:pStyle w:val="17"/>
            </w:pPr>
            <w:r>
              <w:t>2023年小丰口、大龙门污水处理项目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29.13</w:t>
            </w:r>
          </w:p>
        </w:tc>
        <w:tc>
          <w:tcPr>
            <w:tcW w:w="1587" w:type="dxa"/>
            <w:vAlign w:val="center"/>
          </w:tcPr>
          <w:p>
            <w:pPr>
              <w:pStyle w:val="15"/>
            </w:pPr>
            <w:r>
              <w:t>其中：财政    资金</w:t>
            </w:r>
          </w:p>
        </w:tc>
        <w:tc>
          <w:tcPr>
            <w:tcW w:w="1304" w:type="dxa"/>
            <w:vAlign w:val="center"/>
          </w:tcPr>
          <w:p>
            <w:pPr>
              <w:pStyle w:val="17"/>
            </w:pPr>
            <w:r>
              <w:t>29.13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用于小丰口、大龙门污水处理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7.28</w:t>
            </w:r>
          </w:p>
        </w:tc>
        <w:tc>
          <w:tcPr>
            <w:tcW w:w="1587" w:type="dxa"/>
            <w:vAlign w:val="center"/>
          </w:tcPr>
          <w:p>
            <w:pPr>
              <w:pStyle w:val="18"/>
            </w:pPr>
            <w:r>
              <w:t>14.57</w:t>
            </w:r>
          </w:p>
        </w:tc>
        <w:tc>
          <w:tcPr>
            <w:tcW w:w="1304" w:type="dxa"/>
            <w:vAlign w:val="center"/>
          </w:tcPr>
          <w:p>
            <w:pPr>
              <w:pStyle w:val="18"/>
            </w:pPr>
            <w:r>
              <w:t>21.85</w:t>
            </w:r>
          </w:p>
        </w:tc>
        <w:tc>
          <w:tcPr>
            <w:tcW w:w="3118" w:type="dxa"/>
            <w:gridSpan w:val="2"/>
            <w:vAlign w:val="center"/>
          </w:tcPr>
          <w:p>
            <w:pPr>
              <w:pStyle w:val="18"/>
            </w:pPr>
            <w:r>
              <w:t>29.13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1.完成小丰口、大龙门污水处理工作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污水处理站个数</w:t>
            </w:r>
          </w:p>
        </w:tc>
        <w:tc>
          <w:tcPr>
            <w:tcW w:w="2891" w:type="dxa"/>
            <w:vAlign w:val="center"/>
          </w:tcPr>
          <w:p>
            <w:pPr>
              <w:pStyle w:val="17"/>
            </w:pPr>
            <w:r>
              <w:t>2个污水处理站</w:t>
            </w:r>
          </w:p>
        </w:tc>
        <w:tc>
          <w:tcPr>
            <w:tcW w:w="1276" w:type="dxa"/>
            <w:vAlign w:val="center"/>
          </w:tcPr>
          <w:p>
            <w:pPr>
              <w:pStyle w:val="17"/>
            </w:pPr>
            <w:r>
              <w:t>2个</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完成污水处理质量</w:t>
            </w:r>
          </w:p>
        </w:tc>
        <w:tc>
          <w:tcPr>
            <w:tcW w:w="2891" w:type="dxa"/>
            <w:vAlign w:val="center"/>
          </w:tcPr>
          <w:p>
            <w:pPr>
              <w:pStyle w:val="17"/>
            </w:pPr>
            <w:r>
              <w:t>污水处理合格率</w:t>
            </w:r>
          </w:p>
        </w:tc>
        <w:tc>
          <w:tcPr>
            <w:tcW w:w="1276" w:type="dxa"/>
            <w:vAlign w:val="center"/>
          </w:tcPr>
          <w:p>
            <w:pPr>
              <w:pStyle w:val="17"/>
            </w:pPr>
            <w:r>
              <w:t>≥80%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按时完成污水处理</w:t>
            </w:r>
          </w:p>
        </w:tc>
        <w:tc>
          <w:tcPr>
            <w:tcW w:w="2891" w:type="dxa"/>
            <w:vAlign w:val="center"/>
          </w:tcPr>
          <w:p>
            <w:pPr>
              <w:pStyle w:val="17"/>
            </w:pPr>
            <w:r>
              <w:t>按时完成污水处理</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水质量改善</w:t>
            </w:r>
          </w:p>
        </w:tc>
        <w:tc>
          <w:tcPr>
            <w:tcW w:w="2891" w:type="dxa"/>
            <w:vAlign w:val="center"/>
          </w:tcPr>
          <w:p>
            <w:pPr>
              <w:pStyle w:val="17"/>
            </w:pPr>
            <w:r>
              <w:t>水质量是否改善</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37.2023年野三坡片区美丽乡村绿化养护项目绩效目标表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13062323P000028100029</w:t>
            </w:r>
          </w:p>
        </w:tc>
        <w:tc>
          <w:tcPr>
            <w:tcW w:w="1587" w:type="dxa"/>
            <w:vAlign w:val="center"/>
          </w:tcPr>
          <w:p>
            <w:pPr>
              <w:pStyle w:val="15"/>
            </w:pPr>
            <w:r>
              <w:t>项目名称</w:t>
            </w:r>
          </w:p>
        </w:tc>
        <w:tc>
          <w:tcPr>
            <w:tcW w:w="4422" w:type="dxa"/>
            <w:gridSpan w:val="3"/>
            <w:vAlign w:val="center"/>
          </w:tcPr>
          <w:p>
            <w:pPr>
              <w:pStyle w:val="17"/>
            </w:pPr>
            <w:r>
              <w:t>2023年野三坡片区美丽乡村绿化养护项目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67.69</w:t>
            </w:r>
          </w:p>
        </w:tc>
        <w:tc>
          <w:tcPr>
            <w:tcW w:w="1587" w:type="dxa"/>
            <w:vAlign w:val="center"/>
          </w:tcPr>
          <w:p>
            <w:pPr>
              <w:pStyle w:val="15"/>
            </w:pPr>
            <w:r>
              <w:t>其中：财政    资金</w:t>
            </w:r>
          </w:p>
        </w:tc>
        <w:tc>
          <w:tcPr>
            <w:tcW w:w="1304" w:type="dxa"/>
            <w:vAlign w:val="center"/>
          </w:tcPr>
          <w:p>
            <w:pPr>
              <w:pStyle w:val="17"/>
            </w:pPr>
            <w:r>
              <w:t>67.69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用于美丽乡村绿化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16.92</w:t>
            </w:r>
          </w:p>
        </w:tc>
        <w:tc>
          <w:tcPr>
            <w:tcW w:w="1587" w:type="dxa"/>
            <w:vAlign w:val="center"/>
          </w:tcPr>
          <w:p>
            <w:pPr>
              <w:pStyle w:val="18"/>
            </w:pPr>
            <w:r>
              <w:t>33.84</w:t>
            </w:r>
          </w:p>
        </w:tc>
        <w:tc>
          <w:tcPr>
            <w:tcW w:w="1304" w:type="dxa"/>
            <w:vAlign w:val="center"/>
          </w:tcPr>
          <w:p>
            <w:pPr>
              <w:pStyle w:val="18"/>
            </w:pPr>
            <w:r>
              <w:t>50.77</w:t>
            </w:r>
          </w:p>
        </w:tc>
        <w:tc>
          <w:tcPr>
            <w:tcW w:w="3118" w:type="dxa"/>
            <w:gridSpan w:val="2"/>
            <w:vAlign w:val="center"/>
          </w:tcPr>
          <w:p>
            <w:pPr>
              <w:pStyle w:val="18"/>
            </w:pPr>
            <w:r>
              <w:t>67.69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成活率</w:t>
            </w:r>
          </w:p>
        </w:tc>
        <w:tc>
          <w:tcPr>
            <w:tcW w:w="2891" w:type="dxa"/>
            <w:vAlign w:val="center"/>
          </w:tcPr>
          <w:p>
            <w:pPr>
              <w:pStyle w:val="17"/>
            </w:pPr>
            <w:r>
              <w:t>成活率最低</w:t>
            </w:r>
          </w:p>
        </w:tc>
        <w:tc>
          <w:tcPr>
            <w:tcW w:w="1276" w:type="dxa"/>
            <w:vAlign w:val="center"/>
          </w:tcPr>
          <w:p>
            <w:pPr>
              <w:pStyle w:val="17"/>
            </w:pPr>
            <w:r>
              <w:t>≥95%</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养护率</w:t>
            </w:r>
          </w:p>
        </w:tc>
        <w:tc>
          <w:tcPr>
            <w:tcW w:w="2891" w:type="dxa"/>
            <w:vAlign w:val="center"/>
          </w:tcPr>
          <w:p>
            <w:pPr>
              <w:pStyle w:val="17"/>
            </w:pPr>
            <w:r>
              <w:t>养护率</w:t>
            </w:r>
          </w:p>
        </w:tc>
        <w:tc>
          <w:tcPr>
            <w:tcW w:w="1276" w:type="dxa"/>
            <w:vAlign w:val="center"/>
          </w:tcPr>
          <w:p>
            <w:pPr>
              <w:pStyle w:val="17"/>
            </w:pPr>
            <w:r>
              <w:t>100%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全年养护率</w:t>
            </w:r>
          </w:p>
        </w:tc>
        <w:tc>
          <w:tcPr>
            <w:tcW w:w="2891" w:type="dxa"/>
            <w:vAlign w:val="center"/>
          </w:tcPr>
          <w:p>
            <w:pPr>
              <w:pStyle w:val="17"/>
            </w:pPr>
            <w:r>
              <w:t>全年养护率</w:t>
            </w:r>
          </w:p>
        </w:tc>
        <w:tc>
          <w:tcPr>
            <w:tcW w:w="1276" w:type="dxa"/>
            <w:vAlign w:val="center"/>
          </w:tcPr>
          <w:p>
            <w:pPr>
              <w:pStyle w:val="17"/>
            </w:pPr>
            <w:r>
              <w:t>100%</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美化绿化环境</w:t>
            </w:r>
          </w:p>
        </w:tc>
        <w:tc>
          <w:tcPr>
            <w:tcW w:w="2891" w:type="dxa"/>
            <w:vAlign w:val="center"/>
          </w:tcPr>
          <w:p>
            <w:pPr>
              <w:pStyle w:val="17"/>
            </w:pPr>
            <w:r>
              <w:t>是否美化绿化环境</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38.2023年野三坡污水处理站运营维护费绩效目标表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13062323P00940810057E</w:t>
            </w:r>
          </w:p>
        </w:tc>
        <w:tc>
          <w:tcPr>
            <w:tcW w:w="1587" w:type="dxa"/>
            <w:vAlign w:val="center"/>
          </w:tcPr>
          <w:p>
            <w:pPr>
              <w:pStyle w:val="15"/>
            </w:pPr>
            <w:r>
              <w:t>项目名称</w:t>
            </w:r>
          </w:p>
        </w:tc>
        <w:tc>
          <w:tcPr>
            <w:tcW w:w="4422" w:type="dxa"/>
            <w:gridSpan w:val="3"/>
            <w:vAlign w:val="center"/>
          </w:tcPr>
          <w:p>
            <w:pPr>
              <w:pStyle w:val="17"/>
            </w:pPr>
            <w:r>
              <w:t>2023年野三坡污水处理站运营维护费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95.00</w:t>
            </w:r>
          </w:p>
        </w:tc>
        <w:tc>
          <w:tcPr>
            <w:tcW w:w="1587" w:type="dxa"/>
            <w:vAlign w:val="center"/>
          </w:tcPr>
          <w:p>
            <w:pPr>
              <w:pStyle w:val="15"/>
            </w:pPr>
            <w:r>
              <w:t>其中：财政    资金</w:t>
            </w:r>
          </w:p>
        </w:tc>
        <w:tc>
          <w:tcPr>
            <w:tcW w:w="1304" w:type="dxa"/>
            <w:vAlign w:val="center"/>
          </w:tcPr>
          <w:p>
            <w:pPr>
              <w:pStyle w:val="17"/>
            </w:pPr>
            <w:r>
              <w:t>95.00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用于野三坡污水处理站运营维护费用。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60.00</w:t>
            </w:r>
          </w:p>
        </w:tc>
        <w:tc>
          <w:tcPr>
            <w:tcW w:w="1304" w:type="dxa"/>
            <w:vAlign w:val="center"/>
          </w:tcPr>
          <w:p>
            <w:pPr>
              <w:pStyle w:val="18"/>
            </w:pPr>
            <w:r>
              <w:t>90.00</w:t>
            </w:r>
          </w:p>
        </w:tc>
        <w:tc>
          <w:tcPr>
            <w:tcW w:w="3118" w:type="dxa"/>
            <w:gridSpan w:val="2"/>
            <w:vAlign w:val="center"/>
          </w:tcPr>
          <w:p>
            <w:pPr>
              <w:pStyle w:val="18"/>
            </w:pPr>
            <w:r>
              <w:t>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项目完成情况</w:t>
            </w:r>
          </w:p>
        </w:tc>
        <w:tc>
          <w:tcPr>
            <w:tcW w:w="2891" w:type="dxa"/>
            <w:vAlign w:val="center"/>
          </w:tcPr>
          <w:p>
            <w:pPr>
              <w:pStyle w:val="17"/>
            </w:pPr>
            <w:r>
              <w:t>项目完成情况</w:t>
            </w:r>
          </w:p>
        </w:tc>
        <w:tc>
          <w:tcPr>
            <w:tcW w:w="1276" w:type="dxa"/>
            <w:vAlign w:val="center"/>
          </w:tcPr>
          <w:p>
            <w:pPr>
              <w:pStyle w:val="17"/>
            </w:pPr>
            <w:r>
              <w:t>是否完成</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工作任务完成及时率</w:t>
            </w:r>
          </w:p>
        </w:tc>
        <w:tc>
          <w:tcPr>
            <w:tcW w:w="2891" w:type="dxa"/>
            <w:vAlign w:val="center"/>
          </w:tcPr>
          <w:p>
            <w:pPr>
              <w:pStyle w:val="17"/>
            </w:pPr>
            <w:r>
              <w:t>工作任务完成及时率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成本利用率</w:t>
            </w:r>
          </w:p>
        </w:tc>
        <w:tc>
          <w:tcPr>
            <w:tcW w:w="2891" w:type="dxa"/>
            <w:vAlign w:val="center"/>
          </w:tcPr>
          <w:p>
            <w:pPr>
              <w:pStyle w:val="17"/>
            </w:pPr>
            <w:r>
              <w:t>成本利用率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项目实现功能</w:t>
            </w:r>
          </w:p>
        </w:tc>
        <w:tc>
          <w:tcPr>
            <w:tcW w:w="2891" w:type="dxa"/>
            <w:vAlign w:val="center"/>
          </w:tcPr>
          <w:p>
            <w:pPr>
              <w:pStyle w:val="17"/>
            </w:pPr>
            <w:r>
              <w:t>项目实现功能</w:t>
            </w:r>
          </w:p>
        </w:tc>
        <w:tc>
          <w:tcPr>
            <w:tcW w:w="1276" w:type="dxa"/>
            <w:vAlign w:val="center"/>
          </w:tcPr>
          <w:p>
            <w:pPr>
              <w:pStyle w:val="17"/>
            </w:pPr>
            <w:r>
              <w:t>是否实现</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是否改善</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维护社会稳定</w:t>
            </w:r>
          </w:p>
        </w:tc>
        <w:tc>
          <w:tcPr>
            <w:tcW w:w="2891" w:type="dxa"/>
            <w:vAlign w:val="center"/>
          </w:tcPr>
          <w:p>
            <w:pPr>
              <w:pStyle w:val="17"/>
            </w:pPr>
            <w:r>
              <w:t>维护社会稳定</w:t>
            </w:r>
          </w:p>
        </w:tc>
        <w:tc>
          <w:tcPr>
            <w:tcW w:w="1276" w:type="dxa"/>
            <w:vAlign w:val="center"/>
          </w:tcPr>
          <w:p>
            <w:pPr>
              <w:pStyle w:val="17"/>
            </w:pPr>
            <w:r>
              <w:t>是否稳定</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是否满意</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39.2023年野三坡雅净污水处理厂运营维护费绩效目标表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13062323P00940810056T</w:t>
            </w:r>
          </w:p>
        </w:tc>
        <w:tc>
          <w:tcPr>
            <w:tcW w:w="1587" w:type="dxa"/>
            <w:vAlign w:val="center"/>
          </w:tcPr>
          <w:p>
            <w:pPr>
              <w:pStyle w:val="15"/>
            </w:pPr>
            <w:r>
              <w:t>项目名称</w:t>
            </w:r>
          </w:p>
        </w:tc>
        <w:tc>
          <w:tcPr>
            <w:tcW w:w="4422" w:type="dxa"/>
            <w:gridSpan w:val="3"/>
            <w:vAlign w:val="center"/>
          </w:tcPr>
          <w:p>
            <w:pPr>
              <w:pStyle w:val="17"/>
            </w:pPr>
            <w:r>
              <w:t>2023年野三坡雅净污水处理厂运营维护费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239.17</w:t>
            </w:r>
          </w:p>
        </w:tc>
        <w:tc>
          <w:tcPr>
            <w:tcW w:w="1587" w:type="dxa"/>
            <w:vAlign w:val="center"/>
          </w:tcPr>
          <w:p>
            <w:pPr>
              <w:pStyle w:val="15"/>
            </w:pPr>
            <w:r>
              <w:t>其中：财政    资金</w:t>
            </w:r>
          </w:p>
        </w:tc>
        <w:tc>
          <w:tcPr>
            <w:tcW w:w="1304" w:type="dxa"/>
            <w:vAlign w:val="center"/>
          </w:tcPr>
          <w:p>
            <w:pPr>
              <w:pStyle w:val="17"/>
            </w:pPr>
            <w:r>
              <w:t>239.17</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用于野三坡雅净污水处理厂运营维护费。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w:t>
            </w:r>
          </w:p>
        </w:tc>
        <w:tc>
          <w:tcPr>
            <w:tcW w:w="1587" w:type="dxa"/>
            <w:vAlign w:val="center"/>
          </w:tcPr>
          <w:p>
            <w:pPr>
              <w:pStyle w:val="18"/>
            </w:pPr>
            <w:r>
              <w:t>120.00</w:t>
            </w:r>
          </w:p>
        </w:tc>
        <w:tc>
          <w:tcPr>
            <w:tcW w:w="1304" w:type="dxa"/>
            <w:vAlign w:val="center"/>
          </w:tcPr>
          <w:p>
            <w:pPr>
              <w:pStyle w:val="18"/>
            </w:pPr>
            <w:r>
              <w:t>200.00</w:t>
            </w:r>
          </w:p>
        </w:tc>
        <w:tc>
          <w:tcPr>
            <w:tcW w:w="3118" w:type="dxa"/>
            <w:gridSpan w:val="2"/>
            <w:vAlign w:val="center"/>
          </w:tcPr>
          <w:p>
            <w:pPr>
              <w:pStyle w:val="18"/>
            </w:pPr>
            <w:r>
              <w:t>239.17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污水处理量</w:t>
            </w:r>
          </w:p>
        </w:tc>
        <w:tc>
          <w:tcPr>
            <w:tcW w:w="2891" w:type="dxa"/>
            <w:vAlign w:val="center"/>
          </w:tcPr>
          <w:p>
            <w:pPr>
              <w:pStyle w:val="17"/>
            </w:pPr>
            <w:r>
              <w:t>污水处理量</w:t>
            </w:r>
          </w:p>
        </w:tc>
        <w:tc>
          <w:tcPr>
            <w:tcW w:w="1276" w:type="dxa"/>
            <w:vAlign w:val="center"/>
          </w:tcPr>
          <w:p>
            <w:pPr>
              <w:pStyle w:val="17"/>
            </w:pPr>
            <w:r>
              <w:t>是否显著增长</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污水处理质量</w:t>
            </w:r>
          </w:p>
        </w:tc>
        <w:tc>
          <w:tcPr>
            <w:tcW w:w="2891" w:type="dxa"/>
            <w:vAlign w:val="center"/>
          </w:tcPr>
          <w:p>
            <w:pPr>
              <w:pStyle w:val="17"/>
            </w:pPr>
            <w:r>
              <w:t>污水处理质量</w:t>
            </w:r>
          </w:p>
        </w:tc>
        <w:tc>
          <w:tcPr>
            <w:tcW w:w="1276" w:type="dxa"/>
            <w:vAlign w:val="center"/>
          </w:tcPr>
          <w:p>
            <w:pPr>
              <w:pStyle w:val="17"/>
            </w:pPr>
            <w:r>
              <w:t>质量是否达到标准</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≤169万元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是否得到改善</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40.2023年一渡镇失地人员补助绩效目标表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13062323P00940810063U</w:t>
            </w:r>
          </w:p>
        </w:tc>
        <w:tc>
          <w:tcPr>
            <w:tcW w:w="1587" w:type="dxa"/>
            <w:vAlign w:val="center"/>
          </w:tcPr>
          <w:p>
            <w:pPr>
              <w:pStyle w:val="15"/>
            </w:pPr>
            <w:r>
              <w:t>项目名称</w:t>
            </w:r>
          </w:p>
        </w:tc>
        <w:tc>
          <w:tcPr>
            <w:tcW w:w="4422" w:type="dxa"/>
            <w:gridSpan w:val="3"/>
            <w:vAlign w:val="center"/>
          </w:tcPr>
          <w:p>
            <w:pPr>
              <w:pStyle w:val="17"/>
            </w:pPr>
            <w:r>
              <w:t>2023年一渡镇失地人员补助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73.30</w:t>
            </w:r>
          </w:p>
        </w:tc>
        <w:tc>
          <w:tcPr>
            <w:tcW w:w="1587" w:type="dxa"/>
            <w:vAlign w:val="center"/>
          </w:tcPr>
          <w:p>
            <w:pPr>
              <w:pStyle w:val="15"/>
            </w:pPr>
            <w:r>
              <w:t>其中：财政    资金</w:t>
            </w:r>
          </w:p>
        </w:tc>
        <w:tc>
          <w:tcPr>
            <w:tcW w:w="1304" w:type="dxa"/>
            <w:vAlign w:val="center"/>
          </w:tcPr>
          <w:p>
            <w:pPr>
              <w:pStyle w:val="17"/>
            </w:pPr>
            <w:r>
              <w:t>73.30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及时发放失地人员补助，保障社会稳定水平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73.30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1.及时发放失地人员补助，保障社会稳定水平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发放失地补偿人员数量</w:t>
            </w:r>
          </w:p>
        </w:tc>
        <w:tc>
          <w:tcPr>
            <w:tcW w:w="2891" w:type="dxa"/>
            <w:vAlign w:val="center"/>
          </w:tcPr>
          <w:p>
            <w:pPr>
              <w:pStyle w:val="17"/>
            </w:pPr>
            <w:r>
              <w:t>发放失地补偿人员数量</w:t>
            </w:r>
          </w:p>
        </w:tc>
        <w:tc>
          <w:tcPr>
            <w:tcW w:w="1276" w:type="dxa"/>
            <w:vAlign w:val="center"/>
          </w:tcPr>
          <w:p>
            <w:pPr>
              <w:pStyle w:val="17"/>
            </w:pPr>
            <w:r>
              <w:t>≤134人</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失地人员生活质量</w:t>
            </w:r>
          </w:p>
        </w:tc>
        <w:tc>
          <w:tcPr>
            <w:tcW w:w="2891" w:type="dxa"/>
            <w:vAlign w:val="center"/>
          </w:tcPr>
          <w:p>
            <w:pPr>
              <w:pStyle w:val="17"/>
            </w:pPr>
            <w:r>
              <w:t>失地人员生活质量</w:t>
            </w:r>
          </w:p>
        </w:tc>
        <w:tc>
          <w:tcPr>
            <w:tcW w:w="1276" w:type="dxa"/>
            <w:vAlign w:val="center"/>
          </w:tcPr>
          <w:p>
            <w:pPr>
              <w:pStyle w:val="17"/>
            </w:pPr>
            <w:r>
              <w:t>良好</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补助资金及时发放率</w:t>
            </w:r>
          </w:p>
        </w:tc>
        <w:tc>
          <w:tcPr>
            <w:tcW w:w="2891" w:type="dxa"/>
            <w:vAlign w:val="center"/>
          </w:tcPr>
          <w:p>
            <w:pPr>
              <w:pStyle w:val="17"/>
            </w:pPr>
            <w:r>
              <w:t>补助资金及时发放率</w:t>
            </w:r>
          </w:p>
        </w:tc>
        <w:tc>
          <w:tcPr>
            <w:tcW w:w="1276" w:type="dxa"/>
            <w:vAlign w:val="center"/>
          </w:tcPr>
          <w:p>
            <w:pPr>
              <w:pStyle w:val="17"/>
            </w:pPr>
            <w:r>
              <w:t>≥90%</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≤73.3万元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社会稳定</w:t>
            </w:r>
          </w:p>
        </w:tc>
        <w:tc>
          <w:tcPr>
            <w:tcW w:w="2891" w:type="dxa"/>
            <w:vAlign w:val="center"/>
          </w:tcPr>
          <w:p>
            <w:pPr>
              <w:pStyle w:val="17"/>
            </w:pPr>
            <w:r>
              <w:t>社会稳定</w:t>
            </w:r>
          </w:p>
        </w:tc>
        <w:tc>
          <w:tcPr>
            <w:tcW w:w="1276" w:type="dxa"/>
            <w:vAlign w:val="center"/>
          </w:tcPr>
          <w:p>
            <w:pPr>
              <w:pStyle w:val="17"/>
            </w:pPr>
            <w:r>
              <w:t>良好</w:t>
            </w:r>
          </w:p>
        </w:tc>
        <w:tc>
          <w:tcPr>
            <w:tcW w:w="1843" w:type="dxa"/>
            <w:vAlign w:val="center"/>
          </w:tcPr>
          <w:p>
            <w:pPr>
              <w:pStyle w:val="17"/>
            </w:pPr>
            <w:r>
              <w:t>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41.2023年中节能生活垃圾焚烧处置费绩效目标表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13062323P00007810004L</w:t>
            </w:r>
          </w:p>
        </w:tc>
        <w:tc>
          <w:tcPr>
            <w:tcW w:w="1587" w:type="dxa"/>
            <w:vAlign w:val="center"/>
          </w:tcPr>
          <w:p>
            <w:pPr>
              <w:pStyle w:val="15"/>
            </w:pPr>
            <w:r>
              <w:t>项目名称</w:t>
            </w:r>
          </w:p>
        </w:tc>
        <w:tc>
          <w:tcPr>
            <w:tcW w:w="4422" w:type="dxa"/>
            <w:gridSpan w:val="3"/>
            <w:vAlign w:val="center"/>
          </w:tcPr>
          <w:p>
            <w:pPr>
              <w:pStyle w:val="17"/>
            </w:pPr>
            <w:r>
              <w:t>2023年中节能生活垃圾焚烧处置费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400.00</w:t>
            </w:r>
          </w:p>
        </w:tc>
        <w:tc>
          <w:tcPr>
            <w:tcW w:w="1587" w:type="dxa"/>
            <w:vAlign w:val="center"/>
          </w:tcPr>
          <w:p>
            <w:pPr>
              <w:pStyle w:val="15"/>
            </w:pPr>
            <w:r>
              <w:t>其中：财政    资金</w:t>
            </w:r>
          </w:p>
        </w:tc>
        <w:tc>
          <w:tcPr>
            <w:tcW w:w="1304" w:type="dxa"/>
            <w:vAlign w:val="center"/>
          </w:tcPr>
          <w:p>
            <w:pPr>
              <w:pStyle w:val="17"/>
            </w:pPr>
            <w:r>
              <w:t>400.00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2023年中节能生活垃圾焚烧处置服务费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w:t>
            </w:r>
          </w:p>
        </w:tc>
        <w:tc>
          <w:tcPr>
            <w:tcW w:w="1587" w:type="dxa"/>
            <w:vAlign w:val="center"/>
          </w:tcPr>
          <w:p>
            <w:pPr>
              <w:pStyle w:val="18"/>
            </w:pPr>
            <w:r>
              <w:t>100.00</w:t>
            </w:r>
          </w:p>
        </w:tc>
        <w:tc>
          <w:tcPr>
            <w:tcW w:w="1304" w:type="dxa"/>
            <w:vAlign w:val="center"/>
          </w:tcPr>
          <w:p>
            <w:pPr>
              <w:pStyle w:val="18"/>
            </w:pPr>
            <w:r>
              <w:t>100.00</w:t>
            </w:r>
          </w:p>
        </w:tc>
        <w:tc>
          <w:tcPr>
            <w:tcW w:w="3118" w:type="dxa"/>
            <w:gridSpan w:val="2"/>
            <w:vAlign w:val="center"/>
          </w:tcPr>
          <w:p>
            <w:pPr>
              <w:pStyle w:val="18"/>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1.2023年中节能生活垃圾焚烧处置服务费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垃圾焚烧数量</w:t>
            </w:r>
          </w:p>
        </w:tc>
        <w:tc>
          <w:tcPr>
            <w:tcW w:w="2891" w:type="dxa"/>
            <w:vAlign w:val="center"/>
          </w:tcPr>
          <w:p>
            <w:pPr>
              <w:pStyle w:val="17"/>
            </w:pPr>
            <w:r>
              <w:t>垃圾处理量</w:t>
            </w:r>
          </w:p>
        </w:tc>
        <w:tc>
          <w:tcPr>
            <w:tcW w:w="1276" w:type="dxa"/>
            <w:vAlign w:val="center"/>
          </w:tcPr>
          <w:p>
            <w:pPr>
              <w:pStyle w:val="17"/>
            </w:pPr>
            <w:r>
              <w:t>≥7万吨</w:t>
            </w:r>
          </w:p>
        </w:tc>
        <w:tc>
          <w:tcPr>
            <w:tcW w:w="1843" w:type="dxa"/>
            <w:vAlign w:val="center"/>
          </w:tcPr>
          <w:p>
            <w:pPr>
              <w:pStyle w:val="17"/>
            </w:pPr>
            <w:r>
              <w:t>历年统计数据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w:t>
            </w:r>
          </w:p>
        </w:tc>
        <w:tc>
          <w:tcPr>
            <w:tcW w:w="1843" w:type="dxa"/>
            <w:vAlign w:val="center"/>
          </w:tcPr>
          <w:p>
            <w:pPr>
              <w:pStyle w:val="17"/>
            </w:pPr>
            <w: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服务时间</w:t>
            </w:r>
          </w:p>
        </w:tc>
        <w:tc>
          <w:tcPr>
            <w:tcW w:w="2891" w:type="dxa"/>
            <w:vAlign w:val="center"/>
          </w:tcPr>
          <w:p>
            <w:pPr>
              <w:pStyle w:val="17"/>
            </w:pPr>
            <w:r>
              <w:t>服务时间</w:t>
            </w:r>
          </w:p>
        </w:tc>
        <w:tc>
          <w:tcPr>
            <w:tcW w:w="1276" w:type="dxa"/>
            <w:vAlign w:val="center"/>
          </w:tcPr>
          <w:p>
            <w:pPr>
              <w:pStyle w:val="17"/>
            </w:pPr>
            <w:r>
              <w:t>1年</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500万元</w:t>
            </w:r>
          </w:p>
        </w:tc>
        <w:tc>
          <w:tcPr>
            <w:tcW w:w="1843"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生态环境质量改善</w:t>
            </w:r>
          </w:p>
        </w:tc>
        <w:tc>
          <w:tcPr>
            <w:tcW w:w="2891" w:type="dxa"/>
            <w:vAlign w:val="center"/>
          </w:tcPr>
          <w:p>
            <w:pPr>
              <w:pStyle w:val="17"/>
            </w:pPr>
            <w:r>
              <w:t>生态环境质量改善</w:t>
            </w:r>
          </w:p>
        </w:tc>
        <w:tc>
          <w:tcPr>
            <w:tcW w:w="1276" w:type="dxa"/>
            <w:vAlign w:val="center"/>
          </w:tcPr>
          <w:p>
            <w:pPr>
              <w:pStyle w:val="17"/>
            </w:pPr>
            <w:r>
              <w:t>≥90%</w:t>
            </w:r>
          </w:p>
        </w:tc>
        <w:tc>
          <w:tcPr>
            <w:tcW w:w="1843" w:type="dxa"/>
            <w:vAlign w:val="center"/>
          </w:tcPr>
          <w:p>
            <w:pPr>
              <w:pStyle w:val="17"/>
            </w:pPr>
            <w:r>
              <w:t>验收办法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客户满意度</w:t>
            </w:r>
          </w:p>
        </w:tc>
        <w:tc>
          <w:tcPr>
            <w:tcW w:w="2891" w:type="dxa"/>
            <w:vAlign w:val="center"/>
          </w:tcPr>
          <w:p>
            <w:pPr>
              <w:pStyle w:val="17"/>
            </w:pPr>
            <w:r>
              <w:t>客户满意度</w:t>
            </w:r>
          </w:p>
        </w:tc>
        <w:tc>
          <w:tcPr>
            <w:tcW w:w="1276" w:type="dxa"/>
            <w:vAlign w:val="center"/>
          </w:tcPr>
          <w:p>
            <w:pPr>
              <w:pStyle w:val="17"/>
            </w:pPr>
            <w:r>
              <w:t>≥90%</w:t>
            </w:r>
          </w:p>
        </w:tc>
        <w:tc>
          <w:tcPr>
            <w:tcW w:w="1843" w:type="dxa"/>
            <w:vAlign w:val="center"/>
          </w:tcPr>
          <w:p>
            <w:pPr>
              <w:pStyle w:val="17"/>
            </w:pPr>
            <w:r>
              <w:t>问卷调查</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42.2023年中央财政林业草原生态保护恢复资金-国家公益林、国有天然商品林管护补助（冀财资环【2022】90号绩效目标表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13062323P00008710001B</w:t>
            </w:r>
          </w:p>
        </w:tc>
        <w:tc>
          <w:tcPr>
            <w:tcW w:w="1587" w:type="dxa"/>
            <w:vAlign w:val="center"/>
          </w:tcPr>
          <w:p>
            <w:pPr>
              <w:pStyle w:val="15"/>
            </w:pPr>
            <w:r>
              <w:t>项目名称</w:t>
            </w:r>
          </w:p>
        </w:tc>
        <w:tc>
          <w:tcPr>
            <w:tcW w:w="4422" w:type="dxa"/>
            <w:gridSpan w:val="3"/>
            <w:vAlign w:val="center"/>
          </w:tcPr>
          <w:p>
            <w:pPr>
              <w:pStyle w:val="17"/>
            </w:pPr>
            <w:r>
              <w:t>2023年中央财政林业草原生态保护恢复资金-国家公益林、国有天然商品林管护补助（冀财资环【2022】90号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134.78</w:t>
            </w:r>
          </w:p>
        </w:tc>
        <w:tc>
          <w:tcPr>
            <w:tcW w:w="1587" w:type="dxa"/>
            <w:vAlign w:val="center"/>
          </w:tcPr>
          <w:p>
            <w:pPr>
              <w:pStyle w:val="15"/>
            </w:pPr>
            <w:r>
              <w:t>其中：财政    资金</w:t>
            </w:r>
          </w:p>
        </w:tc>
        <w:tc>
          <w:tcPr>
            <w:tcW w:w="1304" w:type="dxa"/>
            <w:vAlign w:val="center"/>
          </w:tcPr>
          <w:p>
            <w:pPr>
              <w:pStyle w:val="17"/>
            </w:pPr>
            <w:r>
              <w:t>134.78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2023年中央财政林业草原生态保护恢复资金-国家公益林、国有天然林管护补助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134.78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1.目标内容1：2023年中央财政林业草原生态保护恢复资金-国家公益林、国有天然林管护补助（冀财资环【2022】90号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各项目按时完成情况</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规划对公共服务水平的提升情况</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冀财资环[2022]90号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43.2023年中央财政林业草原生态保护恢复资金-生态护林员补助（冀财资环【2022】90号）绩效目标表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13062323P00008610001M</w:t>
            </w:r>
          </w:p>
        </w:tc>
        <w:tc>
          <w:tcPr>
            <w:tcW w:w="1587" w:type="dxa"/>
            <w:vAlign w:val="center"/>
          </w:tcPr>
          <w:p>
            <w:pPr>
              <w:pStyle w:val="15"/>
            </w:pPr>
            <w:r>
              <w:t>项目名称</w:t>
            </w:r>
          </w:p>
        </w:tc>
        <w:tc>
          <w:tcPr>
            <w:tcW w:w="4422" w:type="dxa"/>
            <w:gridSpan w:val="3"/>
            <w:vAlign w:val="center"/>
          </w:tcPr>
          <w:p>
            <w:pPr>
              <w:pStyle w:val="17"/>
            </w:pPr>
            <w:r>
              <w:t>2023年中央财政林业草原生态保护恢复资金-生态护林员补助（冀财资环【2022】90号）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128.00</w:t>
            </w:r>
          </w:p>
        </w:tc>
        <w:tc>
          <w:tcPr>
            <w:tcW w:w="1587" w:type="dxa"/>
            <w:vAlign w:val="center"/>
          </w:tcPr>
          <w:p>
            <w:pPr>
              <w:pStyle w:val="15"/>
            </w:pPr>
            <w:r>
              <w:t>其中：财政    资金</w:t>
            </w:r>
          </w:p>
        </w:tc>
        <w:tc>
          <w:tcPr>
            <w:tcW w:w="1304" w:type="dxa"/>
            <w:vAlign w:val="center"/>
          </w:tcPr>
          <w:p>
            <w:pPr>
              <w:pStyle w:val="17"/>
            </w:pPr>
            <w:r>
              <w:t>128.00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2023年中央财政林业草原生态保护恢复资金-生态护林员补助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1.目标内容1：2023年中央财政林业草原生态保护恢复资金-生态护林员补助（冀财资环【2022】90号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享受补贴人员数量</w:t>
            </w:r>
          </w:p>
        </w:tc>
        <w:tc>
          <w:tcPr>
            <w:tcW w:w="2891" w:type="dxa"/>
            <w:vAlign w:val="center"/>
          </w:tcPr>
          <w:p>
            <w:pPr>
              <w:pStyle w:val="17"/>
            </w:pPr>
            <w:r>
              <w:t>享受补贴人员数量</w:t>
            </w:r>
          </w:p>
        </w:tc>
        <w:tc>
          <w:tcPr>
            <w:tcW w:w="1276" w:type="dxa"/>
            <w:vAlign w:val="center"/>
          </w:tcPr>
          <w:p>
            <w:pPr>
              <w:pStyle w:val="17"/>
            </w:pPr>
            <w:r>
              <w:t>≥95百分比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资金使用率</w:t>
            </w:r>
          </w:p>
        </w:tc>
        <w:tc>
          <w:tcPr>
            <w:tcW w:w="2891" w:type="dxa"/>
            <w:vAlign w:val="center"/>
          </w:tcPr>
          <w:p>
            <w:pPr>
              <w:pStyle w:val="17"/>
            </w:pPr>
            <w:r>
              <w:t>资金使用率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按规定时限发放工资、缴纳保险</w:t>
            </w:r>
          </w:p>
        </w:tc>
        <w:tc>
          <w:tcPr>
            <w:tcW w:w="2891" w:type="dxa"/>
            <w:vAlign w:val="center"/>
          </w:tcPr>
          <w:p>
            <w:pPr>
              <w:pStyle w:val="17"/>
            </w:pPr>
            <w:r>
              <w:t>按规定时限发放工资、缴纳保险</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降低森林草原火灾发生几率，保护生态环境</w:t>
            </w:r>
          </w:p>
        </w:tc>
        <w:tc>
          <w:tcPr>
            <w:tcW w:w="2891" w:type="dxa"/>
            <w:vAlign w:val="center"/>
          </w:tcPr>
          <w:p>
            <w:pPr>
              <w:pStyle w:val="17"/>
            </w:pPr>
            <w:r>
              <w:t>降低森林草原火灾发生几率，保护生态环境</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服务对象满意程度</w:t>
            </w:r>
          </w:p>
        </w:tc>
        <w:tc>
          <w:tcPr>
            <w:tcW w:w="2891" w:type="dxa"/>
            <w:vAlign w:val="center"/>
          </w:tcPr>
          <w:p>
            <w:pPr>
              <w:pStyle w:val="17"/>
            </w:pPr>
            <w:r>
              <w:t>受益服务对象满意度</w:t>
            </w:r>
          </w:p>
        </w:tc>
        <w:tc>
          <w:tcPr>
            <w:tcW w:w="1276" w:type="dxa"/>
            <w:vAlign w:val="center"/>
          </w:tcPr>
          <w:p>
            <w:pPr>
              <w:pStyle w:val="17"/>
            </w:pPr>
            <w:r>
              <w:t>≥80百分比</w:t>
            </w:r>
          </w:p>
        </w:tc>
        <w:tc>
          <w:tcPr>
            <w:tcW w:w="1843" w:type="dxa"/>
            <w:vAlign w:val="center"/>
          </w:tcPr>
          <w:p>
            <w:pPr>
              <w:pStyle w:val="17"/>
            </w:pPr>
            <w:r>
              <w:t>冀财资环【2022】90号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44.2023年中央财政林业草原生态保护恢复资金-天然林停伐补助（冀财资环【2022】90号绩效目标表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13062323P000085100010</w:t>
            </w:r>
          </w:p>
        </w:tc>
        <w:tc>
          <w:tcPr>
            <w:tcW w:w="1587" w:type="dxa"/>
            <w:vAlign w:val="center"/>
          </w:tcPr>
          <w:p>
            <w:pPr>
              <w:pStyle w:val="15"/>
            </w:pPr>
            <w:r>
              <w:t>项目名称</w:t>
            </w:r>
          </w:p>
        </w:tc>
        <w:tc>
          <w:tcPr>
            <w:tcW w:w="4422" w:type="dxa"/>
            <w:gridSpan w:val="3"/>
            <w:vAlign w:val="center"/>
          </w:tcPr>
          <w:p>
            <w:pPr>
              <w:pStyle w:val="17"/>
            </w:pPr>
            <w:r>
              <w:t>2023年中央财政林业草原生态保护恢复资金-天然林停伐补助（冀财资环【2022】90号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209.78</w:t>
            </w:r>
          </w:p>
        </w:tc>
        <w:tc>
          <w:tcPr>
            <w:tcW w:w="1587" w:type="dxa"/>
            <w:vAlign w:val="center"/>
          </w:tcPr>
          <w:p>
            <w:pPr>
              <w:pStyle w:val="15"/>
            </w:pPr>
            <w:r>
              <w:t>其中：财政    资金</w:t>
            </w:r>
          </w:p>
        </w:tc>
        <w:tc>
          <w:tcPr>
            <w:tcW w:w="1304" w:type="dxa"/>
            <w:vAlign w:val="center"/>
          </w:tcPr>
          <w:p>
            <w:pPr>
              <w:pStyle w:val="17"/>
            </w:pPr>
            <w:r>
              <w:t>209.78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2023年中央财政林业草原生态保护恢复资金-天然林停伐补助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209.78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1.目标内容1：2023年中央财政林业草原生态保护恢复资金-天然林停伐补助（冀财资环【2022】90号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林要保有数量</w:t>
            </w:r>
          </w:p>
        </w:tc>
        <w:tc>
          <w:tcPr>
            <w:tcW w:w="2891" w:type="dxa"/>
            <w:vAlign w:val="center"/>
          </w:tcPr>
          <w:p>
            <w:pPr>
              <w:pStyle w:val="17"/>
            </w:pPr>
            <w:r>
              <w:t>涉及林场数量</w:t>
            </w:r>
          </w:p>
        </w:tc>
        <w:tc>
          <w:tcPr>
            <w:tcW w:w="1276" w:type="dxa"/>
            <w:vAlign w:val="center"/>
          </w:tcPr>
          <w:p>
            <w:pPr>
              <w:pStyle w:val="17"/>
            </w:pPr>
            <w:r>
              <w:t>2个林场</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林木保有率</w:t>
            </w:r>
          </w:p>
        </w:tc>
        <w:tc>
          <w:tcPr>
            <w:tcW w:w="2891" w:type="dxa"/>
            <w:vAlign w:val="center"/>
          </w:tcPr>
          <w:p>
            <w:pPr>
              <w:pStyle w:val="17"/>
            </w:pPr>
            <w:r>
              <w:t>天然林面积保有率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补助发放</w:t>
            </w:r>
          </w:p>
        </w:tc>
        <w:tc>
          <w:tcPr>
            <w:tcW w:w="2891" w:type="dxa"/>
            <w:vAlign w:val="center"/>
          </w:tcPr>
          <w:p>
            <w:pPr>
              <w:pStyle w:val="17"/>
            </w:pPr>
            <w:r>
              <w:t>补助发放及时性</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资金使用率%</w:t>
            </w:r>
          </w:p>
        </w:tc>
        <w:tc>
          <w:tcPr>
            <w:tcW w:w="1276" w:type="dxa"/>
            <w:vAlign w:val="center"/>
          </w:tcPr>
          <w:p>
            <w:pPr>
              <w:pStyle w:val="17"/>
            </w:pPr>
            <w:r>
              <w:t>≥90百分比</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项目持续年限</w:t>
            </w:r>
          </w:p>
        </w:tc>
        <w:tc>
          <w:tcPr>
            <w:tcW w:w="2891" w:type="dxa"/>
            <w:vAlign w:val="center"/>
          </w:tcPr>
          <w:p>
            <w:pPr>
              <w:pStyle w:val="17"/>
            </w:pPr>
            <w:r>
              <w:t>项目可持续年限</w:t>
            </w:r>
          </w:p>
        </w:tc>
        <w:tc>
          <w:tcPr>
            <w:tcW w:w="1276" w:type="dxa"/>
            <w:vAlign w:val="center"/>
          </w:tcPr>
          <w:p>
            <w:pPr>
              <w:pStyle w:val="17"/>
            </w:pPr>
            <w:r>
              <w:t>≥1年</w:t>
            </w:r>
          </w:p>
        </w:tc>
        <w:tc>
          <w:tcPr>
            <w:tcW w:w="1843" w:type="dxa"/>
            <w:vAlign w:val="center"/>
          </w:tcPr>
          <w:p>
            <w:pPr>
              <w:pStyle w:val="17"/>
            </w:pPr>
            <w:r>
              <w:t>冀财资环【2022】90号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≥90百分比</w:t>
            </w:r>
          </w:p>
        </w:tc>
        <w:tc>
          <w:tcPr>
            <w:tcW w:w="1843" w:type="dxa"/>
            <w:vAlign w:val="center"/>
          </w:tcPr>
          <w:p>
            <w:pPr>
              <w:pStyle w:val="17"/>
            </w:pPr>
            <w:r>
              <w:t>冀财资环【2022】90号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45.2023年中央财政林业改革发展资金-非国有林生态保护补偿（冀财资环【2022】91号）绩效目标表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13062323P00008410001A</w:t>
            </w:r>
          </w:p>
        </w:tc>
        <w:tc>
          <w:tcPr>
            <w:tcW w:w="1587" w:type="dxa"/>
            <w:vAlign w:val="center"/>
          </w:tcPr>
          <w:p>
            <w:pPr>
              <w:pStyle w:val="15"/>
            </w:pPr>
            <w:r>
              <w:t>项目名称</w:t>
            </w:r>
          </w:p>
        </w:tc>
        <w:tc>
          <w:tcPr>
            <w:tcW w:w="4422" w:type="dxa"/>
            <w:gridSpan w:val="3"/>
            <w:vAlign w:val="center"/>
          </w:tcPr>
          <w:p>
            <w:pPr>
              <w:pStyle w:val="17"/>
            </w:pPr>
            <w:r>
              <w:t>2023年中央财政林业改革发展资金-非国有林生态保护补偿（冀财资环【2022】91号）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383.82</w:t>
            </w:r>
          </w:p>
        </w:tc>
        <w:tc>
          <w:tcPr>
            <w:tcW w:w="1587" w:type="dxa"/>
            <w:vAlign w:val="center"/>
          </w:tcPr>
          <w:p>
            <w:pPr>
              <w:pStyle w:val="15"/>
            </w:pPr>
            <w:r>
              <w:t>其中：财政    资金</w:t>
            </w:r>
          </w:p>
        </w:tc>
        <w:tc>
          <w:tcPr>
            <w:tcW w:w="1304" w:type="dxa"/>
            <w:vAlign w:val="center"/>
          </w:tcPr>
          <w:p>
            <w:pPr>
              <w:pStyle w:val="17"/>
            </w:pPr>
            <w:r>
              <w:t>383.82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2023年中央财政林业改革发展资金-非国有林生态保护补偿支出（冀财资环【2022】91号）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383.82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1.目标内容1：2023年中央财政林业改革发展资金-非国有林生态保护补偿支出（冀财资环【2022】91号）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生态护林补助兑现率（%））</w:t>
            </w:r>
          </w:p>
        </w:tc>
        <w:tc>
          <w:tcPr>
            <w:tcW w:w="2891" w:type="dxa"/>
            <w:vAlign w:val="center"/>
          </w:tcPr>
          <w:p>
            <w:pPr>
              <w:pStyle w:val="17"/>
            </w:pPr>
            <w:r>
              <w:t>生态护林补助兑现率（%））</w:t>
            </w:r>
          </w:p>
        </w:tc>
        <w:tc>
          <w:tcPr>
            <w:tcW w:w="1276" w:type="dxa"/>
            <w:vAlign w:val="center"/>
          </w:tcPr>
          <w:p>
            <w:pPr>
              <w:pStyle w:val="17"/>
            </w:pPr>
            <w:r>
              <w:t>100百分比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≥95百分比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 xml:space="preserve">森林生态系统功能改善可持续影响 </w:t>
            </w:r>
          </w:p>
        </w:tc>
        <w:tc>
          <w:tcPr>
            <w:tcW w:w="2891" w:type="dxa"/>
            <w:vAlign w:val="center"/>
          </w:tcPr>
          <w:p>
            <w:pPr>
              <w:pStyle w:val="17"/>
            </w:pPr>
            <w:r>
              <w:t xml:space="preserve">森林生态系统功能改善可持续影响 </w:t>
            </w:r>
          </w:p>
        </w:tc>
        <w:tc>
          <w:tcPr>
            <w:tcW w:w="1276" w:type="dxa"/>
            <w:vAlign w:val="center"/>
          </w:tcPr>
          <w:p>
            <w:pPr>
              <w:pStyle w:val="17"/>
            </w:pPr>
            <w:r>
              <w:t>显著</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周边群众满意度（%）</w:t>
            </w:r>
          </w:p>
        </w:tc>
        <w:tc>
          <w:tcPr>
            <w:tcW w:w="2891" w:type="dxa"/>
            <w:vAlign w:val="center"/>
          </w:tcPr>
          <w:p>
            <w:pPr>
              <w:pStyle w:val="17"/>
            </w:pPr>
            <w:r>
              <w:t>周边群众满意度（%）</w:t>
            </w:r>
          </w:p>
        </w:tc>
        <w:tc>
          <w:tcPr>
            <w:tcW w:w="1276" w:type="dxa"/>
            <w:vAlign w:val="center"/>
          </w:tcPr>
          <w:p>
            <w:pPr>
              <w:pStyle w:val="17"/>
            </w:pPr>
            <w:r>
              <w:t>≥80百分比</w:t>
            </w:r>
          </w:p>
        </w:tc>
        <w:tc>
          <w:tcPr>
            <w:tcW w:w="1843" w:type="dxa"/>
            <w:vAlign w:val="center"/>
          </w:tcPr>
          <w:p>
            <w:pPr>
              <w:pStyle w:val="17"/>
            </w:pPr>
            <w:r>
              <w:t>冀财资环【2022】91号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46.2023年中央财政林业改革发展资金-林草良种培育（冀财资环【2022】91号）绩效目标表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13062323P00008210001Y</w:t>
            </w:r>
          </w:p>
        </w:tc>
        <w:tc>
          <w:tcPr>
            <w:tcW w:w="1587" w:type="dxa"/>
            <w:vAlign w:val="center"/>
          </w:tcPr>
          <w:p>
            <w:pPr>
              <w:pStyle w:val="15"/>
            </w:pPr>
            <w:r>
              <w:t>项目名称</w:t>
            </w:r>
          </w:p>
        </w:tc>
        <w:tc>
          <w:tcPr>
            <w:tcW w:w="4422" w:type="dxa"/>
            <w:gridSpan w:val="3"/>
            <w:vAlign w:val="center"/>
          </w:tcPr>
          <w:p>
            <w:pPr>
              <w:pStyle w:val="17"/>
            </w:pPr>
            <w:r>
              <w:t>2023年中央财政林业改革发展资金-林草良种培育（冀财资环【2022】91号）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80.00</w:t>
            </w:r>
          </w:p>
        </w:tc>
        <w:tc>
          <w:tcPr>
            <w:tcW w:w="1587" w:type="dxa"/>
            <w:vAlign w:val="center"/>
          </w:tcPr>
          <w:p>
            <w:pPr>
              <w:pStyle w:val="15"/>
            </w:pPr>
            <w:r>
              <w:t>其中：财政    资金</w:t>
            </w:r>
          </w:p>
        </w:tc>
        <w:tc>
          <w:tcPr>
            <w:tcW w:w="1304" w:type="dxa"/>
            <w:vAlign w:val="center"/>
          </w:tcPr>
          <w:p>
            <w:pPr>
              <w:pStyle w:val="17"/>
            </w:pPr>
            <w:r>
              <w:t>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2023年中央财政林业改革发展资金-林草良种培育（冀财资环【2022】91号）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1.目标内容1：2023年中央财政林业改革发展资金-林草良种培育（冀财资环【2022】91号）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各项任务完成及十率</w:t>
            </w:r>
          </w:p>
        </w:tc>
        <w:tc>
          <w:tcPr>
            <w:tcW w:w="2891" w:type="dxa"/>
            <w:vAlign w:val="center"/>
          </w:tcPr>
          <w:p>
            <w:pPr>
              <w:pStyle w:val="17"/>
            </w:pPr>
            <w:r>
              <w:t>各项任务完成及十率</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 xml:space="preserve">造林合格面积完成率  </w:t>
            </w:r>
          </w:p>
        </w:tc>
        <w:tc>
          <w:tcPr>
            <w:tcW w:w="2891" w:type="dxa"/>
            <w:vAlign w:val="center"/>
          </w:tcPr>
          <w:p>
            <w:pPr>
              <w:pStyle w:val="17"/>
            </w:pPr>
            <w:r>
              <w:t xml:space="preserve">造林合格面积完成率  </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冀财资环【2022】91号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47.2023年中央财政林业改革发展资金-林业有害生物防治（冀财资环【2022】91号）绩效目标表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13062323P00008310001L</w:t>
            </w:r>
          </w:p>
        </w:tc>
        <w:tc>
          <w:tcPr>
            <w:tcW w:w="1587" w:type="dxa"/>
            <w:vAlign w:val="center"/>
          </w:tcPr>
          <w:p>
            <w:pPr>
              <w:pStyle w:val="15"/>
            </w:pPr>
            <w:r>
              <w:t>项目名称</w:t>
            </w:r>
          </w:p>
        </w:tc>
        <w:tc>
          <w:tcPr>
            <w:tcW w:w="4422" w:type="dxa"/>
            <w:gridSpan w:val="3"/>
            <w:vAlign w:val="center"/>
          </w:tcPr>
          <w:p>
            <w:pPr>
              <w:pStyle w:val="17"/>
            </w:pPr>
            <w:r>
              <w:t>2023年中央财政林业改革发展资金-林业有害生物防治（冀财资环【2022】91号）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2023年中央财政林业改革发展资金-林业有害生物防治（冀财资环【2022】91号）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1.目标内容1：2023年中央财政林业改革发展资金-林业有害生物防治（冀财资环【2022】91号）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≤20万元</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冀财资环[2021]83号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森林生态系统功能改善可持续影响</w:t>
            </w:r>
          </w:p>
        </w:tc>
        <w:tc>
          <w:tcPr>
            <w:tcW w:w="2891" w:type="dxa"/>
            <w:vAlign w:val="center"/>
          </w:tcPr>
          <w:p>
            <w:pPr>
              <w:pStyle w:val="17"/>
            </w:pPr>
            <w:r>
              <w:t>森林生态系统功能改善可持续影响</w:t>
            </w:r>
          </w:p>
        </w:tc>
        <w:tc>
          <w:tcPr>
            <w:tcW w:w="1276" w:type="dxa"/>
            <w:vAlign w:val="center"/>
          </w:tcPr>
          <w:p>
            <w:pPr>
              <w:pStyle w:val="17"/>
            </w:pPr>
            <w:r>
              <w:t>≥80百分比</w:t>
            </w:r>
          </w:p>
        </w:tc>
        <w:tc>
          <w:tcPr>
            <w:tcW w:w="1843" w:type="dxa"/>
            <w:vAlign w:val="center"/>
          </w:tcPr>
          <w:p>
            <w:pPr>
              <w:pStyle w:val="17"/>
            </w:pPr>
            <w:r>
              <w:t>冀财资环[2022]91号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冀财资环[2022]91号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48.2023年涞水镇南关村中加工业园征地户生活保障资金绩效目标表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13062323P009408100363</w:t>
            </w:r>
          </w:p>
        </w:tc>
        <w:tc>
          <w:tcPr>
            <w:tcW w:w="1587" w:type="dxa"/>
            <w:vAlign w:val="center"/>
          </w:tcPr>
          <w:p>
            <w:pPr>
              <w:pStyle w:val="15"/>
            </w:pPr>
            <w:r>
              <w:t>项目名称</w:t>
            </w:r>
          </w:p>
        </w:tc>
        <w:tc>
          <w:tcPr>
            <w:tcW w:w="4422" w:type="dxa"/>
            <w:gridSpan w:val="3"/>
            <w:vAlign w:val="center"/>
          </w:tcPr>
          <w:p>
            <w:pPr>
              <w:pStyle w:val="17"/>
            </w:pPr>
            <w:r>
              <w:t>2023年涞水镇南关村中加工业园征地户生活保障资金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南关村中加工业园征地户生活保障资金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1.保障群众基本生活，保障社情稳定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≤35万元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补贴发放率</w:t>
            </w:r>
          </w:p>
        </w:tc>
        <w:tc>
          <w:tcPr>
            <w:tcW w:w="2891" w:type="dxa"/>
            <w:vAlign w:val="center"/>
          </w:tcPr>
          <w:p>
            <w:pPr>
              <w:pStyle w:val="17"/>
            </w:pPr>
            <w:r>
              <w:t>生活补贴发放完成率</w:t>
            </w:r>
          </w:p>
        </w:tc>
        <w:tc>
          <w:tcPr>
            <w:tcW w:w="1276" w:type="dxa"/>
            <w:vAlign w:val="center"/>
          </w:tcPr>
          <w:p>
            <w:pPr>
              <w:pStyle w:val="17"/>
            </w:pPr>
            <w:r>
              <w:t>≥90万元</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49.2023年涞水镇失地人员补助绩效目标表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13062323P00940810035F</w:t>
            </w:r>
          </w:p>
        </w:tc>
        <w:tc>
          <w:tcPr>
            <w:tcW w:w="1587" w:type="dxa"/>
            <w:vAlign w:val="center"/>
          </w:tcPr>
          <w:p>
            <w:pPr>
              <w:pStyle w:val="15"/>
            </w:pPr>
            <w:r>
              <w:t>项目名称</w:t>
            </w:r>
          </w:p>
        </w:tc>
        <w:tc>
          <w:tcPr>
            <w:tcW w:w="4422" w:type="dxa"/>
            <w:gridSpan w:val="3"/>
            <w:vAlign w:val="center"/>
          </w:tcPr>
          <w:p>
            <w:pPr>
              <w:pStyle w:val="17"/>
            </w:pPr>
            <w:r>
              <w:t>2023年涞水镇失地人员补助</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50.22</w:t>
            </w:r>
          </w:p>
        </w:tc>
        <w:tc>
          <w:tcPr>
            <w:tcW w:w="1587" w:type="dxa"/>
            <w:vAlign w:val="center"/>
          </w:tcPr>
          <w:p>
            <w:pPr>
              <w:pStyle w:val="15"/>
            </w:pPr>
            <w:r>
              <w:t>其中：财政    资金</w:t>
            </w:r>
          </w:p>
        </w:tc>
        <w:tc>
          <w:tcPr>
            <w:tcW w:w="1304" w:type="dxa"/>
            <w:vAlign w:val="center"/>
          </w:tcPr>
          <w:p>
            <w:pPr>
              <w:pStyle w:val="17"/>
            </w:pPr>
            <w:r>
              <w:t>50.22</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失地人员补助</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25.11</w:t>
            </w:r>
          </w:p>
        </w:tc>
        <w:tc>
          <w:tcPr>
            <w:tcW w:w="1304" w:type="dxa"/>
            <w:vAlign w:val="center"/>
          </w:tcPr>
          <w:p>
            <w:pPr>
              <w:pStyle w:val="18"/>
            </w:pPr>
            <w:r>
              <w:t xml:space="preserve"> </w:t>
            </w:r>
          </w:p>
        </w:tc>
        <w:tc>
          <w:tcPr>
            <w:tcW w:w="3118" w:type="dxa"/>
            <w:gridSpan w:val="2"/>
            <w:vAlign w:val="center"/>
          </w:tcPr>
          <w:p>
            <w:pPr>
              <w:pStyle w:val="18"/>
            </w:pPr>
            <w:r>
              <w:t>50.22</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完成补助发放</w:t>
            </w:r>
          </w:p>
        </w:tc>
        <w:tc>
          <w:tcPr>
            <w:tcW w:w="2891" w:type="dxa"/>
            <w:vAlign w:val="center"/>
          </w:tcPr>
          <w:p>
            <w:pPr>
              <w:pStyle w:val="17"/>
            </w:pPr>
            <w:r>
              <w:t>完成失地人员补助发放比率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资金有效的使用率</w:t>
            </w:r>
          </w:p>
        </w:tc>
        <w:tc>
          <w:tcPr>
            <w:tcW w:w="2891" w:type="dxa"/>
            <w:vAlign w:val="center"/>
          </w:tcPr>
          <w:p>
            <w:pPr>
              <w:pStyle w:val="17"/>
            </w:pPr>
            <w:r>
              <w:t>资金有效使用占全部资金的比率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按时完成补助发放</w:t>
            </w:r>
          </w:p>
        </w:tc>
        <w:tc>
          <w:tcPr>
            <w:tcW w:w="2891" w:type="dxa"/>
            <w:vAlign w:val="center"/>
          </w:tcPr>
          <w:p>
            <w:pPr>
              <w:pStyle w:val="17"/>
            </w:pPr>
            <w:r>
              <w:t>失地补助发放时效率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w:t>
            </w:r>
          </w:p>
        </w:tc>
        <w:tc>
          <w:tcPr>
            <w:tcW w:w="1276" w:type="dxa"/>
            <w:vAlign w:val="center"/>
          </w:tcPr>
          <w:p>
            <w:pPr>
              <w:pStyle w:val="17"/>
            </w:pPr>
            <w:r>
              <w:t>≤50.22万元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直接、间接总受益人数</w:t>
            </w:r>
          </w:p>
        </w:tc>
        <w:tc>
          <w:tcPr>
            <w:tcW w:w="2891" w:type="dxa"/>
            <w:vAlign w:val="center"/>
          </w:tcPr>
          <w:p>
            <w:pPr>
              <w:pStyle w:val="17"/>
            </w:pPr>
            <w:r>
              <w:t>直接、间接总受益户数</w:t>
            </w:r>
          </w:p>
        </w:tc>
        <w:tc>
          <w:tcPr>
            <w:tcW w:w="1276" w:type="dxa"/>
            <w:vAlign w:val="center"/>
          </w:tcPr>
          <w:p>
            <w:pPr>
              <w:pStyle w:val="17"/>
            </w:pPr>
            <w:r>
              <w:t>≥270户</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50.2023年涞水镇西关菜市场升级改造资金绩效目标表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13062323P00940810037N</w:t>
            </w:r>
          </w:p>
        </w:tc>
        <w:tc>
          <w:tcPr>
            <w:tcW w:w="1587" w:type="dxa"/>
            <w:vAlign w:val="center"/>
          </w:tcPr>
          <w:p>
            <w:pPr>
              <w:pStyle w:val="15"/>
            </w:pPr>
            <w:r>
              <w:t>项目名称</w:t>
            </w:r>
          </w:p>
        </w:tc>
        <w:tc>
          <w:tcPr>
            <w:tcW w:w="4422" w:type="dxa"/>
            <w:gridSpan w:val="3"/>
            <w:vAlign w:val="center"/>
          </w:tcPr>
          <w:p>
            <w:pPr>
              <w:pStyle w:val="17"/>
            </w:pPr>
            <w:r>
              <w:t>2023年涞水镇西关菜市场升级改造资金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西关菜市场升级改造资金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1.创建省级文明城市，提升居民生活环境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受益范围</w:t>
            </w:r>
          </w:p>
        </w:tc>
        <w:tc>
          <w:tcPr>
            <w:tcW w:w="2891" w:type="dxa"/>
            <w:vAlign w:val="center"/>
          </w:tcPr>
          <w:p>
            <w:pPr>
              <w:pStyle w:val="17"/>
            </w:pPr>
            <w:r>
              <w:t>提升改造收益范围占西关菜市场的比重</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民居提升改造完成率</w:t>
            </w:r>
          </w:p>
        </w:tc>
        <w:tc>
          <w:tcPr>
            <w:tcW w:w="2891" w:type="dxa"/>
            <w:vAlign w:val="center"/>
          </w:tcPr>
          <w:p>
            <w:pPr>
              <w:pStyle w:val="17"/>
            </w:pPr>
            <w:r>
              <w:t>提升改造工程完成率</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资金拨付率</w:t>
            </w:r>
          </w:p>
        </w:tc>
        <w:tc>
          <w:tcPr>
            <w:tcW w:w="2891" w:type="dxa"/>
            <w:vAlign w:val="center"/>
          </w:tcPr>
          <w:p>
            <w:pPr>
              <w:pStyle w:val="17"/>
            </w:pPr>
            <w:r>
              <w:t>资金拨付率</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≤50万元</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促进经济发展</w:t>
            </w:r>
          </w:p>
        </w:tc>
        <w:tc>
          <w:tcPr>
            <w:tcW w:w="2891" w:type="dxa"/>
            <w:vAlign w:val="center"/>
          </w:tcPr>
          <w:p>
            <w:pPr>
              <w:pStyle w:val="17"/>
            </w:pPr>
            <w:r>
              <w:t>促进西关菜市场的可持续发展</w:t>
            </w:r>
          </w:p>
        </w:tc>
        <w:tc>
          <w:tcPr>
            <w:tcW w:w="1276" w:type="dxa"/>
            <w:vAlign w:val="center"/>
          </w:tcPr>
          <w:p>
            <w:pPr>
              <w:pStyle w:val="17"/>
            </w:pPr>
            <w:r>
              <w:t>≥90百分比</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51.PPP项目绩效考核及合同履约管理机构服务费绩效目标表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13062323P00940810015P</w:t>
            </w:r>
          </w:p>
        </w:tc>
        <w:tc>
          <w:tcPr>
            <w:tcW w:w="1587" w:type="dxa"/>
            <w:vAlign w:val="center"/>
          </w:tcPr>
          <w:p>
            <w:pPr>
              <w:pStyle w:val="15"/>
            </w:pPr>
            <w:r>
              <w:t>项目名称</w:t>
            </w:r>
          </w:p>
        </w:tc>
        <w:tc>
          <w:tcPr>
            <w:tcW w:w="4422" w:type="dxa"/>
            <w:gridSpan w:val="3"/>
            <w:vAlign w:val="center"/>
          </w:tcPr>
          <w:p>
            <w:pPr>
              <w:pStyle w:val="17"/>
            </w:pPr>
            <w:r>
              <w:t>PPP项目绩效考核及合同履约管理机构服务费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275.00</w:t>
            </w:r>
          </w:p>
        </w:tc>
        <w:tc>
          <w:tcPr>
            <w:tcW w:w="1587" w:type="dxa"/>
            <w:vAlign w:val="center"/>
          </w:tcPr>
          <w:p>
            <w:pPr>
              <w:pStyle w:val="15"/>
            </w:pPr>
            <w:r>
              <w:t>其中：财政    资金</w:t>
            </w:r>
          </w:p>
        </w:tc>
        <w:tc>
          <w:tcPr>
            <w:tcW w:w="1304" w:type="dxa"/>
            <w:vAlign w:val="center"/>
          </w:tcPr>
          <w:p>
            <w:pPr>
              <w:pStyle w:val="17"/>
            </w:pPr>
            <w:r>
              <w:t>275.00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PPP项目绩效考核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68.75</w:t>
            </w:r>
          </w:p>
        </w:tc>
        <w:tc>
          <w:tcPr>
            <w:tcW w:w="1587" w:type="dxa"/>
            <w:vAlign w:val="center"/>
          </w:tcPr>
          <w:p>
            <w:pPr>
              <w:pStyle w:val="18"/>
            </w:pPr>
            <w:r>
              <w:t>137.50</w:t>
            </w:r>
          </w:p>
        </w:tc>
        <w:tc>
          <w:tcPr>
            <w:tcW w:w="1304" w:type="dxa"/>
            <w:vAlign w:val="center"/>
          </w:tcPr>
          <w:p>
            <w:pPr>
              <w:pStyle w:val="18"/>
            </w:pPr>
            <w:r>
              <w:t>206.25</w:t>
            </w:r>
          </w:p>
        </w:tc>
        <w:tc>
          <w:tcPr>
            <w:tcW w:w="3118" w:type="dxa"/>
            <w:gridSpan w:val="2"/>
            <w:vAlign w:val="center"/>
          </w:tcPr>
          <w:p>
            <w:pPr>
              <w:pStyle w:val="18"/>
            </w:pPr>
            <w:r>
              <w:t>275.00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1.PPP项目绩效考核</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建立绩效考核机制</w:t>
            </w:r>
          </w:p>
        </w:tc>
        <w:tc>
          <w:tcPr>
            <w:tcW w:w="2891" w:type="dxa"/>
            <w:vAlign w:val="center"/>
          </w:tcPr>
          <w:p>
            <w:pPr>
              <w:pStyle w:val="17"/>
            </w:pPr>
            <w:r>
              <w:t>建立绩效考核机制</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资金支付及时率</w:t>
            </w:r>
          </w:p>
        </w:tc>
        <w:tc>
          <w:tcPr>
            <w:tcW w:w="2891" w:type="dxa"/>
            <w:vAlign w:val="center"/>
          </w:tcPr>
          <w:p>
            <w:pPr>
              <w:pStyle w:val="17"/>
            </w:pPr>
            <w:r>
              <w:t>资金支付及时率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52.PPP项目咨询服务费绩效目标表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13062323P00940810016B</w:t>
            </w:r>
          </w:p>
        </w:tc>
        <w:tc>
          <w:tcPr>
            <w:tcW w:w="1587" w:type="dxa"/>
            <w:vAlign w:val="center"/>
          </w:tcPr>
          <w:p>
            <w:pPr>
              <w:pStyle w:val="15"/>
            </w:pPr>
            <w:r>
              <w:t>项目名称</w:t>
            </w:r>
          </w:p>
        </w:tc>
        <w:tc>
          <w:tcPr>
            <w:tcW w:w="4422" w:type="dxa"/>
            <w:gridSpan w:val="3"/>
            <w:vAlign w:val="center"/>
          </w:tcPr>
          <w:p>
            <w:pPr>
              <w:pStyle w:val="17"/>
            </w:pPr>
            <w:r>
              <w:t>PPP项目咨询服务费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65.92</w:t>
            </w:r>
          </w:p>
        </w:tc>
        <w:tc>
          <w:tcPr>
            <w:tcW w:w="1587" w:type="dxa"/>
            <w:vAlign w:val="center"/>
          </w:tcPr>
          <w:p>
            <w:pPr>
              <w:pStyle w:val="15"/>
            </w:pPr>
            <w:r>
              <w:t>其中：财政    资金</w:t>
            </w:r>
          </w:p>
        </w:tc>
        <w:tc>
          <w:tcPr>
            <w:tcW w:w="1304" w:type="dxa"/>
            <w:vAlign w:val="center"/>
          </w:tcPr>
          <w:p>
            <w:pPr>
              <w:pStyle w:val="17"/>
            </w:pPr>
            <w:r>
              <w:t>65.92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完成社会资本招采、项目公司设立等相关事宜。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16.48</w:t>
            </w:r>
          </w:p>
        </w:tc>
        <w:tc>
          <w:tcPr>
            <w:tcW w:w="1587" w:type="dxa"/>
            <w:vAlign w:val="center"/>
          </w:tcPr>
          <w:p>
            <w:pPr>
              <w:pStyle w:val="18"/>
            </w:pPr>
            <w:r>
              <w:t>32.96</w:t>
            </w:r>
          </w:p>
        </w:tc>
        <w:tc>
          <w:tcPr>
            <w:tcW w:w="1304" w:type="dxa"/>
            <w:vAlign w:val="center"/>
          </w:tcPr>
          <w:p>
            <w:pPr>
              <w:pStyle w:val="18"/>
            </w:pPr>
            <w:r>
              <w:t>49.44</w:t>
            </w:r>
          </w:p>
        </w:tc>
        <w:tc>
          <w:tcPr>
            <w:tcW w:w="3118" w:type="dxa"/>
            <w:gridSpan w:val="2"/>
            <w:vAlign w:val="center"/>
          </w:tcPr>
          <w:p>
            <w:pPr>
              <w:pStyle w:val="18"/>
            </w:pPr>
            <w:r>
              <w:t>65.92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1.完成社会资本招采、项目公司设立等相关事宜。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资金支付及时率</w:t>
            </w:r>
          </w:p>
        </w:tc>
        <w:tc>
          <w:tcPr>
            <w:tcW w:w="2891" w:type="dxa"/>
            <w:vAlign w:val="center"/>
          </w:tcPr>
          <w:p>
            <w:pPr>
              <w:pStyle w:val="17"/>
            </w:pPr>
            <w:r>
              <w:t>资金支付及时率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53.保护区购置远红外</w:t>
      </w:r>
      <w:r>
        <w:rPr>
          <w:rFonts w:hint="eastAsia" w:ascii="方正仿宋_GBK" w:hAnsi="方正仿宋_GBK" w:eastAsia="方正仿宋_GBK" w:cs="方正仿宋_GBK"/>
          <w:color w:val="000000"/>
          <w:sz w:val="28"/>
          <w:lang w:eastAsia="zh-CN"/>
        </w:rPr>
        <w:t>照相</w:t>
      </w:r>
      <w:r>
        <w:rPr>
          <w:rFonts w:ascii="方正仿宋_GBK" w:hAnsi="方正仿宋_GBK" w:eastAsia="方正仿宋_GBK" w:cs="方正仿宋_GBK"/>
          <w:color w:val="000000"/>
          <w:sz w:val="28"/>
        </w:rPr>
        <w:t>机和管护费项目 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13062323P00007610001E</w:t>
            </w:r>
          </w:p>
        </w:tc>
        <w:tc>
          <w:tcPr>
            <w:tcW w:w="1587" w:type="dxa"/>
            <w:vAlign w:val="center"/>
          </w:tcPr>
          <w:p>
            <w:pPr>
              <w:pStyle w:val="15"/>
            </w:pPr>
            <w:r>
              <w:t>项目名称</w:t>
            </w:r>
          </w:p>
        </w:tc>
        <w:tc>
          <w:tcPr>
            <w:tcW w:w="4422" w:type="dxa"/>
            <w:gridSpan w:val="3"/>
            <w:vAlign w:val="center"/>
          </w:tcPr>
          <w:p>
            <w:pPr>
              <w:pStyle w:val="17"/>
            </w:pPr>
            <w:r>
              <w:t>保护区购置远红外</w:t>
            </w:r>
            <w:r>
              <w:rPr>
                <w:rFonts w:hint="eastAsia"/>
                <w:lang w:eastAsia="zh-CN"/>
              </w:rPr>
              <w:t>照相</w:t>
            </w:r>
            <w:r>
              <w:t xml:space="preserve">机和管护费项目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1.30</w:t>
            </w:r>
          </w:p>
        </w:tc>
        <w:tc>
          <w:tcPr>
            <w:tcW w:w="1587" w:type="dxa"/>
            <w:vAlign w:val="center"/>
          </w:tcPr>
          <w:p>
            <w:pPr>
              <w:pStyle w:val="15"/>
            </w:pPr>
            <w:r>
              <w:t>其中：财政    资金</w:t>
            </w:r>
          </w:p>
        </w:tc>
        <w:tc>
          <w:tcPr>
            <w:tcW w:w="1304" w:type="dxa"/>
            <w:vAlign w:val="center"/>
          </w:tcPr>
          <w:p>
            <w:pPr>
              <w:pStyle w:val="17"/>
            </w:pPr>
            <w:r>
              <w:t>1.30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保护区远红外</w:t>
            </w:r>
            <w:r>
              <w:rPr>
                <w:rFonts w:hint="eastAsia"/>
                <w:lang w:eastAsia="zh-CN"/>
              </w:rPr>
              <w:t>照相</w:t>
            </w:r>
            <w:r>
              <w:t>机管护费项目，管护资金13个点×1000元/个/年=1.3万元。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1.目标内容1：保护区远红外</w:t>
            </w:r>
            <w:r>
              <w:rPr>
                <w:rFonts w:hint="eastAsia"/>
                <w:lang w:eastAsia="zh-CN"/>
              </w:rPr>
              <w:t>照相</w:t>
            </w:r>
            <w:r>
              <w:t>机管护资金13个点×1000元/个/年=1.3万元。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保护区监测任务完成率</w:t>
            </w:r>
          </w:p>
        </w:tc>
        <w:tc>
          <w:tcPr>
            <w:tcW w:w="2891" w:type="dxa"/>
            <w:vAlign w:val="center"/>
          </w:tcPr>
          <w:p>
            <w:pPr>
              <w:pStyle w:val="17"/>
            </w:pPr>
            <w:r>
              <w:t>保护区监测任务完成率</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≤1.3万元</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≥90百分比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改善自然景观为野生动植物提高更好的栖息环境</w:t>
            </w:r>
          </w:p>
        </w:tc>
        <w:tc>
          <w:tcPr>
            <w:tcW w:w="2891" w:type="dxa"/>
            <w:vAlign w:val="center"/>
          </w:tcPr>
          <w:p>
            <w:pPr>
              <w:pStyle w:val="17"/>
            </w:pPr>
            <w:r>
              <w:t>改善自然景观为野生动植物提高更好的栖息环境</w:t>
            </w:r>
          </w:p>
        </w:tc>
        <w:tc>
          <w:tcPr>
            <w:tcW w:w="1276" w:type="dxa"/>
            <w:vAlign w:val="center"/>
          </w:tcPr>
          <w:p>
            <w:pPr>
              <w:pStyle w:val="17"/>
            </w:pPr>
            <w:r>
              <w:t>显著改善</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野生动植物管理目标任务完成率</w:t>
            </w:r>
          </w:p>
        </w:tc>
        <w:tc>
          <w:tcPr>
            <w:tcW w:w="2891" w:type="dxa"/>
            <w:vAlign w:val="center"/>
          </w:tcPr>
          <w:p>
            <w:pPr>
              <w:pStyle w:val="17"/>
            </w:pPr>
            <w:r>
              <w:t>完成情况占年度任务目标的比例</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≥90百分比</w:t>
            </w:r>
          </w:p>
        </w:tc>
        <w:tc>
          <w:tcPr>
            <w:tcW w:w="1843" w:type="dxa"/>
            <w:vAlign w:val="center"/>
          </w:tcPr>
          <w:p>
            <w:pPr>
              <w:pStyle w:val="17"/>
            </w:pPr>
            <w:r>
              <w:t>依据实施方案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54.北京城建精工钢结构公司厂区改造工程资金绩效目标表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13062323P00940810018J</w:t>
            </w:r>
          </w:p>
        </w:tc>
        <w:tc>
          <w:tcPr>
            <w:tcW w:w="1587" w:type="dxa"/>
            <w:vAlign w:val="center"/>
          </w:tcPr>
          <w:p>
            <w:pPr>
              <w:pStyle w:val="15"/>
            </w:pPr>
            <w:r>
              <w:t>项目名称</w:t>
            </w:r>
          </w:p>
        </w:tc>
        <w:tc>
          <w:tcPr>
            <w:tcW w:w="4422" w:type="dxa"/>
            <w:gridSpan w:val="3"/>
            <w:vAlign w:val="center"/>
          </w:tcPr>
          <w:p>
            <w:pPr>
              <w:pStyle w:val="17"/>
            </w:pPr>
            <w:r>
              <w:t>北京城建精工钢结构公司厂区改造工程资金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239.05</w:t>
            </w:r>
          </w:p>
        </w:tc>
        <w:tc>
          <w:tcPr>
            <w:tcW w:w="1587" w:type="dxa"/>
            <w:vAlign w:val="center"/>
          </w:tcPr>
          <w:p>
            <w:pPr>
              <w:pStyle w:val="15"/>
            </w:pPr>
            <w:r>
              <w:t>其中：财政    资金</w:t>
            </w:r>
          </w:p>
        </w:tc>
        <w:tc>
          <w:tcPr>
            <w:tcW w:w="1304" w:type="dxa"/>
            <w:vAlign w:val="center"/>
          </w:tcPr>
          <w:p>
            <w:pPr>
              <w:pStyle w:val="17"/>
            </w:pPr>
            <w:r>
              <w:t>239.05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助力厂区改造工程，推动开发区经济建设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59.76</w:t>
            </w:r>
          </w:p>
        </w:tc>
        <w:tc>
          <w:tcPr>
            <w:tcW w:w="1587" w:type="dxa"/>
            <w:vAlign w:val="center"/>
          </w:tcPr>
          <w:p>
            <w:pPr>
              <w:pStyle w:val="18"/>
            </w:pPr>
            <w:r>
              <w:t>119.53</w:t>
            </w:r>
          </w:p>
        </w:tc>
        <w:tc>
          <w:tcPr>
            <w:tcW w:w="1304" w:type="dxa"/>
            <w:vAlign w:val="center"/>
          </w:tcPr>
          <w:p>
            <w:pPr>
              <w:pStyle w:val="18"/>
            </w:pPr>
            <w:r>
              <w:t>179.29</w:t>
            </w:r>
          </w:p>
        </w:tc>
        <w:tc>
          <w:tcPr>
            <w:tcW w:w="3118" w:type="dxa"/>
            <w:gridSpan w:val="2"/>
            <w:vAlign w:val="center"/>
          </w:tcPr>
          <w:p>
            <w:pPr>
              <w:pStyle w:val="18"/>
            </w:pPr>
            <w:r>
              <w:t>239.05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1.助力厂区改造工程，推动开发区经济建设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厂区改造工程</w:t>
            </w:r>
          </w:p>
        </w:tc>
        <w:tc>
          <w:tcPr>
            <w:tcW w:w="2891" w:type="dxa"/>
            <w:vAlign w:val="center"/>
          </w:tcPr>
          <w:p>
            <w:pPr>
              <w:pStyle w:val="17"/>
            </w:pPr>
            <w:r>
              <w:t>厂区改造工程</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55.采购应急管理系统综合行政制式服装和标识项目绩效目标表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13062323P00007210001P</w:t>
            </w:r>
          </w:p>
        </w:tc>
        <w:tc>
          <w:tcPr>
            <w:tcW w:w="1587" w:type="dxa"/>
            <w:vAlign w:val="center"/>
          </w:tcPr>
          <w:p>
            <w:pPr>
              <w:pStyle w:val="15"/>
            </w:pPr>
            <w:r>
              <w:t>项目名称</w:t>
            </w:r>
          </w:p>
        </w:tc>
        <w:tc>
          <w:tcPr>
            <w:tcW w:w="4422" w:type="dxa"/>
            <w:gridSpan w:val="3"/>
            <w:vAlign w:val="center"/>
          </w:tcPr>
          <w:p>
            <w:pPr>
              <w:pStyle w:val="17"/>
            </w:pPr>
            <w:r>
              <w:t>采购应急管理系统综合行政制式服装和标识项目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21.42</w:t>
            </w:r>
          </w:p>
        </w:tc>
        <w:tc>
          <w:tcPr>
            <w:tcW w:w="1587" w:type="dxa"/>
            <w:vAlign w:val="center"/>
          </w:tcPr>
          <w:p>
            <w:pPr>
              <w:pStyle w:val="15"/>
            </w:pPr>
            <w:r>
              <w:t>其中：财政    资金</w:t>
            </w:r>
          </w:p>
        </w:tc>
        <w:tc>
          <w:tcPr>
            <w:tcW w:w="1304" w:type="dxa"/>
            <w:vAlign w:val="center"/>
          </w:tcPr>
          <w:p>
            <w:pPr>
              <w:pStyle w:val="17"/>
            </w:pPr>
            <w:r>
              <w:t>21.42</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为我局一线执法人员购置服装，提升执法形象。</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21.42</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1.为我局一线执法人员购置服装，提升执法形象。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购置服装数量</w:t>
            </w:r>
          </w:p>
        </w:tc>
        <w:tc>
          <w:tcPr>
            <w:tcW w:w="2891" w:type="dxa"/>
            <w:vAlign w:val="center"/>
          </w:tcPr>
          <w:p>
            <w:pPr>
              <w:pStyle w:val="17"/>
            </w:pPr>
            <w:r>
              <w:t>购置服装数量</w:t>
            </w:r>
          </w:p>
        </w:tc>
        <w:tc>
          <w:tcPr>
            <w:tcW w:w="1276" w:type="dxa"/>
            <w:vAlign w:val="center"/>
          </w:tcPr>
          <w:p>
            <w:pPr>
              <w:pStyle w:val="17"/>
            </w:pPr>
            <w:r>
              <w:t>51套</w:t>
            </w:r>
          </w:p>
        </w:tc>
        <w:tc>
          <w:tcPr>
            <w:tcW w:w="1843" w:type="dxa"/>
            <w:vAlign w:val="center"/>
          </w:tcPr>
          <w:p>
            <w:pPr>
              <w:pStyle w:val="17"/>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购置服装质量合格率</w:t>
            </w:r>
          </w:p>
        </w:tc>
        <w:tc>
          <w:tcPr>
            <w:tcW w:w="2891" w:type="dxa"/>
            <w:vAlign w:val="center"/>
          </w:tcPr>
          <w:p>
            <w:pPr>
              <w:pStyle w:val="17"/>
            </w:pPr>
            <w:r>
              <w:t>购置服装质量合格率</w:t>
            </w:r>
          </w:p>
        </w:tc>
        <w:tc>
          <w:tcPr>
            <w:tcW w:w="1276" w:type="dxa"/>
            <w:vAlign w:val="center"/>
          </w:tcPr>
          <w:p>
            <w:pPr>
              <w:pStyle w:val="17"/>
            </w:pPr>
            <w:r>
              <w:t>&gt;90%</w:t>
            </w:r>
          </w:p>
        </w:tc>
        <w:tc>
          <w:tcPr>
            <w:tcW w:w="1843" w:type="dxa"/>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购置任务完成及时率（%）</w:t>
            </w:r>
          </w:p>
        </w:tc>
        <w:tc>
          <w:tcPr>
            <w:tcW w:w="2891" w:type="dxa"/>
            <w:vAlign w:val="center"/>
          </w:tcPr>
          <w:p>
            <w:pPr>
              <w:pStyle w:val="17"/>
            </w:pPr>
            <w:r>
              <w:t>购置任务完成及时率（%）</w:t>
            </w:r>
          </w:p>
        </w:tc>
        <w:tc>
          <w:tcPr>
            <w:tcW w:w="1276" w:type="dxa"/>
            <w:vAlign w:val="center"/>
          </w:tcPr>
          <w:p>
            <w:pPr>
              <w:pStyle w:val="17"/>
            </w:pPr>
            <w:r>
              <w:t>&gt;90%</w:t>
            </w:r>
          </w:p>
        </w:tc>
        <w:tc>
          <w:tcPr>
            <w:tcW w:w="1843" w:type="dxa"/>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≤21.42万元</w:t>
            </w:r>
          </w:p>
        </w:tc>
        <w:tc>
          <w:tcPr>
            <w:tcW w:w="1843" w:type="dxa"/>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创新工作完成率</w:t>
            </w:r>
          </w:p>
        </w:tc>
        <w:tc>
          <w:tcPr>
            <w:tcW w:w="2891" w:type="dxa"/>
            <w:vAlign w:val="center"/>
          </w:tcPr>
          <w:p>
            <w:pPr>
              <w:pStyle w:val="17"/>
            </w:pPr>
            <w:r>
              <w:t>创新工作完成率</w:t>
            </w:r>
          </w:p>
        </w:tc>
        <w:tc>
          <w:tcPr>
            <w:tcW w:w="1276" w:type="dxa"/>
            <w:vAlign w:val="center"/>
          </w:tcPr>
          <w:p>
            <w:pPr>
              <w:pStyle w:val="17"/>
            </w:pPr>
            <w:r>
              <w:t>≥90%</w:t>
            </w:r>
          </w:p>
        </w:tc>
        <w:tc>
          <w:tcPr>
            <w:tcW w:w="1843" w:type="dxa"/>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&gt;90%</w:t>
            </w:r>
          </w:p>
        </w:tc>
        <w:tc>
          <w:tcPr>
            <w:tcW w:w="1843" w:type="dxa"/>
            <w:vAlign w:val="center"/>
          </w:tcPr>
          <w:p>
            <w:pPr>
              <w:pStyle w:val="17"/>
            </w:pPr>
            <w:r>
              <w:t>按照文件规定</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56.餐厨垃圾规划编制费用绩效目标表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13062323P00940810005U</w:t>
            </w:r>
          </w:p>
        </w:tc>
        <w:tc>
          <w:tcPr>
            <w:tcW w:w="1587" w:type="dxa"/>
            <w:vAlign w:val="center"/>
          </w:tcPr>
          <w:p>
            <w:pPr>
              <w:pStyle w:val="15"/>
            </w:pPr>
            <w:r>
              <w:t>项目名称</w:t>
            </w:r>
          </w:p>
        </w:tc>
        <w:tc>
          <w:tcPr>
            <w:tcW w:w="4422" w:type="dxa"/>
            <w:gridSpan w:val="3"/>
            <w:vAlign w:val="center"/>
          </w:tcPr>
          <w:p>
            <w:pPr>
              <w:pStyle w:val="17"/>
            </w:pPr>
            <w:r>
              <w:t>餐厨垃圾规划编制费用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24.00</w:t>
            </w:r>
          </w:p>
        </w:tc>
        <w:tc>
          <w:tcPr>
            <w:tcW w:w="1587" w:type="dxa"/>
            <w:vAlign w:val="center"/>
          </w:tcPr>
          <w:p>
            <w:pPr>
              <w:pStyle w:val="15"/>
            </w:pPr>
            <w:r>
              <w:t>其中：财政    资金</w:t>
            </w:r>
          </w:p>
        </w:tc>
        <w:tc>
          <w:tcPr>
            <w:tcW w:w="1304" w:type="dxa"/>
            <w:vAlign w:val="center"/>
          </w:tcPr>
          <w:p>
            <w:pPr>
              <w:pStyle w:val="17"/>
            </w:pPr>
            <w:r>
              <w:t>24.00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支付餐厨垃圾规划编制费用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24.00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报告文本</w:t>
            </w:r>
          </w:p>
        </w:tc>
        <w:tc>
          <w:tcPr>
            <w:tcW w:w="2891" w:type="dxa"/>
            <w:vAlign w:val="center"/>
          </w:tcPr>
          <w:p>
            <w:pPr>
              <w:pStyle w:val="17"/>
            </w:pPr>
            <w:r>
              <w:t>报告文本</w:t>
            </w:r>
          </w:p>
        </w:tc>
        <w:tc>
          <w:tcPr>
            <w:tcW w:w="1276" w:type="dxa"/>
            <w:vAlign w:val="center"/>
          </w:tcPr>
          <w:p>
            <w:pPr>
              <w:pStyle w:val="17"/>
            </w:pPr>
            <w:r>
              <w:t>编制餐厨垃圾规划</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编制方案的质量</w:t>
            </w:r>
          </w:p>
        </w:tc>
        <w:tc>
          <w:tcPr>
            <w:tcW w:w="2891" w:type="dxa"/>
            <w:vAlign w:val="center"/>
          </w:tcPr>
          <w:p>
            <w:pPr>
              <w:pStyle w:val="17"/>
            </w:pPr>
            <w:r>
              <w:t>编制方案的质量</w:t>
            </w:r>
          </w:p>
        </w:tc>
        <w:tc>
          <w:tcPr>
            <w:tcW w:w="1276" w:type="dxa"/>
            <w:vAlign w:val="center"/>
          </w:tcPr>
          <w:p>
            <w:pPr>
              <w:pStyle w:val="17"/>
            </w:pPr>
            <w:r>
              <w:t>条理清晰，有理有据</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工作完成时间</w:t>
            </w:r>
          </w:p>
        </w:tc>
        <w:tc>
          <w:tcPr>
            <w:tcW w:w="2891" w:type="dxa"/>
            <w:vAlign w:val="center"/>
          </w:tcPr>
          <w:p>
            <w:pPr>
              <w:pStyle w:val="17"/>
            </w:pPr>
            <w:r>
              <w:t>工作完成时间</w:t>
            </w:r>
          </w:p>
        </w:tc>
        <w:tc>
          <w:tcPr>
            <w:tcW w:w="1276" w:type="dxa"/>
            <w:vAlign w:val="center"/>
          </w:tcPr>
          <w:p>
            <w:pPr>
              <w:pStyle w:val="17"/>
            </w:pPr>
            <w:r>
              <w:t>规定时间内完成</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小于预算数</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社会影响度</w:t>
            </w:r>
          </w:p>
        </w:tc>
        <w:tc>
          <w:tcPr>
            <w:tcW w:w="2891" w:type="dxa"/>
            <w:vAlign w:val="center"/>
          </w:tcPr>
          <w:p>
            <w:pPr>
              <w:pStyle w:val="17"/>
            </w:pPr>
            <w:r>
              <w:t>社会影响度</w:t>
            </w:r>
          </w:p>
        </w:tc>
        <w:tc>
          <w:tcPr>
            <w:tcW w:w="1276" w:type="dxa"/>
            <w:vAlign w:val="center"/>
          </w:tcPr>
          <w:p>
            <w:pPr>
              <w:pStyle w:val="17"/>
            </w:pPr>
            <w:r>
              <w:t>提升</w:t>
            </w:r>
          </w:p>
        </w:tc>
        <w:tc>
          <w:tcPr>
            <w:tcW w:w="1843" w:type="dxa"/>
            <w:vAlign w:val="center"/>
          </w:tcPr>
          <w:p>
            <w:pPr>
              <w:pStyle w:val="17"/>
            </w:pPr>
            <w:r>
              <w:t>根据合同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57.城区内公园修缮费用绩效目标表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13062323P00940810006F</w:t>
            </w:r>
          </w:p>
        </w:tc>
        <w:tc>
          <w:tcPr>
            <w:tcW w:w="1587" w:type="dxa"/>
            <w:vAlign w:val="center"/>
          </w:tcPr>
          <w:p>
            <w:pPr>
              <w:pStyle w:val="15"/>
            </w:pPr>
            <w:r>
              <w:t>项目名称</w:t>
            </w:r>
          </w:p>
        </w:tc>
        <w:tc>
          <w:tcPr>
            <w:tcW w:w="4422" w:type="dxa"/>
            <w:gridSpan w:val="3"/>
            <w:vAlign w:val="center"/>
          </w:tcPr>
          <w:p>
            <w:pPr>
              <w:pStyle w:val="17"/>
            </w:pPr>
            <w:r>
              <w:t>城区内公园修缮费用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8.48</w:t>
            </w:r>
          </w:p>
        </w:tc>
        <w:tc>
          <w:tcPr>
            <w:tcW w:w="1587" w:type="dxa"/>
            <w:vAlign w:val="center"/>
          </w:tcPr>
          <w:p>
            <w:pPr>
              <w:pStyle w:val="15"/>
            </w:pPr>
            <w:r>
              <w:t>其中：财政    资金</w:t>
            </w:r>
          </w:p>
        </w:tc>
        <w:tc>
          <w:tcPr>
            <w:tcW w:w="1304" w:type="dxa"/>
            <w:vAlign w:val="center"/>
          </w:tcPr>
          <w:p>
            <w:pPr>
              <w:pStyle w:val="17"/>
            </w:pPr>
            <w:r>
              <w:t>8.48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支付修缮公园费用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8.48</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修缮改造任务完成率</w:t>
            </w:r>
          </w:p>
        </w:tc>
        <w:tc>
          <w:tcPr>
            <w:tcW w:w="2891" w:type="dxa"/>
            <w:vAlign w:val="center"/>
          </w:tcPr>
          <w:p>
            <w:pPr>
              <w:pStyle w:val="17"/>
            </w:pPr>
            <w:r>
              <w:t>修缮改造任务完成率</w:t>
            </w:r>
          </w:p>
        </w:tc>
        <w:tc>
          <w:tcPr>
            <w:tcW w:w="1276" w:type="dxa"/>
            <w:vAlign w:val="center"/>
          </w:tcPr>
          <w:p>
            <w:pPr>
              <w:pStyle w:val="17"/>
            </w:pPr>
            <w:r>
              <w:t>≥98%</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修复质量</w:t>
            </w:r>
          </w:p>
        </w:tc>
        <w:tc>
          <w:tcPr>
            <w:tcW w:w="2891" w:type="dxa"/>
            <w:vAlign w:val="center"/>
          </w:tcPr>
          <w:p>
            <w:pPr>
              <w:pStyle w:val="17"/>
            </w:pPr>
            <w:r>
              <w:t>修复质量</w:t>
            </w:r>
          </w:p>
        </w:tc>
        <w:tc>
          <w:tcPr>
            <w:tcW w:w="1276" w:type="dxa"/>
            <w:vAlign w:val="center"/>
          </w:tcPr>
          <w:p>
            <w:pPr>
              <w:pStyle w:val="17"/>
            </w:pPr>
            <w:r>
              <w:t>符合合同要求</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工期完成时间</w:t>
            </w:r>
          </w:p>
        </w:tc>
        <w:tc>
          <w:tcPr>
            <w:tcW w:w="2891" w:type="dxa"/>
            <w:vAlign w:val="center"/>
          </w:tcPr>
          <w:p>
            <w:pPr>
              <w:pStyle w:val="17"/>
            </w:pPr>
            <w:r>
              <w:t>工期完成程度</w:t>
            </w:r>
          </w:p>
        </w:tc>
        <w:tc>
          <w:tcPr>
            <w:tcW w:w="1276" w:type="dxa"/>
            <w:vAlign w:val="center"/>
          </w:tcPr>
          <w:p>
            <w:pPr>
              <w:pStyle w:val="17"/>
            </w:pPr>
            <w:r>
              <w:t>按时完成</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项目维修费用</w:t>
            </w:r>
          </w:p>
        </w:tc>
        <w:tc>
          <w:tcPr>
            <w:tcW w:w="2891" w:type="dxa"/>
            <w:vAlign w:val="center"/>
          </w:tcPr>
          <w:p>
            <w:pPr>
              <w:pStyle w:val="17"/>
            </w:pPr>
            <w:r>
              <w:t>项目完成所需费用</w:t>
            </w:r>
          </w:p>
        </w:tc>
        <w:tc>
          <w:tcPr>
            <w:tcW w:w="1276" w:type="dxa"/>
            <w:vAlign w:val="center"/>
          </w:tcPr>
          <w:p>
            <w:pPr>
              <w:pStyle w:val="17"/>
            </w:pPr>
            <w:r>
              <w:t>≤100%</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设备设施得到修缮加固</w:t>
            </w:r>
          </w:p>
        </w:tc>
        <w:tc>
          <w:tcPr>
            <w:tcW w:w="2891" w:type="dxa"/>
            <w:vAlign w:val="center"/>
          </w:tcPr>
          <w:p>
            <w:pPr>
              <w:pStyle w:val="17"/>
            </w:pPr>
            <w:r>
              <w:t>设备设施得到修缮加固</w:t>
            </w:r>
          </w:p>
        </w:tc>
        <w:tc>
          <w:tcPr>
            <w:tcW w:w="1276" w:type="dxa"/>
            <w:vAlign w:val="center"/>
          </w:tcPr>
          <w:p>
            <w:pPr>
              <w:pStyle w:val="17"/>
            </w:pPr>
            <w:r>
              <w:t>提高</w:t>
            </w:r>
          </w:p>
        </w:tc>
        <w:tc>
          <w:tcPr>
            <w:tcW w:w="1843" w:type="dxa"/>
            <w:vAlign w:val="center"/>
          </w:tcPr>
          <w:p>
            <w:pPr>
              <w:pStyle w:val="17"/>
            </w:pPr>
            <w:r>
              <w:t>根据合同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58.城区配水管网工程项目尾款绩效目标表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13062323P00007410002N</w:t>
            </w:r>
          </w:p>
        </w:tc>
        <w:tc>
          <w:tcPr>
            <w:tcW w:w="1587" w:type="dxa"/>
            <w:vAlign w:val="center"/>
          </w:tcPr>
          <w:p>
            <w:pPr>
              <w:pStyle w:val="15"/>
            </w:pPr>
            <w:r>
              <w:t>项目名称</w:t>
            </w:r>
          </w:p>
        </w:tc>
        <w:tc>
          <w:tcPr>
            <w:tcW w:w="4422" w:type="dxa"/>
            <w:gridSpan w:val="3"/>
            <w:vAlign w:val="center"/>
          </w:tcPr>
          <w:p>
            <w:pPr>
              <w:pStyle w:val="17"/>
            </w:pPr>
            <w:r>
              <w:t>城区配水管网工程项目尾款</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660.88</w:t>
            </w:r>
          </w:p>
        </w:tc>
        <w:tc>
          <w:tcPr>
            <w:tcW w:w="1587" w:type="dxa"/>
            <w:vAlign w:val="center"/>
          </w:tcPr>
          <w:p>
            <w:pPr>
              <w:pStyle w:val="15"/>
            </w:pPr>
            <w:r>
              <w:t>其中：财政    资金</w:t>
            </w:r>
          </w:p>
        </w:tc>
        <w:tc>
          <w:tcPr>
            <w:tcW w:w="1304" w:type="dxa"/>
            <w:vAlign w:val="center"/>
          </w:tcPr>
          <w:p>
            <w:pPr>
              <w:pStyle w:val="17"/>
            </w:pPr>
            <w:r>
              <w:t>660.88</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我县城区配水管网工程投资合同价8370万元，该工程2018年10月份竣工验收，并经审计，该工程审定金额8026.19万元，已累计支付工程款7365.31万元，尚欠工程尾款660.88万元。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660.88</w:t>
            </w:r>
          </w:p>
        </w:tc>
        <w:tc>
          <w:tcPr>
            <w:tcW w:w="1304" w:type="dxa"/>
            <w:vAlign w:val="center"/>
          </w:tcPr>
          <w:p>
            <w:pPr>
              <w:pStyle w:val="18"/>
            </w:pPr>
            <w:r>
              <w:t>660.88</w:t>
            </w:r>
          </w:p>
        </w:tc>
        <w:tc>
          <w:tcPr>
            <w:tcW w:w="3118" w:type="dxa"/>
            <w:gridSpan w:val="2"/>
            <w:vAlign w:val="center"/>
          </w:tcPr>
          <w:p>
            <w:pPr>
              <w:pStyle w:val="18"/>
            </w:pPr>
            <w:r>
              <w:t>660.88</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1.我县城区配水管网工程投资合同价8370万元，该工程2018年10月份竣工验收，并经审计，该工程审定金额8026.19万元，已累计支付工程款7365.31万元，尚欠工程尾款660.88万元。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偿还工程尾款件数</w:t>
            </w:r>
          </w:p>
        </w:tc>
        <w:tc>
          <w:tcPr>
            <w:tcW w:w="2891" w:type="dxa"/>
            <w:vAlign w:val="center"/>
          </w:tcPr>
          <w:p>
            <w:pPr>
              <w:pStyle w:val="17"/>
            </w:pPr>
            <w:r>
              <w:t>偿还工程尾款件数</w:t>
            </w:r>
          </w:p>
        </w:tc>
        <w:tc>
          <w:tcPr>
            <w:tcW w:w="1276" w:type="dxa"/>
            <w:vAlign w:val="center"/>
          </w:tcPr>
          <w:p>
            <w:pPr>
              <w:pStyle w:val="17"/>
            </w:pPr>
            <w:r>
              <w:t>1件</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偿还工作完成率</w:t>
            </w:r>
          </w:p>
        </w:tc>
        <w:tc>
          <w:tcPr>
            <w:tcW w:w="2891" w:type="dxa"/>
            <w:vAlign w:val="center"/>
          </w:tcPr>
          <w:p>
            <w:pPr>
              <w:pStyle w:val="17"/>
            </w:pPr>
            <w:r>
              <w:t>偿还工作完成率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偿还工作及时率</w:t>
            </w:r>
          </w:p>
        </w:tc>
        <w:tc>
          <w:tcPr>
            <w:tcW w:w="2891" w:type="dxa"/>
            <w:vAlign w:val="center"/>
          </w:tcPr>
          <w:p>
            <w:pPr>
              <w:pStyle w:val="17"/>
            </w:pPr>
            <w:r>
              <w:t>偿还工作及时率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≤660.88万元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提高政府公信力</w:t>
            </w:r>
          </w:p>
        </w:tc>
        <w:tc>
          <w:tcPr>
            <w:tcW w:w="2891" w:type="dxa"/>
            <w:vAlign w:val="center"/>
          </w:tcPr>
          <w:p>
            <w:pPr>
              <w:pStyle w:val="17"/>
            </w:pPr>
            <w:r>
              <w:t>提高政府公信力</w:t>
            </w:r>
          </w:p>
        </w:tc>
        <w:tc>
          <w:tcPr>
            <w:tcW w:w="1276" w:type="dxa"/>
            <w:vAlign w:val="center"/>
          </w:tcPr>
          <w:p>
            <w:pPr>
              <w:pStyle w:val="17"/>
            </w:pPr>
            <w:r>
              <w:t>提高政府公信力</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59.城市超标洪水预案编制费绩效目标表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13062323P00007610012X</w:t>
            </w:r>
          </w:p>
        </w:tc>
        <w:tc>
          <w:tcPr>
            <w:tcW w:w="1587" w:type="dxa"/>
            <w:vAlign w:val="center"/>
          </w:tcPr>
          <w:p>
            <w:pPr>
              <w:pStyle w:val="15"/>
            </w:pPr>
            <w:r>
              <w:t>项目名称</w:t>
            </w:r>
          </w:p>
        </w:tc>
        <w:tc>
          <w:tcPr>
            <w:tcW w:w="4422" w:type="dxa"/>
            <w:gridSpan w:val="3"/>
            <w:vAlign w:val="center"/>
          </w:tcPr>
          <w:p>
            <w:pPr>
              <w:pStyle w:val="17"/>
            </w:pPr>
            <w:r>
              <w:t>城市超标洪水预案编制费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w:t>
            </w:r>
          </w:p>
        </w:tc>
        <w:tc>
          <w:tcPr>
            <w:tcW w:w="1587" w:type="dxa"/>
            <w:vAlign w:val="center"/>
          </w:tcPr>
          <w:p>
            <w:pPr>
              <w:pStyle w:val="15"/>
            </w:pPr>
            <w:r>
              <w:t>其中：财政    资金</w:t>
            </w:r>
          </w:p>
        </w:tc>
        <w:tc>
          <w:tcPr>
            <w:tcW w:w="1304" w:type="dxa"/>
            <w:vAlign w:val="center"/>
          </w:tcPr>
          <w:p>
            <w:pPr>
              <w:pStyle w:val="17"/>
            </w:pPr>
            <w:r>
              <w:t>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根据省厅下达《关于修订城市（县城）超标洪水防御预案的通知》的要求，需完善编制我县城市（县城）超标洪水防御预案。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w:t>
            </w:r>
          </w:p>
        </w:tc>
        <w:tc>
          <w:tcPr>
            <w:tcW w:w="3118" w:type="dxa"/>
            <w:gridSpan w:val="2"/>
            <w:vAlign w:val="center"/>
          </w:tcPr>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1.根据省厅下达《关于修订城市（县城）超标洪水防御预案的通知》的要求，需完善编制我县城市（县城）超标洪水防御预案。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方案编制完成数量</w:t>
            </w:r>
          </w:p>
        </w:tc>
        <w:tc>
          <w:tcPr>
            <w:tcW w:w="2891" w:type="dxa"/>
            <w:vAlign w:val="center"/>
          </w:tcPr>
          <w:p>
            <w:pPr>
              <w:pStyle w:val="17"/>
            </w:pPr>
            <w:r>
              <w:t>方案编制完成数量</w:t>
            </w:r>
          </w:p>
        </w:tc>
        <w:tc>
          <w:tcPr>
            <w:tcW w:w="1276" w:type="dxa"/>
            <w:vAlign w:val="center"/>
          </w:tcPr>
          <w:p>
            <w:pPr>
              <w:pStyle w:val="17"/>
            </w:pPr>
            <w:r>
              <w:t>≥1册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方案编制工作完成率</w:t>
            </w:r>
          </w:p>
        </w:tc>
        <w:tc>
          <w:tcPr>
            <w:tcW w:w="2891" w:type="dxa"/>
            <w:vAlign w:val="center"/>
          </w:tcPr>
          <w:p>
            <w:pPr>
              <w:pStyle w:val="17"/>
            </w:pPr>
            <w:r>
              <w:t>方案编制工作完成率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任务完成及时率</w:t>
            </w:r>
          </w:p>
        </w:tc>
        <w:tc>
          <w:tcPr>
            <w:tcW w:w="2891" w:type="dxa"/>
            <w:vAlign w:val="center"/>
          </w:tcPr>
          <w:p>
            <w:pPr>
              <w:pStyle w:val="17"/>
            </w:pPr>
            <w:r>
              <w:t>任务完成及时率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事故下降率</w:t>
            </w:r>
          </w:p>
        </w:tc>
        <w:tc>
          <w:tcPr>
            <w:tcW w:w="2891" w:type="dxa"/>
            <w:vAlign w:val="center"/>
          </w:tcPr>
          <w:p>
            <w:pPr>
              <w:pStyle w:val="17"/>
            </w:pPr>
            <w:r>
              <w:t>事故下降率</w:t>
            </w:r>
          </w:p>
        </w:tc>
        <w:tc>
          <w:tcPr>
            <w:tcW w:w="1276" w:type="dxa"/>
            <w:vAlign w:val="center"/>
          </w:tcPr>
          <w:p>
            <w:pPr>
              <w:pStyle w:val="17"/>
            </w:pPr>
            <w:r>
              <w:t>≥95%</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60.城市道路挖掘费绩效目标表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13062323P00007910001F</w:t>
            </w:r>
          </w:p>
        </w:tc>
        <w:tc>
          <w:tcPr>
            <w:tcW w:w="1587" w:type="dxa"/>
            <w:vAlign w:val="center"/>
          </w:tcPr>
          <w:p>
            <w:pPr>
              <w:pStyle w:val="15"/>
            </w:pPr>
            <w:r>
              <w:t>项目名称</w:t>
            </w:r>
          </w:p>
        </w:tc>
        <w:tc>
          <w:tcPr>
            <w:tcW w:w="4422" w:type="dxa"/>
            <w:gridSpan w:val="3"/>
            <w:vAlign w:val="center"/>
          </w:tcPr>
          <w:p>
            <w:pPr>
              <w:pStyle w:val="17"/>
            </w:pPr>
            <w:r>
              <w:t>城市道路挖掘费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29.89</w:t>
            </w:r>
          </w:p>
        </w:tc>
        <w:tc>
          <w:tcPr>
            <w:tcW w:w="1587" w:type="dxa"/>
            <w:vAlign w:val="center"/>
          </w:tcPr>
          <w:p>
            <w:pPr>
              <w:pStyle w:val="15"/>
            </w:pPr>
            <w:r>
              <w:t>其中：财政    资金</w:t>
            </w:r>
          </w:p>
        </w:tc>
        <w:tc>
          <w:tcPr>
            <w:tcW w:w="1304" w:type="dxa"/>
            <w:vAlign w:val="center"/>
          </w:tcPr>
          <w:p>
            <w:pPr>
              <w:pStyle w:val="17"/>
            </w:pPr>
            <w:r>
              <w:t>29.89</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农村生活水源江水置换项目拉管施工，需挖掘路面1105平方米，根据《河北省公路路产赔偿标准》相关规定，缴纳挖掘路面赔偿费。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29.89</w:t>
            </w:r>
          </w:p>
        </w:tc>
        <w:tc>
          <w:tcPr>
            <w:tcW w:w="1304" w:type="dxa"/>
            <w:vAlign w:val="center"/>
          </w:tcPr>
          <w:p>
            <w:pPr>
              <w:pStyle w:val="18"/>
            </w:pPr>
            <w:r>
              <w:t>29.89</w:t>
            </w:r>
          </w:p>
        </w:tc>
        <w:tc>
          <w:tcPr>
            <w:tcW w:w="3118" w:type="dxa"/>
            <w:gridSpan w:val="2"/>
            <w:vAlign w:val="center"/>
          </w:tcPr>
          <w:p>
            <w:pPr>
              <w:pStyle w:val="18"/>
            </w:pPr>
            <w:r>
              <w:t>29.89</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1.农村生活水源江水置换项目拉管施工，需挖掘路面1105平方米，根据《河北省公路路产赔偿标准》相关规定，缴纳挖掘路面赔偿费。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挖掘道路面积</w:t>
            </w:r>
          </w:p>
        </w:tc>
        <w:tc>
          <w:tcPr>
            <w:tcW w:w="2891" w:type="dxa"/>
            <w:vAlign w:val="center"/>
          </w:tcPr>
          <w:p>
            <w:pPr>
              <w:pStyle w:val="17"/>
            </w:pPr>
            <w:r>
              <w:t>挖掘道路面积</w:t>
            </w:r>
          </w:p>
        </w:tc>
        <w:tc>
          <w:tcPr>
            <w:tcW w:w="1276" w:type="dxa"/>
            <w:vAlign w:val="center"/>
          </w:tcPr>
          <w:p>
            <w:pPr>
              <w:pStyle w:val="17"/>
            </w:pPr>
            <w:r>
              <w:t>1105平方米</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恢复工作完成率</w:t>
            </w:r>
          </w:p>
        </w:tc>
        <w:tc>
          <w:tcPr>
            <w:tcW w:w="2891" w:type="dxa"/>
            <w:vAlign w:val="center"/>
          </w:tcPr>
          <w:p>
            <w:pPr>
              <w:pStyle w:val="17"/>
            </w:pPr>
            <w:r>
              <w:t>恢复路面工作完成率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任务完成及时率</w:t>
            </w:r>
          </w:p>
        </w:tc>
        <w:tc>
          <w:tcPr>
            <w:tcW w:w="2891" w:type="dxa"/>
            <w:vAlign w:val="center"/>
          </w:tcPr>
          <w:p>
            <w:pPr>
              <w:pStyle w:val="17"/>
            </w:pPr>
            <w:r>
              <w:t>任务完成及时率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≤29.89万元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恢复道路交通，确保安全施工</w:t>
            </w:r>
          </w:p>
        </w:tc>
        <w:tc>
          <w:tcPr>
            <w:tcW w:w="2891" w:type="dxa"/>
            <w:vAlign w:val="center"/>
          </w:tcPr>
          <w:p>
            <w:pPr>
              <w:pStyle w:val="17"/>
            </w:pPr>
            <w:r>
              <w:t>恢复道路交通，确保安全施工</w:t>
            </w:r>
          </w:p>
        </w:tc>
        <w:tc>
          <w:tcPr>
            <w:tcW w:w="1276" w:type="dxa"/>
            <w:vAlign w:val="center"/>
          </w:tcPr>
          <w:p>
            <w:pPr>
              <w:pStyle w:val="17"/>
            </w:pPr>
            <w:r>
              <w:t>恢复道路交通，确保安全施工</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61.城市花园项目粮补及解决遗留土地问题资金绩效目标表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13062323P009408100311</w:t>
            </w:r>
          </w:p>
        </w:tc>
        <w:tc>
          <w:tcPr>
            <w:tcW w:w="1587" w:type="dxa"/>
            <w:vAlign w:val="center"/>
          </w:tcPr>
          <w:p>
            <w:pPr>
              <w:pStyle w:val="15"/>
            </w:pPr>
            <w:r>
              <w:t>项目名称</w:t>
            </w:r>
          </w:p>
        </w:tc>
        <w:tc>
          <w:tcPr>
            <w:tcW w:w="4422" w:type="dxa"/>
            <w:gridSpan w:val="3"/>
            <w:vAlign w:val="center"/>
          </w:tcPr>
          <w:p>
            <w:pPr>
              <w:pStyle w:val="17"/>
            </w:pPr>
            <w:r>
              <w:t>城市花园项目粮补及解决遗留土地问题资金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377.34</w:t>
            </w:r>
          </w:p>
        </w:tc>
        <w:tc>
          <w:tcPr>
            <w:tcW w:w="1587" w:type="dxa"/>
            <w:vAlign w:val="center"/>
          </w:tcPr>
          <w:p>
            <w:pPr>
              <w:pStyle w:val="15"/>
            </w:pPr>
            <w:r>
              <w:t>其中：财政    资金</w:t>
            </w:r>
          </w:p>
        </w:tc>
        <w:tc>
          <w:tcPr>
            <w:tcW w:w="1304" w:type="dxa"/>
            <w:vAlign w:val="center"/>
          </w:tcPr>
          <w:p>
            <w:pPr>
              <w:pStyle w:val="17"/>
            </w:pPr>
            <w:r>
              <w:t>377.34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解决粮补遗留问题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90.00</w:t>
            </w:r>
          </w:p>
        </w:tc>
        <w:tc>
          <w:tcPr>
            <w:tcW w:w="1587" w:type="dxa"/>
            <w:vAlign w:val="center"/>
          </w:tcPr>
          <w:p>
            <w:pPr>
              <w:pStyle w:val="18"/>
            </w:pPr>
            <w:r>
              <w:t>180.00</w:t>
            </w:r>
          </w:p>
        </w:tc>
        <w:tc>
          <w:tcPr>
            <w:tcW w:w="1304" w:type="dxa"/>
            <w:vAlign w:val="center"/>
          </w:tcPr>
          <w:p>
            <w:pPr>
              <w:pStyle w:val="18"/>
            </w:pPr>
            <w:r>
              <w:t>270.00</w:t>
            </w:r>
          </w:p>
        </w:tc>
        <w:tc>
          <w:tcPr>
            <w:tcW w:w="3118" w:type="dxa"/>
            <w:gridSpan w:val="2"/>
            <w:vAlign w:val="center"/>
          </w:tcPr>
          <w:p>
            <w:pPr>
              <w:pStyle w:val="18"/>
            </w:pPr>
            <w:r>
              <w:t>377.34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1.粮食补贴款拨付后尽快发放到位。</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时效指标</w:t>
            </w:r>
          </w:p>
        </w:tc>
        <w:tc>
          <w:tcPr>
            <w:tcW w:w="1332" w:type="dxa"/>
            <w:vAlign w:val="center"/>
          </w:tcPr>
          <w:p>
            <w:pPr>
              <w:pStyle w:val="17"/>
            </w:pPr>
            <w:r>
              <w:t>补贴资金到位率</w:t>
            </w:r>
          </w:p>
        </w:tc>
        <w:tc>
          <w:tcPr>
            <w:tcW w:w="2891" w:type="dxa"/>
            <w:vAlign w:val="center"/>
          </w:tcPr>
          <w:p>
            <w:pPr>
              <w:pStyle w:val="17"/>
            </w:pPr>
            <w:r>
              <w:t>实际到位补贴资金占应到位资金的比例</w:t>
            </w:r>
          </w:p>
        </w:tc>
        <w:tc>
          <w:tcPr>
            <w:tcW w:w="1276" w:type="dxa"/>
            <w:vAlign w:val="center"/>
          </w:tcPr>
          <w:p>
            <w:pPr>
              <w:pStyle w:val="17"/>
            </w:pPr>
            <w:r>
              <w:t>≥95百分比</w:t>
            </w:r>
          </w:p>
        </w:tc>
        <w:tc>
          <w:tcPr>
            <w:tcW w:w="1843" w:type="dxa"/>
            <w:vAlign w:val="center"/>
          </w:tcPr>
          <w:p>
            <w:pPr>
              <w:pStyle w:val="17"/>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补贴资金发放任务完成情况</w:t>
            </w:r>
          </w:p>
        </w:tc>
        <w:tc>
          <w:tcPr>
            <w:tcW w:w="1276" w:type="dxa"/>
            <w:vAlign w:val="center"/>
          </w:tcPr>
          <w:p>
            <w:pPr>
              <w:pStyle w:val="17"/>
            </w:pPr>
            <w:r>
              <w:t>≥95百分比</w:t>
            </w:r>
          </w:p>
        </w:tc>
        <w:tc>
          <w:tcPr>
            <w:tcW w:w="1843" w:type="dxa"/>
            <w:vAlign w:val="center"/>
          </w:tcPr>
          <w:p>
            <w:pPr>
              <w:pStyle w:val="17"/>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≤377.34万元</w:t>
            </w:r>
          </w:p>
        </w:tc>
        <w:tc>
          <w:tcPr>
            <w:tcW w:w="1843" w:type="dxa"/>
            <w:vAlign w:val="center"/>
          </w:tcPr>
          <w:p>
            <w:pPr>
              <w:pStyle w:val="17"/>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补贴资金发放率</w:t>
            </w:r>
          </w:p>
        </w:tc>
        <w:tc>
          <w:tcPr>
            <w:tcW w:w="2891" w:type="dxa"/>
            <w:vAlign w:val="center"/>
          </w:tcPr>
          <w:p>
            <w:pPr>
              <w:pStyle w:val="17"/>
            </w:pPr>
            <w:r>
              <w:t>补贴资金发放完成率</w:t>
            </w:r>
          </w:p>
        </w:tc>
        <w:tc>
          <w:tcPr>
            <w:tcW w:w="1276" w:type="dxa"/>
            <w:vAlign w:val="center"/>
          </w:tcPr>
          <w:p>
            <w:pPr>
              <w:pStyle w:val="17"/>
            </w:pPr>
            <w:r>
              <w:t>≥95百分比</w:t>
            </w:r>
          </w:p>
        </w:tc>
        <w:tc>
          <w:tcPr>
            <w:tcW w:w="1843" w:type="dxa"/>
            <w:vAlign w:val="center"/>
          </w:tcPr>
          <w:p>
            <w:pPr>
              <w:pStyle w:val="17"/>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社会稳定水平</w:t>
            </w:r>
          </w:p>
        </w:tc>
        <w:tc>
          <w:tcPr>
            <w:tcW w:w="2891" w:type="dxa"/>
            <w:vAlign w:val="center"/>
          </w:tcPr>
          <w:p>
            <w:pPr>
              <w:pStyle w:val="17"/>
            </w:pPr>
            <w:r>
              <w:t>通过补贴资金的及时发放促进社会稳定水平逐步提高</w:t>
            </w:r>
          </w:p>
        </w:tc>
        <w:tc>
          <w:tcPr>
            <w:tcW w:w="1276" w:type="dxa"/>
            <w:vAlign w:val="center"/>
          </w:tcPr>
          <w:p>
            <w:pPr>
              <w:pStyle w:val="17"/>
            </w:pPr>
            <w:r>
              <w:t>≥95百分比</w:t>
            </w:r>
          </w:p>
        </w:tc>
        <w:tc>
          <w:tcPr>
            <w:tcW w:w="1843" w:type="dxa"/>
            <w:vAlign w:val="center"/>
          </w:tcPr>
          <w:p>
            <w:pPr>
              <w:pStyle w:val="17"/>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文件要求</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62.德成路祖冲之大街至遒城街安装交通隔离护栏绩效目标表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13062323P00940810041W</w:t>
            </w:r>
          </w:p>
        </w:tc>
        <w:tc>
          <w:tcPr>
            <w:tcW w:w="1587" w:type="dxa"/>
            <w:vAlign w:val="center"/>
          </w:tcPr>
          <w:p>
            <w:pPr>
              <w:pStyle w:val="15"/>
            </w:pPr>
            <w:r>
              <w:t>项目名称</w:t>
            </w:r>
          </w:p>
        </w:tc>
        <w:tc>
          <w:tcPr>
            <w:tcW w:w="4422" w:type="dxa"/>
            <w:gridSpan w:val="3"/>
            <w:vAlign w:val="center"/>
          </w:tcPr>
          <w:p>
            <w:pPr>
              <w:pStyle w:val="17"/>
            </w:pPr>
            <w:r>
              <w:t>德成路祖冲之大街至遒城街安装交通隔离护栏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12.80</w:t>
            </w:r>
          </w:p>
        </w:tc>
        <w:tc>
          <w:tcPr>
            <w:tcW w:w="1587" w:type="dxa"/>
            <w:vAlign w:val="center"/>
          </w:tcPr>
          <w:p>
            <w:pPr>
              <w:pStyle w:val="15"/>
            </w:pPr>
            <w:r>
              <w:t>其中：财政    资金</w:t>
            </w:r>
          </w:p>
        </w:tc>
        <w:tc>
          <w:tcPr>
            <w:tcW w:w="1304" w:type="dxa"/>
            <w:vAlign w:val="center"/>
          </w:tcPr>
          <w:p>
            <w:pPr>
              <w:pStyle w:val="17"/>
            </w:pPr>
            <w:r>
              <w:t>12.80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缓解城市交通拥堵，维护道路交通安全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3.20</w:t>
            </w:r>
          </w:p>
        </w:tc>
        <w:tc>
          <w:tcPr>
            <w:tcW w:w="1587" w:type="dxa"/>
            <w:vAlign w:val="center"/>
          </w:tcPr>
          <w:p>
            <w:pPr>
              <w:pStyle w:val="18"/>
            </w:pPr>
            <w:r>
              <w:t>6.40</w:t>
            </w:r>
          </w:p>
        </w:tc>
        <w:tc>
          <w:tcPr>
            <w:tcW w:w="1304" w:type="dxa"/>
            <w:vAlign w:val="center"/>
          </w:tcPr>
          <w:p>
            <w:pPr>
              <w:pStyle w:val="18"/>
            </w:pPr>
            <w:r>
              <w:t>9.60</w:t>
            </w:r>
          </w:p>
        </w:tc>
        <w:tc>
          <w:tcPr>
            <w:tcW w:w="3118" w:type="dxa"/>
            <w:gridSpan w:val="2"/>
            <w:vAlign w:val="center"/>
          </w:tcPr>
          <w:p>
            <w:pPr>
              <w:pStyle w:val="18"/>
            </w:pPr>
            <w:r>
              <w:t>12.80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1.缓解城市交通拥堵，维护道路交通安全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购置产品使用时长</w:t>
            </w:r>
          </w:p>
        </w:tc>
        <w:tc>
          <w:tcPr>
            <w:tcW w:w="2891" w:type="dxa"/>
            <w:vAlign w:val="center"/>
          </w:tcPr>
          <w:p>
            <w:pPr>
              <w:pStyle w:val="17"/>
            </w:pPr>
            <w:r>
              <w:t>购置产品使用时长</w:t>
            </w:r>
          </w:p>
        </w:tc>
        <w:tc>
          <w:tcPr>
            <w:tcW w:w="1276" w:type="dxa"/>
            <w:vAlign w:val="center"/>
          </w:tcPr>
          <w:p>
            <w:pPr>
              <w:pStyle w:val="17"/>
            </w:pPr>
            <w:r>
              <w:t>≥5年</w:t>
            </w:r>
          </w:p>
        </w:tc>
        <w:tc>
          <w:tcPr>
            <w:tcW w:w="1843" w:type="dxa"/>
            <w:vAlign w:val="center"/>
          </w:tcPr>
          <w:p>
            <w:pPr>
              <w:pStyle w:val="17"/>
            </w:pPr>
            <w:r>
              <w:t>完成指标值比率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产品合格率（%）</w:t>
            </w:r>
          </w:p>
        </w:tc>
        <w:tc>
          <w:tcPr>
            <w:tcW w:w="2891" w:type="dxa"/>
            <w:vAlign w:val="center"/>
          </w:tcPr>
          <w:p>
            <w:pPr>
              <w:pStyle w:val="17"/>
            </w:pPr>
            <w:r>
              <w:t>产品合格率（%）</w:t>
            </w:r>
          </w:p>
        </w:tc>
        <w:tc>
          <w:tcPr>
            <w:tcW w:w="1276" w:type="dxa"/>
            <w:vAlign w:val="center"/>
          </w:tcPr>
          <w:p>
            <w:pPr>
              <w:pStyle w:val="17"/>
            </w:pPr>
            <w:r>
              <w:t>≥100百分比</w:t>
            </w:r>
          </w:p>
        </w:tc>
        <w:tc>
          <w:tcPr>
            <w:tcW w:w="1843" w:type="dxa"/>
            <w:vAlign w:val="center"/>
          </w:tcPr>
          <w:p>
            <w:pPr>
              <w:pStyle w:val="17"/>
            </w:pPr>
            <w:r>
              <w:t>根据行业标准</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≥95百分比</w:t>
            </w:r>
          </w:p>
        </w:tc>
        <w:tc>
          <w:tcPr>
            <w:tcW w:w="1843" w:type="dxa"/>
            <w:vAlign w:val="center"/>
          </w:tcPr>
          <w:p>
            <w:pPr>
              <w:pStyle w:val="17"/>
            </w:pPr>
            <w:r>
              <w:t>根据行业标准</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12.8万元</w:t>
            </w:r>
          </w:p>
        </w:tc>
        <w:tc>
          <w:tcPr>
            <w:tcW w:w="1843" w:type="dxa"/>
            <w:vAlign w:val="center"/>
          </w:tcPr>
          <w:p>
            <w:pPr>
              <w:pStyle w:val="17"/>
            </w:pPr>
            <w:r>
              <w:t>实际测算需求</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缓解城市交通拥堵，维护道路交通安全</w:t>
            </w:r>
          </w:p>
        </w:tc>
        <w:tc>
          <w:tcPr>
            <w:tcW w:w="2891" w:type="dxa"/>
            <w:vAlign w:val="center"/>
          </w:tcPr>
          <w:p>
            <w:pPr>
              <w:pStyle w:val="17"/>
            </w:pPr>
            <w:r>
              <w:t>缓解城市交通拥堵，维护道路交通安全</w:t>
            </w:r>
          </w:p>
        </w:tc>
        <w:tc>
          <w:tcPr>
            <w:tcW w:w="1276" w:type="dxa"/>
            <w:vAlign w:val="center"/>
          </w:tcPr>
          <w:p>
            <w:pPr>
              <w:pStyle w:val="17"/>
            </w:pPr>
            <w:r>
              <w:t>良好</w:t>
            </w:r>
          </w:p>
        </w:tc>
        <w:tc>
          <w:tcPr>
            <w:tcW w:w="1843" w:type="dxa"/>
            <w:vAlign w:val="center"/>
          </w:tcPr>
          <w:p>
            <w:pPr>
              <w:pStyle w:val="17"/>
            </w:pPr>
            <w:r>
              <w:t>缓解城市交通拥堵维护道路交通安全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满意度和较满意度占满意度的百分比</w:t>
            </w:r>
          </w:p>
        </w:tc>
        <w:tc>
          <w:tcPr>
            <w:tcW w:w="1276" w:type="dxa"/>
            <w:vAlign w:val="center"/>
          </w:tcPr>
          <w:p>
            <w:pPr>
              <w:pStyle w:val="17"/>
            </w:pPr>
            <w:r>
              <w:t>≥95百分比</w:t>
            </w:r>
          </w:p>
        </w:tc>
        <w:tc>
          <w:tcPr>
            <w:tcW w:w="1843" w:type="dxa"/>
            <w:vAlign w:val="center"/>
          </w:tcPr>
          <w:p>
            <w:pPr>
              <w:pStyle w:val="17"/>
            </w:pPr>
            <w:r>
              <w:t>完成指标值比率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63.对供水公司补贴绩效目标表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13062323P00008010001K</w:t>
            </w:r>
          </w:p>
        </w:tc>
        <w:tc>
          <w:tcPr>
            <w:tcW w:w="1587" w:type="dxa"/>
            <w:vAlign w:val="center"/>
          </w:tcPr>
          <w:p>
            <w:pPr>
              <w:pStyle w:val="15"/>
            </w:pPr>
            <w:r>
              <w:t>项目名称</w:t>
            </w:r>
          </w:p>
        </w:tc>
        <w:tc>
          <w:tcPr>
            <w:tcW w:w="4422" w:type="dxa"/>
            <w:gridSpan w:val="3"/>
            <w:vAlign w:val="center"/>
          </w:tcPr>
          <w:p>
            <w:pPr>
              <w:pStyle w:val="17"/>
            </w:pPr>
            <w:r>
              <w:t>对供水公司补贴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1402.25</w:t>
            </w:r>
          </w:p>
        </w:tc>
        <w:tc>
          <w:tcPr>
            <w:tcW w:w="1587" w:type="dxa"/>
            <w:vAlign w:val="center"/>
          </w:tcPr>
          <w:p>
            <w:pPr>
              <w:pStyle w:val="15"/>
            </w:pPr>
            <w:r>
              <w:t>其中：财政    资金</w:t>
            </w:r>
          </w:p>
        </w:tc>
        <w:tc>
          <w:tcPr>
            <w:tcW w:w="1304" w:type="dxa"/>
            <w:vAlign w:val="center"/>
          </w:tcPr>
          <w:p>
            <w:pPr>
              <w:pStyle w:val="17"/>
            </w:pPr>
            <w:r>
              <w:t>1402.25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根据《涞水县人民政府关于成立涞水县永源供水有限公司的批复》和涞水县第十六届人民政府第六十八次常务会议纪要，成立永源供水公司，购买文山供水有限公司资产，支付永源公司贷款利息及本金。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300.00</w:t>
            </w:r>
          </w:p>
        </w:tc>
        <w:tc>
          <w:tcPr>
            <w:tcW w:w="1304" w:type="dxa"/>
            <w:vAlign w:val="center"/>
          </w:tcPr>
          <w:p>
            <w:pPr>
              <w:pStyle w:val="18"/>
            </w:pPr>
            <w:r>
              <w:t>800.00</w:t>
            </w:r>
          </w:p>
        </w:tc>
        <w:tc>
          <w:tcPr>
            <w:tcW w:w="3118" w:type="dxa"/>
            <w:gridSpan w:val="2"/>
            <w:vAlign w:val="center"/>
          </w:tcPr>
          <w:p>
            <w:pPr>
              <w:pStyle w:val="18"/>
            </w:pPr>
            <w:r>
              <w:t>1402.25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1.根据《涞水县人民政府关于成立涞水县永源供水有限公司的批复》和涞水县第十六届人民政府第六十八次常务会议纪要，成立永源供水公司，购买文山供水有限公司资产，支付永源公司贷款利息及本金。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支付贷款利息及本金年数</w:t>
            </w:r>
          </w:p>
        </w:tc>
        <w:tc>
          <w:tcPr>
            <w:tcW w:w="2891" w:type="dxa"/>
            <w:vAlign w:val="center"/>
          </w:tcPr>
          <w:p>
            <w:pPr>
              <w:pStyle w:val="17"/>
            </w:pPr>
            <w:r>
              <w:t>支付贷款利息及本金年数</w:t>
            </w:r>
          </w:p>
        </w:tc>
        <w:tc>
          <w:tcPr>
            <w:tcW w:w="1276" w:type="dxa"/>
            <w:vAlign w:val="center"/>
          </w:tcPr>
          <w:p>
            <w:pPr>
              <w:pStyle w:val="17"/>
            </w:pPr>
            <w:r>
              <w:t>1年</w:t>
            </w:r>
          </w:p>
        </w:tc>
        <w:tc>
          <w:tcPr>
            <w:tcW w:w="1843" w:type="dxa"/>
            <w:vAlign w:val="center"/>
          </w:tcPr>
          <w:p>
            <w:pPr>
              <w:pStyle w:val="17"/>
            </w:pPr>
            <w: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偿还工作完成率</w:t>
            </w:r>
          </w:p>
        </w:tc>
        <w:tc>
          <w:tcPr>
            <w:tcW w:w="2891" w:type="dxa"/>
            <w:vAlign w:val="center"/>
          </w:tcPr>
          <w:p>
            <w:pPr>
              <w:pStyle w:val="17"/>
            </w:pPr>
            <w:r>
              <w:t>偿还工作完成率</w:t>
            </w:r>
          </w:p>
        </w:tc>
        <w:tc>
          <w:tcPr>
            <w:tcW w:w="1276" w:type="dxa"/>
            <w:vAlign w:val="center"/>
          </w:tcPr>
          <w:p>
            <w:pPr>
              <w:pStyle w:val="17"/>
            </w:pPr>
            <w:r>
              <w:t>≥95%</w:t>
            </w:r>
          </w:p>
        </w:tc>
        <w:tc>
          <w:tcPr>
            <w:tcW w:w="1843" w:type="dxa"/>
            <w:vAlign w:val="center"/>
          </w:tcPr>
          <w:p>
            <w:pPr>
              <w:pStyle w:val="17"/>
            </w:pPr>
            <w: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偿还及时率</w:t>
            </w:r>
          </w:p>
        </w:tc>
        <w:tc>
          <w:tcPr>
            <w:tcW w:w="2891" w:type="dxa"/>
            <w:vAlign w:val="center"/>
          </w:tcPr>
          <w:p>
            <w:pPr>
              <w:pStyle w:val="17"/>
            </w:pPr>
            <w:r>
              <w:t>偿还及时率</w:t>
            </w:r>
          </w:p>
        </w:tc>
        <w:tc>
          <w:tcPr>
            <w:tcW w:w="1276" w:type="dxa"/>
            <w:vAlign w:val="center"/>
          </w:tcPr>
          <w:p>
            <w:pPr>
              <w:pStyle w:val="17"/>
            </w:pPr>
            <w:r>
              <w:t>≥95%</w:t>
            </w:r>
          </w:p>
        </w:tc>
        <w:tc>
          <w:tcPr>
            <w:tcW w:w="1843" w:type="dxa"/>
            <w:vAlign w:val="center"/>
          </w:tcPr>
          <w:p>
            <w:pPr>
              <w:pStyle w:val="17"/>
            </w:pPr>
            <w: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≤1402.25万元</w:t>
            </w:r>
          </w:p>
        </w:tc>
        <w:tc>
          <w:tcPr>
            <w:tcW w:w="1843" w:type="dxa"/>
            <w:vAlign w:val="center"/>
          </w:tcPr>
          <w:p>
            <w:pPr>
              <w:pStyle w:val="17"/>
            </w:pPr>
            <w: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优化资源配置，提高融资保障能力</w:t>
            </w:r>
          </w:p>
        </w:tc>
        <w:tc>
          <w:tcPr>
            <w:tcW w:w="2891" w:type="dxa"/>
            <w:vAlign w:val="center"/>
          </w:tcPr>
          <w:p>
            <w:pPr>
              <w:pStyle w:val="17"/>
            </w:pPr>
            <w:r>
              <w:t>优化资源配置，提高融资保障能力</w:t>
            </w:r>
          </w:p>
        </w:tc>
        <w:tc>
          <w:tcPr>
            <w:tcW w:w="1276" w:type="dxa"/>
            <w:vAlign w:val="center"/>
          </w:tcPr>
          <w:p>
            <w:pPr>
              <w:pStyle w:val="17"/>
            </w:pPr>
            <w:r>
              <w:t>优化资源配置，提高融资保障能力</w:t>
            </w:r>
          </w:p>
        </w:tc>
        <w:tc>
          <w:tcPr>
            <w:tcW w:w="1843" w:type="dxa"/>
            <w:vAlign w:val="center"/>
          </w:tcPr>
          <w:p>
            <w:pPr>
              <w:pStyle w:val="17"/>
            </w:pPr>
            <w: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合同方案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64.峨峪水库除险加固工程尾款绩效目标表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13062323P000070100020</w:t>
            </w:r>
          </w:p>
        </w:tc>
        <w:tc>
          <w:tcPr>
            <w:tcW w:w="1587" w:type="dxa"/>
            <w:vAlign w:val="center"/>
          </w:tcPr>
          <w:p>
            <w:pPr>
              <w:pStyle w:val="15"/>
            </w:pPr>
            <w:r>
              <w:t>项目名称</w:t>
            </w:r>
          </w:p>
        </w:tc>
        <w:tc>
          <w:tcPr>
            <w:tcW w:w="4422" w:type="dxa"/>
            <w:gridSpan w:val="3"/>
            <w:vAlign w:val="center"/>
          </w:tcPr>
          <w:p>
            <w:pPr>
              <w:pStyle w:val="17"/>
            </w:pPr>
            <w:r>
              <w:t>峨峪水库除险加固工程尾款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93.83</w:t>
            </w:r>
          </w:p>
        </w:tc>
        <w:tc>
          <w:tcPr>
            <w:tcW w:w="1587" w:type="dxa"/>
            <w:vAlign w:val="center"/>
          </w:tcPr>
          <w:p>
            <w:pPr>
              <w:pStyle w:val="15"/>
            </w:pPr>
            <w:r>
              <w:t>其中：财政    资金</w:t>
            </w:r>
          </w:p>
        </w:tc>
        <w:tc>
          <w:tcPr>
            <w:tcW w:w="1304" w:type="dxa"/>
            <w:vAlign w:val="center"/>
          </w:tcPr>
          <w:p>
            <w:pPr>
              <w:pStyle w:val="17"/>
            </w:pPr>
            <w:r>
              <w:t>93.83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根据2020年11月份省水利厅印发《关于开展2020年度水利基本建设项目及引调水工程配套与维护项目省级稽查的通知》我县需及时对峨峪水库除险加固，确保当地群众生命财产安全。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93.83</w:t>
            </w:r>
          </w:p>
        </w:tc>
        <w:tc>
          <w:tcPr>
            <w:tcW w:w="3118" w:type="dxa"/>
            <w:gridSpan w:val="2"/>
            <w:vAlign w:val="center"/>
          </w:tcPr>
          <w:p>
            <w:pPr>
              <w:pStyle w:val="18"/>
            </w:pPr>
            <w:r>
              <w:t>93.83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1.根据2020年11月份省水利厅印发《关于开展2020年度水利基本建设项目及引调水工程配套与维护项目省级稽查的通知》我县需及时对峨峪水库除险加固，确保当地群众生命财产安全。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完成水库除险加固数量</w:t>
            </w:r>
          </w:p>
        </w:tc>
        <w:tc>
          <w:tcPr>
            <w:tcW w:w="2891" w:type="dxa"/>
            <w:vAlign w:val="center"/>
          </w:tcPr>
          <w:p>
            <w:pPr>
              <w:pStyle w:val="17"/>
            </w:pPr>
            <w:r>
              <w:t>完成水库除险加固数量</w:t>
            </w:r>
          </w:p>
        </w:tc>
        <w:tc>
          <w:tcPr>
            <w:tcW w:w="1276" w:type="dxa"/>
            <w:vAlign w:val="center"/>
          </w:tcPr>
          <w:p>
            <w:pPr>
              <w:pStyle w:val="17"/>
            </w:pPr>
            <w:r>
              <w:t>1座</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任务完成及时率</w:t>
            </w:r>
          </w:p>
        </w:tc>
        <w:tc>
          <w:tcPr>
            <w:tcW w:w="2891" w:type="dxa"/>
            <w:vAlign w:val="center"/>
          </w:tcPr>
          <w:p>
            <w:pPr>
              <w:pStyle w:val="17"/>
            </w:pPr>
            <w:r>
              <w:t>任务完成及时率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≤93.83万元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降低事故发生率</w:t>
            </w:r>
          </w:p>
        </w:tc>
        <w:tc>
          <w:tcPr>
            <w:tcW w:w="2891" w:type="dxa"/>
            <w:vAlign w:val="center"/>
          </w:tcPr>
          <w:p>
            <w:pPr>
              <w:pStyle w:val="17"/>
            </w:pPr>
            <w:r>
              <w:t>降低事故发生率</w:t>
            </w:r>
          </w:p>
        </w:tc>
        <w:tc>
          <w:tcPr>
            <w:tcW w:w="1276" w:type="dxa"/>
            <w:vAlign w:val="center"/>
          </w:tcPr>
          <w:p>
            <w:pPr>
              <w:pStyle w:val="17"/>
            </w:pPr>
            <w:r>
              <w:t>减少事故发生率</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65.府前街街道面貌提升工程施工前后护栏拆除、安装费用绩效目标表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13062323P009408100409</w:t>
            </w:r>
          </w:p>
        </w:tc>
        <w:tc>
          <w:tcPr>
            <w:tcW w:w="1587" w:type="dxa"/>
            <w:vAlign w:val="center"/>
          </w:tcPr>
          <w:p>
            <w:pPr>
              <w:pStyle w:val="15"/>
            </w:pPr>
            <w:r>
              <w:t>项目名称</w:t>
            </w:r>
          </w:p>
        </w:tc>
        <w:tc>
          <w:tcPr>
            <w:tcW w:w="4422" w:type="dxa"/>
            <w:gridSpan w:val="3"/>
            <w:vAlign w:val="center"/>
          </w:tcPr>
          <w:p>
            <w:pPr>
              <w:pStyle w:val="17"/>
            </w:pPr>
            <w:r>
              <w:t>府前街街道面貌提升工程施工前后护栏拆除、安装费用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14.40</w:t>
            </w:r>
          </w:p>
        </w:tc>
        <w:tc>
          <w:tcPr>
            <w:tcW w:w="1587" w:type="dxa"/>
            <w:vAlign w:val="center"/>
          </w:tcPr>
          <w:p>
            <w:pPr>
              <w:pStyle w:val="15"/>
            </w:pPr>
            <w:r>
              <w:t>其中：财政    资金</w:t>
            </w:r>
          </w:p>
        </w:tc>
        <w:tc>
          <w:tcPr>
            <w:tcW w:w="1304" w:type="dxa"/>
            <w:vAlign w:val="center"/>
          </w:tcPr>
          <w:p>
            <w:pPr>
              <w:pStyle w:val="17"/>
            </w:pPr>
            <w:r>
              <w:t>14.40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提升府前街面貌，规范行人及车辆行驶安全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3.60</w:t>
            </w:r>
          </w:p>
        </w:tc>
        <w:tc>
          <w:tcPr>
            <w:tcW w:w="1587" w:type="dxa"/>
            <w:vAlign w:val="center"/>
          </w:tcPr>
          <w:p>
            <w:pPr>
              <w:pStyle w:val="18"/>
            </w:pPr>
            <w:r>
              <w:t>7.20</w:t>
            </w:r>
          </w:p>
        </w:tc>
        <w:tc>
          <w:tcPr>
            <w:tcW w:w="1304" w:type="dxa"/>
            <w:vAlign w:val="center"/>
          </w:tcPr>
          <w:p>
            <w:pPr>
              <w:pStyle w:val="18"/>
            </w:pPr>
            <w:r>
              <w:t>10.80</w:t>
            </w:r>
          </w:p>
        </w:tc>
        <w:tc>
          <w:tcPr>
            <w:tcW w:w="3118" w:type="dxa"/>
            <w:gridSpan w:val="2"/>
            <w:vAlign w:val="center"/>
          </w:tcPr>
          <w:p>
            <w:pPr>
              <w:pStyle w:val="18"/>
            </w:pPr>
            <w:r>
              <w:t>14.40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1.提升府前街面貌，规范行人及车辆行驶安全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拆除及安装护栏</w:t>
            </w:r>
          </w:p>
        </w:tc>
        <w:tc>
          <w:tcPr>
            <w:tcW w:w="2891" w:type="dxa"/>
            <w:vAlign w:val="center"/>
          </w:tcPr>
          <w:p>
            <w:pPr>
              <w:pStyle w:val="17"/>
            </w:pPr>
            <w:r>
              <w:t>1套</w:t>
            </w:r>
          </w:p>
        </w:tc>
        <w:tc>
          <w:tcPr>
            <w:tcW w:w="1276" w:type="dxa"/>
            <w:vAlign w:val="center"/>
          </w:tcPr>
          <w:p>
            <w:pPr>
              <w:pStyle w:val="17"/>
            </w:pPr>
            <w:r>
              <w:t>1套</w:t>
            </w:r>
          </w:p>
        </w:tc>
        <w:tc>
          <w:tcPr>
            <w:tcW w:w="1843" w:type="dxa"/>
            <w:vAlign w:val="center"/>
          </w:tcPr>
          <w:p>
            <w:pPr>
              <w:pStyle w:val="17"/>
            </w:pPr>
            <w:r>
              <w:t>根据县政府和领导批示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规范行人及车辆行驶</w:t>
            </w:r>
          </w:p>
        </w:tc>
        <w:tc>
          <w:tcPr>
            <w:tcW w:w="2891" w:type="dxa"/>
            <w:vAlign w:val="center"/>
          </w:tcPr>
          <w:p>
            <w:pPr>
              <w:pStyle w:val="17"/>
            </w:pPr>
            <w:r>
              <w:t>规范行人及车辆行驶</w:t>
            </w:r>
          </w:p>
        </w:tc>
        <w:tc>
          <w:tcPr>
            <w:tcW w:w="1276" w:type="dxa"/>
            <w:vAlign w:val="center"/>
          </w:tcPr>
          <w:p>
            <w:pPr>
              <w:pStyle w:val="17"/>
            </w:pPr>
            <w:r>
              <w:t>≥80百分比</w:t>
            </w:r>
          </w:p>
        </w:tc>
        <w:tc>
          <w:tcPr>
            <w:tcW w:w="1843" w:type="dxa"/>
            <w:vAlign w:val="center"/>
          </w:tcPr>
          <w:p>
            <w:pPr>
              <w:pStyle w:val="17"/>
            </w:pPr>
            <w:r>
              <w:t>根据县政府和领导批示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≥100百分比</w:t>
            </w:r>
          </w:p>
        </w:tc>
        <w:tc>
          <w:tcPr>
            <w:tcW w:w="1843" w:type="dxa"/>
            <w:vAlign w:val="center"/>
          </w:tcPr>
          <w:p>
            <w:pPr>
              <w:pStyle w:val="17"/>
            </w:pPr>
            <w:r>
              <w:t>根据县政府和领导批示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拆除及安装护栏</w:t>
            </w:r>
          </w:p>
        </w:tc>
        <w:tc>
          <w:tcPr>
            <w:tcW w:w="2891" w:type="dxa"/>
            <w:vAlign w:val="center"/>
          </w:tcPr>
          <w:p>
            <w:pPr>
              <w:pStyle w:val="17"/>
            </w:pPr>
            <w:r>
              <w:t>拆除及安装护栏</w:t>
            </w:r>
          </w:p>
        </w:tc>
        <w:tc>
          <w:tcPr>
            <w:tcW w:w="1276" w:type="dxa"/>
            <w:vAlign w:val="center"/>
          </w:tcPr>
          <w:p>
            <w:pPr>
              <w:pStyle w:val="17"/>
            </w:pPr>
            <w:r>
              <w:t>14.4万元</w:t>
            </w:r>
          </w:p>
        </w:tc>
        <w:tc>
          <w:tcPr>
            <w:tcW w:w="1843" w:type="dxa"/>
            <w:vAlign w:val="center"/>
          </w:tcPr>
          <w:p>
            <w:pPr>
              <w:pStyle w:val="17"/>
            </w:pPr>
            <w:r>
              <w:t>根据县政府和领导批示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规范行人及车辆行驶</w:t>
            </w:r>
          </w:p>
        </w:tc>
        <w:tc>
          <w:tcPr>
            <w:tcW w:w="2891" w:type="dxa"/>
            <w:vAlign w:val="center"/>
          </w:tcPr>
          <w:p>
            <w:pPr>
              <w:pStyle w:val="17"/>
            </w:pPr>
            <w:r>
              <w:t>规范行人及车辆行驶</w:t>
            </w:r>
          </w:p>
        </w:tc>
        <w:tc>
          <w:tcPr>
            <w:tcW w:w="1276" w:type="dxa"/>
            <w:vAlign w:val="center"/>
          </w:tcPr>
          <w:p>
            <w:pPr>
              <w:pStyle w:val="17"/>
            </w:pPr>
            <w:r>
              <w:t>≥80百分比</w:t>
            </w:r>
          </w:p>
        </w:tc>
        <w:tc>
          <w:tcPr>
            <w:tcW w:w="1843" w:type="dxa"/>
            <w:vAlign w:val="center"/>
          </w:tcPr>
          <w:p>
            <w:pPr>
              <w:pStyle w:val="17"/>
            </w:pPr>
            <w:r>
              <w:t>根据县政府和领导批示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提升府前街面貌</w:t>
            </w:r>
          </w:p>
        </w:tc>
        <w:tc>
          <w:tcPr>
            <w:tcW w:w="2891" w:type="dxa"/>
            <w:vAlign w:val="center"/>
          </w:tcPr>
          <w:p>
            <w:pPr>
              <w:pStyle w:val="17"/>
            </w:pPr>
            <w:r>
              <w:t>提升府前街面貌</w:t>
            </w:r>
          </w:p>
        </w:tc>
        <w:tc>
          <w:tcPr>
            <w:tcW w:w="1276" w:type="dxa"/>
            <w:vAlign w:val="center"/>
          </w:tcPr>
          <w:p>
            <w:pPr>
              <w:pStyle w:val="17"/>
            </w:pPr>
            <w:r>
              <w:t>≥80百分比</w:t>
            </w:r>
          </w:p>
        </w:tc>
        <w:tc>
          <w:tcPr>
            <w:tcW w:w="1843" w:type="dxa"/>
            <w:vAlign w:val="center"/>
          </w:tcPr>
          <w:p>
            <w:pPr>
              <w:pStyle w:val="17"/>
            </w:pPr>
            <w:r>
              <w:t>根据县政府和领导批示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通过问卷调查，满意和较满意的对</w:t>
            </w:r>
          </w:p>
        </w:tc>
        <w:tc>
          <w:tcPr>
            <w:tcW w:w="2891" w:type="dxa"/>
            <w:vAlign w:val="center"/>
          </w:tcPr>
          <w:p>
            <w:pPr>
              <w:pStyle w:val="17"/>
            </w:pPr>
            <w:r>
              <w:t>通过问卷调查，满意和较满意的对象占所有调查对象的比例</w:t>
            </w:r>
          </w:p>
        </w:tc>
        <w:tc>
          <w:tcPr>
            <w:tcW w:w="1276" w:type="dxa"/>
            <w:vAlign w:val="center"/>
          </w:tcPr>
          <w:p>
            <w:pPr>
              <w:pStyle w:val="17"/>
            </w:pPr>
            <w:r>
              <w:t>≥95百分比</w:t>
            </w:r>
          </w:p>
        </w:tc>
        <w:tc>
          <w:tcPr>
            <w:tcW w:w="1843" w:type="dxa"/>
            <w:vAlign w:val="center"/>
          </w:tcPr>
          <w:p>
            <w:pPr>
              <w:pStyle w:val="17"/>
            </w:pPr>
            <w:r>
              <w:t>根据县政府和领导批示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66.公安局专项经费绩效目标表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13062323P00940810022Q</w:t>
            </w:r>
          </w:p>
        </w:tc>
        <w:tc>
          <w:tcPr>
            <w:tcW w:w="1587" w:type="dxa"/>
            <w:vAlign w:val="center"/>
          </w:tcPr>
          <w:p>
            <w:pPr>
              <w:pStyle w:val="15"/>
            </w:pPr>
            <w:r>
              <w:t>项目名称</w:t>
            </w:r>
          </w:p>
        </w:tc>
        <w:tc>
          <w:tcPr>
            <w:tcW w:w="4422" w:type="dxa"/>
            <w:gridSpan w:val="3"/>
            <w:vAlign w:val="center"/>
          </w:tcPr>
          <w:p>
            <w:pPr>
              <w:pStyle w:val="17"/>
            </w:pPr>
            <w:r>
              <w:t>公安局专项经费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620.00</w:t>
            </w:r>
          </w:p>
        </w:tc>
        <w:tc>
          <w:tcPr>
            <w:tcW w:w="1587" w:type="dxa"/>
            <w:vAlign w:val="center"/>
          </w:tcPr>
          <w:p>
            <w:pPr>
              <w:pStyle w:val="15"/>
            </w:pPr>
            <w:r>
              <w:t>其中：财政    资金</w:t>
            </w:r>
          </w:p>
        </w:tc>
        <w:tc>
          <w:tcPr>
            <w:tcW w:w="1304" w:type="dxa"/>
            <w:vAlign w:val="center"/>
          </w:tcPr>
          <w:p>
            <w:pPr>
              <w:pStyle w:val="17"/>
            </w:pPr>
            <w:r>
              <w:t>620.00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用于购置办公、机房设备及工程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300.00</w:t>
            </w:r>
          </w:p>
        </w:tc>
        <w:tc>
          <w:tcPr>
            <w:tcW w:w="1587" w:type="dxa"/>
            <w:vAlign w:val="center"/>
          </w:tcPr>
          <w:p>
            <w:pPr>
              <w:pStyle w:val="18"/>
            </w:pPr>
            <w:r>
              <w:t>620.00</w:t>
            </w:r>
          </w:p>
        </w:tc>
        <w:tc>
          <w:tcPr>
            <w:tcW w:w="1304" w:type="dxa"/>
            <w:vAlign w:val="center"/>
          </w:tcPr>
          <w:p>
            <w:pPr>
              <w:pStyle w:val="18"/>
            </w:pPr>
            <w:r>
              <w:t>620.00</w:t>
            </w:r>
          </w:p>
        </w:tc>
        <w:tc>
          <w:tcPr>
            <w:tcW w:w="3118" w:type="dxa"/>
            <w:gridSpan w:val="2"/>
            <w:vAlign w:val="center"/>
          </w:tcPr>
          <w:p>
            <w:pPr>
              <w:pStyle w:val="18"/>
            </w:pPr>
            <w:r>
              <w:t>620.00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1.保障机房各项设备的安装及维护，保障基本办公环境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保障机房工作数量</w:t>
            </w:r>
          </w:p>
        </w:tc>
        <w:tc>
          <w:tcPr>
            <w:tcW w:w="2891" w:type="dxa"/>
            <w:vAlign w:val="center"/>
          </w:tcPr>
          <w:p>
            <w:pPr>
              <w:pStyle w:val="17"/>
            </w:pPr>
            <w:r>
              <w:t>保障机房工作数量</w:t>
            </w:r>
          </w:p>
        </w:tc>
        <w:tc>
          <w:tcPr>
            <w:tcW w:w="1276" w:type="dxa"/>
            <w:vAlign w:val="center"/>
          </w:tcPr>
          <w:p>
            <w:pPr>
              <w:pStyle w:val="17"/>
            </w:pPr>
            <w:r>
              <w:t>≥1间</w:t>
            </w:r>
          </w:p>
        </w:tc>
        <w:tc>
          <w:tcPr>
            <w:tcW w:w="1843" w:type="dxa"/>
            <w:vAlign w:val="center"/>
          </w:tcPr>
          <w:p>
            <w:pPr>
              <w:pStyle w:val="17"/>
            </w:pPr>
            <w:r>
              <w:t>实际安装数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工程根据合同约定完工率</w:t>
            </w:r>
          </w:p>
        </w:tc>
        <w:tc>
          <w:tcPr>
            <w:tcW w:w="2891" w:type="dxa"/>
            <w:vAlign w:val="center"/>
          </w:tcPr>
          <w:p>
            <w:pPr>
              <w:pStyle w:val="17"/>
            </w:pPr>
            <w:r>
              <w:t>工程根据合同约定完工率</w:t>
            </w:r>
          </w:p>
        </w:tc>
        <w:tc>
          <w:tcPr>
            <w:tcW w:w="1276" w:type="dxa"/>
            <w:vAlign w:val="center"/>
          </w:tcPr>
          <w:p>
            <w:pPr>
              <w:pStyle w:val="17"/>
            </w:pPr>
            <w:r>
              <w:t>≥85百分比</w:t>
            </w:r>
          </w:p>
        </w:tc>
        <w:tc>
          <w:tcPr>
            <w:tcW w:w="1843" w:type="dxa"/>
            <w:vAlign w:val="center"/>
          </w:tcPr>
          <w:p>
            <w:pPr>
              <w:pStyle w:val="17"/>
            </w:pPr>
            <w:r>
              <w:t>合同与验收报告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工程按合同施工率</w:t>
            </w:r>
          </w:p>
        </w:tc>
        <w:tc>
          <w:tcPr>
            <w:tcW w:w="2891" w:type="dxa"/>
            <w:vAlign w:val="center"/>
          </w:tcPr>
          <w:p>
            <w:pPr>
              <w:pStyle w:val="17"/>
            </w:pPr>
            <w:r>
              <w:t>工程按合同施工率</w:t>
            </w:r>
          </w:p>
        </w:tc>
        <w:tc>
          <w:tcPr>
            <w:tcW w:w="1276" w:type="dxa"/>
            <w:vAlign w:val="center"/>
          </w:tcPr>
          <w:p>
            <w:pPr>
              <w:pStyle w:val="17"/>
            </w:pPr>
            <w:r>
              <w:t>≥95备份比</w:t>
            </w:r>
          </w:p>
        </w:tc>
        <w:tc>
          <w:tcPr>
            <w:tcW w:w="1843" w:type="dxa"/>
            <w:vAlign w:val="center"/>
          </w:tcPr>
          <w:p>
            <w:pPr>
              <w:pStyle w:val="17"/>
            </w:pPr>
            <w:r>
              <w:t>合同与验收报告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项目建设成本</w:t>
            </w:r>
          </w:p>
        </w:tc>
        <w:tc>
          <w:tcPr>
            <w:tcW w:w="2891" w:type="dxa"/>
            <w:vAlign w:val="center"/>
          </w:tcPr>
          <w:p>
            <w:pPr>
              <w:pStyle w:val="17"/>
            </w:pPr>
            <w:r>
              <w:t>项目建设成本</w:t>
            </w:r>
          </w:p>
        </w:tc>
        <w:tc>
          <w:tcPr>
            <w:tcW w:w="1276" w:type="dxa"/>
            <w:vAlign w:val="center"/>
          </w:tcPr>
          <w:p>
            <w:pPr>
              <w:pStyle w:val="17"/>
            </w:pPr>
            <w:r>
              <w:t>≤620万元</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每日保障正常办公时间</w:t>
            </w:r>
          </w:p>
        </w:tc>
        <w:tc>
          <w:tcPr>
            <w:tcW w:w="2891" w:type="dxa"/>
            <w:vAlign w:val="center"/>
          </w:tcPr>
          <w:p>
            <w:pPr>
              <w:pStyle w:val="17"/>
            </w:pPr>
            <w:r>
              <w:t>每日保障正常办公时间</w:t>
            </w:r>
          </w:p>
        </w:tc>
        <w:tc>
          <w:tcPr>
            <w:tcW w:w="1276" w:type="dxa"/>
            <w:vAlign w:val="center"/>
          </w:tcPr>
          <w:p>
            <w:pPr>
              <w:pStyle w:val="17"/>
            </w:pPr>
            <w:r>
              <w:t>≥8小时</w:t>
            </w:r>
          </w:p>
        </w:tc>
        <w:tc>
          <w:tcPr>
            <w:tcW w:w="1843" w:type="dxa"/>
            <w:vAlign w:val="center"/>
          </w:tcPr>
          <w:p>
            <w:pPr>
              <w:pStyle w:val="17"/>
            </w:pPr>
            <w:r>
              <w:t>实地调查</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67.拱辰街、朝阳北路交通设施改造升级项目质保金绩效目标表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13062323P00940810032L</w:t>
            </w:r>
          </w:p>
        </w:tc>
        <w:tc>
          <w:tcPr>
            <w:tcW w:w="1587" w:type="dxa"/>
            <w:vAlign w:val="center"/>
          </w:tcPr>
          <w:p>
            <w:pPr>
              <w:pStyle w:val="15"/>
            </w:pPr>
            <w:r>
              <w:t>项目名称</w:t>
            </w:r>
          </w:p>
        </w:tc>
        <w:tc>
          <w:tcPr>
            <w:tcW w:w="4422" w:type="dxa"/>
            <w:gridSpan w:val="3"/>
            <w:vAlign w:val="center"/>
          </w:tcPr>
          <w:p>
            <w:pPr>
              <w:pStyle w:val="17"/>
            </w:pPr>
            <w:r>
              <w:t>拱辰街、朝阳北路交通设施改造升级项目质保金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117.28</w:t>
            </w:r>
          </w:p>
        </w:tc>
        <w:tc>
          <w:tcPr>
            <w:tcW w:w="1587" w:type="dxa"/>
            <w:vAlign w:val="center"/>
          </w:tcPr>
          <w:p>
            <w:pPr>
              <w:pStyle w:val="15"/>
            </w:pPr>
            <w:r>
              <w:t>其中：财政    资金</w:t>
            </w:r>
          </w:p>
        </w:tc>
        <w:tc>
          <w:tcPr>
            <w:tcW w:w="1304" w:type="dxa"/>
            <w:vAlign w:val="center"/>
          </w:tcPr>
          <w:p>
            <w:pPr>
              <w:pStyle w:val="17"/>
            </w:pPr>
            <w:r>
              <w:t>117.28</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缓解城市交通拥堵维护道路交通安全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29.32</w:t>
            </w:r>
          </w:p>
        </w:tc>
        <w:tc>
          <w:tcPr>
            <w:tcW w:w="1587" w:type="dxa"/>
            <w:vAlign w:val="center"/>
          </w:tcPr>
          <w:p>
            <w:pPr>
              <w:pStyle w:val="18"/>
            </w:pPr>
            <w:r>
              <w:t>58.64</w:t>
            </w:r>
          </w:p>
        </w:tc>
        <w:tc>
          <w:tcPr>
            <w:tcW w:w="1304" w:type="dxa"/>
            <w:vAlign w:val="center"/>
          </w:tcPr>
          <w:p>
            <w:pPr>
              <w:pStyle w:val="18"/>
            </w:pPr>
            <w:r>
              <w:t>87.96</w:t>
            </w:r>
          </w:p>
        </w:tc>
        <w:tc>
          <w:tcPr>
            <w:tcW w:w="3118" w:type="dxa"/>
            <w:gridSpan w:val="2"/>
            <w:vAlign w:val="center"/>
          </w:tcPr>
          <w:p>
            <w:pPr>
              <w:pStyle w:val="18"/>
            </w:pPr>
            <w:r>
              <w:t>117.28</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1.维护道路交通安全畅通，减少交通事故发生。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购置设备使用时长</w:t>
            </w:r>
          </w:p>
        </w:tc>
        <w:tc>
          <w:tcPr>
            <w:tcW w:w="2891" w:type="dxa"/>
            <w:vAlign w:val="center"/>
          </w:tcPr>
          <w:p>
            <w:pPr>
              <w:pStyle w:val="17"/>
            </w:pPr>
            <w:r>
              <w:t>购置设备使用时长</w:t>
            </w:r>
          </w:p>
        </w:tc>
        <w:tc>
          <w:tcPr>
            <w:tcW w:w="1276" w:type="dxa"/>
            <w:vAlign w:val="center"/>
          </w:tcPr>
          <w:p>
            <w:pPr>
              <w:pStyle w:val="17"/>
            </w:pPr>
            <w:r>
              <w:t>≥5年</w:t>
            </w:r>
          </w:p>
        </w:tc>
        <w:tc>
          <w:tcPr>
            <w:tcW w:w="1843" w:type="dxa"/>
            <w:vAlign w:val="center"/>
          </w:tcPr>
          <w:p>
            <w:pPr>
              <w:pStyle w:val="17"/>
            </w:pPr>
            <w:r>
              <w:t>完成指标值比率</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产品合格率（%）</w:t>
            </w:r>
          </w:p>
        </w:tc>
        <w:tc>
          <w:tcPr>
            <w:tcW w:w="2891" w:type="dxa"/>
            <w:vAlign w:val="center"/>
          </w:tcPr>
          <w:p>
            <w:pPr>
              <w:pStyle w:val="17"/>
            </w:pPr>
            <w:r>
              <w:t>产品合格率（%）</w:t>
            </w:r>
          </w:p>
        </w:tc>
        <w:tc>
          <w:tcPr>
            <w:tcW w:w="1276" w:type="dxa"/>
            <w:vAlign w:val="center"/>
          </w:tcPr>
          <w:p>
            <w:pPr>
              <w:pStyle w:val="17"/>
            </w:pPr>
            <w:r>
              <w:t>5百分比</w:t>
            </w:r>
          </w:p>
        </w:tc>
        <w:tc>
          <w:tcPr>
            <w:tcW w:w="1843" w:type="dxa"/>
            <w:vAlign w:val="center"/>
          </w:tcPr>
          <w:p>
            <w:pPr>
              <w:pStyle w:val="17"/>
            </w:pPr>
            <w:r>
              <w:t>根据行业标准</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≥100百分比</w:t>
            </w:r>
          </w:p>
        </w:tc>
        <w:tc>
          <w:tcPr>
            <w:tcW w:w="1843" w:type="dxa"/>
            <w:vAlign w:val="center"/>
          </w:tcPr>
          <w:p>
            <w:pPr>
              <w:pStyle w:val="17"/>
            </w:pPr>
            <w:r>
              <w:t>根据行业标准</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≤117.28万元</w:t>
            </w:r>
          </w:p>
        </w:tc>
        <w:tc>
          <w:tcPr>
            <w:tcW w:w="1843" w:type="dxa"/>
            <w:vAlign w:val="center"/>
          </w:tcPr>
          <w:p>
            <w:pPr>
              <w:pStyle w:val="17"/>
            </w:pPr>
            <w:r>
              <w:t>实际测算数</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缓解城市交通拥堵维护道路交通安全</w:t>
            </w:r>
          </w:p>
        </w:tc>
        <w:tc>
          <w:tcPr>
            <w:tcW w:w="2891" w:type="dxa"/>
            <w:vAlign w:val="center"/>
          </w:tcPr>
          <w:p>
            <w:pPr>
              <w:pStyle w:val="17"/>
            </w:pPr>
            <w:r>
              <w:t>缓解城市交通拥堵维护道路交通安全</w:t>
            </w:r>
          </w:p>
        </w:tc>
        <w:tc>
          <w:tcPr>
            <w:tcW w:w="1276" w:type="dxa"/>
            <w:vAlign w:val="center"/>
          </w:tcPr>
          <w:p>
            <w:pPr>
              <w:pStyle w:val="17"/>
            </w:pPr>
            <w:r>
              <w:t>良好</w:t>
            </w:r>
          </w:p>
        </w:tc>
        <w:tc>
          <w:tcPr>
            <w:tcW w:w="1843" w:type="dxa"/>
            <w:vAlign w:val="center"/>
          </w:tcPr>
          <w:p>
            <w:pPr>
              <w:pStyle w:val="17"/>
            </w:pPr>
            <w:r>
              <w:t>缓解城市交通拥堵维护道路交通安全</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满意度和比较满意度占满意度的百分比</w:t>
            </w:r>
          </w:p>
        </w:tc>
        <w:tc>
          <w:tcPr>
            <w:tcW w:w="1276" w:type="dxa"/>
            <w:vAlign w:val="center"/>
          </w:tcPr>
          <w:p>
            <w:pPr>
              <w:pStyle w:val="17"/>
            </w:pPr>
            <w:r>
              <w:t>≥95百分比</w:t>
            </w:r>
          </w:p>
        </w:tc>
        <w:tc>
          <w:tcPr>
            <w:tcW w:w="1843" w:type="dxa"/>
            <w:vAlign w:val="center"/>
          </w:tcPr>
          <w:p>
            <w:pPr>
              <w:pStyle w:val="17"/>
            </w:pPr>
            <w:r>
              <w:t>完成指标值比率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68.购买插卡对讲机费用绩效目标表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13062323P009408100073</w:t>
            </w:r>
          </w:p>
        </w:tc>
        <w:tc>
          <w:tcPr>
            <w:tcW w:w="1587" w:type="dxa"/>
            <w:vAlign w:val="center"/>
          </w:tcPr>
          <w:p>
            <w:pPr>
              <w:pStyle w:val="15"/>
            </w:pPr>
            <w:r>
              <w:t>项目名称</w:t>
            </w:r>
          </w:p>
        </w:tc>
        <w:tc>
          <w:tcPr>
            <w:tcW w:w="4422" w:type="dxa"/>
            <w:gridSpan w:val="3"/>
            <w:vAlign w:val="center"/>
          </w:tcPr>
          <w:p>
            <w:pPr>
              <w:pStyle w:val="17"/>
            </w:pPr>
            <w:r>
              <w:t>购买插卡对讲机费用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0.36</w:t>
            </w:r>
          </w:p>
        </w:tc>
        <w:tc>
          <w:tcPr>
            <w:tcW w:w="1587" w:type="dxa"/>
            <w:vAlign w:val="center"/>
          </w:tcPr>
          <w:p>
            <w:pPr>
              <w:pStyle w:val="15"/>
            </w:pPr>
            <w:r>
              <w:t>其中：财政    资金</w:t>
            </w:r>
          </w:p>
        </w:tc>
        <w:tc>
          <w:tcPr>
            <w:tcW w:w="1304" w:type="dxa"/>
            <w:vAlign w:val="center"/>
          </w:tcPr>
          <w:p>
            <w:pPr>
              <w:pStyle w:val="17"/>
            </w:pPr>
            <w:r>
              <w:t>0.36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支付对讲机购买费用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0.36</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采购数量</w:t>
            </w:r>
          </w:p>
        </w:tc>
        <w:tc>
          <w:tcPr>
            <w:tcW w:w="2891" w:type="dxa"/>
            <w:vAlign w:val="center"/>
          </w:tcPr>
          <w:p>
            <w:pPr>
              <w:pStyle w:val="17"/>
            </w:pPr>
            <w:r>
              <w:t>采购数量</w:t>
            </w:r>
          </w:p>
        </w:tc>
        <w:tc>
          <w:tcPr>
            <w:tcW w:w="1276" w:type="dxa"/>
            <w:vAlign w:val="center"/>
          </w:tcPr>
          <w:p>
            <w:pPr>
              <w:pStyle w:val="17"/>
            </w:pPr>
            <w:r>
              <w:t>≤11部</w:t>
            </w:r>
          </w:p>
        </w:tc>
        <w:tc>
          <w:tcPr>
            <w:tcW w:w="1843" w:type="dxa"/>
            <w:vAlign w:val="center"/>
          </w:tcPr>
          <w:p>
            <w:pPr>
              <w:pStyle w:val="17"/>
            </w:pPr>
            <w:r>
              <w:t>批准购买数量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验收合格率</w:t>
            </w:r>
          </w:p>
        </w:tc>
        <w:tc>
          <w:tcPr>
            <w:tcW w:w="2891" w:type="dxa"/>
            <w:vAlign w:val="center"/>
          </w:tcPr>
          <w:p>
            <w:pPr>
              <w:pStyle w:val="17"/>
            </w:pPr>
            <w:r>
              <w:t>验收合格率</w:t>
            </w:r>
          </w:p>
        </w:tc>
        <w:tc>
          <w:tcPr>
            <w:tcW w:w="1276" w:type="dxa"/>
            <w:vAlign w:val="center"/>
          </w:tcPr>
          <w:p>
            <w:pPr>
              <w:pStyle w:val="17"/>
            </w:pPr>
            <w:r>
              <w:t>100%</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w:t>
            </w:r>
          </w:p>
        </w:tc>
        <w:tc>
          <w:tcPr>
            <w:tcW w:w="2891" w:type="dxa"/>
            <w:vAlign w:val="center"/>
          </w:tcPr>
          <w:p>
            <w:pPr>
              <w:pStyle w:val="17"/>
            </w:pPr>
            <w:r>
              <w:t>完成时限</w:t>
            </w:r>
          </w:p>
        </w:tc>
        <w:tc>
          <w:tcPr>
            <w:tcW w:w="1276" w:type="dxa"/>
            <w:vAlign w:val="center"/>
          </w:tcPr>
          <w:p>
            <w:pPr>
              <w:pStyle w:val="17"/>
            </w:pPr>
            <w:r>
              <w:t>按时交货</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预算金额</w:t>
            </w:r>
          </w:p>
        </w:tc>
        <w:tc>
          <w:tcPr>
            <w:tcW w:w="2891" w:type="dxa"/>
            <w:vAlign w:val="center"/>
          </w:tcPr>
          <w:p>
            <w:pPr>
              <w:pStyle w:val="17"/>
            </w:pPr>
            <w:r>
              <w:t>预算金额</w:t>
            </w:r>
          </w:p>
        </w:tc>
        <w:tc>
          <w:tcPr>
            <w:tcW w:w="1276" w:type="dxa"/>
            <w:vAlign w:val="center"/>
          </w:tcPr>
          <w:p>
            <w:pPr>
              <w:pStyle w:val="17"/>
            </w:pPr>
            <w:r>
              <w:t>≤100%</w:t>
            </w:r>
          </w:p>
        </w:tc>
        <w:tc>
          <w:tcPr>
            <w:tcW w:w="1843" w:type="dxa"/>
            <w:vAlign w:val="center"/>
          </w:tcPr>
          <w:p>
            <w:pPr>
              <w:pStyle w:val="17"/>
            </w:pPr>
            <w: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设备使用率</w:t>
            </w:r>
          </w:p>
        </w:tc>
        <w:tc>
          <w:tcPr>
            <w:tcW w:w="2891" w:type="dxa"/>
            <w:vAlign w:val="center"/>
          </w:tcPr>
          <w:p>
            <w:pPr>
              <w:pStyle w:val="17"/>
            </w:pPr>
            <w:r>
              <w:t>设备使用率</w:t>
            </w:r>
          </w:p>
        </w:tc>
        <w:tc>
          <w:tcPr>
            <w:tcW w:w="1276" w:type="dxa"/>
            <w:vAlign w:val="center"/>
          </w:tcPr>
          <w:p>
            <w:pPr>
              <w:pStyle w:val="17"/>
            </w:pPr>
            <w:r>
              <w:t>≥97%</w:t>
            </w:r>
          </w:p>
        </w:tc>
        <w:tc>
          <w:tcPr>
            <w:tcW w:w="1843" w:type="dxa"/>
            <w:vAlign w:val="center"/>
          </w:tcPr>
          <w:p>
            <w:pPr>
              <w:pStyle w:val="17"/>
            </w:pPr>
            <w:r>
              <w:t>实际使用情况</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69.航空航天项目推动工作经费绩效目标表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13062323P00940810066N</w:t>
            </w:r>
          </w:p>
        </w:tc>
        <w:tc>
          <w:tcPr>
            <w:tcW w:w="1587" w:type="dxa"/>
            <w:vAlign w:val="center"/>
          </w:tcPr>
          <w:p>
            <w:pPr>
              <w:pStyle w:val="15"/>
            </w:pPr>
            <w:r>
              <w:t>项目名称</w:t>
            </w:r>
          </w:p>
        </w:tc>
        <w:tc>
          <w:tcPr>
            <w:tcW w:w="4422" w:type="dxa"/>
            <w:gridSpan w:val="3"/>
            <w:vAlign w:val="center"/>
          </w:tcPr>
          <w:p>
            <w:pPr>
              <w:pStyle w:val="17"/>
            </w:pPr>
            <w:r>
              <w:t>航空航天项目推动工作经费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60.00</w:t>
            </w:r>
          </w:p>
        </w:tc>
        <w:tc>
          <w:tcPr>
            <w:tcW w:w="1587" w:type="dxa"/>
            <w:vAlign w:val="center"/>
          </w:tcPr>
          <w:p>
            <w:pPr>
              <w:pStyle w:val="15"/>
            </w:pPr>
            <w:r>
              <w:t>其中：财政    资金</w:t>
            </w:r>
          </w:p>
        </w:tc>
        <w:tc>
          <w:tcPr>
            <w:tcW w:w="1304" w:type="dxa"/>
            <w:vAlign w:val="center"/>
          </w:tcPr>
          <w:p>
            <w:pPr>
              <w:pStyle w:val="17"/>
            </w:pPr>
            <w:r>
              <w:t>60.00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航空航天项目推动经费，确保后续工作顺利进行</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20.00</w:t>
            </w:r>
          </w:p>
        </w:tc>
        <w:tc>
          <w:tcPr>
            <w:tcW w:w="1304" w:type="dxa"/>
            <w:vAlign w:val="center"/>
          </w:tcPr>
          <w:p>
            <w:pPr>
              <w:pStyle w:val="18"/>
            </w:pPr>
            <w:r>
              <w:t>40.00</w:t>
            </w:r>
          </w:p>
        </w:tc>
        <w:tc>
          <w:tcPr>
            <w:tcW w:w="3118" w:type="dxa"/>
            <w:gridSpan w:val="2"/>
            <w:vAlign w:val="center"/>
          </w:tcPr>
          <w:p>
            <w:pPr>
              <w:pStyle w:val="18"/>
            </w:pPr>
            <w:r>
              <w:t>60.00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1.航空航天项目推动经费，确保后续工作顺利进行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航天项目数量</w:t>
            </w:r>
          </w:p>
        </w:tc>
        <w:tc>
          <w:tcPr>
            <w:tcW w:w="2891" w:type="dxa"/>
            <w:vAlign w:val="center"/>
          </w:tcPr>
          <w:p>
            <w:pPr>
              <w:pStyle w:val="17"/>
            </w:pPr>
            <w:r>
              <w:t>航天项目数量</w:t>
            </w:r>
          </w:p>
        </w:tc>
        <w:tc>
          <w:tcPr>
            <w:tcW w:w="1276" w:type="dxa"/>
            <w:vAlign w:val="center"/>
          </w:tcPr>
          <w:p>
            <w:pPr>
              <w:pStyle w:val="17"/>
            </w:pPr>
            <w:r>
              <w:t>1项</w:t>
            </w:r>
          </w:p>
        </w:tc>
        <w:tc>
          <w:tcPr>
            <w:tcW w:w="1843" w:type="dxa"/>
            <w:vAlign w:val="center"/>
          </w:tcPr>
          <w:p>
            <w:pPr>
              <w:pStyle w:val="17"/>
            </w:pPr>
            <w:r>
              <w:t>依据领导批示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各项工作落实到位率</w:t>
            </w:r>
          </w:p>
        </w:tc>
        <w:tc>
          <w:tcPr>
            <w:tcW w:w="2891" w:type="dxa"/>
            <w:vAlign w:val="center"/>
          </w:tcPr>
          <w:p>
            <w:pPr>
              <w:pStyle w:val="17"/>
            </w:pPr>
            <w:r>
              <w:t>各项工作落实到位率</w:t>
            </w:r>
          </w:p>
        </w:tc>
        <w:tc>
          <w:tcPr>
            <w:tcW w:w="1276" w:type="dxa"/>
            <w:vAlign w:val="center"/>
          </w:tcPr>
          <w:p>
            <w:pPr>
              <w:pStyle w:val="17"/>
            </w:pPr>
            <w:r>
              <w:t>≥85百分比</w:t>
            </w:r>
          </w:p>
        </w:tc>
        <w:tc>
          <w:tcPr>
            <w:tcW w:w="1843" w:type="dxa"/>
            <w:vAlign w:val="center"/>
          </w:tcPr>
          <w:p>
            <w:pPr>
              <w:pStyle w:val="17"/>
            </w:pPr>
            <w:r>
              <w:t>依据领导批示</w:t>
            </w:r>
          </w:p>
          <w:p>
            <w:pPr>
              <w:pStyle w:val="17"/>
            </w:pP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项目实施进度</w:t>
            </w:r>
          </w:p>
        </w:tc>
        <w:tc>
          <w:tcPr>
            <w:tcW w:w="2891" w:type="dxa"/>
            <w:vAlign w:val="center"/>
          </w:tcPr>
          <w:p>
            <w:pPr>
              <w:pStyle w:val="17"/>
            </w:pPr>
            <w:r>
              <w:t>项目实施进度</w:t>
            </w:r>
          </w:p>
        </w:tc>
        <w:tc>
          <w:tcPr>
            <w:tcW w:w="1276" w:type="dxa"/>
            <w:vAlign w:val="center"/>
          </w:tcPr>
          <w:p>
            <w:pPr>
              <w:pStyle w:val="17"/>
            </w:pPr>
            <w:r>
              <w:t>≥85百分比</w:t>
            </w:r>
          </w:p>
        </w:tc>
        <w:tc>
          <w:tcPr>
            <w:tcW w:w="1843" w:type="dxa"/>
            <w:vAlign w:val="center"/>
          </w:tcPr>
          <w:p>
            <w:pPr>
              <w:pStyle w:val="17"/>
            </w:pPr>
            <w:r>
              <w:t>依据领导批示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项目预算控制数</w:t>
            </w:r>
          </w:p>
        </w:tc>
        <w:tc>
          <w:tcPr>
            <w:tcW w:w="2891" w:type="dxa"/>
            <w:vAlign w:val="center"/>
          </w:tcPr>
          <w:p>
            <w:pPr>
              <w:pStyle w:val="17"/>
            </w:pPr>
            <w:r>
              <w:t>项目预算控制数</w:t>
            </w:r>
          </w:p>
        </w:tc>
        <w:tc>
          <w:tcPr>
            <w:tcW w:w="1276" w:type="dxa"/>
            <w:vAlign w:val="center"/>
          </w:tcPr>
          <w:p>
            <w:pPr>
              <w:pStyle w:val="17"/>
            </w:pPr>
            <w:r>
              <w:t>≥85百分比</w:t>
            </w:r>
          </w:p>
        </w:tc>
        <w:tc>
          <w:tcPr>
            <w:tcW w:w="1843" w:type="dxa"/>
            <w:vAlign w:val="center"/>
          </w:tcPr>
          <w:p>
            <w:pPr>
              <w:pStyle w:val="17"/>
            </w:pPr>
            <w:r>
              <w:t>依据领导批示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提高工作效率</w:t>
            </w:r>
          </w:p>
        </w:tc>
        <w:tc>
          <w:tcPr>
            <w:tcW w:w="2891" w:type="dxa"/>
            <w:vAlign w:val="center"/>
          </w:tcPr>
          <w:p>
            <w:pPr>
              <w:pStyle w:val="17"/>
            </w:pPr>
            <w:r>
              <w:t>提高工作效率</w:t>
            </w:r>
          </w:p>
        </w:tc>
        <w:tc>
          <w:tcPr>
            <w:tcW w:w="1276" w:type="dxa"/>
            <w:vAlign w:val="center"/>
          </w:tcPr>
          <w:p>
            <w:pPr>
              <w:pStyle w:val="17"/>
            </w:pPr>
            <w:r>
              <w:t>≥85百分比</w:t>
            </w:r>
          </w:p>
        </w:tc>
        <w:tc>
          <w:tcPr>
            <w:tcW w:w="1843" w:type="dxa"/>
            <w:vAlign w:val="center"/>
          </w:tcPr>
          <w:p>
            <w:pPr>
              <w:pStyle w:val="17"/>
            </w:pPr>
            <w:r>
              <w:t>依据领导批示</w:t>
            </w:r>
          </w:p>
          <w:p>
            <w:pPr>
              <w:pStyle w:val="17"/>
            </w:pP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≥85百分比</w:t>
            </w:r>
          </w:p>
        </w:tc>
        <w:tc>
          <w:tcPr>
            <w:tcW w:w="1843" w:type="dxa"/>
            <w:vAlign w:val="center"/>
          </w:tcPr>
          <w:p>
            <w:pPr>
              <w:pStyle w:val="17"/>
            </w:pPr>
            <w:r>
              <w:t>依据领导批示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70.河道防洪预案编制费绩效目标表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13062323P00007710004Y</w:t>
            </w:r>
          </w:p>
        </w:tc>
        <w:tc>
          <w:tcPr>
            <w:tcW w:w="1587" w:type="dxa"/>
            <w:vAlign w:val="center"/>
          </w:tcPr>
          <w:p>
            <w:pPr>
              <w:pStyle w:val="15"/>
            </w:pPr>
            <w:r>
              <w:t>项目名称</w:t>
            </w:r>
          </w:p>
        </w:tc>
        <w:tc>
          <w:tcPr>
            <w:tcW w:w="4422" w:type="dxa"/>
            <w:gridSpan w:val="3"/>
            <w:vAlign w:val="center"/>
          </w:tcPr>
          <w:p>
            <w:pPr>
              <w:pStyle w:val="17"/>
            </w:pPr>
            <w:r>
              <w:t>河道防洪预案编制费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根据水利部办公厅下达《关于做好防汛关键期水旱灾害防御工作的通知》要求我县强化监测预报，全力抓好南水北调中线工程防洪工作，完善防御方案。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8.00</w:t>
            </w:r>
          </w:p>
        </w:tc>
        <w:tc>
          <w:tcPr>
            <w:tcW w:w="3118" w:type="dxa"/>
            <w:gridSpan w:val="2"/>
            <w:vAlign w:val="center"/>
          </w:tcPr>
          <w:p>
            <w:pPr>
              <w:pStyle w:val="18"/>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1.根据水利部办公厅下达《关于做好防汛关键期水旱灾害防御工作的通知》要求我县强化监测预报，全力抓好南水北调中线工程防洪工作，完善防御方案。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编制报告数量</w:t>
            </w:r>
          </w:p>
        </w:tc>
        <w:tc>
          <w:tcPr>
            <w:tcW w:w="2891" w:type="dxa"/>
            <w:vAlign w:val="center"/>
          </w:tcPr>
          <w:p>
            <w:pPr>
              <w:pStyle w:val="17"/>
            </w:pPr>
            <w:r>
              <w:t>编制报告数量</w:t>
            </w:r>
          </w:p>
        </w:tc>
        <w:tc>
          <w:tcPr>
            <w:tcW w:w="1276" w:type="dxa"/>
            <w:vAlign w:val="center"/>
          </w:tcPr>
          <w:p>
            <w:pPr>
              <w:pStyle w:val="17"/>
            </w:pPr>
            <w:r>
              <w:t>≥1册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编制任务完成率</w:t>
            </w:r>
          </w:p>
        </w:tc>
        <w:tc>
          <w:tcPr>
            <w:tcW w:w="2891" w:type="dxa"/>
            <w:vAlign w:val="center"/>
          </w:tcPr>
          <w:p>
            <w:pPr>
              <w:pStyle w:val="17"/>
            </w:pPr>
            <w:r>
              <w:t>编制任务完成率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编制报告及时率</w:t>
            </w:r>
          </w:p>
        </w:tc>
        <w:tc>
          <w:tcPr>
            <w:tcW w:w="2891" w:type="dxa"/>
            <w:vAlign w:val="center"/>
          </w:tcPr>
          <w:p>
            <w:pPr>
              <w:pStyle w:val="17"/>
            </w:pPr>
            <w:r>
              <w:t>编制报告及时率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降低事故发生率</w:t>
            </w:r>
          </w:p>
        </w:tc>
        <w:tc>
          <w:tcPr>
            <w:tcW w:w="2891" w:type="dxa"/>
            <w:vAlign w:val="center"/>
          </w:tcPr>
          <w:p>
            <w:pPr>
              <w:pStyle w:val="17"/>
            </w:pPr>
            <w:r>
              <w:t>降低事故发生率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71.河道及水库划界费绩效目标表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13062323P00007110002M</w:t>
            </w:r>
          </w:p>
        </w:tc>
        <w:tc>
          <w:tcPr>
            <w:tcW w:w="1587" w:type="dxa"/>
            <w:vAlign w:val="center"/>
          </w:tcPr>
          <w:p>
            <w:pPr>
              <w:pStyle w:val="15"/>
            </w:pPr>
            <w:r>
              <w:t>项目名称</w:t>
            </w:r>
          </w:p>
        </w:tc>
        <w:tc>
          <w:tcPr>
            <w:tcW w:w="4422" w:type="dxa"/>
            <w:gridSpan w:val="3"/>
            <w:vAlign w:val="center"/>
          </w:tcPr>
          <w:p>
            <w:pPr>
              <w:pStyle w:val="17"/>
            </w:pPr>
            <w:r>
              <w:t>河道及水库划界费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根据河北省水利厅《关于扎实做好河湖管理范围复核及划定工作的通知》，我县需对17条河道及8座小型水库进行管理范围划定。</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10.00</w:t>
            </w:r>
          </w:p>
        </w:tc>
        <w:tc>
          <w:tcPr>
            <w:tcW w:w="3118" w:type="dxa"/>
            <w:gridSpan w:val="2"/>
            <w:vAlign w:val="center"/>
          </w:tcPr>
          <w:p>
            <w:pPr>
              <w:pStyle w:val="18"/>
            </w:pPr>
            <w:r>
              <w:t>20.00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1.根据河北省水利厅《关于扎实做好河湖管理范围复核及划定工作的通知》，我县需对17条河道及8座小型水库进行管理范围划定。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涉及河道数量</w:t>
            </w:r>
          </w:p>
        </w:tc>
        <w:tc>
          <w:tcPr>
            <w:tcW w:w="2891" w:type="dxa"/>
            <w:vAlign w:val="center"/>
          </w:tcPr>
          <w:p>
            <w:pPr>
              <w:pStyle w:val="17"/>
            </w:pPr>
            <w:r>
              <w:t>涉及河道数量</w:t>
            </w:r>
          </w:p>
        </w:tc>
        <w:tc>
          <w:tcPr>
            <w:tcW w:w="1276" w:type="dxa"/>
            <w:vAlign w:val="center"/>
          </w:tcPr>
          <w:p>
            <w:pPr>
              <w:pStyle w:val="17"/>
            </w:pPr>
            <w:r>
              <w:t>≤17条</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工作任务完成率</w:t>
            </w:r>
          </w:p>
        </w:tc>
        <w:tc>
          <w:tcPr>
            <w:tcW w:w="2891" w:type="dxa"/>
            <w:vAlign w:val="center"/>
          </w:tcPr>
          <w:p>
            <w:pPr>
              <w:pStyle w:val="17"/>
            </w:pPr>
            <w:r>
              <w:t>工作任务完成率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划定及时率</w:t>
            </w:r>
          </w:p>
        </w:tc>
        <w:tc>
          <w:tcPr>
            <w:tcW w:w="2891" w:type="dxa"/>
            <w:vAlign w:val="center"/>
          </w:tcPr>
          <w:p>
            <w:pPr>
              <w:pStyle w:val="17"/>
            </w:pPr>
            <w:r>
              <w:t>划定及时率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水资源利用率</w:t>
            </w:r>
          </w:p>
        </w:tc>
        <w:tc>
          <w:tcPr>
            <w:tcW w:w="2891" w:type="dxa"/>
            <w:vAlign w:val="center"/>
          </w:tcPr>
          <w:p>
            <w:pPr>
              <w:pStyle w:val="17"/>
            </w:pPr>
            <w:r>
              <w:t>水资源利用率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72.河湖健康评价费用绩效目标表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13062323P00006410002F</w:t>
            </w:r>
          </w:p>
        </w:tc>
        <w:tc>
          <w:tcPr>
            <w:tcW w:w="1587" w:type="dxa"/>
            <w:vAlign w:val="center"/>
          </w:tcPr>
          <w:p>
            <w:pPr>
              <w:pStyle w:val="15"/>
            </w:pPr>
            <w:r>
              <w:t>项目名称</w:t>
            </w:r>
          </w:p>
        </w:tc>
        <w:tc>
          <w:tcPr>
            <w:tcW w:w="4422" w:type="dxa"/>
            <w:gridSpan w:val="3"/>
            <w:vAlign w:val="center"/>
          </w:tcPr>
          <w:p>
            <w:pPr>
              <w:pStyle w:val="17"/>
            </w:pPr>
            <w:r>
              <w:t>河湖健康评价费用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103.46</w:t>
            </w:r>
          </w:p>
        </w:tc>
        <w:tc>
          <w:tcPr>
            <w:tcW w:w="1587" w:type="dxa"/>
            <w:vAlign w:val="center"/>
          </w:tcPr>
          <w:p>
            <w:pPr>
              <w:pStyle w:val="15"/>
            </w:pPr>
            <w:r>
              <w:t>其中：财政    资金</w:t>
            </w:r>
          </w:p>
        </w:tc>
        <w:tc>
          <w:tcPr>
            <w:tcW w:w="1304" w:type="dxa"/>
            <w:vAlign w:val="center"/>
          </w:tcPr>
          <w:p>
            <w:pPr>
              <w:pStyle w:val="17"/>
            </w:pPr>
            <w:r>
              <w:t>103.46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根据河北省河湖长办公室印发的《关于组织开展河湖健康评价工作的通知》需对我县北易水河开展河湖健康评价。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50.00</w:t>
            </w:r>
          </w:p>
        </w:tc>
        <w:tc>
          <w:tcPr>
            <w:tcW w:w="3118" w:type="dxa"/>
            <w:gridSpan w:val="2"/>
            <w:vAlign w:val="center"/>
          </w:tcPr>
          <w:p>
            <w:pPr>
              <w:pStyle w:val="18"/>
            </w:pPr>
            <w:r>
              <w:t>103.46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1.根据河北省河湖长办公室印发的《关于组织开展河湖健康评价工作的通知》需对我县北易水河开展河湖健康评价。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河湖健康评价报告数量</w:t>
            </w:r>
          </w:p>
        </w:tc>
        <w:tc>
          <w:tcPr>
            <w:tcW w:w="2891" w:type="dxa"/>
            <w:vAlign w:val="center"/>
          </w:tcPr>
          <w:p>
            <w:pPr>
              <w:pStyle w:val="17"/>
            </w:pPr>
            <w:r>
              <w:t>河湖健康评价报告数量</w:t>
            </w:r>
          </w:p>
        </w:tc>
        <w:tc>
          <w:tcPr>
            <w:tcW w:w="1276" w:type="dxa"/>
            <w:vAlign w:val="center"/>
          </w:tcPr>
          <w:p>
            <w:pPr>
              <w:pStyle w:val="17"/>
            </w:pPr>
            <w:r>
              <w:t>≥2册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编制工作完成率</w:t>
            </w:r>
          </w:p>
        </w:tc>
        <w:tc>
          <w:tcPr>
            <w:tcW w:w="2891" w:type="dxa"/>
            <w:vAlign w:val="center"/>
          </w:tcPr>
          <w:p>
            <w:pPr>
              <w:pStyle w:val="17"/>
            </w:pPr>
            <w:r>
              <w:t>编制工作完成率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报告编制及时率</w:t>
            </w:r>
          </w:p>
        </w:tc>
        <w:tc>
          <w:tcPr>
            <w:tcW w:w="2891" w:type="dxa"/>
            <w:vAlign w:val="center"/>
          </w:tcPr>
          <w:p>
            <w:pPr>
              <w:pStyle w:val="17"/>
            </w:pPr>
            <w:r>
              <w:t>报告编制及时率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≤103.46万元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改善生态环境质量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73.河湖智能视频监控系统购买服务费及其终端设备购置费用绩效目标表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13062323P000065100025</w:t>
            </w:r>
          </w:p>
        </w:tc>
        <w:tc>
          <w:tcPr>
            <w:tcW w:w="1587" w:type="dxa"/>
            <w:vAlign w:val="center"/>
          </w:tcPr>
          <w:p>
            <w:pPr>
              <w:pStyle w:val="15"/>
            </w:pPr>
            <w:r>
              <w:t>项目名称</w:t>
            </w:r>
          </w:p>
        </w:tc>
        <w:tc>
          <w:tcPr>
            <w:tcW w:w="4422" w:type="dxa"/>
            <w:gridSpan w:val="3"/>
            <w:vAlign w:val="center"/>
          </w:tcPr>
          <w:p>
            <w:pPr>
              <w:pStyle w:val="17"/>
            </w:pPr>
            <w:r>
              <w:t>河湖智能视频监控系统购买服务费及其终端设备购置费用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22.78</w:t>
            </w:r>
          </w:p>
        </w:tc>
        <w:tc>
          <w:tcPr>
            <w:tcW w:w="1587" w:type="dxa"/>
            <w:vAlign w:val="center"/>
          </w:tcPr>
          <w:p>
            <w:pPr>
              <w:pStyle w:val="15"/>
            </w:pPr>
            <w:r>
              <w:t>其中：财政    资金</w:t>
            </w:r>
          </w:p>
        </w:tc>
        <w:tc>
          <w:tcPr>
            <w:tcW w:w="1304" w:type="dxa"/>
            <w:vAlign w:val="center"/>
          </w:tcPr>
          <w:p>
            <w:pPr>
              <w:pStyle w:val="17"/>
            </w:pPr>
            <w:r>
              <w:t>22.78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根据《河北省河湖智能监控系统运营工作方案》经省水利厅统一招标，需支付三方服务费及购置终端设备等。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22.78</w:t>
            </w:r>
          </w:p>
        </w:tc>
        <w:tc>
          <w:tcPr>
            <w:tcW w:w="3118" w:type="dxa"/>
            <w:gridSpan w:val="2"/>
            <w:vAlign w:val="center"/>
          </w:tcPr>
          <w:p>
            <w:pPr>
              <w:pStyle w:val="18"/>
            </w:pPr>
            <w:r>
              <w:t>22.78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1.根据《河北省河湖智能监控系统运营工作方案》经省水利厅统一招标，需支付三方服务费及购置终端设备等。</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设备正常运行率</w:t>
            </w:r>
          </w:p>
        </w:tc>
        <w:tc>
          <w:tcPr>
            <w:tcW w:w="2891" w:type="dxa"/>
            <w:vAlign w:val="center"/>
          </w:tcPr>
          <w:p>
            <w:pPr>
              <w:pStyle w:val="17"/>
            </w:pPr>
            <w:r>
              <w:t>设备正常运行率</w:t>
            </w:r>
          </w:p>
        </w:tc>
        <w:tc>
          <w:tcPr>
            <w:tcW w:w="1276" w:type="dxa"/>
            <w:vAlign w:val="center"/>
          </w:tcPr>
          <w:p>
            <w:pPr>
              <w:pStyle w:val="17"/>
            </w:pPr>
            <w:r>
              <w:t>≥95%</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设备畅通率、上传及时率、数据准</w:t>
            </w:r>
          </w:p>
        </w:tc>
        <w:tc>
          <w:tcPr>
            <w:tcW w:w="2891" w:type="dxa"/>
            <w:vAlign w:val="center"/>
          </w:tcPr>
          <w:p>
            <w:pPr>
              <w:pStyle w:val="17"/>
            </w:pPr>
            <w:r>
              <w:t>设备畅通率、上传及时率、数据准确率</w:t>
            </w:r>
          </w:p>
        </w:tc>
        <w:tc>
          <w:tcPr>
            <w:tcW w:w="1276" w:type="dxa"/>
            <w:vAlign w:val="center"/>
          </w:tcPr>
          <w:p>
            <w:pPr>
              <w:pStyle w:val="17"/>
            </w:pPr>
            <w:r>
              <w:t>≥95%</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设备维修及时率</w:t>
            </w:r>
          </w:p>
        </w:tc>
        <w:tc>
          <w:tcPr>
            <w:tcW w:w="2891" w:type="dxa"/>
            <w:vAlign w:val="center"/>
          </w:tcPr>
          <w:p>
            <w:pPr>
              <w:pStyle w:val="17"/>
            </w:pPr>
            <w:r>
              <w:t>设备维修及时率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≤22.78万元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设备全年安全运行天数</w:t>
            </w:r>
          </w:p>
        </w:tc>
        <w:tc>
          <w:tcPr>
            <w:tcW w:w="2891" w:type="dxa"/>
            <w:vAlign w:val="center"/>
          </w:tcPr>
          <w:p>
            <w:pPr>
              <w:pStyle w:val="17"/>
            </w:pPr>
            <w:r>
              <w:t>设备全年安全运行天数</w:t>
            </w:r>
          </w:p>
        </w:tc>
        <w:tc>
          <w:tcPr>
            <w:tcW w:w="1276" w:type="dxa"/>
            <w:vAlign w:val="center"/>
          </w:tcPr>
          <w:p>
            <w:pPr>
              <w:pStyle w:val="17"/>
            </w:pPr>
            <w:r>
              <w:t>≥300天</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74.环卫承包费绩效目标表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13062323P00940810001D</w:t>
            </w:r>
          </w:p>
        </w:tc>
        <w:tc>
          <w:tcPr>
            <w:tcW w:w="1587" w:type="dxa"/>
            <w:vAlign w:val="center"/>
          </w:tcPr>
          <w:p>
            <w:pPr>
              <w:pStyle w:val="15"/>
            </w:pPr>
            <w:r>
              <w:t>项目名称</w:t>
            </w:r>
          </w:p>
        </w:tc>
        <w:tc>
          <w:tcPr>
            <w:tcW w:w="4422" w:type="dxa"/>
            <w:gridSpan w:val="3"/>
            <w:vAlign w:val="center"/>
          </w:tcPr>
          <w:p>
            <w:pPr>
              <w:pStyle w:val="17"/>
            </w:pPr>
            <w:r>
              <w:t>环卫承包费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1713.00</w:t>
            </w:r>
          </w:p>
        </w:tc>
        <w:tc>
          <w:tcPr>
            <w:tcW w:w="1587" w:type="dxa"/>
            <w:vAlign w:val="center"/>
          </w:tcPr>
          <w:p>
            <w:pPr>
              <w:pStyle w:val="15"/>
            </w:pPr>
            <w:r>
              <w:t>其中：财政    资金</w:t>
            </w:r>
          </w:p>
        </w:tc>
        <w:tc>
          <w:tcPr>
            <w:tcW w:w="1304" w:type="dxa"/>
            <w:vAlign w:val="center"/>
          </w:tcPr>
          <w:p>
            <w:pPr>
              <w:pStyle w:val="17"/>
            </w:pPr>
            <w:r>
              <w:t>1713.00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支付环卫运营费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428.25</w:t>
            </w:r>
          </w:p>
        </w:tc>
        <w:tc>
          <w:tcPr>
            <w:tcW w:w="1587" w:type="dxa"/>
            <w:vAlign w:val="center"/>
          </w:tcPr>
          <w:p>
            <w:pPr>
              <w:pStyle w:val="18"/>
            </w:pPr>
            <w:r>
              <w:t>428.25</w:t>
            </w:r>
          </w:p>
        </w:tc>
        <w:tc>
          <w:tcPr>
            <w:tcW w:w="1304" w:type="dxa"/>
            <w:vAlign w:val="center"/>
          </w:tcPr>
          <w:p>
            <w:pPr>
              <w:pStyle w:val="18"/>
            </w:pPr>
            <w:r>
              <w:t>428.25</w:t>
            </w:r>
          </w:p>
        </w:tc>
        <w:tc>
          <w:tcPr>
            <w:tcW w:w="3118" w:type="dxa"/>
            <w:gridSpan w:val="2"/>
            <w:vAlign w:val="center"/>
          </w:tcPr>
          <w:p>
            <w:pPr>
              <w:pStyle w:val="18"/>
            </w:pPr>
            <w:r>
              <w:t>428.25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保洁人员数量</w:t>
            </w:r>
          </w:p>
        </w:tc>
        <w:tc>
          <w:tcPr>
            <w:tcW w:w="2891" w:type="dxa"/>
            <w:vAlign w:val="center"/>
          </w:tcPr>
          <w:p>
            <w:pPr>
              <w:pStyle w:val="17"/>
            </w:pPr>
            <w:r>
              <w:t>保洁人员数量</w:t>
            </w:r>
          </w:p>
        </w:tc>
        <w:tc>
          <w:tcPr>
            <w:tcW w:w="1276" w:type="dxa"/>
            <w:vAlign w:val="center"/>
          </w:tcPr>
          <w:p>
            <w:pPr>
              <w:pStyle w:val="17"/>
            </w:pPr>
            <w:r>
              <w:t>不少于规定人数</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工作完成情况</w:t>
            </w:r>
          </w:p>
        </w:tc>
        <w:tc>
          <w:tcPr>
            <w:tcW w:w="2891" w:type="dxa"/>
            <w:vAlign w:val="center"/>
          </w:tcPr>
          <w:p>
            <w:pPr>
              <w:pStyle w:val="17"/>
            </w:pPr>
            <w:r>
              <w:t>工作完成情况</w:t>
            </w:r>
          </w:p>
        </w:tc>
        <w:tc>
          <w:tcPr>
            <w:tcW w:w="1276" w:type="dxa"/>
            <w:vAlign w:val="center"/>
          </w:tcPr>
          <w:p>
            <w:pPr>
              <w:pStyle w:val="17"/>
            </w:pPr>
            <w:r>
              <w:t>是否达到规定标准</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处理及时率</w:t>
            </w:r>
          </w:p>
        </w:tc>
        <w:tc>
          <w:tcPr>
            <w:tcW w:w="2891" w:type="dxa"/>
            <w:vAlign w:val="center"/>
          </w:tcPr>
          <w:p>
            <w:pPr>
              <w:pStyle w:val="17"/>
            </w:pPr>
            <w:r>
              <w:t>处理及时率</w:t>
            </w:r>
          </w:p>
        </w:tc>
        <w:tc>
          <w:tcPr>
            <w:tcW w:w="1276" w:type="dxa"/>
            <w:vAlign w:val="center"/>
          </w:tcPr>
          <w:p>
            <w:pPr>
              <w:pStyle w:val="17"/>
            </w:pPr>
            <w:r>
              <w:t>生活垃圾日产日清</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控制在预算成本内</w:t>
            </w:r>
          </w:p>
        </w:tc>
        <w:tc>
          <w:tcPr>
            <w:tcW w:w="2891" w:type="dxa"/>
            <w:vAlign w:val="center"/>
          </w:tcPr>
          <w:p>
            <w:pPr>
              <w:pStyle w:val="17"/>
            </w:pPr>
            <w:r>
              <w:t>控制在预算成本内</w:t>
            </w:r>
          </w:p>
        </w:tc>
        <w:tc>
          <w:tcPr>
            <w:tcW w:w="1276" w:type="dxa"/>
            <w:vAlign w:val="center"/>
          </w:tcPr>
          <w:p>
            <w:pPr>
              <w:pStyle w:val="17"/>
            </w:pPr>
            <w:r>
              <w:t>≤100</w:t>
            </w:r>
          </w:p>
        </w:tc>
        <w:tc>
          <w:tcPr>
            <w:tcW w:w="1843" w:type="dxa"/>
            <w:vAlign w:val="center"/>
          </w:tcPr>
          <w:p>
            <w:pPr>
              <w:pStyle w:val="17"/>
            </w:pPr>
            <w: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社会影响度</w:t>
            </w:r>
          </w:p>
        </w:tc>
        <w:tc>
          <w:tcPr>
            <w:tcW w:w="2891" w:type="dxa"/>
            <w:vAlign w:val="center"/>
          </w:tcPr>
          <w:p>
            <w:pPr>
              <w:pStyle w:val="17"/>
            </w:pPr>
            <w:r>
              <w:t>社会影响度</w:t>
            </w:r>
          </w:p>
        </w:tc>
        <w:tc>
          <w:tcPr>
            <w:tcW w:w="1276" w:type="dxa"/>
            <w:vAlign w:val="center"/>
          </w:tcPr>
          <w:p>
            <w:pPr>
              <w:pStyle w:val="17"/>
            </w:pPr>
            <w:r>
              <w:t>提高</w:t>
            </w:r>
          </w:p>
        </w:tc>
        <w:tc>
          <w:tcPr>
            <w:tcW w:w="1843" w:type="dxa"/>
            <w:vAlign w:val="center"/>
          </w:tcPr>
          <w:p>
            <w:pPr>
              <w:pStyle w:val="17"/>
            </w:pPr>
            <w:r>
              <w:t>根据合同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75.环卫追加2022年承包费绩效目标表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13062323P00940810008N</w:t>
            </w:r>
          </w:p>
        </w:tc>
        <w:tc>
          <w:tcPr>
            <w:tcW w:w="1587" w:type="dxa"/>
            <w:vAlign w:val="center"/>
          </w:tcPr>
          <w:p>
            <w:pPr>
              <w:pStyle w:val="15"/>
            </w:pPr>
            <w:r>
              <w:t>项目名称</w:t>
            </w:r>
          </w:p>
        </w:tc>
        <w:tc>
          <w:tcPr>
            <w:tcW w:w="4422" w:type="dxa"/>
            <w:gridSpan w:val="3"/>
            <w:vAlign w:val="center"/>
          </w:tcPr>
          <w:p>
            <w:pPr>
              <w:pStyle w:val="17"/>
            </w:pPr>
            <w:r>
              <w:t>环卫追加2022年承包费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222.38</w:t>
            </w:r>
          </w:p>
        </w:tc>
        <w:tc>
          <w:tcPr>
            <w:tcW w:w="1587" w:type="dxa"/>
            <w:vAlign w:val="center"/>
          </w:tcPr>
          <w:p>
            <w:pPr>
              <w:pStyle w:val="15"/>
            </w:pPr>
            <w:r>
              <w:t>其中：财政    资金</w:t>
            </w:r>
          </w:p>
        </w:tc>
        <w:tc>
          <w:tcPr>
            <w:tcW w:w="1304" w:type="dxa"/>
            <w:vAlign w:val="center"/>
          </w:tcPr>
          <w:p>
            <w:pPr>
              <w:pStyle w:val="17"/>
            </w:pPr>
            <w:r>
              <w:t>222.38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支付2022年第四季度环卫承包费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222.38</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人员数量</w:t>
            </w:r>
          </w:p>
        </w:tc>
        <w:tc>
          <w:tcPr>
            <w:tcW w:w="2891" w:type="dxa"/>
            <w:vAlign w:val="center"/>
          </w:tcPr>
          <w:p>
            <w:pPr>
              <w:pStyle w:val="17"/>
            </w:pPr>
            <w:r>
              <w:t>人员数量</w:t>
            </w:r>
          </w:p>
        </w:tc>
        <w:tc>
          <w:tcPr>
            <w:tcW w:w="1276" w:type="dxa"/>
            <w:vAlign w:val="center"/>
          </w:tcPr>
          <w:p>
            <w:pPr>
              <w:pStyle w:val="17"/>
            </w:pPr>
            <w:r>
              <w:t>人员数量不低于规定数量</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工作完成情况</w:t>
            </w:r>
          </w:p>
        </w:tc>
        <w:tc>
          <w:tcPr>
            <w:tcW w:w="2891" w:type="dxa"/>
            <w:vAlign w:val="center"/>
          </w:tcPr>
          <w:p>
            <w:pPr>
              <w:pStyle w:val="17"/>
            </w:pPr>
            <w:r>
              <w:t>工作完成情况</w:t>
            </w:r>
          </w:p>
        </w:tc>
        <w:tc>
          <w:tcPr>
            <w:tcW w:w="1276" w:type="dxa"/>
            <w:vAlign w:val="center"/>
          </w:tcPr>
          <w:p>
            <w:pPr>
              <w:pStyle w:val="17"/>
            </w:pPr>
            <w:r>
              <w:t>是否达到规定标准</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处理及时率</w:t>
            </w:r>
          </w:p>
        </w:tc>
        <w:tc>
          <w:tcPr>
            <w:tcW w:w="2891" w:type="dxa"/>
            <w:vAlign w:val="center"/>
          </w:tcPr>
          <w:p>
            <w:pPr>
              <w:pStyle w:val="17"/>
            </w:pPr>
            <w:r>
              <w:t>处理及时率</w:t>
            </w:r>
          </w:p>
        </w:tc>
        <w:tc>
          <w:tcPr>
            <w:tcW w:w="1276" w:type="dxa"/>
            <w:vAlign w:val="center"/>
          </w:tcPr>
          <w:p>
            <w:pPr>
              <w:pStyle w:val="17"/>
            </w:pPr>
            <w:r>
              <w:t>生活垃圾日产日清</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成本控制情况</w:t>
            </w:r>
          </w:p>
        </w:tc>
        <w:tc>
          <w:tcPr>
            <w:tcW w:w="2891" w:type="dxa"/>
            <w:vAlign w:val="center"/>
          </w:tcPr>
          <w:p>
            <w:pPr>
              <w:pStyle w:val="17"/>
            </w:pPr>
            <w:r>
              <w:t>成本控制情况</w:t>
            </w:r>
          </w:p>
        </w:tc>
        <w:tc>
          <w:tcPr>
            <w:tcW w:w="1276" w:type="dxa"/>
            <w:vAlign w:val="center"/>
          </w:tcPr>
          <w:p>
            <w:pPr>
              <w:pStyle w:val="17"/>
            </w:pPr>
            <w:r>
              <w:t>≤100%</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社会影响度</w:t>
            </w:r>
          </w:p>
        </w:tc>
        <w:tc>
          <w:tcPr>
            <w:tcW w:w="2891" w:type="dxa"/>
            <w:vAlign w:val="center"/>
          </w:tcPr>
          <w:p>
            <w:pPr>
              <w:pStyle w:val="17"/>
            </w:pPr>
            <w:r>
              <w:t>社会影响度</w:t>
            </w:r>
          </w:p>
        </w:tc>
        <w:tc>
          <w:tcPr>
            <w:tcW w:w="1276" w:type="dxa"/>
            <w:vAlign w:val="center"/>
          </w:tcPr>
          <w:p>
            <w:pPr>
              <w:pStyle w:val="17"/>
            </w:pPr>
            <w:r>
              <w:t>提升</w:t>
            </w:r>
          </w:p>
        </w:tc>
        <w:tc>
          <w:tcPr>
            <w:tcW w:w="1843" w:type="dxa"/>
            <w:vAlign w:val="center"/>
          </w:tcPr>
          <w:p>
            <w:pPr>
              <w:pStyle w:val="17"/>
            </w:pPr>
            <w:r>
              <w:t>根据合同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76.还财政局原种场借款项目绩效目标表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13062323P00844410002L</w:t>
            </w:r>
          </w:p>
        </w:tc>
        <w:tc>
          <w:tcPr>
            <w:tcW w:w="1587" w:type="dxa"/>
            <w:vAlign w:val="center"/>
          </w:tcPr>
          <w:p>
            <w:pPr>
              <w:pStyle w:val="15"/>
            </w:pPr>
            <w:r>
              <w:t>项目名称</w:t>
            </w:r>
          </w:p>
        </w:tc>
        <w:tc>
          <w:tcPr>
            <w:tcW w:w="4422" w:type="dxa"/>
            <w:gridSpan w:val="3"/>
            <w:vAlign w:val="center"/>
          </w:tcPr>
          <w:p>
            <w:pPr>
              <w:pStyle w:val="17"/>
            </w:pPr>
            <w:r>
              <w:t>还财政局原种场借款项目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350.90</w:t>
            </w:r>
          </w:p>
        </w:tc>
        <w:tc>
          <w:tcPr>
            <w:tcW w:w="1587" w:type="dxa"/>
            <w:vAlign w:val="center"/>
          </w:tcPr>
          <w:p>
            <w:pPr>
              <w:pStyle w:val="15"/>
            </w:pPr>
            <w:r>
              <w:t>其中：财政    资金</w:t>
            </w:r>
          </w:p>
        </w:tc>
        <w:tc>
          <w:tcPr>
            <w:tcW w:w="1304" w:type="dxa"/>
            <w:vAlign w:val="center"/>
          </w:tcPr>
          <w:p>
            <w:pPr>
              <w:pStyle w:val="17"/>
            </w:pPr>
            <w:r>
              <w:t>350.90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用于还财政局借款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350.90</w:t>
            </w:r>
          </w:p>
        </w:tc>
        <w:tc>
          <w:tcPr>
            <w:tcW w:w="1304" w:type="dxa"/>
            <w:vAlign w:val="center"/>
          </w:tcPr>
          <w:p>
            <w:pPr>
              <w:pStyle w:val="18"/>
            </w:pPr>
            <w:r>
              <w:t>350.90</w:t>
            </w:r>
          </w:p>
        </w:tc>
        <w:tc>
          <w:tcPr>
            <w:tcW w:w="3118" w:type="dxa"/>
            <w:gridSpan w:val="2"/>
            <w:vAlign w:val="center"/>
          </w:tcPr>
          <w:p>
            <w:pPr>
              <w:pStyle w:val="18"/>
            </w:pPr>
            <w:r>
              <w:t>350.90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借款金额</w:t>
            </w:r>
          </w:p>
        </w:tc>
        <w:tc>
          <w:tcPr>
            <w:tcW w:w="2891" w:type="dxa"/>
            <w:vAlign w:val="center"/>
          </w:tcPr>
          <w:p>
            <w:pPr>
              <w:pStyle w:val="17"/>
            </w:pPr>
            <w:r>
              <w:t>借款金额</w:t>
            </w:r>
          </w:p>
        </w:tc>
        <w:tc>
          <w:tcPr>
            <w:tcW w:w="1276" w:type="dxa"/>
            <w:vAlign w:val="center"/>
          </w:tcPr>
          <w:p>
            <w:pPr>
              <w:pStyle w:val="17"/>
            </w:pPr>
            <w:r>
              <w:t>350.9万元</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按标准偿还</w:t>
            </w:r>
          </w:p>
        </w:tc>
        <w:tc>
          <w:tcPr>
            <w:tcW w:w="2891" w:type="dxa"/>
            <w:vAlign w:val="center"/>
          </w:tcPr>
          <w:p>
            <w:pPr>
              <w:pStyle w:val="17"/>
            </w:pPr>
            <w:r>
              <w:t>按标准偿还</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按时偿还</w:t>
            </w:r>
          </w:p>
        </w:tc>
        <w:tc>
          <w:tcPr>
            <w:tcW w:w="2891" w:type="dxa"/>
            <w:vAlign w:val="center"/>
          </w:tcPr>
          <w:p>
            <w:pPr>
              <w:pStyle w:val="17"/>
            </w:pPr>
            <w:r>
              <w:t>按时偿还</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维护稳定</w:t>
            </w:r>
          </w:p>
        </w:tc>
        <w:tc>
          <w:tcPr>
            <w:tcW w:w="2891" w:type="dxa"/>
            <w:vAlign w:val="center"/>
          </w:tcPr>
          <w:p>
            <w:pPr>
              <w:pStyle w:val="17"/>
            </w:pPr>
            <w:r>
              <w:t>维护稳定</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偿还对象满意率</w:t>
            </w:r>
          </w:p>
        </w:tc>
        <w:tc>
          <w:tcPr>
            <w:tcW w:w="2891" w:type="dxa"/>
            <w:vAlign w:val="center"/>
          </w:tcPr>
          <w:p>
            <w:pPr>
              <w:pStyle w:val="17"/>
            </w:pPr>
            <w:r>
              <w:t>偿还对象满意率</w:t>
            </w:r>
          </w:p>
        </w:tc>
        <w:tc>
          <w:tcPr>
            <w:tcW w:w="1276" w:type="dxa"/>
            <w:vAlign w:val="center"/>
          </w:tcPr>
          <w:p>
            <w:pPr>
              <w:pStyle w:val="17"/>
            </w:pPr>
            <w:r>
              <w:t>≥95%</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77.江水置换项目土地使用权回收费绩效目标表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13062323P000078100058</w:t>
            </w:r>
          </w:p>
        </w:tc>
        <w:tc>
          <w:tcPr>
            <w:tcW w:w="1587" w:type="dxa"/>
            <w:vAlign w:val="center"/>
          </w:tcPr>
          <w:p>
            <w:pPr>
              <w:pStyle w:val="15"/>
            </w:pPr>
            <w:r>
              <w:t>项目名称</w:t>
            </w:r>
          </w:p>
        </w:tc>
        <w:tc>
          <w:tcPr>
            <w:tcW w:w="4422" w:type="dxa"/>
            <w:gridSpan w:val="3"/>
            <w:vAlign w:val="center"/>
          </w:tcPr>
          <w:p>
            <w:pPr>
              <w:pStyle w:val="17"/>
            </w:pPr>
            <w:r>
              <w:t>江水置换项目土地使用权回收费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646.00</w:t>
            </w:r>
          </w:p>
        </w:tc>
        <w:tc>
          <w:tcPr>
            <w:tcW w:w="1587" w:type="dxa"/>
            <w:vAlign w:val="center"/>
          </w:tcPr>
          <w:p>
            <w:pPr>
              <w:pStyle w:val="15"/>
            </w:pPr>
            <w:r>
              <w:t>其中：财政    资金</w:t>
            </w:r>
          </w:p>
        </w:tc>
        <w:tc>
          <w:tcPr>
            <w:tcW w:w="1304" w:type="dxa"/>
            <w:vAlign w:val="center"/>
          </w:tcPr>
          <w:p>
            <w:pPr>
              <w:pStyle w:val="17"/>
            </w:pPr>
            <w:r>
              <w:t>646.00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根据县领导批示，水厂二期建设需缴纳土地使用权回收费。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646.00</w:t>
            </w:r>
          </w:p>
        </w:tc>
        <w:tc>
          <w:tcPr>
            <w:tcW w:w="1304" w:type="dxa"/>
            <w:vAlign w:val="center"/>
          </w:tcPr>
          <w:p>
            <w:pPr>
              <w:pStyle w:val="18"/>
            </w:pPr>
            <w:r>
              <w:t>646.00</w:t>
            </w:r>
          </w:p>
        </w:tc>
        <w:tc>
          <w:tcPr>
            <w:tcW w:w="3118" w:type="dxa"/>
            <w:gridSpan w:val="2"/>
            <w:vAlign w:val="center"/>
          </w:tcPr>
          <w:p>
            <w:pPr>
              <w:pStyle w:val="18"/>
            </w:pPr>
            <w:r>
              <w:t>646.00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1.根据县领导批示，水厂二期建设需缴纳土地使用权回收费。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涉及土地面积</w:t>
            </w:r>
          </w:p>
        </w:tc>
        <w:tc>
          <w:tcPr>
            <w:tcW w:w="2891" w:type="dxa"/>
            <w:vAlign w:val="center"/>
          </w:tcPr>
          <w:p>
            <w:pPr>
              <w:pStyle w:val="17"/>
            </w:pPr>
            <w:r>
              <w:t>涉及土地面积</w:t>
            </w:r>
          </w:p>
        </w:tc>
        <w:tc>
          <w:tcPr>
            <w:tcW w:w="1276" w:type="dxa"/>
            <w:vAlign w:val="center"/>
          </w:tcPr>
          <w:p>
            <w:pPr>
              <w:pStyle w:val="17"/>
            </w:pPr>
            <w:r>
              <w:t>≤30亩</w:t>
            </w:r>
          </w:p>
        </w:tc>
        <w:tc>
          <w:tcPr>
            <w:tcW w:w="1843" w:type="dxa"/>
            <w:vAlign w:val="center"/>
          </w:tcPr>
          <w:p>
            <w:pPr>
              <w:pStyle w:val="17"/>
            </w:pPr>
            <w:r>
              <w:t>县领导批示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回收工作完成率</w:t>
            </w:r>
          </w:p>
        </w:tc>
        <w:tc>
          <w:tcPr>
            <w:tcW w:w="2891" w:type="dxa"/>
            <w:vAlign w:val="center"/>
          </w:tcPr>
          <w:p>
            <w:pPr>
              <w:pStyle w:val="17"/>
            </w:pPr>
            <w:r>
              <w:t>回收工作完成率</w:t>
            </w:r>
          </w:p>
        </w:tc>
        <w:tc>
          <w:tcPr>
            <w:tcW w:w="1276" w:type="dxa"/>
            <w:vAlign w:val="center"/>
          </w:tcPr>
          <w:p>
            <w:pPr>
              <w:pStyle w:val="17"/>
            </w:pPr>
            <w:r>
              <w:t>≥90%</w:t>
            </w:r>
          </w:p>
        </w:tc>
        <w:tc>
          <w:tcPr>
            <w:tcW w:w="1843" w:type="dxa"/>
            <w:vAlign w:val="center"/>
          </w:tcPr>
          <w:p>
            <w:pPr>
              <w:pStyle w:val="17"/>
            </w:pPr>
            <w:r>
              <w:t>县领导批示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回收工作及时率</w:t>
            </w:r>
          </w:p>
        </w:tc>
        <w:tc>
          <w:tcPr>
            <w:tcW w:w="2891" w:type="dxa"/>
            <w:vAlign w:val="center"/>
          </w:tcPr>
          <w:p>
            <w:pPr>
              <w:pStyle w:val="17"/>
            </w:pPr>
            <w:r>
              <w:t>回收工作及时率</w:t>
            </w:r>
          </w:p>
        </w:tc>
        <w:tc>
          <w:tcPr>
            <w:tcW w:w="1276" w:type="dxa"/>
            <w:vAlign w:val="center"/>
          </w:tcPr>
          <w:p>
            <w:pPr>
              <w:pStyle w:val="17"/>
            </w:pPr>
            <w:r>
              <w:t>≥90%</w:t>
            </w:r>
          </w:p>
        </w:tc>
        <w:tc>
          <w:tcPr>
            <w:tcW w:w="1843" w:type="dxa"/>
            <w:vAlign w:val="center"/>
          </w:tcPr>
          <w:p>
            <w:pPr>
              <w:pStyle w:val="17"/>
            </w:pPr>
            <w:r>
              <w:t>县领导批示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≤646万元</w:t>
            </w:r>
          </w:p>
        </w:tc>
        <w:tc>
          <w:tcPr>
            <w:tcW w:w="1843" w:type="dxa"/>
            <w:vAlign w:val="center"/>
          </w:tcPr>
          <w:p>
            <w:pPr>
              <w:pStyle w:val="17"/>
            </w:pPr>
            <w:r>
              <w:t>县领导批示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综合利用率</w:t>
            </w:r>
          </w:p>
        </w:tc>
        <w:tc>
          <w:tcPr>
            <w:tcW w:w="2891" w:type="dxa"/>
            <w:vAlign w:val="center"/>
          </w:tcPr>
          <w:p>
            <w:pPr>
              <w:pStyle w:val="17"/>
            </w:pPr>
            <w:r>
              <w:t>综合利用率</w:t>
            </w:r>
          </w:p>
        </w:tc>
        <w:tc>
          <w:tcPr>
            <w:tcW w:w="1276" w:type="dxa"/>
            <w:vAlign w:val="center"/>
          </w:tcPr>
          <w:p>
            <w:pPr>
              <w:pStyle w:val="17"/>
            </w:pPr>
            <w:r>
              <w:t>≥95%</w:t>
            </w:r>
          </w:p>
        </w:tc>
        <w:tc>
          <w:tcPr>
            <w:tcW w:w="1843" w:type="dxa"/>
            <w:vAlign w:val="center"/>
          </w:tcPr>
          <w:p>
            <w:pPr>
              <w:pStyle w:val="17"/>
            </w:pPr>
            <w:r>
              <w:t>县领导批示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县领导批示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78.警务通通信费绩效目标表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13062323P009408100048</w:t>
            </w:r>
          </w:p>
        </w:tc>
        <w:tc>
          <w:tcPr>
            <w:tcW w:w="1587" w:type="dxa"/>
            <w:vAlign w:val="center"/>
          </w:tcPr>
          <w:p>
            <w:pPr>
              <w:pStyle w:val="15"/>
            </w:pPr>
            <w:r>
              <w:t>项目名称</w:t>
            </w:r>
          </w:p>
        </w:tc>
        <w:tc>
          <w:tcPr>
            <w:tcW w:w="4422" w:type="dxa"/>
            <w:gridSpan w:val="3"/>
            <w:vAlign w:val="center"/>
          </w:tcPr>
          <w:p>
            <w:pPr>
              <w:pStyle w:val="17"/>
            </w:pPr>
            <w:r>
              <w:t>警务通通信费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0.72</w:t>
            </w:r>
          </w:p>
        </w:tc>
        <w:tc>
          <w:tcPr>
            <w:tcW w:w="1587" w:type="dxa"/>
            <w:vAlign w:val="center"/>
          </w:tcPr>
          <w:p>
            <w:pPr>
              <w:pStyle w:val="15"/>
            </w:pPr>
            <w:r>
              <w:t>其中：财政    资金</w:t>
            </w:r>
          </w:p>
        </w:tc>
        <w:tc>
          <w:tcPr>
            <w:tcW w:w="1304" w:type="dxa"/>
            <w:vAlign w:val="center"/>
          </w:tcPr>
          <w:p>
            <w:pPr>
              <w:pStyle w:val="17"/>
            </w:pPr>
            <w:r>
              <w:t>0.72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支付警务通通信费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0.72</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计算机通信网络正常运行保障率</w:t>
            </w:r>
          </w:p>
        </w:tc>
        <w:tc>
          <w:tcPr>
            <w:tcW w:w="2891" w:type="dxa"/>
            <w:vAlign w:val="center"/>
          </w:tcPr>
          <w:p>
            <w:pPr>
              <w:pStyle w:val="17"/>
            </w:pPr>
            <w:r>
              <w:t>计算机通信网络正常运行保障率</w:t>
            </w:r>
          </w:p>
        </w:tc>
        <w:tc>
          <w:tcPr>
            <w:tcW w:w="1276" w:type="dxa"/>
            <w:vAlign w:val="center"/>
          </w:tcPr>
          <w:p>
            <w:pPr>
              <w:pStyle w:val="17"/>
            </w:pPr>
            <w:r>
              <w:t>≥97%</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计算机通信网络正常运行保障率</w:t>
            </w:r>
          </w:p>
        </w:tc>
        <w:tc>
          <w:tcPr>
            <w:tcW w:w="2891" w:type="dxa"/>
            <w:vAlign w:val="center"/>
          </w:tcPr>
          <w:p>
            <w:pPr>
              <w:pStyle w:val="17"/>
            </w:pPr>
            <w:r>
              <w:t>计算机通信网络正常运行保障率</w:t>
            </w:r>
          </w:p>
        </w:tc>
        <w:tc>
          <w:tcPr>
            <w:tcW w:w="1276" w:type="dxa"/>
            <w:vAlign w:val="center"/>
          </w:tcPr>
          <w:p>
            <w:pPr>
              <w:pStyle w:val="17"/>
            </w:pPr>
            <w:r>
              <w:t>≥97%</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及时性</w:t>
            </w:r>
          </w:p>
        </w:tc>
        <w:tc>
          <w:tcPr>
            <w:tcW w:w="2891" w:type="dxa"/>
            <w:vAlign w:val="center"/>
          </w:tcPr>
          <w:p>
            <w:pPr>
              <w:pStyle w:val="17"/>
            </w:pPr>
            <w:r>
              <w:t>及时性</w:t>
            </w:r>
          </w:p>
        </w:tc>
        <w:tc>
          <w:tcPr>
            <w:tcW w:w="1276" w:type="dxa"/>
            <w:vAlign w:val="center"/>
          </w:tcPr>
          <w:p>
            <w:pPr>
              <w:pStyle w:val="17"/>
            </w:pPr>
            <w:r>
              <w:t>出现问题24小时内处理</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服务费</w:t>
            </w:r>
          </w:p>
          <w:p>
            <w:pPr>
              <w:pStyle w:val="17"/>
            </w:pPr>
          </w:p>
          <w:p>
            <w:pPr>
              <w:pStyle w:val="17"/>
            </w:pPr>
          </w:p>
        </w:tc>
        <w:tc>
          <w:tcPr>
            <w:tcW w:w="2891" w:type="dxa"/>
            <w:vAlign w:val="center"/>
          </w:tcPr>
          <w:p>
            <w:pPr>
              <w:pStyle w:val="17"/>
            </w:pPr>
            <w:r>
              <w:t>服务费</w:t>
            </w:r>
          </w:p>
          <w:p>
            <w:pPr>
              <w:pStyle w:val="17"/>
            </w:pPr>
          </w:p>
          <w:p>
            <w:pPr>
              <w:pStyle w:val="17"/>
            </w:pPr>
          </w:p>
        </w:tc>
        <w:tc>
          <w:tcPr>
            <w:tcW w:w="1276" w:type="dxa"/>
            <w:vAlign w:val="center"/>
          </w:tcPr>
          <w:p>
            <w:pPr>
              <w:pStyle w:val="17"/>
            </w:pPr>
            <w:r>
              <w:t>≤30每年30元</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提升</w:t>
            </w:r>
          </w:p>
        </w:tc>
        <w:tc>
          <w:tcPr>
            <w:tcW w:w="1843" w:type="dxa"/>
            <w:vAlign w:val="center"/>
          </w:tcPr>
          <w:p>
            <w:pPr>
              <w:pStyle w:val="17"/>
            </w:pPr>
            <w:r>
              <w:t>根据合同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79.警务通消耗品、执法设备的维修维护费用绩效目标表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13062323P00940810009A</w:t>
            </w:r>
          </w:p>
        </w:tc>
        <w:tc>
          <w:tcPr>
            <w:tcW w:w="1587" w:type="dxa"/>
            <w:vAlign w:val="center"/>
          </w:tcPr>
          <w:p>
            <w:pPr>
              <w:pStyle w:val="15"/>
            </w:pPr>
            <w:r>
              <w:t>项目名称</w:t>
            </w:r>
          </w:p>
        </w:tc>
        <w:tc>
          <w:tcPr>
            <w:tcW w:w="4422" w:type="dxa"/>
            <w:gridSpan w:val="3"/>
            <w:vAlign w:val="center"/>
          </w:tcPr>
          <w:p>
            <w:pPr>
              <w:pStyle w:val="17"/>
            </w:pPr>
            <w:r>
              <w:t>警务通消耗品、执法设备的维修维护费用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w:t>
            </w:r>
          </w:p>
        </w:tc>
        <w:tc>
          <w:tcPr>
            <w:tcW w:w="1587" w:type="dxa"/>
            <w:vAlign w:val="center"/>
          </w:tcPr>
          <w:p>
            <w:pPr>
              <w:pStyle w:val="15"/>
            </w:pPr>
            <w:r>
              <w:t>其中：财政    资金</w:t>
            </w:r>
          </w:p>
        </w:tc>
        <w:tc>
          <w:tcPr>
            <w:tcW w:w="1304" w:type="dxa"/>
            <w:vAlign w:val="center"/>
          </w:tcPr>
          <w:p>
            <w:pPr>
              <w:pStyle w:val="17"/>
            </w:pPr>
            <w:r>
              <w:t>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支付警务通等执法装备的费用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0.50</w:t>
            </w:r>
          </w:p>
        </w:tc>
        <w:tc>
          <w:tcPr>
            <w:tcW w:w="1587" w:type="dxa"/>
            <w:vAlign w:val="center"/>
          </w:tcPr>
          <w:p>
            <w:pPr>
              <w:pStyle w:val="18"/>
            </w:pPr>
            <w:r>
              <w:t>0.50</w:t>
            </w:r>
          </w:p>
        </w:tc>
        <w:tc>
          <w:tcPr>
            <w:tcW w:w="1304" w:type="dxa"/>
            <w:vAlign w:val="center"/>
          </w:tcPr>
          <w:p>
            <w:pPr>
              <w:pStyle w:val="18"/>
            </w:pPr>
            <w:r>
              <w:t>0.50</w:t>
            </w:r>
          </w:p>
        </w:tc>
        <w:tc>
          <w:tcPr>
            <w:tcW w:w="3118" w:type="dxa"/>
            <w:gridSpan w:val="2"/>
            <w:vAlign w:val="center"/>
          </w:tcPr>
          <w:p>
            <w:pPr>
              <w:pStyle w:val="18"/>
            </w:pPr>
            <w:r>
              <w:t>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正常运行天数</w:t>
            </w:r>
          </w:p>
        </w:tc>
        <w:tc>
          <w:tcPr>
            <w:tcW w:w="2891" w:type="dxa"/>
            <w:vAlign w:val="center"/>
          </w:tcPr>
          <w:p>
            <w:pPr>
              <w:pStyle w:val="17"/>
            </w:pPr>
            <w:r>
              <w:t>正常运行天数</w:t>
            </w:r>
          </w:p>
        </w:tc>
        <w:tc>
          <w:tcPr>
            <w:tcW w:w="1276" w:type="dxa"/>
            <w:vAlign w:val="center"/>
          </w:tcPr>
          <w:p>
            <w:pPr>
              <w:pStyle w:val="17"/>
            </w:pPr>
            <w:r>
              <w:t>≥350天</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故障解决率</w:t>
            </w:r>
          </w:p>
        </w:tc>
        <w:tc>
          <w:tcPr>
            <w:tcW w:w="2891" w:type="dxa"/>
            <w:vAlign w:val="center"/>
          </w:tcPr>
          <w:p>
            <w:pPr>
              <w:pStyle w:val="17"/>
            </w:pPr>
            <w:r>
              <w:t>故障解决率</w:t>
            </w:r>
          </w:p>
        </w:tc>
        <w:tc>
          <w:tcPr>
            <w:tcW w:w="1276" w:type="dxa"/>
            <w:vAlign w:val="center"/>
          </w:tcPr>
          <w:p>
            <w:pPr>
              <w:pStyle w:val="17"/>
            </w:pPr>
            <w:r>
              <w:t>出现问题及时处理</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社备维护响应时间</w:t>
            </w:r>
          </w:p>
        </w:tc>
        <w:tc>
          <w:tcPr>
            <w:tcW w:w="2891" w:type="dxa"/>
            <w:vAlign w:val="center"/>
          </w:tcPr>
          <w:p>
            <w:pPr>
              <w:pStyle w:val="17"/>
            </w:pPr>
            <w:r>
              <w:t>设备维护任务下达后响应时间</w:t>
            </w:r>
          </w:p>
        </w:tc>
        <w:tc>
          <w:tcPr>
            <w:tcW w:w="1276" w:type="dxa"/>
            <w:vAlign w:val="center"/>
          </w:tcPr>
          <w:p>
            <w:pPr>
              <w:pStyle w:val="17"/>
            </w:pPr>
            <w:r>
              <w:t>出现问题24小时响应程度</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维修预算支出率</w:t>
            </w:r>
          </w:p>
        </w:tc>
        <w:tc>
          <w:tcPr>
            <w:tcW w:w="2891" w:type="dxa"/>
            <w:vAlign w:val="center"/>
          </w:tcPr>
          <w:p>
            <w:pPr>
              <w:pStyle w:val="17"/>
            </w:pPr>
            <w:r>
              <w:t>维修预算支出情况</w:t>
            </w:r>
          </w:p>
        </w:tc>
        <w:tc>
          <w:tcPr>
            <w:tcW w:w="1276" w:type="dxa"/>
            <w:vAlign w:val="center"/>
          </w:tcPr>
          <w:p>
            <w:pPr>
              <w:pStyle w:val="17"/>
            </w:pPr>
            <w:r>
              <w:t>≤100</w:t>
            </w:r>
          </w:p>
        </w:tc>
        <w:tc>
          <w:tcPr>
            <w:tcW w:w="1843" w:type="dxa"/>
            <w:vAlign w:val="center"/>
          </w:tcPr>
          <w:p>
            <w:pPr>
              <w:pStyle w:val="17"/>
            </w:pPr>
            <w:r>
              <w:t>根据预算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服务效率</w:t>
            </w:r>
          </w:p>
        </w:tc>
        <w:tc>
          <w:tcPr>
            <w:tcW w:w="2891" w:type="dxa"/>
            <w:vAlign w:val="center"/>
          </w:tcPr>
          <w:p>
            <w:pPr>
              <w:pStyle w:val="17"/>
            </w:pPr>
            <w:r>
              <w:t>服务效率</w:t>
            </w:r>
          </w:p>
        </w:tc>
        <w:tc>
          <w:tcPr>
            <w:tcW w:w="1276" w:type="dxa"/>
            <w:vAlign w:val="center"/>
          </w:tcPr>
          <w:p>
            <w:pPr>
              <w:pStyle w:val="17"/>
            </w:pPr>
            <w:r>
              <w:t>提高</w:t>
            </w:r>
          </w:p>
        </w:tc>
        <w:tc>
          <w:tcPr>
            <w:tcW w:w="1843" w:type="dxa"/>
            <w:vAlign w:val="center"/>
          </w:tcPr>
          <w:p>
            <w:pPr>
              <w:pStyle w:val="17"/>
            </w:pPr>
            <w:r>
              <w:t>便道出行秩序</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80.拒马河综合整治和百里峡民居提升改造项目绩效目标表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13062323P009408100601</w:t>
            </w:r>
          </w:p>
        </w:tc>
        <w:tc>
          <w:tcPr>
            <w:tcW w:w="1587" w:type="dxa"/>
            <w:vAlign w:val="center"/>
          </w:tcPr>
          <w:p>
            <w:pPr>
              <w:pStyle w:val="15"/>
            </w:pPr>
            <w:r>
              <w:t>项目名称</w:t>
            </w:r>
          </w:p>
        </w:tc>
        <w:tc>
          <w:tcPr>
            <w:tcW w:w="4422" w:type="dxa"/>
            <w:gridSpan w:val="3"/>
            <w:vAlign w:val="center"/>
          </w:tcPr>
          <w:p>
            <w:pPr>
              <w:pStyle w:val="17"/>
            </w:pPr>
            <w:r>
              <w:t>拒马河综合整治和百里峡民居提升改造项目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6000.00</w:t>
            </w:r>
          </w:p>
        </w:tc>
        <w:tc>
          <w:tcPr>
            <w:tcW w:w="1587" w:type="dxa"/>
            <w:vAlign w:val="center"/>
          </w:tcPr>
          <w:p>
            <w:pPr>
              <w:pStyle w:val="15"/>
            </w:pPr>
            <w:r>
              <w:t>其中：财政    资金</w:t>
            </w:r>
          </w:p>
        </w:tc>
        <w:tc>
          <w:tcPr>
            <w:tcW w:w="1304" w:type="dxa"/>
            <w:vAlign w:val="center"/>
          </w:tcPr>
          <w:p>
            <w:pPr>
              <w:pStyle w:val="17"/>
            </w:pPr>
            <w:r>
              <w:t>6000.00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用于偿还拒马河综合整治和百里峡民居提升改造项目尾欠。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1500.00</w:t>
            </w:r>
          </w:p>
        </w:tc>
        <w:tc>
          <w:tcPr>
            <w:tcW w:w="1587" w:type="dxa"/>
            <w:vAlign w:val="center"/>
          </w:tcPr>
          <w:p>
            <w:pPr>
              <w:pStyle w:val="18"/>
            </w:pPr>
            <w:r>
              <w:t>3000.00</w:t>
            </w:r>
          </w:p>
        </w:tc>
        <w:tc>
          <w:tcPr>
            <w:tcW w:w="1304" w:type="dxa"/>
            <w:vAlign w:val="center"/>
          </w:tcPr>
          <w:p>
            <w:pPr>
              <w:pStyle w:val="18"/>
            </w:pPr>
            <w:r>
              <w:t>4500.00</w:t>
            </w:r>
          </w:p>
        </w:tc>
        <w:tc>
          <w:tcPr>
            <w:tcW w:w="3118" w:type="dxa"/>
            <w:gridSpan w:val="2"/>
            <w:vAlign w:val="center"/>
          </w:tcPr>
          <w:p>
            <w:pPr>
              <w:pStyle w:val="18"/>
            </w:pPr>
            <w:r>
              <w:t>6000.00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巡查河道长度</w:t>
            </w:r>
          </w:p>
        </w:tc>
        <w:tc>
          <w:tcPr>
            <w:tcW w:w="2891" w:type="dxa"/>
            <w:vAlign w:val="center"/>
          </w:tcPr>
          <w:p>
            <w:pPr>
              <w:pStyle w:val="17"/>
            </w:pPr>
            <w:r>
              <w:t>巡查河道长度</w:t>
            </w:r>
          </w:p>
        </w:tc>
        <w:tc>
          <w:tcPr>
            <w:tcW w:w="1276" w:type="dxa"/>
            <w:vAlign w:val="center"/>
          </w:tcPr>
          <w:p>
            <w:pPr>
              <w:pStyle w:val="17"/>
            </w:pPr>
            <w:r>
              <w:t>≥30公里</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项目完成质量</w:t>
            </w:r>
          </w:p>
        </w:tc>
        <w:tc>
          <w:tcPr>
            <w:tcW w:w="2891" w:type="dxa"/>
            <w:vAlign w:val="center"/>
          </w:tcPr>
          <w:p>
            <w:pPr>
              <w:pStyle w:val="17"/>
            </w:pPr>
            <w:r>
              <w:t>项目完成质量</w:t>
            </w:r>
          </w:p>
        </w:tc>
        <w:tc>
          <w:tcPr>
            <w:tcW w:w="1276" w:type="dxa"/>
            <w:vAlign w:val="center"/>
          </w:tcPr>
          <w:p>
            <w:pPr>
              <w:pStyle w:val="17"/>
            </w:pPr>
            <w:r>
              <w:t>是否高质量完成</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≤100%</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≤6000万元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是否得到改善</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81.开发区南区110KV、10KV电力线路迁移服务项目绩效目标表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13062323P009408100240</w:t>
            </w:r>
          </w:p>
        </w:tc>
        <w:tc>
          <w:tcPr>
            <w:tcW w:w="1587" w:type="dxa"/>
            <w:vAlign w:val="center"/>
          </w:tcPr>
          <w:p>
            <w:pPr>
              <w:pStyle w:val="15"/>
            </w:pPr>
            <w:r>
              <w:t>项目名称</w:t>
            </w:r>
          </w:p>
        </w:tc>
        <w:tc>
          <w:tcPr>
            <w:tcW w:w="4422" w:type="dxa"/>
            <w:gridSpan w:val="3"/>
            <w:vAlign w:val="center"/>
          </w:tcPr>
          <w:p>
            <w:pPr>
              <w:pStyle w:val="17"/>
            </w:pPr>
            <w:r>
              <w:t>开发区南区110KV、10KV电力线路迁移服务项目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704.04</w:t>
            </w:r>
          </w:p>
        </w:tc>
        <w:tc>
          <w:tcPr>
            <w:tcW w:w="1587" w:type="dxa"/>
            <w:vAlign w:val="center"/>
          </w:tcPr>
          <w:p>
            <w:pPr>
              <w:pStyle w:val="15"/>
            </w:pPr>
            <w:r>
              <w:t>其中：财政    资金</w:t>
            </w:r>
          </w:p>
        </w:tc>
        <w:tc>
          <w:tcPr>
            <w:tcW w:w="1304" w:type="dxa"/>
            <w:vAlign w:val="center"/>
          </w:tcPr>
          <w:p>
            <w:pPr>
              <w:pStyle w:val="17"/>
            </w:pPr>
            <w:r>
              <w:t>704.04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加快推进项目落地，服务涞水经济。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176.01</w:t>
            </w:r>
          </w:p>
        </w:tc>
        <w:tc>
          <w:tcPr>
            <w:tcW w:w="1587" w:type="dxa"/>
            <w:vAlign w:val="center"/>
          </w:tcPr>
          <w:p>
            <w:pPr>
              <w:pStyle w:val="18"/>
            </w:pPr>
            <w:r>
              <w:t>352.02</w:t>
            </w:r>
          </w:p>
        </w:tc>
        <w:tc>
          <w:tcPr>
            <w:tcW w:w="1304" w:type="dxa"/>
            <w:vAlign w:val="center"/>
          </w:tcPr>
          <w:p>
            <w:pPr>
              <w:pStyle w:val="18"/>
            </w:pPr>
            <w:r>
              <w:t>528.03</w:t>
            </w:r>
          </w:p>
        </w:tc>
        <w:tc>
          <w:tcPr>
            <w:tcW w:w="3118" w:type="dxa"/>
            <w:gridSpan w:val="2"/>
            <w:vAlign w:val="center"/>
          </w:tcPr>
          <w:p>
            <w:pPr>
              <w:pStyle w:val="18"/>
            </w:pPr>
            <w:r>
              <w:t>704.04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1.加快推进项目落地，服务涞水经济。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电力迁改工程</w:t>
            </w:r>
          </w:p>
        </w:tc>
        <w:tc>
          <w:tcPr>
            <w:tcW w:w="2891" w:type="dxa"/>
            <w:vAlign w:val="center"/>
          </w:tcPr>
          <w:p>
            <w:pPr>
              <w:pStyle w:val="17"/>
            </w:pPr>
            <w:r>
              <w:t>电力迁改工程量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82.开发区突发环境事件应急预案及日常环境监测费绩效目标表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13062323P009408100119</w:t>
            </w:r>
          </w:p>
        </w:tc>
        <w:tc>
          <w:tcPr>
            <w:tcW w:w="1587" w:type="dxa"/>
            <w:vAlign w:val="center"/>
          </w:tcPr>
          <w:p>
            <w:pPr>
              <w:pStyle w:val="15"/>
            </w:pPr>
            <w:r>
              <w:t>项目名称</w:t>
            </w:r>
          </w:p>
        </w:tc>
        <w:tc>
          <w:tcPr>
            <w:tcW w:w="4422" w:type="dxa"/>
            <w:gridSpan w:val="3"/>
            <w:vAlign w:val="center"/>
          </w:tcPr>
          <w:p>
            <w:pPr>
              <w:pStyle w:val="17"/>
            </w:pPr>
            <w:r>
              <w:t>开发区突发环境事件应急预案及日常环境监测费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26.60</w:t>
            </w:r>
          </w:p>
        </w:tc>
        <w:tc>
          <w:tcPr>
            <w:tcW w:w="1587" w:type="dxa"/>
            <w:vAlign w:val="center"/>
          </w:tcPr>
          <w:p>
            <w:pPr>
              <w:pStyle w:val="15"/>
            </w:pPr>
            <w:r>
              <w:t>其中：财政    资金</w:t>
            </w:r>
          </w:p>
        </w:tc>
        <w:tc>
          <w:tcPr>
            <w:tcW w:w="1304" w:type="dxa"/>
            <w:vAlign w:val="center"/>
          </w:tcPr>
          <w:p>
            <w:pPr>
              <w:pStyle w:val="17"/>
            </w:pPr>
            <w:r>
              <w:t>26.60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突发环境事件应急预案编制及日常环境监测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6.65</w:t>
            </w:r>
          </w:p>
        </w:tc>
        <w:tc>
          <w:tcPr>
            <w:tcW w:w="1587" w:type="dxa"/>
            <w:vAlign w:val="center"/>
          </w:tcPr>
          <w:p>
            <w:pPr>
              <w:pStyle w:val="18"/>
            </w:pPr>
            <w:r>
              <w:t>13.30</w:t>
            </w:r>
          </w:p>
        </w:tc>
        <w:tc>
          <w:tcPr>
            <w:tcW w:w="1304" w:type="dxa"/>
            <w:vAlign w:val="center"/>
          </w:tcPr>
          <w:p>
            <w:pPr>
              <w:pStyle w:val="18"/>
            </w:pPr>
            <w:r>
              <w:t>19.95</w:t>
            </w:r>
          </w:p>
        </w:tc>
        <w:tc>
          <w:tcPr>
            <w:tcW w:w="3118" w:type="dxa"/>
            <w:gridSpan w:val="2"/>
            <w:vAlign w:val="center"/>
          </w:tcPr>
          <w:p>
            <w:pPr>
              <w:pStyle w:val="18"/>
            </w:pPr>
            <w:r>
              <w:t>26.60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1.突发环境事件应急预案编制及日常环境监测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编制应急预案</w:t>
            </w:r>
          </w:p>
        </w:tc>
        <w:tc>
          <w:tcPr>
            <w:tcW w:w="2891" w:type="dxa"/>
            <w:vAlign w:val="center"/>
          </w:tcPr>
          <w:p>
            <w:pPr>
              <w:pStyle w:val="17"/>
            </w:pPr>
            <w:r>
              <w:t>编制应急预案</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满足生态环保的要求</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83.垃圾场承包费绩效目标表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13062323P009408100021</w:t>
            </w:r>
          </w:p>
        </w:tc>
        <w:tc>
          <w:tcPr>
            <w:tcW w:w="1587" w:type="dxa"/>
            <w:vAlign w:val="center"/>
          </w:tcPr>
          <w:p>
            <w:pPr>
              <w:pStyle w:val="15"/>
            </w:pPr>
            <w:r>
              <w:t>项目名称</w:t>
            </w:r>
          </w:p>
        </w:tc>
        <w:tc>
          <w:tcPr>
            <w:tcW w:w="4422" w:type="dxa"/>
            <w:gridSpan w:val="3"/>
            <w:vAlign w:val="center"/>
          </w:tcPr>
          <w:p>
            <w:pPr>
              <w:pStyle w:val="17"/>
            </w:pPr>
            <w:r>
              <w:t>垃圾场承包费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184.84</w:t>
            </w:r>
          </w:p>
        </w:tc>
        <w:tc>
          <w:tcPr>
            <w:tcW w:w="1587" w:type="dxa"/>
            <w:vAlign w:val="center"/>
          </w:tcPr>
          <w:p>
            <w:pPr>
              <w:pStyle w:val="15"/>
            </w:pPr>
            <w:r>
              <w:t>其中：财政    资金</w:t>
            </w:r>
          </w:p>
        </w:tc>
        <w:tc>
          <w:tcPr>
            <w:tcW w:w="1304" w:type="dxa"/>
            <w:vAlign w:val="center"/>
          </w:tcPr>
          <w:p>
            <w:pPr>
              <w:pStyle w:val="17"/>
            </w:pPr>
            <w:r>
              <w:t>184.84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支付垃圾场承包费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46.21</w:t>
            </w:r>
          </w:p>
        </w:tc>
        <w:tc>
          <w:tcPr>
            <w:tcW w:w="1587" w:type="dxa"/>
            <w:vAlign w:val="center"/>
          </w:tcPr>
          <w:p>
            <w:pPr>
              <w:pStyle w:val="18"/>
            </w:pPr>
            <w:r>
              <w:t>46.21</w:t>
            </w:r>
          </w:p>
        </w:tc>
        <w:tc>
          <w:tcPr>
            <w:tcW w:w="1304" w:type="dxa"/>
            <w:vAlign w:val="center"/>
          </w:tcPr>
          <w:p>
            <w:pPr>
              <w:pStyle w:val="18"/>
            </w:pPr>
            <w:r>
              <w:t>46.21</w:t>
            </w:r>
          </w:p>
        </w:tc>
        <w:tc>
          <w:tcPr>
            <w:tcW w:w="3118" w:type="dxa"/>
            <w:gridSpan w:val="2"/>
            <w:vAlign w:val="center"/>
          </w:tcPr>
          <w:p>
            <w:pPr>
              <w:pStyle w:val="18"/>
            </w:pPr>
            <w:r>
              <w:t>46.21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机械设备维护保养次数</w:t>
            </w:r>
          </w:p>
        </w:tc>
        <w:tc>
          <w:tcPr>
            <w:tcW w:w="2891" w:type="dxa"/>
            <w:vAlign w:val="center"/>
          </w:tcPr>
          <w:p>
            <w:pPr>
              <w:pStyle w:val="17"/>
            </w:pPr>
            <w:r>
              <w:t>机械设备的维护保养记录次数</w:t>
            </w:r>
          </w:p>
        </w:tc>
        <w:tc>
          <w:tcPr>
            <w:tcW w:w="1276" w:type="dxa"/>
            <w:vAlign w:val="center"/>
          </w:tcPr>
          <w:p>
            <w:pPr>
              <w:pStyle w:val="17"/>
            </w:pPr>
            <w:r>
              <w:t>提高</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生活垃圾填埋气体达标排放</w:t>
            </w:r>
          </w:p>
        </w:tc>
        <w:tc>
          <w:tcPr>
            <w:tcW w:w="2891" w:type="dxa"/>
            <w:vAlign w:val="center"/>
          </w:tcPr>
          <w:p>
            <w:pPr>
              <w:pStyle w:val="17"/>
            </w:pPr>
            <w:r>
              <w:t>生活垃圾填埋气体是否达标</w:t>
            </w:r>
          </w:p>
        </w:tc>
        <w:tc>
          <w:tcPr>
            <w:tcW w:w="1276" w:type="dxa"/>
            <w:vAlign w:val="center"/>
          </w:tcPr>
          <w:p>
            <w:pPr>
              <w:pStyle w:val="17"/>
            </w:pPr>
            <w:r>
              <w:t>≥98%</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生活垃圾覆盖及时率</w:t>
            </w:r>
          </w:p>
        </w:tc>
        <w:tc>
          <w:tcPr>
            <w:tcW w:w="2891" w:type="dxa"/>
            <w:vAlign w:val="center"/>
          </w:tcPr>
          <w:p>
            <w:pPr>
              <w:pStyle w:val="17"/>
            </w:pPr>
            <w:r>
              <w:t>生活垃圾渗滤液处理情况</w:t>
            </w:r>
          </w:p>
        </w:tc>
        <w:tc>
          <w:tcPr>
            <w:tcW w:w="1276" w:type="dxa"/>
            <w:vAlign w:val="center"/>
          </w:tcPr>
          <w:p>
            <w:pPr>
              <w:pStyle w:val="17"/>
            </w:pPr>
            <w:r>
              <w:t>≥98%</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项目实际发生成本</w:t>
            </w:r>
          </w:p>
        </w:tc>
        <w:tc>
          <w:tcPr>
            <w:tcW w:w="2891" w:type="dxa"/>
            <w:vAlign w:val="center"/>
          </w:tcPr>
          <w:p>
            <w:pPr>
              <w:pStyle w:val="17"/>
            </w:pPr>
            <w:r>
              <w:t>项目实际发生成本</w:t>
            </w:r>
          </w:p>
        </w:tc>
        <w:tc>
          <w:tcPr>
            <w:tcW w:w="1276" w:type="dxa"/>
            <w:vAlign w:val="center"/>
          </w:tcPr>
          <w:p>
            <w:pPr>
              <w:pStyle w:val="17"/>
            </w:pPr>
            <w:r>
              <w:t>≤100%</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减少对环境的污染</w:t>
            </w:r>
          </w:p>
        </w:tc>
        <w:tc>
          <w:tcPr>
            <w:tcW w:w="2891" w:type="dxa"/>
            <w:vAlign w:val="center"/>
          </w:tcPr>
          <w:p>
            <w:pPr>
              <w:pStyle w:val="17"/>
            </w:pPr>
            <w:r>
              <w:t>减少垃圾渗滤液对环境的污染</w:t>
            </w:r>
          </w:p>
        </w:tc>
        <w:tc>
          <w:tcPr>
            <w:tcW w:w="1276" w:type="dxa"/>
            <w:vAlign w:val="center"/>
          </w:tcPr>
          <w:p>
            <w:pPr>
              <w:pStyle w:val="17"/>
            </w:pPr>
            <w:r>
              <w:t>降低</w:t>
            </w:r>
          </w:p>
        </w:tc>
        <w:tc>
          <w:tcPr>
            <w:tcW w:w="1843" w:type="dxa"/>
            <w:vAlign w:val="center"/>
          </w:tcPr>
          <w:p>
            <w:pPr>
              <w:pStyle w:val="17"/>
            </w:pPr>
            <w:r>
              <w:t>根据合同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84.龙门乡东沟村容村貌建设资金绩效目标表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13062323P00940810064F</w:t>
            </w:r>
          </w:p>
        </w:tc>
        <w:tc>
          <w:tcPr>
            <w:tcW w:w="1587" w:type="dxa"/>
            <w:vAlign w:val="center"/>
          </w:tcPr>
          <w:p>
            <w:pPr>
              <w:pStyle w:val="15"/>
            </w:pPr>
            <w:r>
              <w:t>项目名称</w:t>
            </w:r>
          </w:p>
        </w:tc>
        <w:tc>
          <w:tcPr>
            <w:tcW w:w="4422" w:type="dxa"/>
            <w:gridSpan w:val="3"/>
            <w:vAlign w:val="center"/>
          </w:tcPr>
          <w:p>
            <w:pPr>
              <w:pStyle w:val="17"/>
            </w:pPr>
            <w:r>
              <w:t>龙门乡东沟村容村貌建设资金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128.25</w:t>
            </w:r>
          </w:p>
        </w:tc>
        <w:tc>
          <w:tcPr>
            <w:tcW w:w="1587" w:type="dxa"/>
            <w:vAlign w:val="center"/>
          </w:tcPr>
          <w:p>
            <w:pPr>
              <w:pStyle w:val="15"/>
            </w:pPr>
            <w:r>
              <w:t>其中：财政    资金</w:t>
            </w:r>
          </w:p>
        </w:tc>
        <w:tc>
          <w:tcPr>
            <w:tcW w:w="1304" w:type="dxa"/>
            <w:vAlign w:val="center"/>
          </w:tcPr>
          <w:p>
            <w:pPr>
              <w:pStyle w:val="17"/>
            </w:pPr>
            <w:r>
              <w:t>128.25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及时支付龙门乡东沟村容村貌建设资金，保障社会稳定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128.25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1.及时支付龙门乡东沟村容村貌建设资金，保障社会稳定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任务完成率</w:t>
            </w:r>
          </w:p>
        </w:tc>
        <w:tc>
          <w:tcPr>
            <w:tcW w:w="2891" w:type="dxa"/>
            <w:vAlign w:val="center"/>
          </w:tcPr>
          <w:p>
            <w:pPr>
              <w:pStyle w:val="17"/>
            </w:pPr>
            <w:r>
              <w:t>任务完成率</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提升工作效率</w:t>
            </w:r>
          </w:p>
        </w:tc>
        <w:tc>
          <w:tcPr>
            <w:tcW w:w="2891" w:type="dxa"/>
            <w:vAlign w:val="center"/>
          </w:tcPr>
          <w:p>
            <w:pPr>
              <w:pStyle w:val="17"/>
            </w:pPr>
            <w:r>
              <w:t>提升工作效率</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工程完成及时率</w:t>
            </w:r>
          </w:p>
        </w:tc>
        <w:tc>
          <w:tcPr>
            <w:tcW w:w="2891" w:type="dxa"/>
            <w:vAlign w:val="center"/>
          </w:tcPr>
          <w:p>
            <w:pPr>
              <w:pStyle w:val="17"/>
            </w:pPr>
            <w:r>
              <w:t>工程完成及时率</w:t>
            </w:r>
          </w:p>
        </w:tc>
        <w:tc>
          <w:tcPr>
            <w:tcW w:w="1276" w:type="dxa"/>
            <w:vAlign w:val="center"/>
          </w:tcPr>
          <w:p>
            <w:pPr>
              <w:pStyle w:val="17"/>
            </w:pPr>
            <w:r>
              <w:t>≥90百分比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w:t>
            </w:r>
          </w:p>
        </w:tc>
        <w:tc>
          <w:tcPr>
            <w:tcW w:w="2891" w:type="dxa"/>
            <w:vAlign w:val="center"/>
          </w:tcPr>
          <w:p>
            <w:pPr>
              <w:pStyle w:val="17"/>
            </w:pPr>
            <w:r>
              <w:t>预算控制</w:t>
            </w:r>
          </w:p>
        </w:tc>
        <w:tc>
          <w:tcPr>
            <w:tcW w:w="1276" w:type="dxa"/>
            <w:vAlign w:val="center"/>
          </w:tcPr>
          <w:p>
            <w:pPr>
              <w:pStyle w:val="17"/>
            </w:pPr>
            <w:r>
              <w:t>≤128.25百分比</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社会稳定水平</w:t>
            </w:r>
          </w:p>
        </w:tc>
        <w:tc>
          <w:tcPr>
            <w:tcW w:w="2891" w:type="dxa"/>
            <w:vAlign w:val="center"/>
          </w:tcPr>
          <w:p>
            <w:pPr>
              <w:pStyle w:val="17"/>
            </w:pPr>
            <w:r>
              <w:t>社会稳定水平</w:t>
            </w:r>
          </w:p>
        </w:tc>
        <w:tc>
          <w:tcPr>
            <w:tcW w:w="1276" w:type="dxa"/>
            <w:vAlign w:val="center"/>
          </w:tcPr>
          <w:p>
            <w:pPr>
              <w:pStyle w:val="17"/>
            </w:pPr>
            <w:r>
              <w:t>良好</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85.隆基泰和、新加坡南洋等项目所在区域规划环评及环境质量现状监测绩效目标表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13062323P009408100144</w:t>
            </w:r>
          </w:p>
        </w:tc>
        <w:tc>
          <w:tcPr>
            <w:tcW w:w="1587" w:type="dxa"/>
            <w:vAlign w:val="center"/>
          </w:tcPr>
          <w:p>
            <w:pPr>
              <w:pStyle w:val="15"/>
            </w:pPr>
            <w:r>
              <w:t>项目名称</w:t>
            </w:r>
          </w:p>
        </w:tc>
        <w:tc>
          <w:tcPr>
            <w:tcW w:w="4422" w:type="dxa"/>
            <w:gridSpan w:val="3"/>
            <w:vAlign w:val="center"/>
          </w:tcPr>
          <w:p>
            <w:pPr>
              <w:pStyle w:val="17"/>
            </w:pPr>
            <w:r>
              <w:t>隆基泰和、新加坡南洋等项目所在区域规划环评及环境质量现状监测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56.10</w:t>
            </w:r>
          </w:p>
        </w:tc>
        <w:tc>
          <w:tcPr>
            <w:tcW w:w="1587" w:type="dxa"/>
            <w:vAlign w:val="center"/>
          </w:tcPr>
          <w:p>
            <w:pPr>
              <w:pStyle w:val="15"/>
            </w:pPr>
            <w:r>
              <w:t>其中：财政    资金</w:t>
            </w:r>
          </w:p>
        </w:tc>
        <w:tc>
          <w:tcPr>
            <w:tcW w:w="1304" w:type="dxa"/>
            <w:vAlign w:val="center"/>
          </w:tcPr>
          <w:p>
            <w:pPr>
              <w:pStyle w:val="17"/>
            </w:pPr>
            <w:r>
              <w:t>56.10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隆基泰和、新加坡南洋等项目所在区域规划环评及环境质量现状监测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14.03</w:t>
            </w:r>
          </w:p>
        </w:tc>
        <w:tc>
          <w:tcPr>
            <w:tcW w:w="1587" w:type="dxa"/>
            <w:vAlign w:val="center"/>
          </w:tcPr>
          <w:p>
            <w:pPr>
              <w:pStyle w:val="18"/>
            </w:pPr>
            <w:r>
              <w:t>28.05</w:t>
            </w:r>
          </w:p>
        </w:tc>
        <w:tc>
          <w:tcPr>
            <w:tcW w:w="1304" w:type="dxa"/>
            <w:vAlign w:val="center"/>
          </w:tcPr>
          <w:p>
            <w:pPr>
              <w:pStyle w:val="18"/>
            </w:pPr>
            <w:r>
              <w:t>42.08</w:t>
            </w:r>
          </w:p>
        </w:tc>
        <w:tc>
          <w:tcPr>
            <w:tcW w:w="3118" w:type="dxa"/>
            <w:gridSpan w:val="2"/>
            <w:vAlign w:val="center"/>
          </w:tcPr>
          <w:p>
            <w:pPr>
              <w:pStyle w:val="18"/>
            </w:pPr>
            <w:r>
              <w:t>56.10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1.隆基泰和、新加坡南洋等项目所在区域规划环评及环境质量现状监测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出具调整方案</w:t>
            </w:r>
          </w:p>
        </w:tc>
        <w:tc>
          <w:tcPr>
            <w:tcW w:w="2891" w:type="dxa"/>
            <w:vAlign w:val="center"/>
          </w:tcPr>
          <w:p>
            <w:pPr>
              <w:pStyle w:val="17"/>
            </w:pPr>
            <w:r>
              <w:t>出具调整方案</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满足生态环保的要求</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86.南拒马河生态调蓄补水工程可行性研究报告编制费绩效目标表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13062323P00007210002B</w:t>
            </w:r>
          </w:p>
        </w:tc>
        <w:tc>
          <w:tcPr>
            <w:tcW w:w="1587" w:type="dxa"/>
            <w:vAlign w:val="center"/>
          </w:tcPr>
          <w:p>
            <w:pPr>
              <w:pStyle w:val="15"/>
            </w:pPr>
            <w:r>
              <w:t>项目名称</w:t>
            </w:r>
          </w:p>
        </w:tc>
        <w:tc>
          <w:tcPr>
            <w:tcW w:w="4422" w:type="dxa"/>
            <w:gridSpan w:val="3"/>
            <w:vAlign w:val="center"/>
          </w:tcPr>
          <w:p>
            <w:pPr>
              <w:pStyle w:val="17"/>
            </w:pPr>
            <w:r>
              <w:t>南拒马河生态调蓄补水工程可行性研究报告编制费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2021年10月份项目经发改委批准立项，南拒马河生态调蓄补水项目，为推进该项目建设，需编制可行性研究等前期工作。</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10.00</w:t>
            </w:r>
          </w:p>
        </w:tc>
        <w:tc>
          <w:tcPr>
            <w:tcW w:w="3118" w:type="dxa"/>
            <w:gridSpan w:val="2"/>
            <w:vAlign w:val="center"/>
          </w:tcPr>
          <w:p>
            <w:pPr>
              <w:pStyle w:val="18"/>
            </w:pPr>
            <w:r>
              <w:t>20.00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1.2021年10月份项目经发改委批准立项，南拒马河生态调蓄补水项目，为推进该项目建设，需编制可行性研究等前期工作。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编制报告数量</w:t>
            </w:r>
          </w:p>
        </w:tc>
        <w:tc>
          <w:tcPr>
            <w:tcW w:w="2891" w:type="dxa"/>
            <w:vAlign w:val="center"/>
          </w:tcPr>
          <w:p>
            <w:pPr>
              <w:pStyle w:val="17"/>
            </w:pPr>
            <w:r>
              <w:t>编制报告数量</w:t>
            </w:r>
          </w:p>
        </w:tc>
        <w:tc>
          <w:tcPr>
            <w:tcW w:w="1276" w:type="dxa"/>
            <w:vAlign w:val="center"/>
          </w:tcPr>
          <w:p>
            <w:pPr>
              <w:pStyle w:val="17"/>
            </w:pPr>
            <w:r>
              <w:t>≥2册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项目报告合格率</w:t>
            </w:r>
          </w:p>
        </w:tc>
        <w:tc>
          <w:tcPr>
            <w:tcW w:w="2891" w:type="dxa"/>
            <w:vAlign w:val="center"/>
          </w:tcPr>
          <w:p>
            <w:pPr>
              <w:pStyle w:val="17"/>
            </w:pPr>
            <w:r>
              <w:t>报告合格率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编制报告及时率</w:t>
            </w:r>
          </w:p>
        </w:tc>
        <w:tc>
          <w:tcPr>
            <w:tcW w:w="2891" w:type="dxa"/>
            <w:vAlign w:val="center"/>
          </w:tcPr>
          <w:p>
            <w:pPr>
              <w:pStyle w:val="17"/>
            </w:pPr>
            <w:r>
              <w:t>编制报告及时率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改善生态环境质量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87.南区市政路网续建路网项目资金绩效目标表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13062323P00940810025K</w:t>
            </w:r>
          </w:p>
        </w:tc>
        <w:tc>
          <w:tcPr>
            <w:tcW w:w="1587" w:type="dxa"/>
            <w:vAlign w:val="center"/>
          </w:tcPr>
          <w:p>
            <w:pPr>
              <w:pStyle w:val="15"/>
            </w:pPr>
            <w:r>
              <w:t>项目名称</w:t>
            </w:r>
          </w:p>
        </w:tc>
        <w:tc>
          <w:tcPr>
            <w:tcW w:w="4422" w:type="dxa"/>
            <w:gridSpan w:val="3"/>
            <w:vAlign w:val="center"/>
          </w:tcPr>
          <w:p>
            <w:pPr>
              <w:pStyle w:val="17"/>
            </w:pPr>
            <w:r>
              <w:t>南区市政路网续建路网项目资金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w:t>
            </w:r>
          </w:p>
        </w:tc>
        <w:tc>
          <w:tcPr>
            <w:tcW w:w="1587" w:type="dxa"/>
            <w:vAlign w:val="center"/>
          </w:tcPr>
          <w:p>
            <w:pPr>
              <w:pStyle w:val="15"/>
            </w:pPr>
            <w:r>
              <w:t>其中：财政    资金</w:t>
            </w:r>
          </w:p>
        </w:tc>
        <w:tc>
          <w:tcPr>
            <w:tcW w:w="1304" w:type="dxa"/>
            <w:vAlign w:val="center"/>
          </w:tcPr>
          <w:p>
            <w:pPr>
              <w:pStyle w:val="17"/>
            </w:pPr>
            <w:r>
              <w:t>500.00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南区续建路网工程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125.00</w:t>
            </w:r>
          </w:p>
        </w:tc>
        <w:tc>
          <w:tcPr>
            <w:tcW w:w="1587" w:type="dxa"/>
            <w:vAlign w:val="center"/>
          </w:tcPr>
          <w:p>
            <w:pPr>
              <w:pStyle w:val="18"/>
            </w:pPr>
            <w:r>
              <w:t>250.00</w:t>
            </w:r>
          </w:p>
        </w:tc>
        <w:tc>
          <w:tcPr>
            <w:tcW w:w="1304" w:type="dxa"/>
            <w:vAlign w:val="center"/>
          </w:tcPr>
          <w:p>
            <w:pPr>
              <w:pStyle w:val="18"/>
            </w:pPr>
            <w:r>
              <w:t>375.00</w:t>
            </w:r>
          </w:p>
        </w:tc>
        <w:tc>
          <w:tcPr>
            <w:tcW w:w="3118" w:type="dxa"/>
            <w:gridSpan w:val="2"/>
            <w:vAlign w:val="center"/>
          </w:tcPr>
          <w:p>
            <w:pPr>
              <w:pStyle w:val="18"/>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1.南区续建路网工程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路网续建工程</w:t>
            </w:r>
          </w:p>
        </w:tc>
        <w:tc>
          <w:tcPr>
            <w:tcW w:w="2891" w:type="dxa"/>
            <w:vAlign w:val="center"/>
          </w:tcPr>
          <w:p>
            <w:pPr>
              <w:pStyle w:val="17"/>
            </w:pPr>
            <w:r>
              <w:t>路网续建工程量</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88.南区污水管网建设工程款绩效目标表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13062323P00940810027T</w:t>
            </w:r>
          </w:p>
        </w:tc>
        <w:tc>
          <w:tcPr>
            <w:tcW w:w="1587" w:type="dxa"/>
            <w:vAlign w:val="center"/>
          </w:tcPr>
          <w:p>
            <w:pPr>
              <w:pStyle w:val="15"/>
            </w:pPr>
            <w:r>
              <w:t>项目名称</w:t>
            </w:r>
          </w:p>
        </w:tc>
        <w:tc>
          <w:tcPr>
            <w:tcW w:w="4422" w:type="dxa"/>
            <w:gridSpan w:val="3"/>
            <w:vAlign w:val="center"/>
          </w:tcPr>
          <w:p>
            <w:pPr>
              <w:pStyle w:val="17"/>
            </w:pPr>
            <w:r>
              <w:t>南区污水管网建设工程款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49.92</w:t>
            </w:r>
          </w:p>
        </w:tc>
        <w:tc>
          <w:tcPr>
            <w:tcW w:w="1587" w:type="dxa"/>
            <w:vAlign w:val="center"/>
          </w:tcPr>
          <w:p>
            <w:pPr>
              <w:pStyle w:val="15"/>
            </w:pPr>
            <w:r>
              <w:t>其中：财政    资金</w:t>
            </w:r>
          </w:p>
        </w:tc>
        <w:tc>
          <w:tcPr>
            <w:tcW w:w="1304" w:type="dxa"/>
            <w:vAlign w:val="center"/>
          </w:tcPr>
          <w:p>
            <w:pPr>
              <w:pStyle w:val="17"/>
            </w:pPr>
            <w:r>
              <w:t>49.92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南区污水管网建设工程完成竣工结算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1.南区污水管网建设工程完成竣工结算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≥95百分比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≥95百分比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工程建设按期完工率</w:t>
            </w:r>
          </w:p>
        </w:tc>
        <w:tc>
          <w:tcPr>
            <w:tcW w:w="2891" w:type="dxa"/>
            <w:vAlign w:val="center"/>
          </w:tcPr>
          <w:p>
            <w:pPr>
              <w:pStyle w:val="17"/>
            </w:pPr>
            <w:r>
              <w:t>工程建设按期完工率</w:t>
            </w:r>
          </w:p>
        </w:tc>
        <w:tc>
          <w:tcPr>
            <w:tcW w:w="1276" w:type="dxa"/>
            <w:vAlign w:val="center"/>
          </w:tcPr>
          <w:p>
            <w:pPr>
              <w:pStyle w:val="17"/>
            </w:pPr>
            <w:r>
              <w:t>≥95百分比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成本节约率</w:t>
            </w:r>
          </w:p>
        </w:tc>
        <w:tc>
          <w:tcPr>
            <w:tcW w:w="2891" w:type="dxa"/>
            <w:vAlign w:val="center"/>
          </w:tcPr>
          <w:p>
            <w:pPr>
              <w:pStyle w:val="17"/>
            </w:pPr>
            <w:r>
              <w:t>成本节约率</w:t>
            </w:r>
          </w:p>
        </w:tc>
        <w:tc>
          <w:tcPr>
            <w:tcW w:w="1276" w:type="dxa"/>
            <w:vAlign w:val="center"/>
          </w:tcPr>
          <w:p>
            <w:pPr>
              <w:pStyle w:val="17"/>
            </w:pPr>
            <w:r>
              <w:t>≥95百分比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≥90百分比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89.南区污水管网配套工程项目资金绩效目标表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13062323P00940810023C</w:t>
            </w:r>
          </w:p>
        </w:tc>
        <w:tc>
          <w:tcPr>
            <w:tcW w:w="1587" w:type="dxa"/>
            <w:vAlign w:val="center"/>
          </w:tcPr>
          <w:p>
            <w:pPr>
              <w:pStyle w:val="15"/>
            </w:pPr>
            <w:r>
              <w:t>项目名称</w:t>
            </w:r>
          </w:p>
        </w:tc>
        <w:tc>
          <w:tcPr>
            <w:tcW w:w="4422" w:type="dxa"/>
            <w:gridSpan w:val="3"/>
            <w:vAlign w:val="center"/>
          </w:tcPr>
          <w:p>
            <w:pPr>
              <w:pStyle w:val="17"/>
            </w:pPr>
            <w:r>
              <w:t>南区污水管网配套工程项目资金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80.55</w:t>
            </w:r>
          </w:p>
        </w:tc>
        <w:tc>
          <w:tcPr>
            <w:tcW w:w="1587" w:type="dxa"/>
            <w:vAlign w:val="center"/>
          </w:tcPr>
          <w:p>
            <w:pPr>
              <w:pStyle w:val="15"/>
            </w:pPr>
            <w:r>
              <w:t>其中：财政    资金</w:t>
            </w:r>
          </w:p>
        </w:tc>
        <w:tc>
          <w:tcPr>
            <w:tcW w:w="1304" w:type="dxa"/>
            <w:vAlign w:val="center"/>
          </w:tcPr>
          <w:p>
            <w:pPr>
              <w:pStyle w:val="17"/>
            </w:pPr>
            <w:r>
              <w:t>80.55</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南区污水管网配套工程建设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20.14</w:t>
            </w:r>
          </w:p>
        </w:tc>
        <w:tc>
          <w:tcPr>
            <w:tcW w:w="1587" w:type="dxa"/>
            <w:vAlign w:val="center"/>
          </w:tcPr>
          <w:p>
            <w:pPr>
              <w:pStyle w:val="18"/>
            </w:pPr>
            <w:r>
              <w:t>40.28</w:t>
            </w:r>
          </w:p>
        </w:tc>
        <w:tc>
          <w:tcPr>
            <w:tcW w:w="1304" w:type="dxa"/>
            <w:vAlign w:val="center"/>
          </w:tcPr>
          <w:p>
            <w:pPr>
              <w:pStyle w:val="18"/>
            </w:pPr>
            <w:r>
              <w:t>60.41</w:t>
            </w:r>
          </w:p>
        </w:tc>
        <w:tc>
          <w:tcPr>
            <w:tcW w:w="3118" w:type="dxa"/>
            <w:gridSpan w:val="2"/>
            <w:vAlign w:val="center"/>
          </w:tcPr>
          <w:p>
            <w:pPr>
              <w:pStyle w:val="18"/>
            </w:pPr>
            <w:r>
              <w:t>80.55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1.南区污水管网配套工程建设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工程量完成率</w:t>
            </w:r>
          </w:p>
        </w:tc>
        <w:tc>
          <w:tcPr>
            <w:tcW w:w="2891" w:type="dxa"/>
            <w:vAlign w:val="center"/>
          </w:tcPr>
          <w:p>
            <w:pPr>
              <w:pStyle w:val="17"/>
            </w:pPr>
            <w:r>
              <w:t>工程量完成率</w:t>
            </w:r>
          </w:p>
        </w:tc>
        <w:tc>
          <w:tcPr>
            <w:tcW w:w="1276" w:type="dxa"/>
            <w:vAlign w:val="center"/>
          </w:tcPr>
          <w:p>
            <w:pPr>
              <w:pStyle w:val="17"/>
            </w:pPr>
            <w:r>
              <w:t>≥95百分比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工程质量合格率</w:t>
            </w:r>
          </w:p>
        </w:tc>
        <w:tc>
          <w:tcPr>
            <w:tcW w:w="2891" w:type="dxa"/>
            <w:vAlign w:val="center"/>
          </w:tcPr>
          <w:p>
            <w:pPr>
              <w:pStyle w:val="17"/>
            </w:pPr>
            <w:r>
              <w:t>工程质量合格率</w:t>
            </w:r>
          </w:p>
        </w:tc>
        <w:tc>
          <w:tcPr>
            <w:tcW w:w="1276" w:type="dxa"/>
            <w:vAlign w:val="center"/>
          </w:tcPr>
          <w:p>
            <w:pPr>
              <w:pStyle w:val="17"/>
            </w:pPr>
            <w:r>
              <w:t>≥95百分比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工程建设按期完工率</w:t>
            </w:r>
          </w:p>
        </w:tc>
        <w:tc>
          <w:tcPr>
            <w:tcW w:w="2891" w:type="dxa"/>
            <w:vAlign w:val="center"/>
          </w:tcPr>
          <w:p>
            <w:pPr>
              <w:pStyle w:val="17"/>
            </w:pPr>
            <w:r>
              <w:t>工程建设按期完工率</w:t>
            </w:r>
          </w:p>
        </w:tc>
        <w:tc>
          <w:tcPr>
            <w:tcW w:w="1276" w:type="dxa"/>
            <w:vAlign w:val="center"/>
          </w:tcPr>
          <w:p>
            <w:pPr>
              <w:pStyle w:val="17"/>
            </w:pPr>
            <w:r>
              <w:t>≥95百分比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成本节约率</w:t>
            </w:r>
          </w:p>
        </w:tc>
        <w:tc>
          <w:tcPr>
            <w:tcW w:w="2891" w:type="dxa"/>
            <w:vAlign w:val="center"/>
          </w:tcPr>
          <w:p>
            <w:pPr>
              <w:pStyle w:val="17"/>
            </w:pPr>
            <w:r>
              <w:t>成本节约率</w:t>
            </w:r>
          </w:p>
        </w:tc>
        <w:tc>
          <w:tcPr>
            <w:tcW w:w="1276" w:type="dxa"/>
            <w:vAlign w:val="center"/>
          </w:tcPr>
          <w:p>
            <w:pPr>
              <w:pStyle w:val="17"/>
            </w:pPr>
            <w:r>
              <w:t>≥95百分比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≥90百分比</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≥95百分比</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90.农村党群服务中心建设奖补资金绩效目标表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13062323P00940810061L</w:t>
            </w:r>
          </w:p>
        </w:tc>
        <w:tc>
          <w:tcPr>
            <w:tcW w:w="1587" w:type="dxa"/>
            <w:vAlign w:val="center"/>
          </w:tcPr>
          <w:p>
            <w:pPr>
              <w:pStyle w:val="15"/>
            </w:pPr>
            <w:r>
              <w:t>项目名称</w:t>
            </w:r>
          </w:p>
        </w:tc>
        <w:tc>
          <w:tcPr>
            <w:tcW w:w="4422" w:type="dxa"/>
            <w:gridSpan w:val="3"/>
            <w:vAlign w:val="center"/>
          </w:tcPr>
          <w:p>
            <w:pPr>
              <w:pStyle w:val="17"/>
            </w:pPr>
            <w:r>
              <w:t>农村党群服务中心建设奖补资金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300.00</w:t>
            </w:r>
          </w:p>
        </w:tc>
        <w:tc>
          <w:tcPr>
            <w:tcW w:w="1587" w:type="dxa"/>
            <w:vAlign w:val="center"/>
          </w:tcPr>
          <w:p>
            <w:pPr>
              <w:pStyle w:val="15"/>
            </w:pPr>
            <w:r>
              <w:t>其中：财政    资金</w:t>
            </w:r>
          </w:p>
        </w:tc>
        <w:tc>
          <w:tcPr>
            <w:tcW w:w="1304" w:type="dxa"/>
            <w:vAlign w:val="center"/>
          </w:tcPr>
          <w:p>
            <w:pPr>
              <w:pStyle w:val="17"/>
            </w:pPr>
            <w:r>
              <w:t>300.00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不断提升我县村级组织活动场所建设水平，计划用3年的时间对全县危旧狭小的村级活动场所进行改造提升。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1.不断提升我县村级组织活动场所建设水平，计划用3年的时间对全县危旧狭小的村级活动场所进行改造提升。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村级“两室”建设数量</w:t>
            </w:r>
          </w:p>
        </w:tc>
        <w:tc>
          <w:tcPr>
            <w:tcW w:w="2891" w:type="dxa"/>
            <w:vAlign w:val="center"/>
          </w:tcPr>
          <w:p>
            <w:pPr>
              <w:pStyle w:val="17"/>
            </w:pPr>
            <w:r>
              <w:t>村级“两室”建设、改扩建数量</w:t>
            </w:r>
          </w:p>
        </w:tc>
        <w:tc>
          <w:tcPr>
            <w:tcW w:w="1276" w:type="dxa"/>
            <w:vAlign w:val="center"/>
          </w:tcPr>
          <w:p>
            <w:pPr>
              <w:pStyle w:val="17"/>
            </w:pPr>
            <w:r>
              <w:t>依据文件要求，领导批示</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质量合格率(%)</w:t>
            </w:r>
          </w:p>
        </w:tc>
        <w:tc>
          <w:tcPr>
            <w:tcW w:w="2891" w:type="dxa"/>
            <w:vAlign w:val="center"/>
          </w:tcPr>
          <w:p>
            <w:pPr>
              <w:pStyle w:val="17"/>
            </w:pPr>
            <w:r>
              <w:t>质量合格率(%)</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工作完成的时效</w:t>
            </w:r>
          </w:p>
        </w:tc>
        <w:tc>
          <w:tcPr>
            <w:tcW w:w="2891" w:type="dxa"/>
            <w:vAlign w:val="center"/>
          </w:tcPr>
          <w:p>
            <w:pPr>
              <w:pStyle w:val="17"/>
            </w:pPr>
            <w:r>
              <w:t>工作完成的时效</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项目建设成本</w:t>
            </w:r>
          </w:p>
        </w:tc>
        <w:tc>
          <w:tcPr>
            <w:tcW w:w="2891" w:type="dxa"/>
            <w:vAlign w:val="center"/>
          </w:tcPr>
          <w:p>
            <w:pPr>
              <w:pStyle w:val="17"/>
            </w:pPr>
            <w:r>
              <w:t>项目建设成本</w:t>
            </w:r>
          </w:p>
        </w:tc>
        <w:tc>
          <w:tcPr>
            <w:tcW w:w="1276" w:type="dxa"/>
            <w:vAlign w:val="center"/>
          </w:tcPr>
          <w:p>
            <w:pPr>
              <w:pStyle w:val="17"/>
            </w:pPr>
            <w:r>
              <w:t>≤300万元</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社会效益提升值%</w:t>
            </w:r>
          </w:p>
        </w:tc>
        <w:tc>
          <w:tcPr>
            <w:tcW w:w="2891" w:type="dxa"/>
            <w:vAlign w:val="center"/>
          </w:tcPr>
          <w:p>
            <w:pPr>
              <w:pStyle w:val="17"/>
            </w:pPr>
            <w:r>
              <w:t>社会效益提升值%</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社会公众或服务对象的满意程度</w:t>
            </w:r>
          </w:p>
        </w:tc>
        <w:tc>
          <w:tcPr>
            <w:tcW w:w="2891" w:type="dxa"/>
            <w:vAlign w:val="center"/>
          </w:tcPr>
          <w:p>
            <w:pPr>
              <w:pStyle w:val="17"/>
            </w:pPr>
            <w:r>
              <w:t>社会公众或服务对象的满意程度</w:t>
            </w:r>
          </w:p>
        </w:tc>
        <w:tc>
          <w:tcPr>
            <w:tcW w:w="1276" w:type="dxa"/>
            <w:vAlign w:val="center"/>
          </w:tcPr>
          <w:p>
            <w:pPr>
              <w:pStyle w:val="17"/>
            </w:pPr>
            <w:r>
              <w:t>≥90百分比</w:t>
            </w:r>
          </w:p>
        </w:tc>
        <w:tc>
          <w:tcPr>
            <w:tcW w:w="1843" w:type="dxa"/>
            <w:vAlign w:val="center"/>
          </w:tcPr>
          <w:p>
            <w:pPr>
              <w:pStyle w:val="17"/>
            </w:pPr>
            <w:r>
              <w:t>依据领导批示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91.农村问题厕所整改项目绩效目标表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13062323P000033100024</w:t>
            </w:r>
          </w:p>
        </w:tc>
        <w:tc>
          <w:tcPr>
            <w:tcW w:w="1587" w:type="dxa"/>
            <w:vAlign w:val="center"/>
          </w:tcPr>
          <w:p>
            <w:pPr>
              <w:pStyle w:val="15"/>
            </w:pPr>
            <w:r>
              <w:t>项目名称</w:t>
            </w:r>
          </w:p>
        </w:tc>
        <w:tc>
          <w:tcPr>
            <w:tcW w:w="4422" w:type="dxa"/>
            <w:gridSpan w:val="3"/>
            <w:vAlign w:val="center"/>
          </w:tcPr>
          <w:p>
            <w:pPr>
              <w:pStyle w:val="17"/>
            </w:pPr>
            <w:r>
              <w:t>农村问题厕所整改项目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480.00</w:t>
            </w:r>
          </w:p>
        </w:tc>
        <w:tc>
          <w:tcPr>
            <w:tcW w:w="1587" w:type="dxa"/>
            <w:vAlign w:val="center"/>
          </w:tcPr>
          <w:p>
            <w:pPr>
              <w:pStyle w:val="15"/>
            </w:pPr>
            <w:r>
              <w:t>其中：财政    资金</w:t>
            </w:r>
          </w:p>
        </w:tc>
        <w:tc>
          <w:tcPr>
            <w:tcW w:w="1304" w:type="dxa"/>
            <w:vAlign w:val="center"/>
          </w:tcPr>
          <w:p>
            <w:pPr>
              <w:pStyle w:val="17"/>
            </w:pPr>
            <w:r>
              <w:t>480.00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用于农村问题厕所整改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480.00</w:t>
            </w:r>
          </w:p>
        </w:tc>
        <w:tc>
          <w:tcPr>
            <w:tcW w:w="1304" w:type="dxa"/>
            <w:vAlign w:val="center"/>
          </w:tcPr>
          <w:p>
            <w:pPr>
              <w:pStyle w:val="18"/>
            </w:pPr>
            <w:r>
              <w:t>480.00</w:t>
            </w:r>
          </w:p>
        </w:tc>
        <w:tc>
          <w:tcPr>
            <w:tcW w:w="3118" w:type="dxa"/>
            <w:gridSpan w:val="2"/>
            <w:vAlign w:val="center"/>
          </w:tcPr>
          <w:p>
            <w:pPr>
              <w:pStyle w:val="18"/>
            </w:pPr>
            <w:r>
              <w:t>480.00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立行立改问题厕所整改到位</w:t>
            </w:r>
          </w:p>
        </w:tc>
        <w:tc>
          <w:tcPr>
            <w:tcW w:w="2891" w:type="dxa"/>
            <w:vAlign w:val="center"/>
          </w:tcPr>
          <w:p>
            <w:pPr>
              <w:pStyle w:val="17"/>
            </w:pPr>
            <w:r>
              <w:t>立行立改问题厕所整改到位</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按标准完成</w:t>
            </w:r>
          </w:p>
        </w:tc>
        <w:tc>
          <w:tcPr>
            <w:tcW w:w="2891" w:type="dxa"/>
            <w:vAlign w:val="center"/>
          </w:tcPr>
          <w:p>
            <w:pPr>
              <w:pStyle w:val="17"/>
            </w:pPr>
            <w:r>
              <w:t>是否按标准完成</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按省级要求时限完成</w:t>
            </w:r>
          </w:p>
        </w:tc>
        <w:tc>
          <w:tcPr>
            <w:tcW w:w="2891" w:type="dxa"/>
            <w:vAlign w:val="center"/>
          </w:tcPr>
          <w:p>
            <w:pPr>
              <w:pStyle w:val="17"/>
            </w:pPr>
            <w:r>
              <w:t>按省级要求时限完成</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按预算资金完成率</w:t>
            </w:r>
          </w:p>
        </w:tc>
        <w:tc>
          <w:tcPr>
            <w:tcW w:w="1276" w:type="dxa"/>
            <w:vAlign w:val="center"/>
          </w:tcPr>
          <w:p>
            <w:pPr>
              <w:pStyle w:val="17"/>
            </w:pPr>
            <w:r>
              <w:t>是</w:t>
            </w:r>
          </w:p>
        </w:tc>
        <w:tc>
          <w:tcPr>
            <w:tcW w:w="1843" w:type="dxa"/>
            <w:vAlign w:val="center"/>
          </w:tcPr>
          <w:p>
            <w:pPr>
              <w:pStyle w:val="17"/>
            </w:pPr>
            <w:r>
              <w:t>资金请示</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提高卫生厕所使用率，改善人居环境</w:t>
            </w:r>
          </w:p>
        </w:tc>
        <w:tc>
          <w:tcPr>
            <w:tcW w:w="2891" w:type="dxa"/>
            <w:vAlign w:val="center"/>
          </w:tcPr>
          <w:p>
            <w:pPr>
              <w:pStyle w:val="17"/>
            </w:pPr>
            <w:r>
              <w:t>提高卫生厕所使用率，改善人居环境</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服务对象满意率</w:t>
            </w:r>
          </w:p>
        </w:tc>
        <w:tc>
          <w:tcPr>
            <w:tcW w:w="2891" w:type="dxa"/>
            <w:vAlign w:val="center"/>
          </w:tcPr>
          <w:p>
            <w:pPr>
              <w:pStyle w:val="17"/>
            </w:pPr>
            <w:r>
              <w:t>服务对象满意率</w:t>
            </w:r>
          </w:p>
        </w:tc>
        <w:tc>
          <w:tcPr>
            <w:tcW w:w="1276" w:type="dxa"/>
            <w:vAlign w:val="center"/>
          </w:tcPr>
          <w:p>
            <w:pPr>
              <w:pStyle w:val="17"/>
            </w:pPr>
            <w:r>
              <w:t>≥90%</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92.农村饮水安全水质检测费绩效目标表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13062323P00006610002T</w:t>
            </w:r>
          </w:p>
        </w:tc>
        <w:tc>
          <w:tcPr>
            <w:tcW w:w="1587" w:type="dxa"/>
            <w:vAlign w:val="center"/>
          </w:tcPr>
          <w:p>
            <w:pPr>
              <w:pStyle w:val="15"/>
            </w:pPr>
            <w:r>
              <w:t>项目名称</w:t>
            </w:r>
          </w:p>
        </w:tc>
        <w:tc>
          <w:tcPr>
            <w:tcW w:w="4422" w:type="dxa"/>
            <w:gridSpan w:val="3"/>
            <w:vAlign w:val="center"/>
          </w:tcPr>
          <w:p>
            <w:pPr>
              <w:pStyle w:val="17"/>
            </w:pPr>
            <w:r>
              <w:t>农村饮水安全水质检测费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61.62</w:t>
            </w:r>
          </w:p>
        </w:tc>
        <w:tc>
          <w:tcPr>
            <w:tcW w:w="1587" w:type="dxa"/>
            <w:vAlign w:val="center"/>
          </w:tcPr>
          <w:p>
            <w:pPr>
              <w:pStyle w:val="15"/>
            </w:pPr>
            <w:r>
              <w:t>其中：财政    资金</w:t>
            </w:r>
          </w:p>
        </w:tc>
        <w:tc>
          <w:tcPr>
            <w:tcW w:w="1304" w:type="dxa"/>
            <w:vAlign w:val="center"/>
          </w:tcPr>
          <w:p>
            <w:pPr>
              <w:pStyle w:val="17"/>
            </w:pPr>
            <w:r>
              <w:t>61.62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为做好2022、2023年国家、省后评估迎检工作，需对2022年139个村及2023年161个村进行水质检测。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20.00</w:t>
            </w:r>
          </w:p>
        </w:tc>
        <w:tc>
          <w:tcPr>
            <w:tcW w:w="1304" w:type="dxa"/>
            <w:vAlign w:val="center"/>
          </w:tcPr>
          <w:p>
            <w:pPr>
              <w:pStyle w:val="18"/>
            </w:pPr>
            <w:r>
              <w:t>20.00</w:t>
            </w:r>
          </w:p>
        </w:tc>
        <w:tc>
          <w:tcPr>
            <w:tcW w:w="3118" w:type="dxa"/>
            <w:gridSpan w:val="2"/>
            <w:vAlign w:val="center"/>
          </w:tcPr>
          <w:p>
            <w:pPr>
              <w:pStyle w:val="18"/>
            </w:pPr>
            <w:r>
              <w:t>61.62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1.为做好2022、2023年国家、省后评估迎检工作，需对2022年139个村及2023年161个村进行水质检测。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水质检测涉及村庄数量</w:t>
            </w:r>
          </w:p>
        </w:tc>
        <w:tc>
          <w:tcPr>
            <w:tcW w:w="2891" w:type="dxa"/>
            <w:vAlign w:val="center"/>
          </w:tcPr>
          <w:p>
            <w:pPr>
              <w:pStyle w:val="17"/>
            </w:pPr>
            <w:r>
              <w:t>水质检测涉及村庄数量</w:t>
            </w:r>
          </w:p>
        </w:tc>
        <w:tc>
          <w:tcPr>
            <w:tcW w:w="1276" w:type="dxa"/>
            <w:vAlign w:val="center"/>
          </w:tcPr>
          <w:p>
            <w:pPr>
              <w:pStyle w:val="17"/>
            </w:pPr>
            <w:r>
              <w:t>161个</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检验检测达标率</w:t>
            </w:r>
          </w:p>
        </w:tc>
        <w:tc>
          <w:tcPr>
            <w:tcW w:w="2891" w:type="dxa"/>
            <w:vAlign w:val="center"/>
          </w:tcPr>
          <w:p>
            <w:pPr>
              <w:pStyle w:val="17"/>
            </w:pPr>
            <w:r>
              <w:t>检验检测达标率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检测及时率</w:t>
            </w:r>
          </w:p>
        </w:tc>
        <w:tc>
          <w:tcPr>
            <w:tcW w:w="2891" w:type="dxa"/>
            <w:vAlign w:val="center"/>
          </w:tcPr>
          <w:p>
            <w:pPr>
              <w:pStyle w:val="17"/>
            </w:pPr>
            <w:r>
              <w:t>检测及时率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≤61.62万元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提升农村用水质量</w:t>
            </w:r>
          </w:p>
        </w:tc>
        <w:tc>
          <w:tcPr>
            <w:tcW w:w="2891" w:type="dxa"/>
            <w:vAlign w:val="center"/>
          </w:tcPr>
          <w:p>
            <w:pPr>
              <w:pStyle w:val="17"/>
            </w:pPr>
            <w:r>
              <w:t>提升农村用水质量</w:t>
            </w:r>
          </w:p>
        </w:tc>
        <w:tc>
          <w:tcPr>
            <w:tcW w:w="1276" w:type="dxa"/>
            <w:vAlign w:val="center"/>
          </w:tcPr>
          <w:p>
            <w:pPr>
              <w:pStyle w:val="17"/>
            </w:pPr>
            <w:r>
              <w:t>提升农村用水质量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93.其中口村南涧崩塌治理工程绩效目标表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13062323P009408100434</w:t>
            </w:r>
          </w:p>
        </w:tc>
        <w:tc>
          <w:tcPr>
            <w:tcW w:w="1587" w:type="dxa"/>
            <w:vAlign w:val="center"/>
          </w:tcPr>
          <w:p>
            <w:pPr>
              <w:pStyle w:val="15"/>
            </w:pPr>
            <w:r>
              <w:t>项目名称</w:t>
            </w:r>
          </w:p>
        </w:tc>
        <w:tc>
          <w:tcPr>
            <w:tcW w:w="4422" w:type="dxa"/>
            <w:gridSpan w:val="3"/>
            <w:vAlign w:val="center"/>
          </w:tcPr>
          <w:p>
            <w:pPr>
              <w:pStyle w:val="17"/>
            </w:pPr>
            <w:r>
              <w:t>其中口村南涧崩塌治理工程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71.50</w:t>
            </w:r>
          </w:p>
        </w:tc>
        <w:tc>
          <w:tcPr>
            <w:tcW w:w="1587" w:type="dxa"/>
            <w:vAlign w:val="center"/>
          </w:tcPr>
          <w:p>
            <w:pPr>
              <w:pStyle w:val="15"/>
            </w:pPr>
            <w:r>
              <w:t>其中：财政    资金</w:t>
            </w:r>
          </w:p>
        </w:tc>
        <w:tc>
          <w:tcPr>
            <w:tcW w:w="1304" w:type="dxa"/>
            <w:vAlign w:val="center"/>
          </w:tcPr>
          <w:p>
            <w:pPr>
              <w:pStyle w:val="17"/>
            </w:pPr>
            <w:r>
              <w:t>71.50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用于南涧崩塌治理工程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71.50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排查、修补、加固隐患数量</w:t>
            </w:r>
          </w:p>
        </w:tc>
        <w:tc>
          <w:tcPr>
            <w:tcW w:w="2891" w:type="dxa"/>
            <w:vAlign w:val="center"/>
          </w:tcPr>
          <w:p>
            <w:pPr>
              <w:pStyle w:val="17"/>
            </w:pPr>
            <w:r>
              <w:t>排查、修补、加固隐患数量</w:t>
            </w:r>
          </w:p>
        </w:tc>
        <w:tc>
          <w:tcPr>
            <w:tcW w:w="1276" w:type="dxa"/>
            <w:vAlign w:val="center"/>
          </w:tcPr>
          <w:p>
            <w:pPr>
              <w:pStyle w:val="17"/>
            </w:pPr>
            <w:r>
              <w:t>≥1个</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工程验收合格率</w:t>
            </w:r>
          </w:p>
        </w:tc>
        <w:tc>
          <w:tcPr>
            <w:tcW w:w="2891" w:type="dxa"/>
            <w:vAlign w:val="center"/>
          </w:tcPr>
          <w:p>
            <w:pPr>
              <w:pStyle w:val="17"/>
            </w:pPr>
            <w:r>
              <w:t>工程验收合格率</w:t>
            </w:r>
          </w:p>
        </w:tc>
        <w:tc>
          <w:tcPr>
            <w:tcW w:w="1276" w:type="dxa"/>
            <w:vAlign w:val="center"/>
          </w:tcPr>
          <w:p>
            <w:pPr>
              <w:pStyle w:val="17"/>
            </w:pPr>
            <w:r>
              <w:t>≥95%</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投资完成率</w:t>
            </w:r>
          </w:p>
        </w:tc>
        <w:tc>
          <w:tcPr>
            <w:tcW w:w="2891" w:type="dxa"/>
            <w:vAlign w:val="center"/>
          </w:tcPr>
          <w:p>
            <w:pPr>
              <w:pStyle w:val="17"/>
            </w:pPr>
            <w:r>
              <w:t>投资完成率</w:t>
            </w:r>
          </w:p>
        </w:tc>
        <w:tc>
          <w:tcPr>
            <w:tcW w:w="1276" w:type="dxa"/>
            <w:vAlign w:val="center"/>
          </w:tcPr>
          <w:p>
            <w:pPr>
              <w:pStyle w:val="17"/>
            </w:pPr>
            <w:r>
              <w:t>≥97%</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预算成本内完成工程</w:t>
            </w:r>
          </w:p>
        </w:tc>
        <w:tc>
          <w:tcPr>
            <w:tcW w:w="2891" w:type="dxa"/>
            <w:vAlign w:val="center"/>
          </w:tcPr>
          <w:p>
            <w:pPr>
              <w:pStyle w:val="17"/>
            </w:pPr>
            <w:r>
              <w:t>预算成本内完成工程</w:t>
            </w:r>
          </w:p>
        </w:tc>
        <w:tc>
          <w:tcPr>
            <w:tcW w:w="1276" w:type="dxa"/>
            <w:vAlign w:val="center"/>
          </w:tcPr>
          <w:p>
            <w:pPr>
              <w:pStyle w:val="17"/>
            </w:pPr>
            <w:r>
              <w:t>≤71.5万元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项目受益人口数量</w:t>
            </w:r>
          </w:p>
        </w:tc>
        <w:tc>
          <w:tcPr>
            <w:tcW w:w="2891" w:type="dxa"/>
            <w:vAlign w:val="center"/>
          </w:tcPr>
          <w:p>
            <w:pPr>
              <w:pStyle w:val="17"/>
            </w:pPr>
            <w:r>
              <w:t>项目受益人口数量</w:t>
            </w:r>
          </w:p>
        </w:tc>
        <w:tc>
          <w:tcPr>
            <w:tcW w:w="1276" w:type="dxa"/>
            <w:vAlign w:val="center"/>
          </w:tcPr>
          <w:p>
            <w:pPr>
              <w:pStyle w:val="17"/>
            </w:pPr>
            <w:r>
              <w:t>≥100人</w:t>
            </w:r>
          </w:p>
        </w:tc>
        <w:tc>
          <w:tcPr>
            <w:tcW w:w="1843" w:type="dxa"/>
            <w:vAlign w:val="center"/>
          </w:tcPr>
          <w:p>
            <w:pPr>
              <w:pStyle w:val="17"/>
            </w:pPr>
            <w:r>
              <w:t>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94.其中口乡失地人员补助绩效目标表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13062323P00940810044P</w:t>
            </w:r>
          </w:p>
        </w:tc>
        <w:tc>
          <w:tcPr>
            <w:tcW w:w="1587" w:type="dxa"/>
            <w:vAlign w:val="center"/>
          </w:tcPr>
          <w:p>
            <w:pPr>
              <w:pStyle w:val="15"/>
            </w:pPr>
            <w:r>
              <w:t>项目名称</w:t>
            </w:r>
          </w:p>
        </w:tc>
        <w:tc>
          <w:tcPr>
            <w:tcW w:w="4422" w:type="dxa"/>
            <w:gridSpan w:val="3"/>
            <w:vAlign w:val="center"/>
          </w:tcPr>
          <w:p>
            <w:pPr>
              <w:pStyle w:val="17"/>
            </w:pPr>
            <w:r>
              <w:t>其中口乡失地人员补助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11.69</w:t>
            </w:r>
          </w:p>
        </w:tc>
        <w:tc>
          <w:tcPr>
            <w:tcW w:w="1587" w:type="dxa"/>
            <w:vAlign w:val="center"/>
          </w:tcPr>
          <w:p>
            <w:pPr>
              <w:pStyle w:val="15"/>
            </w:pPr>
            <w:r>
              <w:t>其中：财政    资金</w:t>
            </w:r>
          </w:p>
        </w:tc>
        <w:tc>
          <w:tcPr>
            <w:tcW w:w="1304" w:type="dxa"/>
            <w:vAlign w:val="center"/>
          </w:tcPr>
          <w:p>
            <w:pPr>
              <w:pStyle w:val="17"/>
            </w:pPr>
            <w:r>
              <w:t>11.69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发放失地人员补偿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11.69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发放失地补偿人员数量</w:t>
            </w:r>
          </w:p>
        </w:tc>
        <w:tc>
          <w:tcPr>
            <w:tcW w:w="2891" w:type="dxa"/>
            <w:vAlign w:val="center"/>
          </w:tcPr>
          <w:p>
            <w:pPr>
              <w:pStyle w:val="17"/>
            </w:pPr>
            <w:r>
              <w:t>发放失地补偿人员数量</w:t>
            </w:r>
          </w:p>
        </w:tc>
        <w:tc>
          <w:tcPr>
            <w:tcW w:w="1276" w:type="dxa"/>
            <w:vAlign w:val="center"/>
          </w:tcPr>
          <w:p>
            <w:pPr>
              <w:pStyle w:val="17"/>
            </w:pPr>
            <w:r>
              <w:t>≤134人</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失地人员生活质量</w:t>
            </w:r>
          </w:p>
        </w:tc>
        <w:tc>
          <w:tcPr>
            <w:tcW w:w="2891" w:type="dxa"/>
            <w:vAlign w:val="center"/>
          </w:tcPr>
          <w:p>
            <w:pPr>
              <w:pStyle w:val="17"/>
            </w:pPr>
            <w:r>
              <w:t>失地人员生活质量</w:t>
            </w:r>
          </w:p>
        </w:tc>
        <w:tc>
          <w:tcPr>
            <w:tcW w:w="1276" w:type="dxa"/>
            <w:vAlign w:val="center"/>
          </w:tcPr>
          <w:p>
            <w:pPr>
              <w:pStyle w:val="17"/>
            </w:pPr>
            <w:r>
              <w:t>良好</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补助资金及时发放率</w:t>
            </w:r>
          </w:p>
        </w:tc>
        <w:tc>
          <w:tcPr>
            <w:tcW w:w="2891" w:type="dxa"/>
            <w:vAlign w:val="center"/>
          </w:tcPr>
          <w:p>
            <w:pPr>
              <w:pStyle w:val="17"/>
            </w:pPr>
            <w:r>
              <w:t>补助资金及时发放率</w:t>
            </w:r>
          </w:p>
        </w:tc>
        <w:tc>
          <w:tcPr>
            <w:tcW w:w="1276" w:type="dxa"/>
            <w:vAlign w:val="center"/>
          </w:tcPr>
          <w:p>
            <w:pPr>
              <w:pStyle w:val="17"/>
            </w:pPr>
            <w:r>
              <w:t>≥90%</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≤11.69万元</w:t>
            </w:r>
          </w:p>
        </w:tc>
        <w:tc>
          <w:tcPr>
            <w:tcW w:w="1843" w:type="dxa"/>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社会稳定</w:t>
            </w:r>
          </w:p>
        </w:tc>
        <w:tc>
          <w:tcPr>
            <w:tcW w:w="2891" w:type="dxa"/>
            <w:vAlign w:val="center"/>
          </w:tcPr>
          <w:p>
            <w:pPr>
              <w:pStyle w:val="17"/>
            </w:pPr>
            <w:r>
              <w:t>社会稳定</w:t>
            </w:r>
          </w:p>
        </w:tc>
        <w:tc>
          <w:tcPr>
            <w:tcW w:w="1276" w:type="dxa"/>
            <w:vAlign w:val="center"/>
          </w:tcPr>
          <w:p>
            <w:pPr>
              <w:pStyle w:val="17"/>
            </w:pPr>
            <w:r>
              <w:t>良好</w:t>
            </w:r>
          </w:p>
        </w:tc>
        <w:tc>
          <w:tcPr>
            <w:tcW w:w="1843" w:type="dxa"/>
            <w:vAlign w:val="center"/>
          </w:tcPr>
          <w:p>
            <w:pPr>
              <w:pStyle w:val="17"/>
            </w:pPr>
            <w:r>
              <w:t>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95.气象站、不动产登记中心办公用房租赁费及电费.绩效目标表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13062323P000076100145</w:t>
            </w:r>
          </w:p>
        </w:tc>
        <w:tc>
          <w:tcPr>
            <w:tcW w:w="1587" w:type="dxa"/>
            <w:vAlign w:val="center"/>
          </w:tcPr>
          <w:p>
            <w:pPr>
              <w:pStyle w:val="15"/>
            </w:pPr>
            <w:r>
              <w:t>项目名称</w:t>
            </w:r>
          </w:p>
        </w:tc>
        <w:tc>
          <w:tcPr>
            <w:tcW w:w="4422" w:type="dxa"/>
            <w:gridSpan w:val="3"/>
            <w:vAlign w:val="center"/>
          </w:tcPr>
          <w:p>
            <w:pPr>
              <w:pStyle w:val="17"/>
            </w:pPr>
            <w:r>
              <w:t>气象站、不动产登记中心办公用房租赁费及电费.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29.00</w:t>
            </w:r>
          </w:p>
        </w:tc>
        <w:tc>
          <w:tcPr>
            <w:tcW w:w="1587" w:type="dxa"/>
            <w:vAlign w:val="center"/>
          </w:tcPr>
          <w:p>
            <w:pPr>
              <w:pStyle w:val="15"/>
            </w:pPr>
            <w:r>
              <w:t>其中：财政    资金</w:t>
            </w:r>
          </w:p>
        </w:tc>
        <w:tc>
          <w:tcPr>
            <w:tcW w:w="1304" w:type="dxa"/>
            <w:vAlign w:val="center"/>
          </w:tcPr>
          <w:p>
            <w:pPr>
              <w:pStyle w:val="17"/>
            </w:pPr>
            <w:r>
              <w:t>29.00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气象站、不动产登记中心办公用房租赁费及电费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1.目标内容1：气象站、不动产登记中心办公用房租赁费及电费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完成及时率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≤29万元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保证工作正常运转</w:t>
            </w:r>
          </w:p>
        </w:tc>
        <w:tc>
          <w:tcPr>
            <w:tcW w:w="2891" w:type="dxa"/>
            <w:vAlign w:val="center"/>
          </w:tcPr>
          <w:p>
            <w:pPr>
              <w:pStyle w:val="17"/>
            </w:pPr>
            <w:r>
              <w:t>保证工作正常运转</w:t>
            </w:r>
          </w:p>
        </w:tc>
        <w:tc>
          <w:tcPr>
            <w:tcW w:w="1276" w:type="dxa"/>
            <w:vAlign w:val="center"/>
          </w:tcPr>
          <w:p>
            <w:pPr>
              <w:pStyle w:val="17"/>
            </w:pPr>
            <w:r>
              <w:t>显著</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受益群众满意度调查</w:t>
            </w:r>
          </w:p>
        </w:tc>
        <w:tc>
          <w:tcPr>
            <w:tcW w:w="2891" w:type="dxa"/>
            <w:vAlign w:val="center"/>
          </w:tcPr>
          <w:p>
            <w:pPr>
              <w:pStyle w:val="17"/>
            </w:pPr>
            <w:r>
              <w:t>受益群众满意度调查</w:t>
            </w:r>
          </w:p>
        </w:tc>
        <w:tc>
          <w:tcPr>
            <w:tcW w:w="1276" w:type="dxa"/>
            <w:vAlign w:val="center"/>
          </w:tcPr>
          <w:p>
            <w:pPr>
              <w:pStyle w:val="17"/>
            </w:pPr>
            <w:r>
              <w:t>≥80百分比</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96.气象站购置影响天气烟条、车载发射架、专线和设施、设备维护费绩效目标表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13062323P00007610006G</w:t>
            </w:r>
          </w:p>
        </w:tc>
        <w:tc>
          <w:tcPr>
            <w:tcW w:w="1587" w:type="dxa"/>
            <w:vAlign w:val="center"/>
          </w:tcPr>
          <w:p>
            <w:pPr>
              <w:pStyle w:val="15"/>
            </w:pPr>
            <w:r>
              <w:t>项目名称</w:t>
            </w:r>
          </w:p>
        </w:tc>
        <w:tc>
          <w:tcPr>
            <w:tcW w:w="4422" w:type="dxa"/>
            <w:gridSpan w:val="3"/>
            <w:vAlign w:val="center"/>
          </w:tcPr>
          <w:p>
            <w:pPr>
              <w:pStyle w:val="17"/>
            </w:pPr>
            <w:r>
              <w:t>气象站购置影响天气烟条、车载发射架、专线和设施、设备维护费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气象站购置影响天气烟条、车载发射架、专线和设施、设备维护费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1.目标内容1：气象站购置影响天气烟条、车载发射架、专线和设施、设备维护费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时效指标</w:t>
            </w:r>
          </w:p>
        </w:tc>
        <w:tc>
          <w:tcPr>
            <w:tcW w:w="1332" w:type="dxa"/>
            <w:vAlign w:val="center"/>
          </w:tcPr>
          <w:p>
            <w:pPr>
              <w:pStyle w:val="17"/>
            </w:pPr>
            <w:r>
              <w:t>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采购物品合格率</w:t>
            </w:r>
          </w:p>
        </w:tc>
        <w:tc>
          <w:tcPr>
            <w:tcW w:w="2891" w:type="dxa"/>
            <w:vAlign w:val="center"/>
          </w:tcPr>
          <w:p>
            <w:pPr>
              <w:pStyle w:val="17"/>
            </w:pPr>
            <w:r>
              <w:t>购置质量合格的数量</w:t>
            </w:r>
          </w:p>
        </w:tc>
        <w:tc>
          <w:tcPr>
            <w:tcW w:w="1276" w:type="dxa"/>
            <w:vAlign w:val="center"/>
          </w:tcPr>
          <w:p>
            <w:pPr>
              <w:pStyle w:val="17"/>
            </w:pPr>
            <w:r>
              <w:t>≥98百分比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公共服务水平提升情况</w:t>
            </w:r>
          </w:p>
        </w:tc>
        <w:tc>
          <w:tcPr>
            <w:tcW w:w="2891" w:type="dxa"/>
            <w:vAlign w:val="center"/>
          </w:tcPr>
          <w:p>
            <w:pPr>
              <w:pStyle w:val="17"/>
            </w:pPr>
            <w:r>
              <w:t>对公共服务水平的提升情况</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受益群众满意度调查</w:t>
            </w:r>
          </w:p>
        </w:tc>
        <w:tc>
          <w:tcPr>
            <w:tcW w:w="2891" w:type="dxa"/>
            <w:vAlign w:val="center"/>
          </w:tcPr>
          <w:p>
            <w:pPr>
              <w:pStyle w:val="17"/>
            </w:pPr>
            <w:r>
              <w:t>受益群众满意度调查</w:t>
            </w:r>
          </w:p>
        </w:tc>
        <w:tc>
          <w:tcPr>
            <w:tcW w:w="1276" w:type="dxa"/>
            <w:vAlign w:val="center"/>
          </w:tcPr>
          <w:p>
            <w:pPr>
              <w:pStyle w:val="17"/>
            </w:pPr>
            <w:r>
              <w:t>≥90百分比</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97.清算下达2022年土地整治专项资金-新增费返还市县资金第二批（冀财资环【2022】110号）绩效目标表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13062323P00941110002G</w:t>
            </w:r>
          </w:p>
        </w:tc>
        <w:tc>
          <w:tcPr>
            <w:tcW w:w="1587" w:type="dxa"/>
            <w:vAlign w:val="center"/>
          </w:tcPr>
          <w:p>
            <w:pPr>
              <w:pStyle w:val="15"/>
            </w:pPr>
            <w:r>
              <w:t>项目名称</w:t>
            </w:r>
          </w:p>
        </w:tc>
        <w:tc>
          <w:tcPr>
            <w:tcW w:w="4422" w:type="dxa"/>
            <w:gridSpan w:val="3"/>
            <w:vAlign w:val="center"/>
          </w:tcPr>
          <w:p>
            <w:pPr>
              <w:pStyle w:val="17"/>
            </w:pPr>
            <w:r>
              <w:t>清算下达2022年土地整治专项资金-新增费返还市县资金第二批（冀财资环【2022】110号）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206.00</w:t>
            </w:r>
          </w:p>
        </w:tc>
        <w:tc>
          <w:tcPr>
            <w:tcW w:w="1587" w:type="dxa"/>
            <w:vAlign w:val="center"/>
          </w:tcPr>
          <w:p>
            <w:pPr>
              <w:pStyle w:val="15"/>
            </w:pPr>
            <w:r>
              <w:t>其中：财政    资金</w:t>
            </w:r>
          </w:p>
        </w:tc>
        <w:tc>
          <w:tcPr>
            <w:tcW w:w="1304" w:type="dxa"/>
            <w:vAlign w:val="center"/>
          </w:tcPr>
          <w:p>
            <w:pPr>
              <w:pStyle w:val="17"/>
            </w:pPr>
            <w:r>
              <w:t>206.00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清算下达2022年土地整治专项资金-新增费返还市县资金第二批（冀财资环【2022】110号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1.清算下达2022年土地整治专项资金-新增费返还市县资金第二批（冀财资环【2022】110号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土地复垦进度占年初计划进度的比例</w:t>
            </w:r>
          </w:p>
        </w:tc>
        <w:tc>
          <w:tcPr>
            <w:tcW w:w="2891" w:type="dxa"/>
            <w:vAlign w:val="center"/>
          </w:tcPr>
          <w:p>
            <w:pPr>
              <w:pStyle w:val="17"/>
            </w:pPr>
            <w:r>
              <w:t>土地复垦进度占年初计划进度的比例</w:t>
            </w:r>
          </w:p>
        </w:tc>
        <w:tc>
          <w:tcPr>
            <w:tcW w:w="1276" w:type="dxa"/>
            <w:vAlign w:val="center"/>
          </w:tcPr>
          <w:p>
            <w:pPr>
              <w:pStyle w:val="17"/>
            </w:pPr>
            <w:r>
              <w:t>≥80百分比</w:t>
            </w:r>
          </w:p>
        </w:tc>
        <w:tc>
          <w:tcPr>
            <w:tcW w:w="1843" w:type="dxa"/>
            <w:vAlign w:val="center"/>
          </w:tcPr>
          <w:p>
            <w:pPr>
              <w:pStyle w:val="17"/>
            </w:pPr>
            <w:r>
              <w:t>冀财资环[2022]110号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≥80百分比</w:t>
            </w:r>
          </w:p>
        </w:tc>
        <w:tc>
          <w:tcPr>
            <w:tcW w:w="1843" w:type="dxa"/>
            <w:vAlign w:val="center"/>
          </w:tcPr>
          <w:p>
            <w:pPr>
              <w:pStyle w:val="17"/>
            </w:pPr>
            <w:r>
              <w:t>冀财资环[2022]110号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≥80百分比</w:t>
            </w:r>
          </w:p>
        </w:tc>
        <w:tc>
          <w:tcPr>
            <w:tcW w:w="1843" w:type="dxa"/>
            <w:vAlign w:val="center"/>
          </w:tcPr>
          <w:p>
            <w:pPr>
              <w:pStyle w:val="17"/>
            </w:pPr>
            <w:r>
              <w:t>冀财资环[2022]110号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≤206万元</w:t>
            </w:r>
          </w:p>
        </w:tc>
        <w:tc>
          <w:tcPr>
            <w:tcW w:w="1843" w:type="dxa"/>
            <w:vAlign w:val="center"/>
          </w:tcPr>
          <w:p>
            <w:pPr>
              <w:pStyle w:val="17"/>
            </w:pPr>
            <w:r>
              <w:t>冀财资环[2022]110号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项目对经济效益提升比</w:t>
            </w:r>
          </w:p>
        </w:tc>
        <w:tc>
          <w:tcPr>
            <w:tcW w:w="2891" w:type="dxa"/>
            <w:vAlign w:val="center"/>
          </w:tcPr>
          <w:p>
            <w:pPr>
              <w:pStyle w:val="17"/>
            </w:pPr>
            <w:r>
              <w:t>项目对经济效益提升比值</w:t>
            </w:r>
          </w:p>
        </w:tc>
        <w:tc>
          <w:tcPr>
            <w:tcW w:w="1276" w:type="dxa"/>
            <w:vAlign w:val="center"/>
          </w:tcPr>
          <w:p>
            <w:pPr>
              <w:pStyle w:val="17"/>
            </w:pPr>
            <w:r>
              <w:t>≥80百分比</w:t>
            </w:r>
          </w:p>
        </w:tc>
        <w:tc>
          <w:tcPr>
            <w:tcW w:w="1843" w:type="dxa"/>
            <w:vAlign w:val="center"/>
          </w:tcPr>
          <w:p>
            <w:pPr>
              <w:pStyle w:val="17"/>
            </w:pPr>
            <w:r>
              <w:t>冀财资环[2022]110号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≥80百分比</w:t>
            </w:r>
          </w:p>
        </w:tc>
        <w:tc>
          <w:tcPr>
            <w:tcW w:w="1843" w:type="dxa"/>
            <w:vAlign w:val="center"/>
          </w:tcPr>
          <w:p>
            <w:pPr>
              <w:pStyle w:val="17"/>
            </w:pPr>
            <w:r>
              <w:t>冀财资环[2022]110号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98.区域评估费绩效目标表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13062323P00940810012W</w:t>
            </w:r>
          </w:p>
        </w:tc>
        <w:tc>
          <w:tcPr>
            <w:tcW w:w="1587" w:type="dxa"/>
            <w:vAlign w:val="center"/>
          </w:tcPr>
          <w:p>
            <w:pPr>
              <w:pStyle w:val="15"/>
            </w:pPr>
            <w:r>
              <w:t>项目名称</w:t>
            </w:r>
          </w:p>
        </w:tc>
        <w:tc>
          <w:tcPr>
            <w:tcW w:w="4422" w:type="dxa"/>
            <w:gridSpan w:val="3"/>
            <w:vAlign w:val="center"/>
          </w:tcPr>
          <w:p>
            <w:pPr>
              <w:pStyle w:val="17"/>
            </w:pPr>
            <w:r>
              <w:t>区域评估费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完成区域评估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50.00</w:t>
            </w:r>
          </w:p>
        </w:tc>
        <w:tc>
          <w:tcPr>
            <w:tcW w:w="1587" w:type="dxa"/>
            <w:vAlign w:val="center"/>
          </w:tcPr>
          <w:p>
            <w:pPr>
              <w:pStyle w:val="18"/>
            </w:pPr>
            <w:r>
              <w:t>100.00</w:t>
            </w:r>
          </w:p>
        </w:tc>
        <w:tc>
          <w:tcPr>
            <w:tcW w:w="1304" w:type="dxa"/>
            <w:vAlign w:val="center"/>
          </w:tcPr>
          <w:p>
            <w:pPr>
              <w:pStyle w:val="18"/>
            </w:pPr>
            <w:r>
              <w:t>150.00</w:t>
            </w:r>
          </w:p>
        </w:tc>
        <w:tc>
          <w:tcPr>
            <w:tcW w:w="3118" w:type="dxa"/>
            <w:gridSpan w:val="2"/>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1.完成区域评估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评估报告</w:t>
            </w:r>
          </w:p>
        </w:tc>
        <w:tc>
          <w:tcPr>
            <w:tcW w:w="2891" w:type="dxa"/>
            <w:vAlign w:val="center"/>
          </w:tcPr>
          <w:p>
            <w:pPr>
              <w:pStyle w:val="17"/>
            </w:pPr>
            <w:r>
              <w:t>评估报告</w:t>
            </w:r>
          </w:p>
        </w:tc>
        <w:tc>
          <w:tcPr>
            <w:tcW w:w="1276" w:type="dxa"/>
            <w:vAlign w:val="center"/>
          </w:tcPr>
          <w:p>
            <w:pPr>
              <w:pStyle w:val="17"/>
            </w:pPr>
            <w:r>
              <w:t>1份</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评估质量</w:t>
            </w:r>
          </w:p>
        </w:tc>
        <w:tc>
          <w:tcPr>
            <w:tcW w:w="2891" w:type="dxa"/>
            <w:vAlign w:val="center"/>
          </w:tcPr>
          <w:p>
            <w:pPr>
              <w:pStyle w:val="17"/>
            </w:pPr>
            <w:r>
              <w:t>评估质量</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99.桑园涧林场、赵各庄林场、5个综合治理所冬季取暖费绩效目标表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13062323P00007610009B</w:t>
            </w:r>
          </w:p>
        </w:tc>
        <w:tc>
          <w:tcPr>
            <w:tcW w:w="1587" w:type="dxa"/>
            <w:vAlign w:val="center"/>
          </w:tcPr>
          <w:p>
            <w:pPr>
              <w:pStyle w:val="15"/>
            </w:pPr>
            <w:r>
              <w:t>项目名称</w:t>
            </w:r>
          </w:p>
        </w:tc>
        <w:tc>
          <w:tcPr>
            <w:tcW w:w="4422" w:type="dxa"/>
            <w:gridSpan w:val="3"/>
            <w:vAlign w:val="center"/>
          </w:tcPr>
          <w:p>
            <w:pPr>
              <w:pStyle w:val="17"/>
            </w:pPr>
            <w:r>
              <w:t>桑园涧林场、赵各庄林场、5个综合治理所冬季取暖费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桑园涧林场、赵各庄林场、5个综合治理所冬季取暖费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1.目标内容1：桑园涧林场、赵各庄林场、5个综合治理所冬季取暖费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经费控制数</w:t>
            </w:r>
          </w:p>
        </w:tc>
        <w:tc>
          <w:tcPr>
            <w:tcW w:w="1276" w:type="dxa"/>
            <w:vAlign w:val="center"/>
          </w:tcPr>
          <w:p>
            <w:pPr>
              <w:pStyle w:val="17"/>
            </w:pPr>
            <w:r>
              <w:t>≤30万元</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资金有效使用率</w:t>
            </w:r>
          </w:p>
        </w:tc>
        <w:tc>
          <w:tcPr>
            <w:tcW w:w="1276" w:type="dxa"/>
            <w:vAlign w:val="center"/>
          </w:tcPr>
          <w:p>
            <w:pPr>
              <w:pStyle w:val="17"/>
            </w:pPr>
            <w:r>
              <w:t>≥95百分比</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取暖费费支付率</w:t>
            </w:r>
          </w:p>
        </w:tc>
        <w:tc>
          <w:tcPr>
            <w:tcW w:w="2891" w:type="dxa"/>
            <w:vAlign w:val="center"/>
          </w:tcPr>
          <w:p>
            <w:pPr>
              <w:pStyle w:val="17"/>
            </w:pPr>
            <w:r>
              <w:t>取暖费费支付率</w:t>
            </w:r>
          </w:p>
        </w:tc>
        <w:tc>
          <w:tcPr>
            <w:tcW w:w="1276" w:type="dxa"/>
            <w:vAlign w:val="center"/>
          </w:tcPr>
          <w:p>
            <w:pPr>
              <w:pStyle w:val="17"/>
            </w:pPr>
            <w:r>
              <w:t>≥80百分比</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2个林场、5个基层所</w:t>
            </w:r>
          </w:p>
        </w:tc>
        <w:tc>
          <w:tcPr>
            <w:tcW w:w="2891" w:type="dxa"/>
            <w:vAlign w:val="center"/>
          </w:tcPr>
          <w:p>
            <w:pPr>
              <w:pStyle w:val="17"/>
            </w:pPr>
            <w:r>
              <w:t>2个林场、5个基层所</w:t>
            </w:r>
          </w:p>
        </w:tc>
        <w:tc>
          <w:tcPr>
            <w:tcW w:w="1276" w:type="dxa"/>
            <w:vAlign w:val="center"/>
          </w:tcPr>
          <w:p>
            <w:pPr>
              <w:pStyle w:val="17"/>
            </w:pPr>
            <w:r>
              <w:t>林场、基层所</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公共服务水平提升情况</w:t>
            </w:r>
          </w:p>
        </w:tc>
        <w:tc>
          <w:tcPr>
            <w:tcW w:w="2891" w:type="dxa"/>
            <w:vAlign w:val="center"/>
          </w:tcPr>
          <w:p>
            <w:pPr>
              <w:pStyle w:val="17"/>
            </w:pPr>
            <w:r>
              <w:t>公共服务水平提升情况</w:t>
            </w:r>
          </w:p>
        </w:tc>
        <w:tc>
          <w:tcPr>
            <w:tcW w:w="1276" w:type="dxa"/>
            <w:vAlign w:val="center"/>
          </w:tcPr>
          <w:p>
            <w:pPr>
              <w:pStyle w:val="17"/>
            </w:pPr>
            <w:r>
              <w:t>≥80百分比</w:t>
            </w:r>
          </w:p>
        </w:tc>
        <w:tc>
          <w:tcPr>
            <w:tcW w:w="1843" w:type="dxa"/>
            <w:vAlign w:val="center"/>
          </w:tcPr>
          <w:p>
            <w:pPr>
              <w:pStyle w:val="17"/>
            </w:pPr>
            <w:r>
              <w:t>年度实际发生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≥80百分比</w:t>
            </w:r>
          </w:p>
        </w:tc>
        <w:tc>
          <w:tcPr>
            <w:tcW w:w="1843" w:type="dxa"/>
            <w:vAlign w:val="center"/>
          </w:tcPr>
          <w:p>
            <w:pPr>
              <w:pStyle w:val="17"/>
            </w:pPr>
            <w:r>
              <w:t>年度实际发生</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100.森林草原防火宣传经费绩效目标表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13062323P000076100049</w:t>
            </w:r>
          </w:p>
        </w:tc>
        <w:tc>
          <w:tcPr>
            <w:tcW w:w="1587" w:type="dxa"/>
            <w:vAlign w:val="center"/>
          </w:tcPr>
          <w:p>
            <w:pPr>
              <w:pStyle w:val="15"/>
            </w:pPr>
            <w:r>
              <w:t>项目名称</w:t>
            </w:r>
          </w:p>
        </w:tc>
        <w:tc>
          <w:tcPr>
            <w:tcW w:w="4422" w:type="dxa"/>
            <w:gridSpan w:val="3"/>
            <w:vAlign w:val="center"/>
          </w:tcPr>
          <w:p>
            <w:pPr>
              <w:pStyle w:val="17"/>
            </w:pPr>
            <w:r>
              <w:t>森林草原防火宣传经费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森林草原防火宣传经费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1.目标内容1：森林草原防火宣传经费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≤55万元</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森林防火安全检查覆盖率</w:t>
            </w:r>
          </w:p>
        </w:tc>
        <w:tc>
          <w:tcPr>
            <w:tcW w:w="2891" w:type="dxa"/>
            <w:vAlign w:val="center"/>
          </w:tcPr>
          <w:p>
            <w:pPr>
              <w:pStyle w:val="17"/>
            </w:pPr>
            <w:r>
              <w:t>森林防火安全检查覆盖率</w:t>
            </w:r>
          </w:p>
        </w:tc>
        <w:tc>
          <w:tcPr>
            <w:tcW w:w="1276" w:type="dxa"/>
            <w:vAlign w:val="center"/>
          </w:tcPr>
          <w:p>
            <w:pPr>
              <w:pStyle w:val="17"/>
            </w:pPr>
            <w:r>
              <w:t>≥80百分比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采购物品合格率</w:t>
            </w:r>
          </w:p>
        </w:tc>
        <w:tc>
          <w:tcPr>
            <w:tcW w:w="2891" w:type="dxa"/>
            <w:vAlign w:val="center"/>
          </w:tcPr>
          <w:p>
            <w:pPr>
              <w:pStyle w:val="17"/>
            </w:pPr>
            <w:r>
              <w:t>购置质量合格的数量</w:t>
            </w:r>
          </w:p>
        </w:tc>
        <w:tc>
          <w:tcPr>
            <w:tcW w:w="1276" w:type="dxa"/>
            <w:vAlign w:val="center"/>
          </w:tcPr>
          <w:p>
            <w:pPr>
              <w:pStyle w:val="17"/>
            </w:pPr>
            <w:r>
              <w:t>≥98百分比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扩大防火安全宣传效应</w:t>
            </w:r>
          </w:p>
        </w:tc>
        <w:tc>
          <w:tcPr>
            <w:tcW w:w="2891" w:type="dxa"/>
            <w:vAlign w:val="center"/>
          </w:tcPr>
          <w:p>
            <w:pPr>
              <w:pStyle w:val="17"/>
            </w:pPr>
            <w:r>
              <w:t>扩大防火安全宣传效应</w:t>
            </w:r>
          </w:p>
        </w:tc>
        <w:tc>
          <w:tcPr>
            <w:tcW w:w="1276" w:type="dxa"/>
            <w:vAlign w:val="center"/>
          </w:tcPr>
          <w:p>
            <w:pPr>
              <w:pStyle w:val="17"/>
            </w:pPr>
            <w:r>
              <w:t>≥80百分比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障森林防火安全</w:t>
            </w:r>
          </w:p>
        </w:tc>
        <w:tc>
          <w:tcPr>
            <w:tcW w:w="2891" w:type="dxa"/>
            <w:vAlign w:val="center"/>
          </w:tcPr>
          <w:p>
            <w:pPr>
              <w:pStyle w:val="17"/>
            </w:pPr>
            <w:r>
              <w:t>保障森林防火安全</w:t>
            </w:r>
          </w:p>
        </w:tc>
        <w:tc>
          <w:tcPr>
            <w:tcW w:w="1276" w:type="dxa"/>
            <w:vAlign w:val="center"/>
          </w:tcPr>
          <w:p>
            <w:pPr>
              <w:pStyle w:val="17"/>
            </w:pPr>
            <w:r>
              <w:t>≥80百分比</w:t>
            </w:r>
          </w:p>
        </w:tc>
        <w:tc>
          <w:tcPr>
            <w:tcW w:w="1843" w:type="dxa"/>
            <w:vAlign w:val="center"/>
          </w:tcPr>
          <w:p>
            <w:pPr>
              <w:pStyle w:val="17"/>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护林防火人员满意度</w:t>
            </w:r>
          </w:p>
        </w:tc>
        <w:tc>
          <w:tcPr>
            <w:tcW w:w="2891" w:type="dxa"/>
            <w:vAlign w:val="center"/>
          </w:tcPr>
          <w:p>
            <w:pPr>
              <w:pStyle w:val="17"/>
            </w:pPr>
            <w:r>
              <w:t>护林防火人员满意度</w:t>
            </w:r>
          </w:p>
        </w:tc>
        <w:tc>
          <w:tcPr>
            <w:tcW w:w="1276" w:type="dxa"/>
            <w:vAlign w:val="center"/>
          </w:tcPr>
          <w:p>
            <w:pPr>
              <w:pStyle w:val="17"/>
            </w:pPr>
            <w:r>
              <w:t>≥80百分比</w:t>
            </w:r>
          </w:p>
        </w:tc>
        <w:tc>
          <w:tcPr>
            <w:tcW w:w="1843" w:type="dxa"/>
            <w:vAlign w:val="center"/>
          </w:tcPr>
          <w:p>
            <w:pPr>
              <w:pStyle w:val="17"/>
            </w:pPr>
            <w:r>
              <w:t>上级文件要求</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101.商贸物流产业奖励基金绩效目标表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13062323P00940810030D</w:t>
            </w:r>
          </w:p>
        </w:tc>
        <w:tc>
          <w:tcPr>
            <w:tcW w:w="1587" w:type="dxa"/>
            <w:vAlign w:val="center"/>
          </w:tcPr>
          <w:p>
            <w:pPr>
              <w:pStyle w:val="15"/>
            </w:pPr>
            <w:r>
              <w:t>项目名称</w:t>
            </w:r>
          </w:p>
        </w:tc>
        <w:tc>
          <w:tcPr>
            <w:tcW w:w="4422" w:type="dxa"/>
            <w:gridSpan w:val="3"/>
            <w:vAlign w:val="center"/>
          </w:tcPr>
          <w:p>
            <w:pPr>
              <w:pStyle w:val="17"/>
            </w:pPr>
            <w:r>
              <w:t>商贸物流产业奖励基金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11054.13</w:t>
            </w:r>
          </w:p>
        </w:tc>
        <w:tc>
          <w:tcPr>
            <w:tcW w:w="1587" w:type="dxa"/>
            <w:vAlign w:val="center"/>
          </w:tcPr>
          <w:p>
            <w:pPr>
              <w:pStyle w:val="15"/>
            </w:pPr>
            <w:r>
              <w:t>其中：财政    资金</w:t>
            </w:r>
          </w:p>
        </w:tc>
        <w:tc>
          <w:tcPr>
            <w:tcW w:w="1304" w:type="dxa"/>
            <w:vAlign w:val="center"/>
          </w:tcPr>
          <w:p>
            <w:pPr>
              <w:pStyle w:val="17"/>
            </w:pPr>
            <w:r>
              <w:t>11054.13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支持商贸物流产业发展，发展涞水经济。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2763.53</w:t>
            </w:r>
          </w:p>
        </w:tc>
        <w:tc>
          <w:tcPr>
            <w:tcW w:w="1587" w:type="dxa"/>
            <w:vAlign w:val="center"/>
          </w:tcPr>
          <w:p>
            <w:pPr>
              <w:pStyle w:val="18"/>
            </w:pPr>
            <w:r>
              <w:t>5527.07</w:t>
            </w:r>
          </w:p>
        </w:tc>
        <w:tc>
          <w:tcPr>
            <w:tcW w:w="1304" w:type="dxa"/>
            <w:vAlign w:val="center"/>
          </w:tcPr>
          <w:p>
            <w:pPr>
              <w:pStyle w:val="18"/>
            </w:pPr>
            <w:r>
              <w:t>8290.60</w:t>
            </w:r>
          </w:p>
        </w:tc>
        <w:tc>
          <w:tcPr>
            <w:tcW w:w="3118" w:type="dxa"/>
            <w:gridSpan w:val="2"/>
            <w:vAlign w:val="center"/>
          </w:tcPr>
          <w:p>
            <w:pPr>
              <w:pStyle w:val="18"/>
            </w:pPr>
            <w:r>
              <w:t>11054.13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1.支持商贸物流产业发展，发展涞水经济。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102.设计评审等前期费用（年初）绩效目标表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13062323P00863410002W</w:t>
            </w:r>
          </w:p>
        </w:tc>
        <w:tc>
          <w:tcPr>
            <w:tcW w:w="1587" w:type="dxa"/>
            <w:vAlign w:val="center"/>
          </w:tcPr>
          <w:p>
            <w:pPr>
              <w:pStyle w:val="15"/>
            </w:pPr>
            <w:r>
              <w:t>项目名称</w:t>
            </w:r>
          </w:p>
        </w:tc>
        <w:tc>
          <w:tcPr>
            <w:tcW w:w="4422" w:type="dxa"/>
            <w:gridSpan w:val="3"/>
            <w:vAlign w:val="center"/>
          </w:tcPr>
          <w:p>
            <w:pPr>
              <w:pStyle w:val="17"/>
            </w:pPr>
            <w:r>
              <w:t>设计评审等前期费用（年初）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159.00</w:t>
            </w:r>
          </w:p>
        </w:tc>
        <w:tc>
          <w:tcPr>
            <w:tcW w:w="1587" w:type="dxa"/>
            <w:vAlign w:val="center"/>
          </w:tcPr>
          <w:p>
            <w:pPr>
              <w:pStyle w:val="15"/>
            </w:pPr>
            <w:r>
              <w:t>其中：财政    资金</w:t>
            </w:r>
          </w:p>
        </w:tc>
        <w:tc>
          <w:tcPr>
            <w:tcW w:w="1304" w:type="dxa"/>
            <w:vAlign w:val="center"/>
          </w:tcPr>
          <w:p>
            <w:pPr>
              <w:pStyle w:val="17"/>
            </w:pPr>
            <w:r>
              <w:t>159.00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用于新党校建设设计评审等使用。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100.00</w:t>
            </w:r>
          </w:p>
        </w:tc>
        <w:tc>
          <w:tcPr>
            <w:tcW w:w="1587" w:type="dxa"/>
            <w:vAlign w:val="center"/>
          </w:tcPr>
          <w:p>
            <w:pPr>
              <w:pStyle w:val="18"/>
            </w:pPr>
            <w:r>
              <w:t>150.00</w:t>
            </w:r>
          </w:p>
        </w:tc>
        <w:tc>
          <w:tcPr>
            <w:tcW w:w="1304" w:type="dxa"/>
            <w:vAlign w:val="center"/>
          </w:tcPr>
          <w:p>
            <w:pPr>
              <w:pStyle w:val="18"/>
            </w:pPr>
            <w:r>
              <w:t>159.00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完成项目数量</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各项工作落实到位率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完成及时率</w:t>
            </w:r>
          </w:p>
        </w:tc>
        <w:tc>
          <w:tcPr>
            <w:tcW w:w="1276" w:type="dxa"/>
            <w:vAlign w:val="center"/>
          </w:tcPr>
          <w:p>
            <w:pPr>
              <w:pStyle w:val="17"/>
            </w:pPr>
            <w:r>
              <w:t>≥90百分比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成本控制</w:t>
            </w:r>
          </w:p>
        </w:tc>
        <w:tc>
          <w:tcPr>
            <w:tcW w:w="1276" w:type="dxa"/>
            <w:vAlign w:val="center"/>
          </w:tcPr>
          <w:p>
            <w:pPr>
              <w:pStyle w:val="17"/>
            </w:pPr>
            <w:r>
              <w:t>≤159万元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建设项目设计创新及使用情况</w:t>
            </w:r>
          </w:p>
        </w:tc>
        <w:tc>
          <w:tcPr>
            <w:tcW w:w="2891" w:type="dxa"/>
            <w:vAlign w:val="center"/>
          </w:tcPr>
          <w:p>
            <w:pPr>
              <w:pStyle w:val="17"/>
            </w:pPr>
            <w:r>
              <w:t>建设项目设计创新及使用情况</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服务对象满意度指标</w:t>
            </w:r>
          </w:p>
        </w:tc>
        <w:tc>
          <w:tcPr>
            <w:tcW w:w="1276" w:type="dxa"/>
            <w:vAlign w:val="center"/>
          </w:tcPr>
          <w:p>
            <w:pPr>
              <w:pStyle w:val="17"/>
            </w:pPr>
            <w:r>
              <w:t>≥95百分比</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103.石亭镇人才家园5#地征地补偿款绩效目标表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13062323P00940810049R</w:t>
            </w:r>
          </w:p>
        </w:tc>
        <w:tc>
          <w:tcPr>
            <w:tcW w:w="1587" w:type="dxa"/>
            <w:vAlign w:val="center"/>
          </w:tcPr>
          <w:p>
            <w:pPr>
              <w:pStyle w:val="15"/>
            </w:pPr>
            <w:r>
              <w:t>项目名称</w:t>
            </w:r>
          </w:p>
        </w:tc>
        <w:tc>
          <w:tcPr>
            <w:tcW w:w="4422" w:type="dxa"/>
            <w:gridSpan w:val="3"/>
            <w:vAlign w:val="center"/>
          </w:tcPr>
          <w:p>
            <w:pPr>
              <w:pStyle w:val="17"/>
            </w:pPr>
            <w:r>
              <w:t>石亭镇人才家园5#地征地补偿款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28.34</w:t>
            </w:r>
          </w:p>
        </w:tc>
        <w:tc>
          <w:tcPr>
            <w:tcW w:w="1587" w:type="dxa"/>
            <w:vAlign w:val="center"/>
          </w:tcPr>
          <w:p>
            <w:pPr>
              <w:pStyle w:val="15"/>
            </w:pPr>
            <w:r>
              <w:t>其中：财政    资金</w:t>
            </w:r>
          </w:p>
        </w:tc>
        <w:tc>
          <w:tcPr>
            <w:tcW w:w="1304" w:type="dxa"/>
            <w:vAlign w:val="center"/>
          </w:tcPr>
          <w:p>
            <w:pPr>
              <w:pStyle w:val="17"/>
            </w:pPr>
            <w:r>
              <w:t>28.34</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石亭镇人才家园5#地征地补偿款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14.17</w:t>
            </w:r>
          </w:p>
        </w:tc>
        <w:tc>
          <w:tcPr>
            <w:tcW w:w="1304" w:type="dxa"/>
            <w:vAlign w:val="center"/>
          </w:tcPr>
          <w:p>
            <w:pPr>
              <w:pStyle w:val="18"/>
            </w:pPr>
            <w:r>
              <w:t xml:space="preserve"> </w:t>
            </w:r>
          </w:p>
        </w:tc>
        <w:tc>
          <w:tcPr>
            <w:tcW w:w="3118" w:type="dxa"/>
            <w:gridSpan w:val="2"/>
            <w:vAlign w:val="center"/>
          </w:tcPr>
          <w:p>
            <w:pPr>
              <w:pStyle w:val="18"/>
            </w:pPr>
            <w:r>
              <w:t>28.34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1.进一步提高我县GDP，提升经济增速；增我县就业岗位，降低失业率。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时效指标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各项支付工作完成率</w:t>
            </w:r>
          </w:p>
        </w:tc>
        <w:tc>
          <w:tcPr>
            <w:tcW w:w="2891" w:type="dxa"/>
            <w:vAlign w:val="center"/>
          </w:tcPr>
          <w:p>
            <w:pPr>
              <w:pStyle w:val="17"/>
            </w:pPr>
            <w:r>
              <w:t>各项支付工作完成率</w:t>
            </w:r>
          </w:p>
        </w:tc>
        <w:tc>
          <w:tcPr>
            <w:tcW w:w="1276" w:type="dxa"/>
            <w:vAlign w:val="center"/>
          </w:tcPr>
          <w:p>
            <w:pPr>
              <w:pStyle w:val="17"/>
            </w:pPr>
            <w:r>
              <w:t>≥90%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28.34万元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经济效益指标</w:t>
            </w:r>
          </w:p>
        </w:tc>
        <w:tc>
          <w:tcPr>
            <w:tcW w:w="2891" w:type="dxa"/>
            <w:vAlign w:val="center"/>
          </w:tcPr>
          <w:p>
            <w:pPr>
              <w:pStyle w:val="17"/>
            </w:pPr>
            <w:r>
              <w:t>经济效益指标</w:t>
            </w:r>
          </w:p>
        </w:tc>
        <w:tc>
          <w:tcPr>
            <w:tcW w:w="1276" w:type="dxa"/>
            <w:vAlign w:val="center"/>
          </w:tcPr>
          <w:p>
            <w:pPr>
              <w:pStyle w:val="17"/>
            </w:pPr>
            <w:r>
              <w:t>≥95%</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104.石亭镇人才家园征地补偿款及工作经费绩效目标表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13062323P009408100486</w:t>
            </w:r>
          </w:p>
        </w:tc>
        <w:tc>
          <w:tcPr>
            <w:tcW w:w="1587" w:type="dxa"/>
            <w:vAlign w:val="center"/>
          </w:tcPr>
          <w:p>
            <w:pPr>
              <w:pStyle w:val="15"/>
            </w:pPr>
            <w:r>
              <w:t>项目名称</w:t>
            </w:r>
          </w:p>
        </w:tc>
        <w:tc>
          <w:tcPr>
            <w:tcW w:w="4422" w:type="dxa"/>
            <w:gridSpan w:val="3"/>
            <w:vAlign w:val="center"/>
          </w:tcPr>
          <w:p>
            <w:pPr>
              <w:pStyle w:val="17"/>
            </w:pPr>
            <w:r>
              <w:t>石亭镇人才家园征地补偿款及工作经费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72.00</w:t>
            </w:r>
          </w:p>
        </w:tc>
        <w:tc>
          <w:tcPr>
            <w:tcW w:w="1587" w:type="dxa"/>
            <w:vAlign w:val="center"/>
          </w:tcPr>
          <w:p>
            <w:pPr>
              <w:pStyle w:val="15"/>
            </w:pPr>
            <w:r>
              <w:t>其中：财政    资金</w:t>
            </w:r>
          </w:p>
        </w:tc>
        <w:tc>
          <w:tcPr>
            <w:tcW w:w="1304" w:type="dxa"/>
            <w:vAlign w:val="center"/>
          </w:tcPr>
          <w:p>
            <w:pPr>
              <w:pStyle w:val="17"/>
            </w:pPr>
            <w:r>
              <w:t>72.00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石亭镇人才家园征地补偿款及工作经费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36.00</w:t>
            </w:r>
          </w:p>
        </w:tc>
        <w:tc>
          <w:tcPr>
            <w:tcW w:w="1304" w:type="dxa"/>
            <w:vAlign w:val="center"/>
          </w:tcPr>
          <w:p>
            <w:pPr>
              <w:pStyle w:val="18"/>
            </w:pPr>
            <w:r>
              <w:t xml:space="preserve"> </w:t>
            </w:r>
          </w:p>
        </w:tc>
        <w:tc>
          <w:tcPr>
            <w:tcW w:w="3118" w:type="dxa"/>
            <w:gridSpan w:val="2"/>
            <w:vAlign w:val="center"/>
          </w:tcPr>
          <w:p>
            <w:pPr>
              <w:pStyle w:val="18"/>
            </w:pPr>
            <w:r>
              <w:t>72.00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1.石亭镇人才家园征地补偿款及工作经费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按期完成率</w:t>
            </w:r>
          </w:p>
        </w:tc>
        <w:tc>
          <w:tcPr>
            <w:tcW w:w="2891" w:type="dxa"/>
            <w:vAlign w:val="center"/>
          </w:tcPr>
          <w:p>
            <w:pPr>
              <w:pStyle w:val="17"/>
            </w:pPr>
            <w:r>
              <w:t>按期完成率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各项支付工作完成率</w:t>
            </w:r>
          </w:p>
        </w:tc>
        <w:tc>
          <w:tcPr>
            <w:tcW w:w="2891" w:type="dxa"/>
            <w:vAlign w:val="center"/>
          </w:tcPr>
          <w:p>
            <w:pPr>
              <w:pStyle w:val="17"/>
            </w:pPr>
            <w:r>
              <w:t>各项支付工作完成率</w:t>
            </w:r>
          </w:p>
        </w:tc>
        <w:tc>
          <w:tcPr>
            <w:tcW w:w="1276" w:type="dxa"/>
            <w:vAlign w:val="center"/>
          </w:tcPr>
          <w:p>
            <w:pPr>
              <w:pStyle w:val="17"/>
            </w:pPr>
            <w:r>
              <w:t>≥90%</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总成本</w:t>
            </w:r>
          </w:p>
        </w:tc>
        <w:tc>
          <w:tcPr>
            <w:tcW w:w="1276" w:type="dxa"/>
            <w:vAlign w:val="center"/>
          </w:tcPr>
          <w:p>
            <w:pPr>
              <w:pStyle w:val="17"/>
            </w:pPr>
            <w:r>
              <w:t>≤72万元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经济效益指标</w:t>
            </w:r>
          </w:p>
        </w:tc>
        <w:tc>
          <w:tcPr>
            <w:tcW w:w="2891" w:type="dxa"/>
            <w:vAlign w:val="center"/>
          </w:tcPr>
          <w:p>
            <w:pPr>
              <w:pStyle w:val="17"/>
            </w:pPr>
            <w:r>
              <w:t>经济效益指标</w:t>
            </w:r>
          </w:p>
        </w:tc>
        <w:tc>
          <w:tcPr>
            <w:tcW w:w="1276" w:type="dxa"/>
            <w:vAlign w:val="center"/>
          </w:tcPr>
          <w:p>
            <w:pPr>
              <w:pStyle w:val="17"/>
            </w:pPr>
            <w:r>
              <w:t>≥95%</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105.水库维修养护经费绩效目标表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13062323P000068100026</w:t>
            </w:r>
          </w:p>
        </w:tc>
        <w:tc>
          <w:tcPr>
            <w:tcW w:w="1587" w:type="dxa"/>
            <w:vAlign w:val="center"/>
          </w:tcPr>
          <w:p>
            <w:pPr>
              <w:pStyle w:val="15"/>
            </w:pPr>
            <w:r>
              <w:t>项目名称</w:t>
            </w:r>
          </w:p>
        </w:tc>
        <w:tc>
          <w:tcPr>
            <w:tcW w:w="4422" w:type="dxa"/>
            <w:gridSpan w:val="3"/>
            <w:vAlign w:val="center"/>
          </w:tcPr>
          <w:p>
            <w:pPr>
              <w:pStyle w:val="17"/>
            </w:pPr>
            <w:r>
              <w:t>水库维修养护经费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根据涞政复字【2008】10号文件批复，每年安排水库维修养护经费25万元。其中宋各庄水库10万元，垒子水库10万元，蔡家井水库5万元，保障水库正常运行。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10.00</w:t>
            </w:r>
          </w:p>
        </w:tc>
        <w:tc>
          <w:tcPr>
            <w:tcW w:w="3118" w:type="dxa"/>
            <w:gridSpan w:val="2"/>
            <w:vAlign w:val="center"/>
          </w:tcPr>
          <w:p>
            <w:pPr>
              <w:pStyle w:val="18"/>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1.根据涞政复字【2008】10号文件批复，每年安排水库维修养护经费25万元。其中宋各庄水库10万元，垒子水库10万元，蔡家井水库5万元，保障水库正常运行。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维修养护水库数量</w:t>
            </w:r>
          </w:p>
        </w:tc>
        <w:tc>
          <w:tcPr>
            <w:tcW w:w="2891" w:type="dxa"/>
            <w:vAlign w:val="center"/>
          </w:tcPr>
          <w:p>
            <w:pPr>
              <w:pStyle w:val="17"/>
            </w:pPr>
            <w:r>
              <w:t>维修养护水库数量</w:t>
            </w:r>
          </w:p>
        </w:tc>
        <w:tc>
          <w:tcPr>
            <w:tcW w:w="1276" w:type="dxa"/>
            <w:vAlign w:val="center"/>
          </w:tcPr>
          <w:p>
            <w:pPr>
              <w:pStyle w:val="17"/>
            </w:pPr>
            <w:r>
              <w:t>3座</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维护工作完成率</w:t>
            </w:r>
          </w:p>
        </w:tc>
        <w:tc>
          <w:tcPr>
            <w:tcW w:w="2891" w:type="dxa"/>
            <w:vAlign w:val="center"/>
          </w:tcPr>
          <w:p>
            <w:pPr>
              <w:pStyle w:val="17"/>
            </w:pPr>
            <w:r>
              <w:t>维护工作完成率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维修水库及时率</w:t>
            </w:r>
          </w:p>
        </w:tc>
        <w:tc>
          <w:tcPr>
            <w:tcW w:w="2891" w:type="dxa"/>
            <w:vAlign w:val="center"/>
          </w:tcPr>
          <w:p>
            <w:pPr>
              <w:pStyle w:val="17"/>
            </w:pPr>
            <w:r>
              <w:t>维修水库及时率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≤25万元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加强水库日常维养，保障水库安全正常运行</w:t>
            </w:r>
          </w:p>
        </w:tc>
        <w:tc>
          <w:tcPr>
            <w:tcW w:w="2891" w:type="dxa"/>
            <w:vAlign w:val="center"/>
          </w:tcPr>
          <w:p>
            <w:pPr>
              <w:pStyle w:val="17"/>
            </w:pPr>
            <w:r>
              <w:t>加强水库日常维养，保障水库安全正常运行</w:t>
            </w:r>
          </w:p>
        </w:tc>
        <w:tc>
          <w:tcPr>
            <w:tcW w:w="1276" w:type="dxa"/>
            <w:vAlign w:val="center"/>
          </w:tcPr>
          <w:p>
            <w:pPr>
              <w:pStyle w:val="17"/>
            </w:pPr>
            <w:r>
              <w:t>加强水库日常维养，保障水库安全正常运行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106.下达2022年新增费返还市县资金（冀财资环【2022】49号）绩效目标表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13062322P00933910001J</w:t>
            </w:r>
          </w:p>
        </w:tc>
        <w:tc>
          <w:tcPr>
            <w:tcW w:w="1587" w:type="dxa"/>
            <w:vAlign w:val="center"/>
          </w:tcPr>
          <w:p>
            <w:pPr>
              <w:pStyle w:val="15"/>
            </w:pPr>
            <w:r>
              <w:t>项目名称</w:t>
            </w:r>
          </w:p>
        </w:tc>
        <w:tc>
          <w:tcPr>
            <w:tcW w:w="4422" w:type="dxa"/>
            <w:gridSpan w:val="3"/>
            <w:vAlign w:val="center"/>
          </w:tcPr>
          <w:p>
            <w:pPr>
              <w:pStyle w:val="17"/>
            </w:pPr>
            <w:r>
              <w:t>下达2022年新增费返还市县资金（冀财资环【2022】49号）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137.00</w:t>
            </w:r>
          </w:p>
        </w:tc>
        <w:tc>
          <w:tcPr>
            <w:tcW w:w="1587" w:type="dxa"/>
            <w:vAlign w:val="center"/>
          </w:tcPr>
          <w:p>
            <w:pPr>
              <w:pStyle w:val="15"/>
            </w:pPr>
            <w:r>
              <w:t>其中：财政    资金</w:t>
            </w:r>
          </w:p>
        </w:tc>
        <w:tc>
          <w:tcPr>
            <w:tcW w:w="1304" w:type="dxa"/>
            <w:vAlign w:val="center"/>
          </w:tcPr>
          <w:p>
            <w:pPr>
              <w:pStyle w:val="17"/>
            </w:pPr>
            <w:r>
              <w:t>137.00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下达2022年新增费返还市县资金（冀财资环【2022】49号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1.下达2022年新增费返还市县资金（冀财资环【2022】49号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实际完成率</w:t>
            </w:r>
          </w:p>
        </w:tc>
        <w:tc>
          <w:tcPr>
            <w:tcW w:w="2891" w:type="dxa"/>
            <w:vAlign w:val="center"/>
          </w:tcPr>
          <w:p>
            <w:pPr>
              <w:pStyle w:val="17"/>
            </w:pPr>
            <w:r>
              <w:t>实际完成率</w:t>
            </w:r>
          </w:p>
        </w:tc>
        <w:tc>
          <w:tcPr>
            <w:tcW w:w="1276" w:type="dxa"/>
            <w:vAlign w:val="center"/>
          </w:tcPr>
          <w:p>
            <w:pPr>
              <w:pStyle w:val="17"/>
            </w:pPr>
            <w:r>
              <w:t>≥80百分比</w:t>
            </w:r>
          </w:p>
        </w:tc>
        <w:tc>
          <w:tcPr>
            <w:tcW w:w="1843" w:type="dxa"/>
            <w:vAlign w:val="center"/>
          </w:tcPr>
          <w:p>
            <w:pPr>
              <w:pStyle w:val="17"/>
            </w:pPr>
            <w:r>
              <w:t>冀财资环【2022】49号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冀财资环【2022】49号</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≥80百分比</w:t>
            </w:r>
          </w:p>
        </w:tc>
        <w:tc>
          <w:tcPr>
            <w:tcW w:w="1843" w:type="dxa"/>
            <w:vAlign w:val="center"/>
          </w:tcPr>
          <w:p>
            <w:pPr>
              <w:pStyle w:val="17"/>
            </w:pPr>
            <w:r>
              <w:t>冀财资环【2022】49号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预算执行率（%）</w:t>
            </w:r>
          </w:p>
        </w:tc>
        <w:tc>
          <w:tcPr>
            <w:tcW w:w="2891" w:type="dxa"/>
            <w:vAlign w:val="center"/>
          </w:tcPr>
          <w:p>
            <w:pPr>
              <w:pStyle w:val="17"/>
            </w:pPr>
            <w:r>
              <w:t>预算执行率（%）</w:t>
            </w:r>
          </w:p>
        </w:tc>
        <w:tc>
          <w:tcPr>
            <w:tcW w:w="1276" w:type="dxa"/>
            <w:vAlign w:val="center"/>
          </w:tcPr>
          <w:p>
            <w:pPr>
              <w:pStyle w:val="17"/>
            </w:pPr>
            <w:r>
              <w:t>≥80百分比</w:t>
            </w:r>
          </w:p>
        </w:tc>
        <w:tc>
          <w:tcPr>
            <w:tcW w:w="1843" w:type="dxa"/>
            <w:vAlign w:val="center"/>
          </w:tcPr>
          <w:p>
            <w:pPr>
              <w:pStyle w:val="17"/>
            </w:pPr>
            <w:r>
              <w:t>冀财资环【2022】49号</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公共服务水平提升情况</w:t>
            </w:r>
          </w:p>
        </w:tc>
        <w:tc>
          <w:tcPr>
            <w:tcW w:w="2891" w:type="dxa"/>
            <w:vAlign w:val="center"/>
          </w:tcPr>
          <w:p>
            <w:pPr>
              <w:pStyle w:val="17"/>
            </w:pPr>
            <w:r>
              <w:t>保障相关业务、工作等开展情况</w:t>
            </w:r>
          </w:p>
        </w:tc>
        <w:tc>
          <w:tcPr>
            <w:tcW w:w="1276" w:type="dxa"/>
            <w:vAlign w:val="center"/>
          </w:tcPr>
          <w:p>
            <w:pPr>
              <w:pStyle w:val="17"/>
            </w:pPr>
            <w:r>
              <w:t>≥80百分比</w:t>
            </w:r>
          </w:p>
        </w:tc>
        <w:tc>
          <w:tcPr>
            <w:tcW w:w="1843" w:type="dxa"/>
            <w:vAlign w:val="center"/>
          </w:tcPr>
          <w:p>
            <w:pPr>
              <w:pStyle w:val="17"/>
            </w:pPr>
            <w:r>
              <w:t>冀财资环【2022】49号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冀财资环【2022】49号</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107.线路迁改工程费用（年初）绩效目标表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13062323P008632100035</w:t>
            </w:r>
          </w:p>
        </w:tc>
        <w:tc>
          <w:tcPr>
            <w:tcW w:w="1587" w:type="dxa"/>
            <w:vAlign w:val="center"/>
          </w:tcPr>
          <w:p>
            <w:pPr>
              <w:pStyle w:val="15"/>
            </w:pPr>
            <w:r>
              <w:t>项目名称</w:t>
            </w:r>
          </w:p>
        </w:tc>
        <w:tc>
          <w:tcPr>
            <w:tcW w:w="4422" w:type="dxa"/>
            <w:gridSpan w:val="3"/>
            <w:vAlign w:val="center"/>
          </w:tcPr>
          <w:p>
            <w:pPr>
              <w:pStyle w:val="17"/>
            </w:pPr>
            <w:r>
              <w:t>线路迁改工程费用（年初）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770.00</w:t>
            </w:r>
          </w:p>
        </w:tc>
        <w:tc>
          <w:tcPr>
            <w:tcW w:w="1587" w:type="dxa"/>
            <w:vAlign w:val="center"/>
          </w:tcPr>
          <w:p>
            <w:pPr>
              <w:pStyle w:val="15"/>
            </w:pPr>
            <w:r>
              <w:t>其中：财政    资金</w:t>
            </w:r>
          </w:p>
        </w:tc>
        <w:tc>
          <w:tcPr>
            <w:tcW w:w="1304" w:type="dxa"/>
            <w:vAlign w:val="center"/>
          </w:tcPr>
          <w:p>
            <w:pPr>
              <w:pStyle w:val="17"/>
            </w:pPr>
            <w:r>
              <w:t>770.00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用于线路迁改工程使用。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335.00</w:t>
            </w:r>
          </w:p>
        </w:tc>
        <w:tc>
          <w:tcPr>
            <w:tcW w:w="1587" w:type="dxa"/>
            <w:vAlign w:val="center"/>
          </w:tcPr>
          <w:p>
            <w:pPr>
              <w:pStyle w:val="18"/>
            </w:pPr>
            <w:r>
              <w:t>770.00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数量指标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质量指标</w:t>
            </w:r>
          </w:p>
        </w:tc>
        <w:tc>
          <w:tcPr>
            <w:tcW w:w="2891" w:type="dxa"/>
            <w:vAlign w:val="center"/>
          </w:tcPr>
          <w:p>
            <w:pPr>
              <w:pStyle w:val="17"/>
            </w:pPr>
            <w:r>
              <w:t>线路迁改工程验收合格率（%）</w:t>
            </w:r>
          </w:p>
        </w:tc>
        <w:tc>
          <w:tcPr>
            <w:tcW w:w="1276" w:type="dxa"/>
            <w:vAlign w:val="center"/>
          </w:tcPr>
          <w:p>
            <w:pPr>
              <w:pStyle w:val="17"/>
            </w:pPr>
            <w:r>
              <w:t>≥92百分比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完工及时率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成本指标</w:t>
            </w:r>
          </w:p>
        </w:tc>
        <w:tc>
          <w:tcPr>
            <w:tcW w:w="2891" w:type="dxa"/>
            <w:vAlign w:val="center"/>
          </w:tcPr>
          <w:p>
            <w:pPr>
              <w:pStyle w:val="17"/>
            </w:pPr>
            <w:r>
              <w:t>成本控制</w:t>
            </w:r>
          </w:p>
        </w:tc>
        <w:tc>
          <w:tcPr>
            <w:tcW w:w="1276" w:type="dxa"/>
            <w:vAlign w:val="center"/>
          </w:tcPr>
          <w:p>
            <w:pPr>
              <w:pStyle w:val="17"/>
            </w:pPr>
            <w:r>
              <w:t>≤770万元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可持续影响指标</w:t>
            </w:r>
          </w:p>
        </w:tc>
        <w:tc>
          <w:tcPr>
            <w:tcW w:w="2891" w:type="dxa"/>
            <w:vAlign w:val="center"/>
          </w:tcPr>
          <w:p>
            <w:pPr>
              <w:pStyle w:val="17"/>
            </w:pPr>
            <w:r>
              <w:t>长期使用情况</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服务对象的满意度</w:t>
            </w:r>
          </w:p>
        </w:tc>
        <w:tc>
          <w:tcPr>
            <w:tcW w:w="1276" w:type="dxa"/>
            <w:vAlign w:val="center"/>
          </w:tcPr>
          <w:p>
            <w:pPr>
              <w:pStyle w:val="17"/>
            </w:pPr>
            <w:r>
              <w:t>≥95百分比</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108.野三坡风景名胜区整合优化费绩效目标表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13062323P009408100557</w:t>
            </w:r>
          </w:p>
        </w:tc>
        <w:tc>
          <w:tcPr>
            <w:tcW w:w="1587" w:type="dxa"/>
            <w:vAlign w:val="center"/>
          </w:tcPr>
          <w:p>
            <w:pPr>
              <w:pStyle w:val="15"/>
            </w:pPr>
            <w:r>
              <w:t>项目名称</w:t>
            </w:r>
          </w:p>
        </w:tc>
        <w:tc>
          <w:tcPr>
            <w:tcW w:w="4422" w:type="dxa"/>
            <w:gridSpan w:val="3"/>
            <w:vAlign w:val="center"/>
          </w:tcPr>
          <w:p>
            <w:pPr>
              <w:pStyle w:val="17"/>
            </w:pPr>
            <w:r>
              <w:t>野三坡风景名胜区整合优化费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29.00</w:t>
            </w:r>
          </w:p>
        </w:tc>
        <w:tc>
          <w:tcPr>
            <w:tcW w:w="1587" w:type="dxa"/>
            <w:vAlign w:val="center"/>
          </w:tcPr>
          <w:p>
            <w:pPr>
              <w:pStyle w:val="15"/>
            </w:pPr>
            <w:r>
              <w:t>其中：财政    资金</w:t>
            </w:r>
          </w:p>
        </w:tc>
        <w:tc>
          <w:tcPr>
            <w:tcW w:w="1304" w:type="dxa"/>
            <w:vAlign w:val="center"/>
          </w:tcPr>
          <w:p>
            <w:pPr>
              <w:pStyle w:val="17"/>
            </w:pPr>
            <w:r>
              <w:t>29.00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用于野三坡风景名胜区整合优化费用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20.00</w:t>
            </w:r>
          </w:p>
        </w:tc>
        <w:tc>
          <w:tcPr>
            <w:tcW w:w="3118" w:type="dxa"/>
            <w:gridSpan w:val="2"/>
            <w:vAlign w:val="center"/>
          </w:tcPr>
          <w:p>
            <w:pPr>
              <w:pStyle w:val="18"/>
            </w:pPr>
            <w:r>
              <w:t>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项目建设完成率</w:t>
            </w:r>
          </w:p>
        </w:tc>
        <w:tc>
          <w:tcPr>
            <w:tcW w:w="2891" w:type="dxa"/>
            <w:vAlign w:val="center"/>
          </w:tcPr>
          <w:p>
            <w:pPr>
              <w:pStyle w:val="17"/>
            </w:pPr>
            <w:r>
              <w:t>项目建设完成率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提高野三坡风景名胜区基础设施质量</w:t>
            </w:r>
          </w:p>
        </w:tc>
        <w:tc>
          <w:tcPr>
            <w:tcW w:w="2891" w:type="dxa"/>
            <w:vAlign w:val="center"/>
          </w:tcPr>
          <w:p>
            <w:pPr>
              <w:pStyle w:val="17"/>
            </w:pPr>
            <w:r>
              <w:t>提高野三坡风景名胜区基础设施质量</w:t>
            </w:r>
          </w:p>
        </w:tc>
        <w:tc>
          <w:tcPr>
            <w:tcW w:w="1276" w:type="dxa"/>
            <w:vAlign w:val="center"/>
          </w:tcPr>
          <w:p>
            <w:pPr>
              <w:pStyle w:val="17"/>
            </w:pPr>
            <w:r>
              <w:t>是否提高</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项目按时完成率</w:t>
            </w:r>
          </w:p>
        </w:tc>
        <w:tc>
          <w:tcPr>
            <w:tcW w:w="2891" w:type="dxa"/>
            <w:vAlign w:val="center"/>
          </w:tcPr>
          <w:p>
            <w:pPr>
              <w:pStyle w:val="17"/>
            </w:pPr>
            <w:r>
              <w:t>项目按时完成率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≤29万元</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实现风景名胜区自然资源的合理利用和可持续发展</w:t>
            </w:r>
          </w:p>
        </w:tc>
        <w:tc>
          <w:tcPr>
            <w:tcW w:w="2891" w:type="dxa"/>
            <w:vAlign w:val="center"/>
          </w:tcPr>
          <w:p>
            <w:pPr>
              <w:pStyle w:val="17"/>
            </w:pPr>
            <w:r>
              <w:t>实现风景名胜区自然资源的合理利用和可持续发展</w:t>
            </w:r>
          </w:p>
        </w:tc>
        <w:tc>
          <w:tcPr>
            <w:tcW w:w="1276" w:type="dxa"/>
            <w:vAlign w:val="center"/>
          </w:tcPr>
          <w:p>
            <w:pPr>
              <w:pStyle w:val="17"/>
            </w:pPr>
            <w:r>
              <w:t>是否实现</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109.野三坡国家地质自然公园整合优化费绩效目标表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13062323P00940810054K</w:t>
            </w:r>
          </w:p>
        </w:tc>
        <w:tc>
          <w:tcPr>
            <w:tcW w:w="1587" w:type="dxa"/>
            <w:vAlign w:val="center"/>
          </w:tcPr>
          <w:p>
            <w:pPr>
              <w:pStyle w:val="15"/>
            </w:pPr>
            <w:r>
              <w:t>项目名称</w:t>
            </w:r>
          </w:p>
        </w:tc>
        <w:tc>
          <w:tcPr>
            <w:tcW w:w="4422" w:type="dxa"/>
            <w:gridSpan w:val="3"/>
            <w:vAlign w:val="center"/>
          </w:tcPr>
          <w:p>
            <w:pPr>
              <w:pStyle w:val="17"/>
            </w:pPr>
            <w:r>
              <w:t>野三坡国家地质自然公园整合优化费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24.00</w:t>
            </w:r>
          </w:p>
        </w:tc>
        <w:tc>
          <w:tcPr>
            <w:tcW w:w="1587" w:type="dxa"/>
            <w:vAlign w:val="center"/>
          </w:tcPr>
          <w:p>
            <w:pPr>
              <w:pStyle w:val="15"/>
            </w:pPr>
            <w:r>
              <w:t>其中：财政    资金</w:t>
            </w:r>
          </w:p>
        </w:tc>
        <w:tc>
          <w:tcPr>
            <w:tcW w:w="1304" w:type="dxa"/>
            <w:vAlign w:val="center"/>
          </w:tcPr>
          <w:p>
            <w:pPr>
              <w:pStyle w:val="17"/>
            </w:pPr>
            <w:r>
              <w:t>24.00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用于野三坡国家地质自然公园优化整合费用。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18.00</w:t>
            </w:r>
          </w:p>
        </w:tc>
        <w:tc>
          <w:tcPr>
            <w:tcW w:w="3118" w:type="dxa"/>
            <w:gridSpan w:val="2"/>
            <w:vAlign w:val="center"/>
          </w:tcPr>
          <w:p>
            <w:pPr>
              <w:pStyle w:val="18"/>
            </w:pPr>
            <w:r>
              <w:t>24.00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完成项目数量</w:t>
            </w:r>
          </w:p>
        </w:tc>
        <w:tc>
          <w:tcPr>
            <w:tcW w:w="2891" w:type="dxa"/>
            <w:vAlign w:val="center"/>
          </w:tcPr>
          <w:p>
            <w:pPr>
              <w:pStyle w:val="17"/>
            </w:pPr>
            <w:r>
              <w:t>完成项目数量</w:t>
            </w:r>
          </w:p>
        </w:tc>
        <w:tc>
          <w:tcPr>
            <w:tcW w:w="1276" w:type="dxa"/>
            <w:vAlign w:val="center"/>
          </w:tcPr>
          <w:p>
            <w:pPr>
              <w:pStyle w:val="17"/>
            </w:pPr>
            <w:r>
              <w:t>1项</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质量达标率</w:t>
            </w:r>
          </w:p>
        </w:tc>
        <w:tc>
          <w:tcPr>
            <w:tcW w:w="2891" w:type="dxa"/>
            <w:vAlign w:val="center"/>
          </w:tcPr>
          <w:p>
            <w:pPr>
              <w:pStyle w:val="17"/>
            </w:pPr>
            <w:r>
              <w:t>质量达标率</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各项目按时完成情况</w:t>
            </w:r>
          </w:p>
        </w:tc>
        <w:tc>
          <w:tcPr>
            <w:tcW w:w="2891" w:type="dxa"/>
            <w:vAlign w:val="center"/>
          </w:tcPr>
          <w:p>
            <w:pPr>
              <w:pStyle w:val="17"/>
            </w:pPr>
            <w:r>
              <w:t>各项目按时完成情况</w:t>
            </w:r>
          </w:p>
        </w:tc>
        <w:tc>
          <w:tcPr>
            <w:tcW w:w="1276" w:type="dxa"/>
            <w:vAlign w:val="center"/>
          </w:tcPr>
          <w:p>
            <w:pPr>
              <w:pStyle w:val="17"/>
            </w:pPr>
            <w:r>
              <w:t>是否完成</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w:t>
            </w:r>
          </w:p>
        </w:tc>
        <w:tc>
          <w:tcPr>
            <w:tcW w:w="1276" w:type="dxa"/>
            <w:vAlign w:val="center"/>
          </w:tcPr>
          <w:p>
            <w:pPr>
              <w:pStyle w:val="17"/>
            </w:pPr>
            <w:r>
              <w:t>≤100％</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出行环境舒适度</w:t>
            </w:r>
          </w:p>
        </w:tc>
        <w:tc>
          <w:tcPr>
            <w:tcW w:w="2891" w:type="dxa"/>
            <w:vAlign w:val="center"/>
          </w:tcPr>
          <w:p>
            <w:pPr>
              <w:pStyle w:val="17"/>
            </w:pPr>
            <w:r>
              <w:t>出行环境舒适度</w:t>
            </w:r>
          </w:p>
        </w:tc>
        <w:tc>
          <w:tcPr>
            <w:tcW w:w="1276" w:type="dxa"/>
            <w:vAlign w:val="center"/>
          </w:tcPr>
          <w:p>
            <w:pPr>
              <w:pStyle w:val="17"/>
            </w:pPr>
            <w:r>
              <w:t>是否舒适</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实现风景名胜区自然资源的合理利用和可持续发展</w:t>
            </w:r>
          </w:p>
        </w:tc>
        <w:tc>
          <w:tcPr>
            <w:tcW w:w="2891" w:type="dxa"/>
            <w:vAlign w:val="center"/>
          </w:tcPr>
          <w:p>
            <w:pPr>
              <w:pStyle w:val="17"/>
            </w:pPr>
            <w:r>
              <w:t>实现风景名胜区自然资源的合理利用和可持续发展</w:t>
            </w:r>
          </w:p>
        </w:tc>
        <w:tc>
          <w:tcPr>
            <w:tcW w:w="1276" w:type="dxa"/>
            <w:vAlign w:val="center"/>
          </w:tcPr>
          <w:p>
            <w:pPr>
              <w:pStyle w:val="17"/>
            </w:pPr>
            <w:r>
              <w:t>是否实现</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110.野三坡景区百里峡等路口安装交通监控设施绩效目标表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13062323P00940810046Y</w:t>
            </w:r>
          </w:p>
        </w:tc>
        <w:tc>
          <w:tcPr>
            <w:tcW w:w="1587" w:type="dxa"/>
            <w:vAlign w:val="center"/>
          </w:tcPr>
          <w:p>
            <w:pPr>
              <w:pStyle w:val="15"/>
            </w:pPr>
            <w:r>
              <w:t>项目名称</w:t>
            </w:r>
          </w:p>
        </w:tc>
        <w:tc>
          <w:tcPr>
            <w:tcW w:w="4422" w:type="dxa"/>
            <w:gridSpan w:val="3"/>
            <w:vAlign w:val="center"/>
          </w:tcPr>
          <w:p>
            <w:pPr>
              <w:pStyle w:val="17"/>
            </w:pPr>
            <w:r>
              <w:t>野三坡景区百里峡等路口安装交通监控设施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87.00</w:t>
            </w:r>
          </w:p>
        </w:tc>
        <w:tc>
          <w:tcPr>
            <w:tcW w:w="1587" w:type="dxa"/>
            <w:vAlign w:val="center"/>
          </w:tcPr>
          <w:p>
            <w:pPr>
              <w:pStyle w:val="15"/>
            </w:pPr>
            <w:r>
              <w:t>其中：财政    资金</w:t>
            </w:r>
          </w:p>
        </w:tc>
        <w:tc>
          <w:tcPr>
            <w:tcW w:w="1304" w:type="dxa"/>
            <w:vAlign w:val="center"/>
          </w:tcPr>
          <w:p>
            <w:pPr>
              <w:pStyle w:val="17"/>
            </w:pPr>
            <w:r>
              <w:t>87.00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规范车辆行驶，防止交通事故发生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21.75</w:t>
            </w:r>
          </w:p>
        </w:tc>
        <w:tc>
          <w:tcPr>
            <w:tcW w:w="1587" w:type="dxa"/>
            <w:vAlign w:val="center"/>
          </w:tcPr>
          <w:p>
            <w:pPr>
              <w:pStyle w:val="18"/>
            </w:pPr>
            <w:r>
              <w:t>43.50</w:t>
            </w:r>
          </w:p>
        </w:tc>
        <w:tc>
          <w:tcPr>
            <w:tcW w:w="1304" w:type="dxa"/>
            <w:vAlign w:val="center"/>
          </w:tcPr>
          <w:p>
            <w:pPr>
              <w:pStyle w:val="18"/>
            </w:pPr>
            <w:r>
              <w:t>65.25</w:t>
            </w:r>
          </w:p>
        </w:tc>
        <w:tc>
          <w:tcPr>
            <w:tcW w:w="3118" w:type="dxa"/>
            <w:gridSpan w:val="2"/>
            <w:vAlign w:val="center"/>
          </w:tcPr>
          <w:p>
            <w:pPr>
              <w:pStyle w:val="18"/>
            </w:pPr>
            <w:r>
              <w:t>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1.规范车辆行驶，防止交通事故发生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购置设备使用时长</w:t>
            </w:r>
          </w:p>
        </w:tc>
        <w:tc>
          <w:tcPr>
            <w:tcW w:w="2891" w:type="dxa"/>
            <w:vAlign w:val="center"/>
          </w:tcPr>
          <w:p>
            <w:pPr>
              <w:pStyle w:val="17"/>
            </w:pPr>
            <w:r>
              <w:t>购置设备使用时长</w:t>
            </w:r>
          </w:p>
        </w:tc>
        <w:tc>
          <w:tcPr>
            <w:tcW w:w="1276" w:type="dxa"/>
            <w:vAlign w:val="center"/>
          </w:tcPr>
          <w:p>
            <w:pPr>
              <w:pStyle w:val="17"/>
            </w:pPr>
            <w:r>
              <w:t>≥5年</w:t>
            </w:r>
          </w:p>
        </w:tc>
        <w:tc>
          <w:tcPr>
            <w:tcW w:w="1843" w:type="dxa"/>
            <w:vAlign w:val="center"/>
          </w:tcPr>
          <w:p>
            <w:pPr>
              <w:pStyle w:val="17"/>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产品合格率（%）</w:t>
            </w:r>
          </w:p>
        </w:tc>
        <w:tc>
          <w:tcPr>
            <w:tcW w:w="2891" w:type="dxa"/>
            <w:vAlign w:val="center"/>
          </w:tcPr>
          <w:p>
            <w:pPr>
              <w:pStyle w:val="17"/>
            </w:pPr>
            <w:r>
              <w:t>产品合格率（%）</w:t>
            </w:r>
          </w:p>
        </w:tc>
        <w:tc>
          <w:tcPr>
            <w:tcW w:w="1276" w:type="dxa"/>
            <w:vAlign w:val="center"/>
          </w:tcPr>
          <w:p>
            <w:pPr>
              <w:pStyle w:val="17"/>
            </w:pPr>
            <w:r>
              <w:t>100百分比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≥100百分比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≤87万元</w:t>
            </w:r>
          </w:p>
        </w:tc>
        <w:tc>
          <w:tcPr>
            <w:tcW w:w="1843" w:type="dxa"/>
            <w:vAlign w:val="center"/>
          </w:tcPr>
          <w:p>
            <w:pPr>
              <w:pStyle w:val="17"/>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规范车辆行驶，防止交通事故发生</w:t>
            </w:r>
          </w:p>
        </w:tc>
        <w:tc>
          <w:tcPr>
            <w:tcW w:w="2891" w:type="dxa"/>
            <w:vAlign w:val="center"/>
          </w:tcPr>
          <w:p>
            <w:pPr>
              <w:pStyle w:val="17"/>
            </w:pPr>
            <w:r>
              <w:t>规范车辆行驶，防止交通事故发生</w:t>
            </w:r>
          </w:p>
        </w:tc>
        <w:tc>
          <w:tcPr>
            <w:tcW w:w="1276" w:type="dxa"/>
            <w:vAlign w:val="center"/>
          </w:tcPr>
          <w:p>
            <w:pPr>
              <w:pStyle w:val="17"/>
            </w:pPr>
            <w:r>
              <w:t>良好</w:t>
            </w:r>
          </w:p>
        </w:tc>
        <w:tc>
          <w:tcPr>
            <w:tcW w:w="1843" w:type="dxa"/>
            <w:vAlign w:val="center"/>
          </w:tcPr>
          <w:p>
            <w:pPr>
              <w:pStyle w:val="17"/>
            </w:pPr>
            <w:r>
              <w:t>缓解城市交通拥堵维护道路交通安全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满意度和较满意度占满意度的百分比</w:t>
            </w:r>
          </w:p>
        </w:tc>
        <w:tc>
          <w:tcPr>
            <w:tcW w:w="1276" w:type="dxa"/>
            <w:vAlign w:val="center"/>
          </w:tcPr>
          <w:p>
            <w:pPr>
              <w:pStyle w:val="17"/>
            </w:pPr>
            <w:r>
              <w:t>≥95百分比</w:t>
            </w:r>
          </w:p>
        </w:tc>
        <w:tc>
          <w:tcPr>
            <w:tcW w:w="1843" w:type="dxa"/>
            <w:vAlign w:val="center"/>
          </w:tcPr>
          <w:p>
            <w:pPr>
              <w:pStyle w:val="17"/>
            </w:pPr>
            <w:r>
              <w:t>完成指标值比率</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111.野三坡片区19个美丽乡村垃圾运营追加项目绩效目标表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13062323P008449100021</w:t>
            </w:r>
          </w:p>
        </w:tc>
        <w:tc>
          <w:tcPr>
            <w:tcW w:w="1587" w:type="dxa"/>
            <w:vAlign w:val="center"/>
          </w:tcPr>
          <w:p>
            <w:pPr>
              <w:pStyle w:val="15"/>
            </w:pPr>
            <w:r>
              <w:t>项目名称</w:t>
            </w:r>
          </w:p>
        </w:tc>
        <w:tc>
          <w:tcPr>
            <w:tcW w:w="4422" w:type="dxa"/>
            <w:gridSpan w:val="3"/>
            <w:vAlign w:val="center"/>
          </w:tcPr>
          <w:p>
            <w:pPr>
              <w:pStyle w:val="17"/>
            </w:pPr>
            <w:r>
              <w:t>野三坡片区19个美丽乡村垃圾运营追加项目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55.00</w:t>
            </w:r>
          </w:p>
        </w:tc>
        <w:tc>
          <w:tcPr>
            <w:tcW w:w="1587" w:type="dxa"/>
            <w:vAlign w:val="center"/>
          </w:tcPr>
          <w:p>
            <w:pPr>
              <w:pStyle w:val="15"/>
            </w:pPr>
            <w:r>
              <w:t>其中：财政    资金</w:t>
            </w:r>
          </w:p>
        </w:tc>
        <w:tc>
          <w:tcPr>
            <w:tcW w:w="1304" w:type="dxa"/>
            <w:vAlign w:val="center"/>
          </w:tcPr>
          <w:p>
            <w:pPr>
              <w:pStyle w:val="17"/>
            </w:pPr>
            <w:r>
              <w:t>55.00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用于19个美丽乡村垃圾运营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55.00</w:t>
            </w:r>
          </w:p>
        </w:tc>
        <w:tc>
          <w:tcPr>
            <w:tcW w:w="1304" w:type="dxa"/>
            <w:vAlign w:val="center"/>
          </w:tcPr>
          <w:p>
            <w:pPr>
              <w:pStyle w:val="18"/>
            </w:pPr>
            <w:r>
              <w:t>55.00</w:t>
            </w:r>
          </w:p>
        </w:tc>
        <w:tc>
          <w:tcPr>
            <w:tcW w:w="3118" w:type="dxa"/>
            <w:gridSpan w:val="2"/>
            <w:vAlign w:val="center"/>
          </w:tcPr>
          <w:p>
            <w:pPr>
              <w:pStyle w:val="18"/>
            </w:pPr>
            <w:r>
              <w:t>55.00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运营费用追加</w:t>
            </w:r>
          </w:p>
        </w:tc>
        <w:tc>
          <w:tcPr>
            <w:tcW w:w="2891" w:type="dxa"/>
            <w:vAlign w:val="center"/>
          </w:tcPr>
          <w:p>
            <w:pPr>
              <w:pStyle w:val="17"/>
            </w:pPr>
            <w:r>
              <w:t>运营费用追加</w:t>
            </w:r>
          </w:p>
        </w:tc>
        <w:tc>
          <w:tcPr>
            <w:tcW w:w="1276" w:type="dxa"/>
            <w:vAlign w:val="center"/>
          </w:tcPr>
          <w:p>
            <w:pPr>
              <w:pStyle w:val="17"/>
            </w:pPr>
            <w:r>
              <w:t>55万元</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按实际产生垃圾量</w:t>
            </w:r>
          </w:p>
        </w:tc>
        <w:tc>
          <w:tcPr>
            <w:tcW w:w="2891" w:type="dxa"/>
            <w:vAlign w:val="center"/>
          </w:tcPr>
          <w:p>
            <w:pPr>
              <w:pStyle w:val="17"/>
            </w:pPr>
            <w:r>
              <w:t>按市级产生垃圾量</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按时拨付</w:t>
            </w:r>
          </w:p>
        </w:tc>
        <w:tc>
          <w:tcPr>
            <w:tcW w:w="2891" w:type="dxa"/>
            <w:vAlign w:val="center"/>
          </w:tcPr>
          <w:p>
            <w:pPr>
              <w:pStyle w:val="17"/>
            </w:pPr>
            <w:r>
              <w:t>按时拨付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按预算资金拨付</w:t>
            </w:r>
          </w:p>
        </w:tc>
        <w:tc>
          <w:tcPr>
            <w:tcW w:w="2891" w:type="dxa"/>
            <w:vAlign w:val="center"/>
          </w:tcPr>
          <w:p>
            <w:pPr>
              <w:pStyle w:val="17"/>
            </w:pPr>
            <w:r>
              <w:t>按预算资金拨付</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美化亮化人居环境</w:t>
            </w:r>
          </w:p>
        </w:tc>
        <w:tc>
          <w:tcPr>
            <w:tcW w:w="2891" w:type="dxa"/>
            <w:vAlign w:val="center"/>
          </w:tcPr>
          <w:p>
            <w:pPr>
              <w:pStyle w:val="17"/>
            </w:pPr>
            <w:r>
              <w:t>美化亮化人居环境</w:t>
            </w:r>
          </w:p>
        </w:tc>
        <w:tc>
          <w:tcPr>
            <w:tcW w:w="1276" w:type="dxa"/>
            <w:vAlign w:val="center"/>
          </w:tcPr>
          <w:p>
            <w:pPr>
              <w:pStyle w:val="17"/>
            </w:pPr>
            <w:r>
              <w:t>是</w:t>
            </w:r>
          </w:p>
        </w:tc>
        <w:tc>
          <w:tcPr>
            <w:tcW w:w="1843" w:type="dxa"/>
            <w:vAlign w:val="center"/>
          </w:tcPr>
          <w:p>
            <w:pPr>
              <w:pStyle w:val="17"/>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群众满意度</w:t>
            </w:r>
          </w:p>
        </w:tc>
        <w:tc>
          <w:tcPr>
            <w:tcW w:w="1276" w:type="dxa"/>
            <w:vAlign w:val="center"/>
          </w:tcPr>
          <w:p>
            <w:pPr>
              <w:pStyle w:val="17"/>
            </w:pPr>
            <w:r>
              <w:t>≥95%</w:t>
            </w:r>
          </w:p>
        </w:tc>
        <w:tc>
          <w:tcPr>
            <w:tcW w:w="1843" w:type="dxa"/>
            <w:vAlign w:val="center"/>
          </w:tcPr>
          <w:p>
            <w:pPr>
              <w:pStyle w:val="17"/>
            </w:pPr>
            <w:r>
              <w:t>资金请示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112.野三坡世界地质公园地质遗迹保护项目尾欠绩效目标表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13062323P00940810052C</w:t>
            </w:r>
          </w:p>
        </w:tc>
        <w:tc>
          <w:tcPr>
            <w:tcW w:w="1587" w:type="dxa"/>
            <w:vAlign w:val="center"/>
          </w:tcPr>
          <w:p>
            <w:pPr>
              <w:pStyle w:val="15"/>
            </w:pPr>
            <w:r>
              <w:t>项目名称</w:t>
            </w:r>
          </w:p>
        </w:tc>
        <w:tc>
          <w:tcPr>
            <w:tcW w:w="4422" w:type="dxa"/>
            <w:gridSpan w:val="3"/>
            <w:vAlign w:val="center"/>
          </w:tcPr>
          <w:p>
            <w:pPr>
              <w:pStyle w:val="17"/>
            </w:pPr>
            <w:r>
              <w:t>野三坡世界地质公园地质遗迹保护项目尾欠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64.00</w:t>
            </w:r>
          </w:p>
        </w:tc>
        <w:tc>
          <w:tcPr>
            <w:tcW w:w="1587" w:type="dxa"/>
            <w:vAlign w:val="center"/>
          </w:tcPr>
          <w:p>
            <w:pPr>
              <w:pStyle w:val="15"/>
            </w:pPr>
            <w:r>
              <w:t>其中：财政    资金</w:t>
            </w:r>
          </w:p>
        </w:tc>
        <w:tc>
          <w:tcPr>
            <w:tcW w:w="1304" w:type="dxa"/>
            <w:vAlign w:val="center"/>
          </w:tcPr>
          <w:p>
            <w:pPr>
              <w:pStyle w:val="17"/>
            </w:pPr>
            <w:r>
              <w:t>64.00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用于偿还野三坡世界地质公园地质遗迹保护项目尾欠。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30.00</w:t>
            </w:r>
          </w:p>
        </w:tc>
        <w:tc>
          <w:tcPr>
            <w:tcW w:w="1304" w:type="dxa"/>
            <w:vAlign w:val="center"/>
          </w:tcPr>
          <w:p>
            <w:pPr>
              <w:pStyle w:val="18"/>
            </w:pPr>
            <w:r>
              <w:t>48.00</w:t>
            </w:r>
          </w:p>
        </w:tc>
        <w:tc>
          <w:tcPr>
            <w:tcW w:w="3118" w:type="dxa"/>
            <w:gridSpan w:val="2"/>
            <w:vAlign w:val="center"/>
          </w:tcPr>
          <w:p>
            <w:pPr>
              <w:pStyle w:val="18"/>
            </w:pPr>
            <w:r>
              <w:t>64.00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解决尾款金额</w:t>
            </w:r>
          </w:p>
        </w:tc>
        <w:tc>
          <w:tcPr>
            <w:tcW w:w="2891" w:type="dxa"/>
            <w:vAlign w:val="center"/>
          </w:tcPr>
          <w:p>
            <w:pPr>
              <w:pStyle w:val="17"/>
            </w:pPr>
            <w:r>
              <w:t>解决尾款金额</w:t>
            </w:r>
          </w:p>
        </w:tc>
        <w:tc>
          <w:tcPr>
            <w:tcW w:w="1276" w:type="dxa"/>
            <w:vAlign w:val="center"/>
          </w:tcPr>
          <w:p>
            <w:pPr>
              <w:pStyle w:val="17"/>
            </w:pPr>
            <w:r>
              <w:t>≤64万元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地质公园及地质遗迹是否得到保护</w:t>
            </w:r>
          </w:p>
        </w:tc>
        <w:tc>
          <w:tcPr>
            <w:tcW w:w="2891" w:type="dxa"/>
            <w:vAlign w:val="center"/>
          </w:tcPr>
          <w:p>
            <w:pPr>
              <w:pStyle w:val="17"/>
            </w:pPr>
            <w:r>
              <w:t>地质公园及地质遗迹是否得到保护</w:t>
            </w:r>
          </w:p>
        </w:tc>
        <w:tc>
          <w:tcPr>
            <w:tcW w:w="1276" w:type="dxa"/>
            <w:vAlign w:val="center"/>
          </w:tcPr>
          <w:p>
            <w:pPr>
              <w:pStyle w:val="17"/>
            </w:pPr>
            <w:r>
              <w:t>是否有效保护</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支付及时率</w:t>
            </w:r>
          </w:p>
        </w:tc>
        <w:tc>
          <w:tcPr>
            <w:tcW w:w="2891" w:type="dxa"/>
            <w:vAlign w:val="center"/>
          </w:tcPr>
          <w:p>
            <w:pPr>
              <w:pStyle w:val="17"/>
            </w:pPr>
            <w:r>
              <w:t>支付及时率</w:t>
            </w:r>
          </w:p>
        </w:tc>
        <w:tc>
          <w:tcPr>
            <w:tcW w:w="1276" w:type="dxa"/>
            <w:vAlign w:val="center"/>
          </w:tcPr>
          <w:p>
            <w:pPr>
              <w:pStyle w:val="17"/>
            </w:pPr>
            <w:r>
              <w:t>≥100%</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≤64万元</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地质遗迹地质公园保护效果</w:t>
            </w:r>
          </w:p>
        </w:tc>
        <w:tc>
          <w:tcPr>
            <w:tcW w:w="2891" w:type="dxa"/>
            <w:vAlign w:val="center"/>
          </w:tcPr>
          <w:p>
            <w:pPr>
              <w:pStyle w:val="17"/>
            </w:pPr>
            <w:r>
              <w:t>地质遗迹地质公园保护效果</w:t>
            </w:r>
          </w:p>
        </w:tc>
        <w:tc>
          <w:tcPr>
            <w:tcW w:w="1276" w:type="dxa"/>
            <w:vAlign w:val="center"/>
          </w:tcPr>
          <w:p>
            <w:pPr>
              <w:pStyle w:val="17"/>
            </w:pPr>
            <w:r>
              <w:t>效果是否显著</w:t>
            </w:r>
          </w:p>
        </w:tc>
        <w:tc>
          <w:tcPr>
            <w:tcW w:w="1843" w:type="dxa"/>
            <w:vAlign w:val="center"/>
          </w:tcPr>
          <w:p>
            <w:pPr>
              <w:pStyle w:val="17"/>
            </w:pPr>
            <w:r>
              <w:t>依据工作方案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113.野生动物保护经费绩效目标表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13062323P000076100022</w:t>
            </w:r>
          </w:p>
        </w:tc>
        <w:tc>
          <w:tcPr>
            <w:tcW w:w="1587" w:type="dxa"/>
            <w:vAlign w:val="center"/>
          </w:tcPr>
          <w:p>
            <w:pPr>
              <w:pStyle w:val="15"/>
            </w:pPr>
            <w:r>
              <w:t>项目名称</w:t>
            </w:r>
          </w:p>
        </w:tc>
        <w:tc>
          <w:tcPr>
            <w:tcW w:w="4422" w:type="dxa"/>
            <w:gridSpan w:val="3"/>
            <w:vAlign w:val="center"/>
          </w:tcPr>
          <w:p>
            <w:pPr>
              <w:pStyle w:val="17"/>
            </w:pPr>
            <w:r>
              <w:t>野生动物保护经费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w:t>
            </w:r>
          </w:p>
        </w:tc>
        <w:tc>
          <w:tcPr>
            <w:tcW w:w="1587" w:type="dxa"/>
            <w:vAlign w:val="center"/>
          </w:tcPr>
          <w:p>
            <w:pPr>
              <w:pStyle w:val="15"/>
            </w:pPr>
            <w:r>
              <w:t>其中：财政    资金</w:t>
            </w:r>
          </w:p>
        </w:tc>
        <w:tc>
          <w:tcPr>
            <w:tcW w:w="1304" w:type="dxa"/>
            <w:vAlign w:val="center"/>
          </w:tcPr>
          <w:p>
            <w:pPr>
              <w:pStyle w:val="17"/>
            </w:pPr>
            <w:r>
              <w:t>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野生动物保护经费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1.目标内容1野生动物保护经费（宣传与看护点工人工资）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完成及时效率</w:t>
            </w:r>
          </w:p>
        </w:tc>
        <w:tc>
          <w:tcPr>
            <w:tcW w:w="2891" w:type="dxa"/>
            <w:vAlign w:val="center"/>
          </w:tcPr>
          <w:p>
            <w:pPr>
              <w:pStyle w:val="17"/>
            </w:pPr>
            <w:r>
              <w:t>完成及时效率</w:t>
            </w:r>
          </w:p>
        </w:tc>
        <w:tc>
          <w:tcPr>
            <w:tcW w:w="1276" w:type="dxa"/>
            <w:vAlign w:val="center"/>
          </w:tcPr>
          <w:p>
            <w:pPr>
              <w:pStyle w:val="17"/>
            </w:pPr>
            <w:r>
              <w:t>≥90百分比</w:t>
            </w:r>
          </w:p>
        </w:tc>
        <w:tc>
          <w:tcPr>
            <w:tcW w:w="1843" w:type="dxa"/>
            <w:vAlign w:val="center"/>
          </w:tcPr>
          <w:p>
            <w:pPr>
              <w:pStyle w:val="17"/>
            </w:pPr>
            <w:r>
              <w:t>上级下达专款文件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上级下达专款文件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项目按时完成情况</w:t>
            </w:r>
          </w:p>
        </w:tc>
        <w:tc>
          <w:tcPr>
            <w:tcW w:w="1276" w:type="dxa"/>
            <w:vAlign w:val="center"/>
          </w:tcPr>
          <w:p>
            <w:pPr>
              <w:pStyle w:val="17"/>
            </w:pPr>
            <w:r>
              <w:t>≥90百分比</w:t>
            </w:r>
          </w:p>
        </w:tc>
        <w:tc>
          <w:tcPr>
            <w:tcW w:w="1843" w:type="dxa"/>
            <w:vAlign w:val="center"/>
          </w:tcPr>
          <w:p>
            <w:pPr>
              <w:pStyle w:val="17"/>
            </w:pPr>
            <w:r>
              <w:t>上级下达专款文件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上级下达专款文件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有效提高野生动物保护</w:t>
            </w:r>
          </w:p>
        </w:tc>
        <w:tc>
          <w:tcPr>
            <w:tcW w:w="2891" w:type="dxa"/>
            <w:vAlign w:val="center"/>
          </w:tcPr>
          <w:p>
            <w:pPr>
              <w:pStyle w:val="17"/>
            </w:pPr>
            <w:r>
              <w:t>有效保护野生动物</w:t>
            </w:r>
          </w:p>
        </w:tc>
        <w:tc>
          <w:tcPr>
            <w:tcW w:w="1276" w:type="dxa"/>
            <w:vAlign w:val="center"/>
          </w:tcPr>
          <w:p>
            <w:pPr>
              <w:pStyle w:val="17"/>
            </w:pPr>
            <w:r>
              <w:t>≥90百分比</w:t>
            </w:r>
          </w:p>
        </w:tc>
        <w:tc>
          <w:tcPr>
            <w:tcW w:w="1843" w:type="dxa"/>
            <w:vAlign w:val="center"/>
          </w:tcPr>
          <w:p>
            <w:pPr>
              <w:pStyle w:val="17"/>
            </w:pPr>
            <w:r>
              <w:t>上级下达专款文件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上级下达专款文件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114.一河一策编制费绩效目标表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13062323P00007510011L</w:t>
            </w:r>
          </w:p>
        </w:tc>
        <w:tc>
          <w:tcPr>
            <w:tcW w:w="1587" w:type="dxa"/>
            <w:vAlign w:val="center"/>
          </w:tcPr>
          <w:p>
            <w:pPr>
              <w:pStyle w:val="15"/>
            </w:pPr>
            <w:r>
              <w:t>项目名称</w:t>
            </w:r>
          </w:p>
        </w:tc>
        <w:tc>
          <w:tcPr>
            <w:tcW w:w="4422" w:type="dxa"/>
            <w:gridSpan w:val="3"/>
            <w:vAlign w:val="center"/>
          </w:tcPr>
          <w:p>
            <w:pPr>
              <w:pStyle w:val="17"/>
            </w:pPr>
            <w:r>
              <w:t>一河一策编制费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中华人民共和国水利部办公厅关于印发《“一河（湖）一策”》方案编制指南的通知和保定市河湖长制办公室下发《关于新一轮“一河（湖）一策”方案的通知》，我县涉及15条河流需编制“一河一策”方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5.00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中华人民共和国水利部办公厅关于印发《“一河（湖）一策”》方案编制指南的通知和保定市河湖长制办公室下发《关于新一轮“一河（湖）一策”方案的通知》，我县涉及15条河流需编制“一河一策”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涉及河流数量</w:t>
            </w:r>
          </w:p>
        </w:tc>
        <w:tc>
          <w:tcPr>
            <w:tcW w:w="2891" w:type="dxa"/>
            <w:vAlign w:val="center"/>
          </w:tcPr>
          <w:p>
            <w:pPr>
              <w:pStyle w:val="17"/>
            </w:pPr>
            <w:r>
              <w:t>涉及河流数量</w:t>
            </w:r>
          </w:p>
        </w:tc>
        <w:tc>
          <w:tcPr>
            <w:tcW w:w="1276" w:type="dxa"/>
            <w:vAlign w:val="center"/>
          </w:tcPr>
          <w:p>
            <w:pPr>
              <w:pStyle w:val="17"/>
            </w:pPr>
            <w:r>
              <w:t>15条</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编辑工作完成率</w:t>
            </w:r>
          </w:p>
        </w:tc>
        <w:tc>
          <w:tcPr>
            <w:tcW w:w="2891" w:type="dxa"/>
            <w:vAlign w:val="center"/>
          </w:tcPr>
          <w:p>
            <w:pPr>
              <w:pStyle w:val="17"/>
            </w:pPr>
            <w:r>
              <w:t>编辑工作完成率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汇编及时率</w:t>
            </w:r>
          </w:p>
        </w:tc>
        <w:tc>
          <w:tcPr>
            <w:tcW w:w="2891" w:type="dxa"/>
            <w:vAlign w:val="center"/>
          </w:tcPr>
          <w:p>
            <w:pPr>
              <w:pStyle w:val="17"/>
            </w:pPr>
            <w:r>
              <w:t>汇编及时率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水资源利用率</w:t>
            </w:r>
          </w:p>
        </w:tc>
        <w:tc>
          <w:tcPr>
            <w:tcW w:w="2891" w:type="dxa"/>
            <w:vAlign w:val="center"/>
          </w:tcPr>
          <w:p>
            <w:pPr>
              <w:pStyle w:val="17"/>
            </w:pPr>
            <w:r>
              <w:t>水资源利用率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115.应急避难场所规划设计费绩效目标表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13062323P00007310001D</w:t>
            </w:r>
          </w:p>
        </w:tc>
        <w:tc>
          <w:tcPr>
            <w:tcW w:w="1587" w:type="dxa"/>
            <w:vAlign w:val="center"/>
          </w:tcPr>
          <w:p>
            <w:pPr>
              <w:pStyle w:val="15"/>
            </w:pPr>
            <w:r>
              <w:t>项目名称</w:t>
            </w:r>
          </w:p>
        </w:tc>
        <w:tc>
          <w:tcPr>
            <w:tcW w:w="4422" w:type="dxa"/>
            <w:gridSpan w:val="3"/>
            <w:vAlign w:val="center"/>
          </w:tcPr>
          <w:p>
            <w:pPr>
              <w:pStyle w:val="17"/>
            </w:pPr>
            <w:r>
              <w:t>应急避难场所规划设计费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21.00</w:t>
            </w:r>
          </w:p>
        </w:tc>
        <w:tc>
          <w:tcPr>
            <w:tcW w:w="1587" w:type="dxa"/>
            <w:vAlign w:val="center"/>
          </w:tcPr>
          <w:p>
            <w:pPr>
              <w:pStyle w:val="15"/>
            </w:pPr>
            <w:r>
              <w:t>其中：财政    资金</w:t>
            </w:r>
          </w:p>
        </w:tc>
        <w:tc>
          <w:tcPr>
            <w:tcW w:w="1304" w:type="dxa"/>
            <w:vAlign w:val="center"/>
          </w:tcPr>
          <w:p>
            <w:pPr>
              <w:pStyle w:val="17"/>
            </w:pPr>
            <w:r>
              <w:t>21.00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及时支付编制涞水县应急避难场所建设规划设计费。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21.00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1.及时编制涞水县应急避难场所建设规划，保障人民群众生命安全。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规划编制数量</w:t>
            </w:r>
          </w:p>
        </w:tc>
        <w:tc>
          <w:tcPr>
            <w:tcW w:w="2891" w:type="dxa"/>
            <w:vAlign w:val="center"/>
          </w:tcPr>
          <w:p>
            <w:pPr>
              <w:pStyle w:val="17"/>
            </w:pPr>
            <w:r>
              <w:t>规划编制数量</w:t>
            </w:r>
          </w:p>
        </w:tc>
        <w:tc>
          <w:tcPr>
            <w:tcW w:w="1276" w:type="dxa"/>
            <w:vAlign w:val="center"/>
          </w:tcPr>
          <w:p>
            <w:pPr>
              <w:pStyle w:val="17"/>
            </w:pPr>
            <w:r>
              <w:t>1套</w:t>
            </w:r>
          </w:p>
        </w:tc>
        <w:tc>
          <w:tcPr>
            <w:tcW w:w="1843" w:type="dxa"/>
            <w:vAlign w:val="center"/>
          </w:tcPr>
          <w:p>
            <w:pPr>
              <w:pStyle w:val="17"/>
            </w:pPr>
            <w:r>
              <w:t>按照实际需求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规划编制合格率</w:t>
            </w:r>
          </w:p>
        </w:tc>
        <w:tc>
          <w:tcPr>
            <w:tcW w:w="2891" w:type="dxa"/>
            <w:vAlign w:val="center"/>
          </w:tcPr>
          <w:p>
            <w:pPr>
              <w:pStyle w:val="17"/>
            </w:pPr>
            <w:r>
              <w:t>规划编制合格率</w:t>
            </w:r>
          </w:p>
        </w:tc>
        <w:tc>
          <w:tcPr>
            <w:tcW w:w="1276" w:type="dxa"/>
            <w:vAlign w:val="center"/>
          </w:tcPr>
          <w:p>
            <w:pPr>
              <w:pStyle w:val="17"/>
            </w:pPr>
            <w:r>
              <w:t>&gt;90%</w:t>
            </w:r>
          </w:p>
        </w:tc>
        <w:tc>
          <w:tcPr>
            <w:tcW w:w="1843" w:type="dxa"/>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规划编制完成及时率</w:t>
            </w:r>
          </w:p>
        </w:tc>
        <w:tc>
          <w:tcPr>
            <w:tcW w:w="2891" w:type="dxa"/>
            <w:vAlign w:val="center"/>
          </w:tcPr>
          <w:p>
            <w:pPr>
              <w:pStyle w:val="17"/>
            </w:pPr>
            <w:r>
              <w:t>规划编制完成及时率</w:t>
            </w:r>
          </w:p>
        </w:tc>
        <w:tc>
          <w:tcPr>
            <w:tcW w:w="1276" w:type="dxa"/>
            <w:vAlign w:val="center"/>
          </w:tcPr>
          <w:p>
            <w:pPr>
              <w:pStyle w:val="17"/>
            </w:pPr>
            <w:r>
              <w:t>&gt;90%</w:t>
            </w:r>
          </w:p>
        </w:tc>
        <w:tc>
          <w:tcPr>
            <w:tcW w:w="1843" w:type="dxa"/>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≤21万元</w:t>
            </w:r>
          </w:p>
        </w:tc>
        <w:tc>
          <w:tcPr>
            <w:tcW w:w="1843" w:type="dxa"/>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创新工作完成率</w:t>
            </w:r>
          </w:p>
        </w:tc>
        <w:tc>
          <w:tcPr>
            <w:tcW w:w="2891" w:type="dxa"/>
            <w:vAlign w:val="center"/>
          </w:tcPr>
          <w:p>
            <w:pPr>
              <w:pStyle w:val="17"/>
            </w:pPr>
            <w:r>
              <w:t>创新工作完成率</w:t>
            </w:r>
          </w:p>
        </w:tc>
        <w:tc>
          <w:tcPr>
            <w:tcW w:w="1276" w:type="dxa"/>
            <w:vAlign w:val="center"/>
          </w:tcPr>
          <w:p>
            <w:pPr>
              <w:pStyle w:val="17"/>
            </w:pPr>
            <w:r>
              <w:t>≥90%</w:t>
            </w:r>
          </w:p>
        </w:tc>
        <w:tc>
          <w:tcPr>
            <w:tcW w:w="1843" w:type="dxa"/>
            <w:vAlign w:val="center"/>
          </w:tcPr>
          <w:p>
            <w:pPr>
              <w:pStyle w:val="17"/>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&gt;90%</w:t>
            </w:r>
          </w:p>
        </w:tc>
        <w:tc>
          <w:tcPr>
            <w:tcW w:w="1843" w:type="dxa"/>
            <w:vAlign w:val="center"/>
          </w:tcPr>
          <w:p>
            <w:pPr>
              <w:pStyle w:val="17"/>
            </w:pPr>
            <w:r>
              <w:t>按照文件规定</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116.永阳镇檀山石灰石矿责任主体灭失矿山迹地修复治理项目绩效目标表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13062323P009408100653</w:t>
            </w:r>
          </w:p>
        </w:tc>
        <w:tc>
          <w:tcPr>
            <w:tcW w:w="1587" w:type="dxa"/>
            <w:vAlign w:val="center"/>
          </w:tcPr>
          <w:p>
            <w:pPr>
              <w:pStyle w:val="15"/>
            </w:pPr>
            <w:r>
              <w:t>项目名称</w:t>
            </w:r>
          </w:p>
        </w:tc>
        <w:tc>
          <w:tcPr>
            <w:tcW w:w="4422" w:type="dxa"/>
            <w:gridSpan w:val="3"/>
            <w:vAlign w:val="center"/>
          </w:tcPr>
          <w:p>
            <w:pPr>
              <w:pStyle w:val="17"/>
            </w:pPr>
            <w:r>
              <w:t>永阳镇檀山石灰石矿责任主体灭失矿山迹地修复治理项目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150.00</w:t>
            </w:r>
          </w:p>
        </w:tc>
        <w:tc>
          <w:tcPr>
            <w:tcW w:w="1587" w:type="dxa"/>
            <w:vAlign w:val="center"/>
          </w:tcPr>
          <w:p>
            <w:pPr>
              <w:pStyle w:val="15"/>
            </w:pPr>
            <w:r>
              <w:t>其中：财政    资金</w:t>
            </w:r>
          </w:p>
        </w:tc>
        <w:tc>
          <w:tcPr>
            <w:tcW w:w="1304" w:type="dxa"/>
            <w:vAlign w:val="center"/>
          </w:tcPr>
          <w:p>
            <w:pPr>
              <w:pStyle w:val="17"/>
            </w:pPr>
            <w:r>
              <w:t>150.00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保证工作有序进行。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w:t>
            </w:r>
          </w:p>
        </w:tc>
        <w:tc>
          <w:tcPr>
            <w:tcW w:w="1587" w:type="dxa"/>
            <w:vAlign w:val="center"/>
          </w:tcPr>
          <w:p>
            <w:pPr>
              <w:pStyle w:val="18"/>
            </w:pPr>
            <w:r>
              <w:t>40.00</w:t>
            </w:r>
          </w:p>
        </w:tc>
        <w:tc>
          <w:tcPr>
            <w:tcW w:w="1304" w:type="dxa"/>
            <w:vAlign w:val="center"/>
          </w:tcPr>
          <w:p>
            <w:pPr>
              <w:pStyle w:val="18"/>
            </w:pPr>
            <w:r>
              <w:t>100.00</w:t>
            </w:r>
          </w:p>
        </w:tc>
        <w:tc>
          <w:tcPr>
            <w:tcW w:w="3118" w:type="dxa"/>
            <w:gridSpan w:val="2"/>
            <w:vAlign w:val="center"/>
          </w:tcPr>
          <w:p>
            <w:pPr>
              <w:pStyle w:val="18"/>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1.保证工作有序进行。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矿产资源开发利用数据统计矿山数</w:t>
            </w:r>
          </w:p>
        </w:tc>
        <w:tc>
          <w:tcPr>
            <w:tcW w:w="2891" w:type="dxa"/>
            <w:vAlign w:val="center"/>
          </w:tcPr>
          <w:p>
            <w:pPr>
              <w:pStyle w:val="17"/>
            </w:pPr>
            <w:r>
              <w:t>矿产资源开发利用数据统计矿山数</w:t>
            </w:r>
          </w:p>
        </w:tc>
        <w:tc>
          <w:tcPr>
            <w:tcW w:w="1276" w:type="dxa"/>
            <w:vAlign w:val="center"/>
          </w:tcPr>
          <w:p>
            <w:pPr>
              <w:pStyle w:val="17"/>
            </w:pPr>
            <w:r>
              <w:t>8座</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正常运转率</w:t>
            </w:r>
          </w:p>
        </w:tc>
        <w:tc>
          <w:tcPr>
            <w:tcW w:w="2891" w:type="dxa"/>
            <w:vAlign w:val="center"/>
          </w:tcPr>
          <w:p>
            <w:pPr>
              <w:pStyle w:val="17"/>
            </w:pPr>
            <w:r>
              <w:t>正常运转率</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按照时间节点完成工作</w:t>
            </w:r>
          </w:p>
        </w:tc>
        <w:tc>
          <w:tcPr>
            <w:tcW w:w="2891" w:type="dxa"/>
            <w:vAlign w:val="center"/>
          </w:tcPr>
          <w:p>
            <w:pPr>
              <w:pStyle w:val="17"/>
            </w:pPr>
            <w:r>
              <w:t>各项绩效目标均按照时间节点完成</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总成本</w:t>
            </w:r>
          </w:p>
        </w:tc>
        <w:tc>
          <w:tcPr>
            <w:tcW w:w="2891" w:type="dxa"/>
            <w:vAlign w:val="center"/>
          </w:tcPr>
          <w:p>
            <w:pPr>
              <w:pStyle w:val="17"/>
            </w:pPr>
            <w:r>
              <w:t>项目完成总成本</w:t>
            </w:r>
          </w:p>
        </w:tc>
        <w:tc>
          <w:tcPr>
            <w:tcW w:w="1276" w:type="dxa"/>
            <w:vAlign w:val="center"/>
          </w:tcPr>
          <w:p>
            <w:pPr>
              <w:pStyle w:val="17"/>
            </w:pPr>
            <w:r>
              <w:t>150百分比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社会影响度</w:t>
            </w:r>
          </w:p>
        </w:tc>
        <w:tc>
          <w:tcPr>
            <w:tcW w:w="2891" w:type="dxa"/>
            <w:vAlign w:val="center"/>
          </w:tcPr>
          <w:p>
            <w:pPr>
              <w:pStyle w:val="17"/>
            </w:pPr>
            <w:r>
              <w:t>社会影响度</w:t>
            </w:r>
          </w:p>
        </w:tc>
        <w:tc>
          <w:tcPr>
            <w:tcW w:w="1276" w:type="dxa"/>
            <w:vAlign w:val="center"/>
          </w:tcPr>
          <w:p>
            <w:pPr>
              <w:pStyle w:val="17"/>
            </w:pPr>
            <w:r>
              <w:t>≥95百分比</w:t>
            </w:r>
          </w:p>
        </w:tc>
        <w:tc>
          <w:tcPr>
            <w:tcW w:w="1843" w:type="dxa"/>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有利于当地生态环境的改善</w:t>
            </w:r>
          </w:p>
        </w:tc>
        <w:tc>
          <w:tcPr>
            <w:tcW w:w="2891" w:type="dxa"/>
            <w:vAlign w:val="center"/>
          </w:tcPr>
          <w:p>
            <w:pPr>
              <w:pStyle w:val="17"/>
            </w:pPr>
            <w:r>
              <w:t>有利于当地生态环境的改善</w:t>
            </w:r>
          </w:p>
        </w:tc>
        <w:tc>
          <w:tcPr>
            <w:tcW w:w="1276" w:type="dxa"/>
            <w:vAlign w:val="center"/>
          </w:tcPr>
          <w:p>
            <w:pPr>
              <w:pStyle w:val="17"/>
            </w:pPr>
            <w:r>
              <w:t>≥95百分比</w:t>
            </w:r>
          </w:p>
        </w:tc>
        <w:tc>
          <w:tcPr>
            <w:tcW w:w="1843" w:type="dxa"/>
            <w:vAlign w:val="center"/>
          </w:tcPr>
          <w:p>
            <w:pPr>
              <w:pStyle w:val="17"/>
            </w:pPr>
            <w:r>
              <w:t>依据工作方案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117.有害生物防治费绩效目标表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13062323P00007610003M</w:t>
            </w:r>
          </w:p>
        </w:tc>
        <w:tc>
          <w:tcPr>
            <w:tcW w:w="1587" w:type="dxa"/>
            <w:vAlign w:val="center"/>
          </w:tcPr>
          <w:p>
            <w:pPr>
              <w:pStyle w:val="15"/>
            </w:pPr>
            <w:r>
              <w:t>项目名称</w:t>
            </w:r>
          </w:p>
        </w:tc>
        <w:tc>
          <w:tcPr>
            <w:tcW w:w="4422" w:type="dxa"/>
            <w:gridSpan w:val="3"/>
            <w:vAlign w:val="center"/>
          </w:tcPr>
          <w:p>
            <w:pPr>
              <w:pStyle w:val="17"/>
            </w:pPr>
            <w:r>
              <w:t>有害生物防治费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有害生物防治费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1.目标内容1：有害生物防治费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完成及时效率</w:t>
            </w:r>
          </w:p>
        </w:tc>
        <w:tc>
          <w:tcPr>
            <w:tcW w:w="2891" w:type="dxa"/>
            <w:vAlign w:val="center"/>
          </w:tcPr>
          <w:p>
            <w:pPr>
              <w:pStyle w:val="17"/>
            </w:pPr>
            <w:r>
              <w:t>完成及时效率</w:t>
            </w:r>
          </w:p>
        </w:tc>
        <w:tc>
          <w:tcPr>
            <w:tcW w:w="1276" w:type="dxa"/>
            <w:vAlign w:val="center"/>
          </w:tcPr>
          <w:p>
            <w:pPr>
              <w:pStyle w:val="17"/>
            </w:pPr>
            <w:r>
              <w:t>≥90百分比</w:t>
            </w:r>
          </w:p>
        </w:tc>
        <w:tc>
          <w:tcPr>
            <w:tcW w:w="1843" w:type="dxa"/>
            <w:vAlign w:val="center"/>
          </w:tcPr>
          <w:p>
            <w:pPr>
              <w:pStyle w:val="17"/>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≥90百分比</w:t>
            </w:r>
          </w:p>
        </w:tc>
        <w:tc>
          <w:tcPr>
            <w:tcW w:w="1843" w:type="dxa"/>
            <w:vAlign w:val="center"/>
          </w:tcPr>
          <w:p>
            <w:pPr>
              <w:pStyle w:val="17"/>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时效指标</w:t>
            </w:r>
          </w:p>
        </w:tc>
        <w:tc>
          <w:tcPr>
            <w:tcW w:w="2891" w:type="dxa"/>
            <w:vAlign w:val="center"/>
          </w:tcPr>
          <w:p>
            <w:pPr>
              <w:pStyle w:val="17"/>
            </w:pPr>
            <w:r>
              <w:t>项目按时完成情况</w:t>
            </w:r>
          </w:p>
        </w:tc>
        <w:tc>
          <w:tcPr>
            <w:tcW w:w="1276" w:type="dxa"/>
            <w:vAlign w:val="center"/>
          </w:tcPr>
          <w:p>
            <w:pPr>
              <w:pStyle w:val="17"/>
            </w:pPr>
            <w:r>
              <w:t>≥90百分比</w:t>
            </w:r>
          </w:p>
        </w:tc>
        <w:tc>
          <w:tcPr>
            <w:tcW w:w="1843" w:type="dxa"/>
            <w:vAlign w:val="center"/>
          </w:tcPr>
          <w:p>
            <w:pPr>
              <w:pStyle w:val="17"/>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≥90百分比</w:t>
            </w:r>
          </w:p>
        </w:tc>
        <w:tc>
          <w:tcPr>
            <w:tcW w:w="1843" w:type="dxa"/>
            <w:vAlign w:val="center"/>
          </w:tcPr>
          <w:p>
            <w:pPr>
              <w:pStyle w:val="17"/>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生态保护</w:t>
            </w:r>
          </w:p>
        </w:tc>
        <w:tc>
          <w:tcPr>
            <w:tcW w:w="2891" w:type="dxa"/>
            <w:vAlign w:val="center"/>
          </w:tcPr>
          <w:p>
            <w:pPr>
              <w:pStyle w:val="17"/>
            </w:pPr>
            <w:r>
              <w:t>病虫害发生率明显降低</w:t>
            </w:r>
          </w:p>
        </w:tc>
        <w:tc>
          <w:tcPr>
            <w:tcW w:w="1276" w:type="dxa"/>
            <w:vAlign w:val="center"/>
          </w:tcPr>
          <w:p>
            <w:pPr>
              <w:pStyle w:val="17"/>
            </w:pPr>
            <w:r>
              <w:t>明显</w:t>
            </w:r>
          </w:p>
        </w:tc>
        <w:tc>
          <w:tcPr>
            <w:tcW w:w="1843" w:type="dxa"/>
            <w:vAlign w:val="center"/>
          </w:tcPr>
          <w:p>
            <w:pPr>
              <w:pStyle w:val="17"/>
            </w:pPr>
            <w:r>
              <w:t>上级下达文件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上级下达文件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118.招商引资经费绩效目标表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13062323P00940810047J</w:t>
            </w:r>
          </w:p>
        </w:tc>
        <w:tc>
          <w:tcPr>
            <w:tcW w:w="1587" w:type="dxa"/>
            <w:vAlign w:val="center"/>
          </w:tcPr>
          <w:p>
            <w:pPr>
              <w:pStyle w:val="15"/>
            </w:pPr>
            <w:r>
              <w:t>项目名称</w:t>
            </w:r>
          </w:p>
        </w:tc>
        <w:tc>
          <w:tcPr>
            <w:tcW w:w="4422" w:type="dxa"/>
            <w:gridSpan w:val="3"/>
            <w:vAlign w:val="center"/>
          </w:tcPr>
          <w:p>
            <w:pPr>
              <w:pStyle w:val="17"/>
            </w:pPr>
            <w:r>
              <w:t>招商引资经费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80.00</w:t>
            </w:r>
          </w:p>
        </w:tc>
        <w:tc>
          <w:tcPr>
            <w:tcW w:w="1587" w:type="dxa"/>
            <w:vAlign w:val="center"/>
          </w:tcPr>
          <w:p>
            <w:pPr>
              <w:pStyle w:val="15"/>
            </w:pPr>
            <w:r>
              <w:t>其中：财政    资金</w:t>
            </w:r>
          </w:p>
        </w:tc>
        <w:tc>
          <w:tcPr>
            <w:tcW w:w="1304" w:type="dxa"/>
            <w:vAlign w:val="center"/>
          </w:tcPr>
          <w:p>
            <w:pPr>
              <w:pStyle w:val="17"/>
            </w:pPr>
            <w:r>
              <w:t>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加快涞水招商引资工作的脚步,保障目标任务的实施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1.加快涞水招商引资工作的脚步,保障目标任务的实施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企业数量</w:t>
            </w:r>
          </w:p>
        </w:tc>
        <w:tc>
          <w:tcPr>
            <w:tcW w:w="2891" w:type="dxa"/>
            <w:vAlign w:val="center"/>
          </w:tcPr>
          <w:p>
            <w:pPr>
              <w:pStyle w:val="17"/>
            </w:pPr>
            <w:r>
              <w:t>联系企业的数量</w:t>
            </w:r>
          </w:p>
        </w:tc>
        <w:tc>
          <w:tcPr>
            <w:tcW w:w="1276" w:type="dxa"/>
            <w:vAlign w:val="center"/>
          </w:tcPr>
          <w:p>
            <w:pPr>
              <w:pStyle w:val="17"/>
            </w:pPr>
            <w:r>
              <w:t>≥3个</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企业洽谈次数</w:t>
            </w:r>
          </w:p>
        </w:tc>
        <w:tc>
          <w:tcPr>
            <w:tcW w:w="2891" w:type="dxa"/>
            <w:vAlign w:val="center"/>
          </w:tcPr>
          <w:p>
            <w:pPr>
              <w:pStyle w:val="17"/>
            </w:pPr>
            <w:r>
              <w:t>促成企业洽谈的次数</w:t>
            </w:r>
          </w:p>
        </w:tc>
        <w:tc>
          <w:tcPr>
            <w:tcW w:w="1276" w:type="dxa"/>
            <w:vAlign w:val="center"/>
          </w:tcPr>
          <w:p>
            <w:pPr>
              <w:pStyle w:val="17"/>
            </w:pPr>
            <w:r>
              <w:t>≥10次</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参会企业数量</w:t>
            </w:r>
          </w:p>
        </w:tc>
        <w:tc>
          <w:tcPr>
            <w:tcW w:w="2891" w:type="dxa"/>
            <w:vAlign w:val="center"/>
          </w:tcPr>
          <w:p>
            <w:pPr>
              <w:pStyle w:val="17"/>
            </w:pPr>
            <w:r>
              <w:t>组织发展战略会企业的数量</w:t>
            </w:r>
          </w:p>
        </w:tc>
        <w:tc>
          <w:tcPr>
            <w:tcW w:w="1276" w:type="dxa"/>
            <w:vAlign w:val="center"/>
          </w:tcPr>
          <w:p>
            <w:pPr>
              <w:pStyle w:val="17"/>
            </w:pPr>
            <w:r>
              <w:t>≥15家</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预算执行率</w:t>
            </w:r>
          </w:p>
        </w:tc>
        <w:tc>
          <w:tcPr>
            <w:tcW w:w="2891" w:type="dxa"/>
            <w:vAlign w:val="center"/>
          </w:tcPr>
          <w:p>
            <w:pPr>
              <w:pStyle w:val="17"/>
            </w:pPr>
            <w:r>
              <w:t>预算执行率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实际达成合作意向数</w:t>
            </w:r>
          </w:p>
        </w:tc>
        <w:tc>
          <w:tcPr>
            <w:tcW w:w="2891" w:type="dxa"/>
            <w:vAlign w:val="center"/>
          </w:tcPr>
          <w:p>
            <w:pPr>
              <w:pStyle w:val="17"/>
            </w:pPr>
            <w:r>
              <w:t>实际达成合作意向数（以签订备忘录或协议为准）</w:t>
            </w:r>
          </w:p>
        </w:tc>
        <w:tc>
          <w:tcPr>
            <w:tcW w:w="1276" w:type="dxa"/>
            <w:vAlign w:val="center"/>
          </w:tcPr>
          <w:p>
            <w:pPr>
              <w:pStyle w:val="17"/>
            </w:pPr>
            <w:r>
              <w:t>≥3个</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企业满意度</w:t>
            </w:r>
          </w:p>
        </w:tc>
        <w:tc>
          <w:tcPr>
            <w:tcW w:w="2891" w:type="dxa"/>
            <w:vAlign w:val="center"/>
          </w:tcPr>
          <w:p>
            <w:pPr>
              <w:pStyle w:val="17"/>
            </w:pPr>
            <w:r>
              <w:t>企业满意度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119.赵各庄镇李各庄村山体滑坡修缮加固资金绩效目标表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13062323P008746100027</w:t>
            </w:r>
          </w:p>
        </w:tc>
        <w:tc>
          <w:tcPr>
            <w:tcW w:w="1587" w:type="dxa"/>
            <w:vAlign w:val="center"/>
          </w:tcPr>
          <w:p>
            <w:pPr>
              <w:pStyle w:val="15"/>
            </w:pPr>
            <w:r>
              <w:t>项目名称</w:t>
            </w:r>
          </w:p>
        </w:tc>
        <w:tc>
          <w:tcPr>
            <w:tcW w:w="4422" w:type="dxa"/>
            <w:gridSpan w:val="3"/>
            <w:vAlign w:val="center"/>
          </w:tcPr>
          <w:p>
            <w:pPr>
              <w:pStyle w:val="17"/>
            </w:pPr>
            <w:r>
              <w:t>赵各庄镇李各庄村山体滑坡修缮加固资金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13.60</w:t>
            </w:r>
          </w:p>
        </w:tc>
        <w:tc>
          <w:tcPr>
            <w:tcW w:w="1587" w:type="dxa"/>
            <w:vAlign w:val="center"/>
          </w:tcPr>
          <w:p>
            <w:pPr>
              <w:pStyle w:val="15"/>
            </w:pPr>
            <w:r>
              <w:t>其中：财政    资金</w:t>
            </w:r>
          </w:p>
        </w:tc>
        <w:tc>
          <w:tcPr>
            <w:tcW w:w="1304" w:type="dxa"/>
            <w:vAlign w:val="center"/>
          </w:tcPr>
          <w:p>
            <w:pPr>
              <w:pStyle w:val="17"/>
            </w:pPr>
            <w:r>
              <w:t>13.60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李各庄村山体滑坡修缮加固资金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6.80</w:t>
            </w:r>
          </w:p>
        </w:tc>
        <w:tc>
          <w:tcPr>
            <w:tcW w:w="1304" w:type="dxa"/>
            <w:vAlign w:val="center"/>
          </w:tcPr>
          <w:p>
            <w:pPr>
              <w:pStyle w:val="18"/>
            </w:pPr>
            <w:r>
              <w:t xml:space="preserve"> </w:t>
            </w:r>
          </w:p>
        </w:tc>
        <w:tc>
          <w:tcPr>
            <w:tcW w:w="3118" w:type="dxa"/>
            <w:gridSpan w:val="2"/>
            <w:vAlign w:val="center"/>
          </w:tcPr>
          <w:p>
            <w:pPr>
              <w:pStyle w:val="18"/>
            </w:pPr>
            <w:r>
              <w:t>13.60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1.对李各庄村自然庄胡儿港地质灾害点进行修缮加固，保障安全度汛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修缮加固任务完成率</w:t>
            </w:r>
          </w:p>
        </w:tc>
        <w:tc>
          <w:tcPr>
            <w:tcW w:w="2891" w:type="dxa"/>
            <w:vAlign w:val="center"/>
          </w:tcPr>
          <w:p>
            <w:pPr>
              <w:pStyle w:val="17"/>
            </w:pPr>
            <w:r>
              <w:t>修缮加固任务完成率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工程验收合格率</w:t>
            </w:r>
          </w:p>
        </w:tc>
        <w:tc>
          <w:tcPr>
            <w:tcW w:w="2891" w:type="dxa"/>
            <w:vAlign w:val="center"/>
          </w:tcPr>
          <w:p>
            <w:pPr>
              <w:pStyle w:val="17"/>
            </w:pPr>
            <w:r>
              <w:t>工程验收合格率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工程完工及时率</w:t>
            </w:r>
          </w:p>
        </w:tc>
        <w:tc>
          <w:tcPr>
            <w:tcW w:w="2891" w:type="dxa"/>
            <w:vAlign w:val="center"/>
          </w:tcPr>
          <w:p>
            <w:pPr>
              <w:pStyle w:val="17"/>
            </w:pPr>
            <w:r>
              <w:t>工程完工及时率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≤13.6万元</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确保当地群众安全度汛</w:t>
            </w:r>
          </w:p>
        </w:tc>
        <w:tc>
          <w:tcPr>
            <w:tcW w:w="2891" w:type="dxa"/>
            <w:vAlign w:val="center"/>
          </w:tcPr>
          <w:p>
            <w:pPr>
              <w:pStyle w:val="17"/>
            </w:pPr>
            <w:r>
              <w:t>确保当地群众安全度汛</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受益群众满意度</w:t>
            </w:r>
          </w:p>
        </w:tc>
        <w:tc>
          <w:tcPr>
            <w:tcW w:w="2891" w:type="dxa"/>
            <w:vAlign w:val="center"/>
          </w:tcPr>
          <w:p>
            <w:pPr>
              <w:pStyle w:val="17"/>
            </w:pPr>
            <w:r>
              <w:t>受益群众满意度</w:t>
            </w:r>
          </w:p>
        </w:tc>
        <w:tc>
          <w:tcPr>
            <w:tcW w:w="1276" w:type="dxa"/>
            <w:vAlign w:val="center"/>
          </w:tcPr>
          <w:p>
            <w:pPr>
              <w:pStyle w:val="17"/>
            </w:pPr>
            <w:r>
              <w:t>≥90百分比</w:t>
            </w:r>
          </w:p>
        </w:tc>
        <w:tc>
          <w:tcPr>
            <w:tcW w:w="1843" w:type="dxa"/>
            <w:vAlign w:val="center"/>
          </w:tcPr>
          <w:p>
            <w:pPr>
              <w:pStyle w:val="17"/>
            </w:pPr>
            <w:r>
              <w:t>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120.中节能焚烧生活垃圾处理费绩效目标表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13062323P00940810003L</w:t>
            </w:r>
          </w:p>
        </w:tc>
        <w:tc>
          <w:tcPr>
            <w:tcW w:w="1587" w:type="dxa"/>
            <w:vAlign w:val="center"/>
          </w:tcPr>
          <w:p>
            <w:pPr>
              <w:pStyle w:val="15"/>
            </w:pPr>
            <w:r>
              <w:t>项目名称</w:t>
            </w:r>
          </w:p>
        </w:tc>
        <w:tc>
          <w:tcPr>
            <w:tcW w:w="4422" w:type="dxa"/>
            <w:gridSpan w:val="3"/>
            <w:vAlign w:val="center"/>
          </w:tcPr>
          <w:p>
            <w:pPr>
              <w:pStyle w:val="17"/>
            </w:pPr>
            <w:r>
              <w:t>中节能焚烧生活垃圾处理费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151.20</w:t>
            </w:r>
          </w:p>
        </w:tc>
        <w:tc>
          <w:tcPr>
            <w:tcW w:w="1587" w:type="dxa"/>
            <w:vAlign w:val="center"/>
          </w:tcPr>
          <w:p>
            <w:pPr>
              <w:pStyle w:val="15"/>
            </w:pPr>
            <w:r>
              <w:t>其中：财政    资金</w:t>
            </w:r>
          </w:p>
        </w:tc>
        <w:tc>
          <w:tcPr>
            <w:tcW w:w="1304" w:type="dxa"/>
            <w:vAlign w:val="center"/>
          </w:tcPr>
          <w:p>
            <w:pPr>
              <w:pStyle w:val="17"/>
            </w:pPr>
            <w:r>
              <w:t>151.20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支付生活垃圾焚烧费用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37.80</w:t>
            </w:r>
          </w:p>
        </w:tc>
        <w:tc>
          <w:tcPr>
            <w:tcW w:w="1587" w:type="dxa"/>
            <w:vAlign w:val="center"/>
          </w:tcPr>
          <w:p>
            <w:pPr>
              <w:pStyle w:val="18"/>
            </w:pPr>
            <w:r>
              <w:t>37.80</w:t>
            </w:r>
          </w:p>
        </w:tc>
        <w:tc>
          <w:tcPr>
            <w:tcW w:w="1304" w:type="dxa"/>
            <w:vAlign w:val="center"/>
          </w:tcPr>
          <w:p>
            <w:pPr>
              <w:pStyle w:val="18"/>
            </w:pPr>
            <w:r>
              <w:t>37.80</w:t>
            </w:r>
          </w:p>
        </w:tc>
        <w:tc>
          <w:tcPr>
            <w:tcW w:w="3118" w:type="dxa"/>
            <w:gridSpan w:val="2"/>
            <w:vAlign w:val="center"/>
          </w:tcPr>
          <w:p>
            <w:pPr>
              <w:pStyle w:val="18"/>
            </w:pPr>
            <w:r>
              <w:t>37.80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数量（吨）</w:t>
            </w:r>
          </w:p>
        </w:tc>
        <w:tc>
          <w:tcPr>
            <w:tcW w:w="2891" w:type="dxa"/>
            <w:vAlign w:val="center"/>
          </w:tcPr>
          <w:p>
            <w:pPr>
              <w:pStyle w:val="17"/>
            </w:pPr>
            <w:r>
              <w:t>数量（吨）</w:t>
            </w:r>
          </w:p>
        </w:tc>
        <w:tc>
          <w:tcPr>
            <w:tcW w:w="1276" w:type="dxa"/>
            <w:vAlign w:val="center"/>
          </w:tcPr>
          <w:p>
            <w:pPr>
              <w:pStyle w:val="17"/>
            </w:pPr>
            <w:r>
              <w:t>对每辆进场车辆进行称重记录</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保障工作质量</w:t>
            </w:r>
          </w:p>
        </w:tc>
        <w:tc>
          <w:tcPr>
            <w:tcW w:w="2891" w:type="dxa"/>
            <w:vAlign w:val="center"/>
          </w:tcPr>
          <w:p>
            <w:pPr>
              <w:pStyle w:val="17"/>
            </w:pPr>
            <w:r>
              <w:t>保障工作质量</w:t>
            </w:r>
          </w:p>
        </w:tc>
        <w:tc>
          <w:tcPr>
            <w:tcW w:w="1276" w:type="dxa"/>
            <w:vAlign w:val="center"/>
          </w:tcPr>
          <w:p>
            <w:pPr>
              <w:pStyle w:val="17"/>
            </w:pPr>
            <w:r>
              <w:t>≥98%</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工作按时完成率</w:t>
            </w:r>
          </w:p>
        </w:tc>
        <w:tc>
          <w:tcPr>
            <w:tcW w:w="2891" w:type="dxa"/>
            <w:vAlign w:val="center"/>
          </w:tcPr>
          <w:p>
            <w:pPr>
              <w:pStyle w:val="17"/>
            </w:pPr>
            <w:r>
              <w:t>工作按时完成率</w:t>
            </w:r>
          </w:p>
        </w:tc>
        <w:tc>
          <w:tcPr>
            <w:tcW w:w="1276" w:type="dxa"/>
            <w:vAlign w:val="center"/>
          </w:tcPr>
          <w:p>
            <w:pPr>
              <w:pStyle w:val="17"/>
            </w:pPr>
            <w:r>
              <w:t>≥98%</w:t>
            </w:r>
          </w:p>
        </w:tc>
        <w:tc>
          <w:tcPr>
            <w:tcW w:w="1843" w:type="dxa"/>
            <w:vAlign w:val="center"/>
          </w:tcPr>
          <w:p>
            <w:pPr>
              <w:pStyle w:val="17"/>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项目实际支出是否控制在预算内</w:t>
            </w:r>
          </w:p>
        </w:tc>
        <w:tc>
          <w:tcPr>
            <w:tcW w:w="2891" w:type="dxa"/>
            <w:vAlign w:val="center"/>
          </w:tcPr>
          <w:p>
            <w:pPr>
              <w:pStyle w:val="17"/>
            </w:pPr>
            <w:r>
              <w:t>项目实际支出是否控制在预算内</w:t>
            </w:r>
          </w:p>
        </w:tc>
        <w:tc>
          <w:tcPr>
            <w:tcW w:w="1276" w:type="dxa"/>
            <w:vAlign w:val="center"/>
          </w:tcPr>
          <w:p>
            <w:pPr>
              <w:pStyle w:val="17"/>
            </w:pPr>
            <w:r>
              <w:t>≤100%</w:t>
            </w:r>
          </w:p>
        </w:tc>
        <w:tc>
          <w:tcPr>
            <w:tcW w:w="1843" w:type="dxa"/>
            <w:vAlign w:val="center"/>
          </w:tcPr>
          <w:p>
            <w:pPr>
              <w:pStyle w:val="17"/>
            </w:pPr>
            <w: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出行环境舒适度</w:t>
            </w:r>
          </w:p>
        </w:tc>
        <w:tc>
          <w:tcPr>
            <w:tcW w:w="2891" w:type="dxa"/>
            <w:vAlign w:val="center"/>
          </w:tcPr>
          <w:p>
            <w:pPr>
              <w:pStyle w:val="17"/>
            </w:pPr>
            <w:r>
              <w:t>出行环境舒适度</w:t>
            </w:r>
          </w:p>
        </w:tc>
        <w:tc>
          <w:tcPr>
            <w:tcW w:w="1276" w:type="dxa"/>
            <w:vAlign w:val="center"/>
          </w:tcPr>
          <w:p>
            <w:pPr>
              <w:pStyle w:val="17"/>
            </w:pPr>
            <w:r>
              <w:t>提高</w:t>
            </w:r>
          </w:p>
        </w:tc>
        <w:tc>
          <w:tcPr>
            <w:tcW w:w="1843" w:type="dxa"/>
            <w:vAlign w:val="center"/>
          </w:tcPr>
          <w:p>
            <w:pPr>
              <w:pStyle w:val="17"/>
            </w:pPr>
            <w:r>
              <w:t>根据合同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121.中小河流治理项目绩效目标表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13062323P00006710002G</w:t>
            </w:r>
          </w:p>
        </w:tc>
        <w:tc>
          <w:tcPr>
            <w:tcW w:w="1587" w:type="dxa"/>
            <w:vAlign w:val="center"/>
          </w:tcPr>
          <w:p>
            <w:pPr>
              <w:pStyle w:val="15"/>
            </w:pPr>
            <w:r>
              <w:t>项目名称</w:t>
            </w:r>
          </w:p>
        </w:tc>
        <w:tc>
          <w:tcPr>
            <w:tcW w:w="4422" w:type="dxa"/>
            <w:gridSpan w:val="3"/>
            <w:vAlign w:val="center"/>
          </w:tcPr>
          <w:p>
            <w:pPr>
              <w:pStyle w:val="17"/>
            </w:pPr>
            <w:r>
              <w:t>中小河流治理项目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146.13</w:t>
            </w:r>
          </w:p>
        </w:tc>
        <w:tc>
          <w:tcPr>
            <w:tcW w:w="1587" w:type="dxa"/>
            <w:vAlign w:val="center"/>
          </w:tcPr>
          <w:p>
            <w:pPr>
              <w:pStyle w:val="15"/>
            </w:pPr>
            <w:r>
              <w:t>其中：财政    资金</w:t>
            </w:r>
          </w:p>
        </w:tc>
        <w:tc>
          <w:tcPr>
            <w:tcW w:w="1304" w:type="dxa"/>
            <w:vAlign w:val="center"/>
          </w:tcPr>
          <w:p>
            <w:pPr>
              <w:pStyle w:val="17"/>
            </w:pPr>
            <w:r>
              <w:t>146.13</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根据省水利厅对我县未完工的项目督导要求，我县继续对拒马河满金峪至北庄段两岸干砌石网格和宾格网岸进行防护。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146.13</w:t>
            </w:r>
          </w:p>
        </w:tc>
        <w:tc>
          <w:tcPr>
            <w:tcW w:w="3118" w:type="dxa"/>
            <w:gridSpan w:val="2"/>
            <w:vAlign w:val="center"/>
          </w:tcPr>
          <w:p>
            <w:pPr>
              <w:pStyle w:val="18"/>
            </w:pPr>
            <w:r>
              <w:t>146.13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1.根据省水利厅对我县未完工的项目督导要求，我县继续对拒马河满金峪至北庄段两岸干砌石网格和宾格网岸进行防护。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河道治理数量</w:t>
            </w:r>
          </w:p>
        </w:tc>
        <w:tc>
          <w:tcPr>
            <w:tcW w:w="2891" w:type="dxa"/>
            <w:vAlign w:val="center"/>
          </w:tcPr>
          <w:p>
            <w:pPr>
              <w:pStyle w:val="17"/>
            </w:pPr>
            <w:r>
              <w:t>河道治理数量</w:t>
            </w:r>
          </w:p>
        </w:tc>
        <w:tc>
          <w:tcPr>
            <w:tcW w:w="1276" w:type="dxa"/>
            <w:vAlign w:val="center"/>
          </w:tcPr>
          <w:p>
            <w:pPr>
              <w:pStyle w:val="17"/>
            </w:pPr>
            <w:r>
              <w:t>1段</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项目完成及时率</w:t>
            </w:r>
          </w:p>
        </w:tc>
        <w:tc>
          <w:tcPr>
            <w:tcW w:w="2891" w:type="dxa"/>
            <w:vAlign w:val="center"/>
          </w:tcPr>
          <w:p>
            <w:pPr>
              <w:pStyle w:val="17"/>
            </w:pPr>
            <w:r>
              <w:t>项目完成及时率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≤146.13万元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岸线保有率</w:t>
            </w:r>
          </w:p>
        </w:tc>
        <w:tc>
          <w:tcPr>
            <w:tcW w:w="2891" w:type="dxa"/>
            <w:vAlign w:val="center"/>
          </w:tcPr>
          <w:p>
            <w:pPr>
              <w:pStyle w:val="17"/>
            </w:pPr>
            <w:r>
              <w:t>岸线保有率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122.住建局国土基金安排项目支出经费绩效目标表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13062323P00005910002L</w:t>
            </w:r>
          </w:p>
        </w:tc>
        <w:tc>
          <w:tcPr>
            <w:tcW w:w="1587" w:type="dxa"/>
            <w:vAlign w:val="center"/>
          </w:tcPr>
          <w:p>
            <w:pPr>
              <w:pStyle w:val="15"/>
            </w:pPr>
            <w:r>
              <w:t>项目名称</w:t>
            </w:r>
          </w:p>
        </w:tc>
        <w:tc>
          <w:tcPr>
            <w:tcW w:w="4422" w:type="dxa"/>
            <w:gridSpan w:val="3"/>
            <w:vAlign w:val="center"/>
          </w:tcPr>
          <w:p>
            <w:pPr>
              <w:pStyle w:val="17"/>
            </w:pPr>
            <w:r>
              <w:t>住建局国土基金安排项目支出经费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10806.00</w:t>
            </w:r>
          </w:p>
        </w:tc>
        <w:tc>
          <w:tcPr>
            <w:tcW w:w="1587" w:type="dxa"/>
            <w:vAlign w:val="center"/>
          </w:tcPr>
          <w:p>
            <w:pPr>
              <w:pStyle w:val="15"/>
            </w:pPr>
            <w:r>
              <w:t>其中：财政    资金</w:t>
            </w:r>
          </w:p>
        </w:tc>
        <w:tc>
          <w:tcPr>
            <w:tcW w:w="1304" w:type="dxa"/>
            <w:vAlign w:val="center"/>
          </w:tcPr>
          <w:p>
            <w:pPr>
              <w:pStyle w:val="17"/>
            </w:pPr>
            <w:r>
              <w:t>10806.00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使用国土基金安排城市建设项目支出经费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1.使用国土基金安排城市建设项目支出经费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城市建设项目数</w:t>
            </w:r>
          </w:p>
        </w:tc>
        <w:tc>
          <w:tcPr>
            <w:tcW w:w="2891" w:type="dxa"/>
            <w:vAlign w:val="center"/>
          </w:tcPr>
          <w:p>
            <w:pPr>
              <w:pStyle w:val="17"/>
            </w:pPr>
            <w:r>
              <w:t>城市建设项目数</w:t>
            </w:r>
          </w:p>
        </w:tc>
        <w:tc>
          <w:tcPr>
            <w:tcW w:w="1276" w:type="dxa"/>
            <w:vAlign w:val="center"/>
          </w:tcPr>
          <w:p>
            <w:pPr>
              <w:pStyle w:val="17"/>
            </w:pPr>
            <w:r>
              <w:t>≥20个</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项目建设完工率</w:t>
            </w:r>
          </w:p>
        </w:tc>
        <w:tc>
          <w:tcPr>
            <w:tcW w:w="2891" w:type="dxa"/>
            <w:vAlign w:val="center"/>
          </w:tcPr>
          <w:p>
            <w:pPr>
              <w:pStyle w:val="17"/>
            </w:pPr>
            <w:r>
              <w:t>项目建设完工率</w:t>
            </w:r>
          </w:p>
        </w:tc>
        <w:tc>
          <w:tcPr>
            <w:tcW w:w="1276" w:type="dxa"/>
            <w:vAlign w:val="center"/>
          </w:tcPr>
          <w:p>
            <w:pPr>
              <w:pStyle w:val="17"/>
            </w:pPr>
            <w:r>
              <w:t>≥95百分比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工程竣工及时率（%）</w:t>
            </w:r>
          </w:p>
        </w:tc>
        <w:tc>
          <w:tcPr>
            <w:tcW w:w="2891" w:type="dxa"/>
            <w:vAlign w:val="center"/>
          </w:tcPr>
          <w:p>
            <w:pPr>
              <w:pStyle w:val="17"/>
            </w:pPr>
            <w:r>
              <w:t>工程竣工及时率（%）</w:t>
            </w:r>
          </w:p>
        </w:tc>
        <w:tc>
          <w:tcPr>
            <w:tcW w:w="1276" w:type="dxa"/>
            <w:vAlign w:val="center"/>
          </w:tcPr>
          <w:p>
            <w:pPr>
              <w:pStyle w:val="17"/>
            </w:pPr>
            <w:r>
              <w:t>≥95百分比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年度预算数</w:t>
            </w:r>
          </w:p>
        </w:tc>
        <w:tc>
          <w:tcPr>
            <w:tcW w:w="2891" w:type="dxa"/>
            <w:vAlign w:val="center"/>
          </w:tcPr>
          <w:p>
            <w:pPr>
              <w:pStyle w:val="17"/>
            </w:pPr>
            <w:r>
              <w:t>年度预算数</w:t>
            </w:r>
          </w:p>
        </w:tc>
        <w:tc>
          <w:tcPr>
            <w:tcW w:w="1276" w:type="dxa"/>
            <w:vAlign w:val="center"/>
          </w:tcPr>
          <w:p>
            <w:pPr>
              <w:pStyle w:val="17"/>
            </w:pPr>
            <w:r>
              <w:t>10806万元</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≥90百分比</w:t>
            </w:r>
          </w:p>
        </w:tc>
        <w:tc>
          <w:tcPr>
            <w:tcW w:w="1843" w:type="dxa"/>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服务满意度</w:t>
            </w:r>
          </w:p>
        </w:tc>
        <w:tc>
          <w:tcPr>
            <w:tcW w:w="2891" w:type="dxa"/>
            <w:vAlign w:val="center"/>
          </w:tcPr>
          <w:p>
            <w:pPr>
              <w:pStyle w:val="17"/>
            </w:pPr>
            <w:r>
              <w:t>服务满意度</w:t>
            </w:r>
          </w:p>
        </w:tc>
        <w:tc>
          <w:tcPr>
            <w:tcW w:w="1276" w:type="dxa"/>
            <w:vAlign w:val="center"/>
          </w:tcPr>
          <w:p>
            <w:pPr>
              <w:pStyle w:val="17"/>
            </w:pPr>
            <w:r>
              <w:t>≥85百分比</w:t>
            </w:r>
          </w:p>
        </w:tc>
        <w:tc>
          <w:tcPr>
            <w:tcW w:w="1843" w:type="dxa"/>
            <w:vAlign w:val="center"/>
          </w:tcPr>
          <w:p>
            <w:pPr>
              <w:pStyle w:val="17"/>
            </w:pPr>
            <w:r>
              <w:t>工作方案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123.专职防火护林员、瞭望员工资及生态护林员保险费、购买简易装备费绩效目标表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13062323P00007610005W</w:t>
            </w:r>
          </w:p>
        </w:tc>
        <w:tc>
          <w:tcPr>
            <w:tcW w:w="1587" w:type="dxa"/>
            <w:vAlign w:val="center"/>
          </w:tcPr>
          <w:p>
            <w:pPr>
              <w:pStyle w:val="15"/>
            </w:pPr>
            <w:r>
              <w:t>项目名称</w:t>
            </w:r>
          </w:p>
        </w:tc>
        <w:tc>
          <w:tcPr>
            <w:tcW w:w="4422" w:type="dxa"/>
            <w:gridSpan w:val="3"/>
            <w:vAlign w:val="center"/>
          </w:tcPr>
          <w:p>
            <w:pPr>
              <w:pStyle w:val="17"/>
            </w:pPr>
            <w:r>
              <w:t>专职防火护林员、瞭望员工资及生态护林员保险费、购买简易装备费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59.28</w:t>
            </w:r>
          </w:p>
        </w:tc>
        <w:tc>
          <w:tcPr>
            <w:tcW w:w="1587" w:type="dxa"/>
            <w:vAlign w:val="center"/>
          </w:tcPr>
          <w:p>
            <w:pPr>
              <w:pStyle w:val="15"/>
            </w:pPr>
            <w:r>
              <w:t>其中：财政    资金</w:t>
            </w:r>
          </w:p>
        </w:tc>
        <w:tc>
          <w:tcPr>
            <w:tcW w:w="1304" w:type="dxa"/>
            <w:vAlign w:val="center"/>
          </w:tcPr>
          <w:p>
            <w:pPr>
              <w:pStyle w:val="17"/>
            </w:pPr>
            <w:r>
              <w:t>59.28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专职防火护林员、瞭望员工资及生态护林员保险费、购买简易装备费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59.28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1.目标内容1：专职防火护林员、瞭望员工资及生态护林员保险费、购买简易装备费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质量指标</w:t>
            </w:r>
          </w:p>
        </w:tc>
        <w:tc>
          <w:tcPr>
            <w:tcW w:w="1332" w:type="dxa"/>
            <w:vAlign w:val="center"/>
          </w:tcPr>
          <w:p>
            <w:pPr>
              <w:pStyle w:val="17"/>
            </w:pPr>
            <w:r>
              <w:t>生态护林补助兑现率（%））</w:t>
            </w:r>
          </w:p>
        </w:tc>
        <w:tc>
          <w:tcPr>
            <w:tcW w:w="2891" w:type="dxa"/>
            <w:vAlign w:val="center"/>
          </w:tcPr>
          <w:p>
            <w:pPr>
              <w:pStyle w:val="17"/>
            </w:pPr>
            <w:r>
              <w:t>生态护林补助兑现率（%））</w:t>
            </w:r>
          </w:p>
        </w:tc>
        <w:tc>
          <w:tcPr>
            <w:tcW w:w="1276" w:type="dxa"/>
            <w:vAlign w:val="center"/>
          </w:tcPr>
          <w:p>
            <w:pPr>
              <w:pStyle w:val="17"/>
            </w:pPr>
            <w:r>
              <w:t>100百分比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森林管护当期任务完成率</w:t>
            </w:r>
          </w:p>
        </w:tc>
        <w:tc>
          <w:tcPr>
            <w:tcW w:w="2891" w:type="dxa"/>
            <w:vAlign w:val="center"/>
          </w:tcPr>
          <w:p>
            <w:pPr>
              <w:pStyle w:val="17"/>
            </w:pPr>
            <w:r>
              <w:t>森林管护当期任务完成率</w:t>
            </w:r>
          </w:p>
        </w:tc>
        <w:tc>
          <w:tcPr>
            <w:tcW w:w="1276" w:type="dxa"/>
            <w:vAlign w:val="center"/>
          </w:tcPr>
          <w:p>
            <w:pPr>
              <w:pStyle w:val="17"/>
            </w:pPr>
            <w:r>
              <w:t>≥95百分比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数量指标</w:t>
            </w:r>
          </w:p>
        </w:tc>
        <w:tc>
          <w:tcPr>
            <w:tcW w:w="1332" w:type="dxa"/>
            <w:vAlign w:val="center"/>
          </w:tcPr>
          <w:p>
            <w:pPr>
              <w:pStyle w:val="17"/>
            </w:pPr>
            <w:r>
              <w:t>聘用生态护林员人员（人）</w:t>
            </w:r>
          </w:p>
        </w:tc>
        <w:tc>
          <w:tcPr>
            <w:tcW w:w="2891" w:type="dxa"/>
            <w:vAlign w:val="center"/>
          </w:tcPr>
          <w:p>
            <w:pPr>
              <w:pStyle w:val="17"/>
            </w:pPr>
            <w:r>
              <w:t>聘用生态护林员人员（人）</w:t>
            </w:r>
          </w:p>
        </w:tc>
        <w:tc>
          <w:tcPr>
            <w:tcW w:w="1276" w:type="dxa"/>
            <w:vAlign w:val="center"/>
          </w:tcPr>
          <w:p>
            <w:pPr>
              <w:pStyle w:val="17"/>
            </w:pPr>
            <w:r>
              <w:t>专职防火护林员338名、瞭望员10名、生态护林员160名</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≥80百分比</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 xml:space="preserve">持续发挥生态作用  </w:t>
            </w:r>
          </w:p>
        </w:tc>
        <w:tc>
          <w:tcPr>
            <w:tcW w:w="2891" w:type="dxa"/>
            <w:vAlign w:val="center"/>
          </w:tcPr>
          <w:p>
            <w:pPr>
              <w:pStyle w:val="17"/>
            </w:pPr>
            <w:r>
              <w:t xml:space="preserve">持续发挥生态作用  </w:t>
            </w:r>
          </w:p>
        </w:tc>
        <w:tc>
          <w:tcPr>
            <w:tcW w:w="1276" w:type="dxa"/>
            <w:vAlign w:val="center"/>
          </w:tcPr>
          <w:p>
            <w:pPr>
              <w:pStyle w:val="17"/>
            </w:pPr>
            <w:r>
              <w:t>显著</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 xml:space="preserve">森林生态效益发挥  </w:t>
            </w:r>
          </w:p>
        </w:tc>
        <w:tc>
          <w:tcPr>
            <w:tcW w:w="2891" w:type="dxa"/>
            <w:vAlign w:val="center"/>
          </w:tcPr>
          <w:p>
            <w:pPr>
              <w:pStyle w:val="17"/>
            </w:pPr>
            <w:r>
              <w:t xml:space="preserve">森林生态效益发挥  </w:t>
            </w:r>
          </w:p>
        </w:tc>
        <w:tc>
          <w:tcPr>
            <w:tcW w:w="1276" w:type="dxa"/>
            <w:vAlign w:val="center"/>
          </w:tcPr>
          <w:p>
            <w:pPr>
              <w:pStyle w:val="17"/>
            </w:pPr>
            <w:r>
              <w:t>明显</w:t>
            </w:r>
          </w:p>
        </w:tc>
        <w:tc>
          <w:tcPr>
            <w:tcW w:w="1843" w:type="dxa"/>
            <w:vAlign w:val="center"/>
          </w:tcPr>
          <w:p>
            <w:pPr>
              <w:pStyle w:val="17"/>
            </w:pPr>
            <w:r>
              <w:t>依据实施方案</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周边群众满意度（%）</w:t>
            </w:r>
          </w:p>
        </w:tc>
        <w:tc>
          <w:tcPr>
            <w:tcW w:w="2891" w:type="dxa"/>
            <w:vAlign w:val="center"/>
          </w:tcPr>
          <w:p>
            <w:pPr>
              <w:pStyle w:val="17"/>
            </w:pPr>
            <w:r>
              <w:t>周边群众满意度（%）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124.涞水高速及县道两侧绿化带土地流转费绩效目标表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13062323P000077100014</w:t>
            </w:r>
          </w:p>
        </w:tc>
        <w:tc>
          <w:tcPr>
            <w:tcW w:w="1587" w:type="dxa"/>
            <w:vAlign w:val="center"/>
          </w:tcPr>
          <w:p>
            <w:pPr>
              <w:pStyle w:val="15"/>
            </w:pPr>
            <w:r>
              <w:t>项目名称</w:t>
            </w:r>
          </w:p>
        </w:tc>
        <w:tc>
          <w:tcPr>
            <w:tcW w:w="4422" w:type="dxa"/>
            <w:gridSpan w:val="3"/>
            <w:vAlign w:val="center"/>
          </w:tcPr>
          <w:p>
            <w:pPr>
              <w:pStyle w:val="17"/>
            </w:pPr>
            <w:r>
              <w:t>涞水高速及县道两侧绿化带土地流转费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2560.49</w:t>
            </w:r>
          </w:p>
        </w:tc>
        <w:tc>
          <w:tcPr>
            <w:tcW w:w="1587" w:type="dxa"/>
            <w:vAlign w:val="center"/>
          </w:tcPr>
          <w:p>
            <w:pPr>
              <w:pStyle w:val="15"/>
            </w:pPr>
            <w:r>
              <w:t>其中：财政    资金</w:t>
            </w:r>
          </w:p>
        </w:tc>
        <w:tc>
          <w:tcPr>
            <w:tcW w:w="1304" w:type="dxa"/>
            <w:vAlign w:val="center"/>
          </w:tcPr>
          <w:p>
            <w:pPr>
              <w:pStyle w:val="17"/>
            </w:pPr>
            <w:r>
              <w:t>2560.49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涞水高速及县道两侧绿化带土地流转费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2560.49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1.目标内容1涞水高速及县道两侧绿化带土地流转费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土地流转费</w:t>
            </w:r>
          </w:p>
        </w:tc>
        <w:tc>
          <w:tcPr>
            <w:tcW w:w="2891" w:type="dxa"/>
            <w:vAlign w:val="center"/>
          </w:tcPr>
          <w:p>
            <w:pPr>
              <w:pStyle w:val="17"/>
            </w:pPr>
            <w:r>
              <w:t>土地流转费</w:t>
            </w:r>
          </w:p>
        </w:tc>
        <w:tc>
          <w:tcPr>
            <w:tcW w:w="1276" w:type="dxa"/>
            <w:vAlign w:val="center"/>
          </w:tcPr>
          <w:p>
            <w:pPr>
              <w:pStyle w:val="17"/>
            </w:pPr>
            <w:r>
              <w:t>≤2560.49万元</w:t>
            </w:r>
          </w:p>
        </w:tc>
        <w:tc>
          <w:tcPr>
            <w:tcW w:w="1843" w:type="dxa"/>
            <w:vAlign w:val="center"/>
          </w:tcPr>
          <w:p>
            <w:pPr>
              <w:pStyle w:val="17"/>
            </w:pPr>
            <w:r>
              <w:t>土地流转合同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面积</w:t>
            </w:r>
          </w:p>
        </w:tc>
        <w:tc>
          <w:tcPr>
            <w:tcW w:w="2891" w:type="dxa"/>
            <w:vAlign w:val="center"/>
          </w:tcPr>
          <w:p>
            <w:pPr>
              <w:pStyle w:val="17"/>
            </w:pPr>
            <w:r>
              <w:t>土地流转面积</w:t>
            </w:r>
          </w:p>
        </w:tc>
        <w:tc>
          <w:tcPr>
            <w:tcW w:w="1276" w:type="dxa"/>
            <w:vAlign w:val="center"/>
          </w:tcPr>
          <w:p>
            <w:pPr>
              <w:pStyle w:val="17"/>
            </w:pPr>
            <w:r>
              <w:t>20450.60161亩</w:t>
            </w:r>
          </w:p>
        </w:tc>
        <w:tc>
          <w:tcPr>
            <w:tcW w:w="1843" w:type="dxa"/>
            <w:vAlign w:val="center"/>
          </w:tcPr>
          <w:p>
            <w:pPr>
              <w:pStyle w:val="17"/>
            </w:pPr>
            <w:r>
              <w:t>土地流转合同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年度</w:t>
            </w:r>
          </w:p>
        </w:tc>
        <w:tc>
          <w:tcPr>
            <w:tcW w:w="2891" w:type="dxa"/>
            <w:vAlign w:val="center"/>
          </w:tcPr>
          <w:p>
            <w:pPr>
              <w:pStyle w:val="17"/>
            </w:pPr>
            <w:r>
              <w:t>2023年</w:t>
            </w:r>
          </w:p>
        </w:tc>
        <w:tc>
          <w:tcPr>
            <w:tcW w:w="1276" w:type="dxa"/>
            <w:vAlign w:val="center"/>
          </w:tcPr>
          <w:p>
            <w:pPr>
              <w:pStyle w:val="17"/>
            </w:pPr>
            <w:r>
              <w:t>≥80百分比</w:t>
            </w:r>
          </w:p>
        </w:tc>
        <w:tc>
          <w:tcPr>
            <w:tcW w:w="1843" w:type="dxa"/>
            <w:vAlign w:val="center"/>
          </w:tcPr>
          <w:p>
            <w:pPr>
              <w:pStyle w:val="17"/>
            </w:pPr>
            <w:r>
              <w:t>土地流转合同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每亩土地流转费用</w:t>
            </w:r>
          </w:p>
        </w:tc>
        <w:tc>
          <w:tcPr>
            <w:tcW w:w="2891" w:type="dxa"/>
            <w:vAlign w:val="center"/>
          </w:tcPr>
          <w:p>
            <w:pPr>
              <w:pStyle w:val="17"/>
            </w:pPr>
            <w:r>
              <w:t>每亩土地流转费用</w:t>
            </w:r>
          </w:p>
        </w:tc>
        <w:tc>
          <w:tcPr>
            <w:tcW w:w="1276" w:type="dxa"/>
            <w:vAlign w:val="center"/>
          </w:tcPr>
          <w:p>
            <w:pPr>
              <w:pStyle w:val="17"/>
            </w:pPr>
            <w:r>
              <w:t>1500元</w:t>
            </w:r>
          </w:p>
        </w:tc>
        <w:tc>
          <w:tcPr>
            <w:tcW w:w="1843" w:type="dxa"/>
            <w:vAlign w:val="center"/>
          </w:tcPr>
          <w:p>
            <w:pPr>
              <w:pStyle w:val="17"/>
            </w:pPr>
            <w:r>
              <w:t>土地流转合同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群众收入</w:t>
            </w:r>
          </w:p>
        </w:tc>
        <w:tc>
          <w:tcPr>
            <w:tcW w:w="2891" w:type="dxa"/>
            <w:vAlign w:val="center"/>
          </w:tcPr>
          <w:p>
            <w:pPr>
              <w:pStyle w:val="17"/>
            </w:pPr>
            <w:r>
              <w:t>每年项目区群众增加收入</w:t>
            </w:r>
          </w:p>
        </w:tc>
        <w:tc>
          <w:tcPr>
            <w:tcW w:w="1276" w:type="dxa"/>
            <w:vAlign w:val="center"/>
          </w:tcPr>
          <w:p>
            <w:pPr>
              <w:pStyle w:val="17"/>
            </w:pPr>
            <w:r>
              <w:t>≤2560.49元</w:t>
            </w:r>
          </w:p>
        </w:tc>
        <w:tc>
          <w:tcPr>
            <w:tcW w:w="1843" w:type="dxa"/>
            <w:vAlign w:val="center"/>
          </w:tcPr>
          <w:p>
            <w:pPr>
              <w:pStyle w:val="17"/>
            </w:pPr>
            <w:r>
              <w:t>土地流转合同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生态环境</w:t>
            </w:r>
          </w:p>
        </w:tc>
        <w:tc>
          <w:tcPr>
            <w:tcW w:w="2891" w:type="dxa"/>
            <w:vAlign w:val="center"/>
          </w:tcPr>
          <w:p>
            <w:pPr>
              <w:pStyle w:val="17"/>
            </w:pPr>
            <w:r>
              <w:t>改善当地人居生态环境</w:t>
            </w:r>
          </w:p>
        </w:tc>
        <w:tc>
          <w:tcPr>
            <w:tcW w:w="1276" w:type="dxa"/>
            <w:vAlign w:val="center"/>
          </w:tcPr>
          <w:p>
            <w:pPr>
              <w:pStyle w:val="17"/>
            </w:pPr>
            <w:r>
              <w:t>≥80百分比</w:t>
            </w:r>
          </w:p>
        </w:tc>
        <w:tc>
          <w:tcPr>
            <w:tcW w:w="1843" w:type="dxa"/>
            <w:vAlign w:val="center"/>
          </w:tcPr>
          <w:p>
            <w:pPr>
              <w:pStyle w:val="17"/>
            </w:pPr>
            <w:r>
              <w:t>土地流转合同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土地流转合同</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125.涞水花卉产业园10KV、0.4KV电力迁改项目及35KV电力迁改工程资金绩效目标表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13062323P009408100267</w:t>
            </w:r>
          </w:p>
        </w:tc>
        <w:tc>
          <w:tcPr>
            <w:tcW w:w="1587" w:type="dxa"/>
            <w:vAlign w:val="center"/>
          </w:tcPr>
          <w:p>
            <w:pPr>
              <w:pStyle w:val="15"/>
            </w:pPr>
            <w:r>
              <w:t>项目名称</w:t>
            </w:r>
          </w:p>
        </w:tc>
        <w:tc>
          <w:tcPr>
            <w:tcW w:w="4422" w:type="dxa"/>
            <w:gridSpan w:val="3"/>
            <w:vAlign w:val="center"/>
          </w:tcPr>
          <w:p>
            <w:pPr>
              <w:pStyle w:val="17"/>
            </w:pPr>
            <w:r>
              <w:t>涞水花卉产业园10KV、0.4KV电力迁改项目及35KV电力迁改工程资金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w:t>
            </w:r>
          </w:p>
        </w:tc>
        <w:tc>
          <w:tcPr>
            <w:tcW w:w="1587" w:type="dxa"/>
            <w:vAlign w:val="center"/>
          </w:tcPr>
          <w:p>
            <w:pPr>
              <w:pStyle w:val="15"/>
            </w:pPr>
            <w:r>
              <w:t>其中：财政    资金</w:t>
            </w:r>
          </w:p>
        </w:tc>
        <w:tc>
          <w:tcPr>
            <w:tcW w:w="1304" w:type="dxa"/>
            <w:vAlign w:val="center"/>
          </w:tcPr>
          <w:p>
            <w:pPr>
              <w:pStyle w:val="17"/>
            </w:pPr>
            <w:r>
              <w:t>500.00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涞水花卉产业园10KV、0.4KV电力迁改项目及35KV电力迁改工程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125.00</w:t>
            </w:r>
          </w:p>
        </w:tc>
        <w:tc>
          <w:tcPr>
            <w:tcW w:w="1587" w:type="dxa"/>
            <w:vAlign w:val="center"/>
          </w:tcPr>
          <w:p>
            <w:pPr>
              <w:pStyle w:val="18"/>
            </w:pPr>
            <w:r>
              <w:t>250.00</w:t>
            </w:r>
          </w:p>
        </w:tc>
        <w:tc>
          <w:tcPr>
            <w:tcW w:w="1304" w:type="dxa"/>
            <w:vAlign w:val="center"/>
          </w:tcPr>
          <w:p>
            <w:pPr>
              <w:pStyle w:val="18"/>
            </w:pPr>
            <w:r>
              <w:t>375.00</w:t>
            </w:r>
          </w:p>
        </w:tc>
        <w:tc>
          <w:tcPr>
            <w:tcW w:w="3118" w:type="dxa"/>
            <w:gridSpan w:val="2"/>
            <w:vAlign w:val="center"/>
          </w:tcPr>
          <w:p>
            <w:pPr>
              <w:pStyle w:val="18"/>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1.涞水花卉产业园10KV、0.4KV电力迁改项目及35KV电力迁改工程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电力迁改工程</w:t>
            </w:r>
          </w:p>
        </w:tc>
        <w:tc>
          <w:tcPr>
            <w:tcW w:w="2891" w:type="dxa"/>
            <w:vAlign w:val="center"/>
          </w:tcPr>
          <w:p>
            <w:pPr>
              <w:pStyle w:val="17"/>
            </w:pPr>
            <w:r>
              <w:t>电力迁改工程量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126.涞水县2022年组卷报批建设用地项目.绩效目标表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13062323P00007710005J</w:t>
            </w:r>
          </w:p>
        </w:tc>
        <w:tc>
          <w:tcPr>
            <w:tcW w:w="1587" w:type="dxa"/>
            <w:vAlign w:val="center"/>
          </w:tcPr>
          <w:p>
            <w:pPr>
              <w:pStyle w:val="15"/>
            </w:pPr>
            <w:r>
              <w:t>项目名称</w:t>
            </w:r>
          </w:p>
        </w:tc>
        <w:tc>
          <w:tcPr>
            <w:tcW w:w="4422" w:type="dxa"/>
            <w:gridSpan w:val="3"/>
            <w:vAlign w:val="center"/>
          </w:tcPr>
          <w:p>
            <w:pPr>
              <w:pStyle w:val="17"/>
            </w:pPr>
            <w:r>
              <w:t>涞水县2022年组卷报批建设用地项目.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60000.00</w:t>
            </w:r>
          </w:p>
        </w:tc>
        <w:tc>
          <w:tcPr>
            <w:tcW w:w="1587" w:type="dxa"/>
            <w:vAlign w:val="center"/>
          </w:tcPr>
          <w:p>
            <w:pPr>
              <w:pStyle w:val="15"/>
            </w:pPr>
            <w:r>
              <w:t>其中：财政    资金</w:t>
            </w:r>
          </w:p>
        </w:tc>
        <w:tc>
          <w:tcPr>
            <w:tcW w:w="1304" w:type="dxa"/>
            <w:vAlign w:val="center"/>
          </w:tcPr>
          <w:p>
            <w:pPr>
              <w:pStyle w:val="17"/>
            </w:pPr>
            <w:r>
              <w:t>60000.00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涞水县2022年组卷报批建设用地项目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80000.00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1.目标内容1：涞水县2022年组卷报批建设用地项目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土地市场动态监测率</w:t>
            </w:r>
          </w:p>
        </w:tc>
        <w:tc>
          <w:tcPr>
            <w:tcW w:w="2891" w:type="dxa"/>
            <w:vAlign w:val="center"/>
          </w:tcPr>
          <w:p>
            <w:pPr>
              <w:pStyle w:val="17"/>
            </w:pPr>
            <w:r>
              <w:t>土地市场动态监测率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项目验收通过率（%）</w:t>
            </w:r>
          </w:p>
        </w:tc>
        <w:tc>
          <w:tcPr>
            <w:tcW w:w="2891" w:type="dxa"/>
            <w:vAlign w:val="center"/>
          </w:tcPr>
          <w:p>
            <w:pPr>
              <w:pStyle w:val="17"/>
            </w:pPr>
            <w:r>
              <w:t>项目验收通过率（%）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各项任务完成及十率</w:t>
            </w:r>
          </w:p>
        </w:tc>
        <w:tc>
          <w:tcPr>
            <w:tcW w:w="2891" w:type="dxa"/>
            <w:vAlign w:val="center"/>
          </w:tcPr>
          <w:p>
            <w:pPr>
              <w:pStyle w:val="17"/>
            </w:pPr>
            <w:r>
              <w:t>各项任务完成及十率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资金有效使用率占全部资金的比率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总量平衡准确数据量占报备数据总量率</w:t>
            </w:r>
          </w:p>
        </w:tc>
        <w:tc>
          <w:tcPr>
            <w:tcW w:w="2891" w:type="dxa"/>
            <w:vAlign w:val="center"/>
          </w:tcPr>
          <w:p>
            <w:pPr>
              <w:pStyle w:val="17"/>
            </w:pPr>
            <w:r>
              <w:t>总量平衡准确数据量占报备数据总量率</w:t>
            </w:r>
          </w:p>
        </w:tc>
        <w:tc>
          <w:tcPr>
            <w:tcW w:w="1276" w:type="dxa"/>
            <w:vAlign w:val="center"/>
          </w:tcPr>
          <w:p>
            <w:pPr>
              <w:pStyle w:val="17"/>
            </w:pPr>
            <w:r>
              <w:t>≥80百分比</w:t>
            </w:r>
          </w:p>
        </w:tc>
        <w:tc>
          <w:tcPr>
            <w:tcW w:w="1843" w:type="dxa"/>
            <w:vAlign w:val="center"/>
          </w:tcPr>
          <w:p>
            <w:pPr>
              <w:pStyle w:val="17"/>
            </w:pPr>
            <w:r>
              <w:t>依据实施方案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≥80百分比</w:t>
            </w:r>
          </w:p>
        </w:tc>
        <w:tc>
          <w:tcPr>
            <w:tcW w:w="1843" w:type="dxa"/>
            <w:vAlign w:val="center"/>
          </w:tcPr>
          <w:p>
            <w:pPr>
              <w:pStyle w:val="17"/>
            </w:pPr>
            <w:r>
              <w:t>依据实施方案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127.涞水县城东组团控规及开发区南区控规调整费绩效目标表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13062323P00940810013G</w:t>
            </w:r>
          </w:p>
        </w:tc>
        <w:tc>
          <w:tcPr>
            <w:tcW w:w="1587" w:type="dxa"/>
            <w:vAlign w:val="center"/>
          </w:tcPr>
          <w:p>
            <w:pPr>
              <w:pStyle w:val="15"/>
            </w:pPr>
            <w:r>
              <w:t>项目名称</w:t>
            </w:r>
          </w:p>
        </w:tc>
        <w:tc>
          <w:tcPr>
            <w:tcW w:w="4422" w:type="dxa"/>
            <w:gridSpan w:val="3"/>
            <w:vAlign w:val="center"/>
          </w:tcPr>
          <w:p>
            <w:pPr>
              <w:pStyle w:val="17"/>
            </w:pPr>
            <w:r>
              <w:t>涞水县城东组团控规及开发区南区控规调整费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40.50</w:t>
            </w:r>
          </w:p>
        </w:tc>
        <w:tc>
          <w:tcPr>
            <w:tcW w:w="1587" w:type="dxa"/>
            <w:vAlign w:val="center"/>
          </w:tcPr>
          <w:p>
            <w:pPr>
              <w:pStyle w:val="15"/>
            </w:pPr>
            <w:r>
              <w:t>其中：财政    资金</w:t>
            </w:r>
          </w:p>
        </w:tc>
        <w:tc>
          <w:tcPr>
            <w:tcW w:w="1304" w:type="dxa"/>
            <w:vAlign w:val="center"/>
          </w:tcPr>
          <w:p>
            <w:pPr>
              <w:pStyle w:val="17"/>
            </w:pPr>
            <w:r>
              <w:t>40.50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涞水县城东组团控规及开发区南区控规调整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10.13</w:t>
            </w:r>
          </w:p>
        </w:tc>
        <w:tc>
          <w:tcPr>
            <w:tcW w:w="1587" w:type="dxa"/>
            <w:vAlign w:val="center"/>
          </w:tcPr>
          <w:p>
            <w:pPr>
              <w:pStyle w:val="18"/>
            </w:pPr>
            <w:r>
              <w:t>20.25</w:t>
            </w:r>
          </w:p>
        </w:tc>
        <w:tc>
          <w:tcPr>
            <w:tcW w:w="1304" w:type="dxa"/>
            <w:vAlign w:val="center"/>
          </w:tcPr>
          <w:p>
            <w:pPr>
              <w:pStyle w:val="18"/>
            </w:pPr>
            <w:r>
              <w:t>30.38</w:t>
            </w:r>
          </w:p>
        </w:tc>
        <w:tc>
          <w:tcPr>
            <w:tcW w:w="3118" w:type="dxa"/>
            <w:gridSpan w:val="2"/>
            <w:vAlign w:val="center"/>
          </w:tcPr>
          <w:p>
            <w:pPr>
              <w:pStyle w:val="18"/>
            </w:pPr>
            <w:r>
              <w:t>40.50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1.涞水县城东组团控规及开发区南区控规调整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出具调整方案</w:t>
            </w:r>
          </w:p>
        </w:tc>
        <w:tc>
          <w:tcPr>
            <w:tcW w:w="2891" w:type="dxa"/>
            <w:vAlign w:val="center"/>
          </w:tcPr>
          <w:p>
            <w:pPr>
              <w:pStyle w:val="17"/>
            </w:pPr>
            <w:r>
              <w:t>出具调整方案</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资金支付率</w:t>
            </w:r>
          </w:p>
        </w:tc>
        <w:tc>
          <w:tcPr>
            <w:tcW w:w="2891" w:type="dxa"/>
            <w:vAlign w:val="center"/>
          </w:tcPr>
          <w:p>
            <w:pPr>
              <w:pStyle w:val="17"/>
            </w:pPr>
            <w:r>
              <w:t>资金支付率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满足生态环保要求</w:t>
            </w:r>
          </w:p>
        </w:tc>
        <w:tc>
          <w:tcPr>
            <w:tcW w:w="2891" w:type="dxa"/>
            <w:vAlign w:val="center"/>
          </w:tcPr>
          <w:p>
            <w:pPr>
              <w:pStyle w:val="17"/>
            </w:pPr>
            <w:r>
              <w:t>满足生态环保要求</w:t>
            </w:r>
          </w:p>
        </w:tc>
        <w:tc>
          <w:tcPr>
            <w:tcW w:w="1276" w:type="dxa"/>
            <w:vAlign w:val="center"/>
          </w:tcPr>
          <w:p>
            <w:pPr>
              <w:pStyle w:val="17"/>
            </w:pPr>
            <w:r>
              <w:t>满足生态环保的要求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128.涞水县河道保护与利用、治理规划方案编制经费绩效目标表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13062323P000069100018</w:t>
            </w:r>
          </w:p>
        </w:tc>
        <w:tc>
          <w:tcPr>
            <w:tcW w:w="1587" w:type="dxa"/>
            <w:vAlign w:val="center"/>
          </w:tcPr>
          <w:p>
            <w:pPr>
              <w:pStyle w:val="15"/>
            </w:pPr>
            <w:r>
              <w:t>项目名称</w:t>
            </w:r>
          </w:p>
        </w:tc>
        <w:tc>
          <w:tcPr>
            <w:tcW w:w="4422" w:type="dxa"/>
            <w:gridSpan w:val="3"/>
            <w:vAlign w:val="center"/>
          </w:tcPr>
          <w:p>
            <w:pPr>
              <w:pStyle w:val="17"/>
            </w:pPr>
            <w:r>
              <w:t>涞水县河道保护与利用、治理规划方案编制经费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根据河北省水利厅印发的冀水河湖【2021】12号文件要求，我县需编制《河道保护和治理及河湖岸线保护与利用规划方案》。</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30.00</w:t>
            </w:r>
          </w:p>
        </w:tc>
        <w:tc>
          <w:tcPr>
            <w:tcW w:w="3118" w:type="dxa"/>
            <w:gridSpan w:val="2"/>
            <w:vAlign w:val="center"/>
          </w:tcPr>
          <w:p>
            <w:pPr>
              <w:pStyle w:val="18"/>
            </w:pPr>
            <w:r>
              <w:t>30.00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1.根据河北省水利厅印发的冀水河湖【2021】12号文件要求，我县需编制《河道保护和治理及河湖岸线保护与利用规划方案》。</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规划方案编制数量</w:t>
            </w:r>
          </w:p>
        </w:tc>
        <w:tc>
          <w:tcPr>
            <w:tcW w:w="2891" w:type="dxa"/>
            <w:vAlign w:val="center"/>
          </w:tcPr>
          <w:p>
            <w:pPr>
              <w:pStyle w:val="17"/>
            </w:pPr>
            <w:r>
              <w:t>规划方案编制数量</w:t>
            </w:r>
          </w:p>
        </w:tc>
        <w:tc>
          <w:tcPr>
            <w:tcW w:w="1276" w:type="dxa"/>
            <w:vAlign w:val="center"/>
          </w:tcPr>
          <w:p>
            <w:pPr>
              <w:pStyle w:val="17"/>
            </w:pPr>
            <w:r>
              <w:t>≥2册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编制方案工作完成率</w:t>
            </w:r>
          </w:p>
        </w:tc>
        <w:tc>
          <w:tcPr>
            <w:tcW w:w="2891" w:type="dxa"/>
            <w:vAlign w:val="center"/>
          </w:tcPr>
          <w:p>
            <w:pPr>
              <w:pStyle w:val="17"/>
            </w:pPr>
            <w:r>
              <w:t>编制方案工作完成率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编制报告及时率</w:t>
            </w:r>
          </w:p>
        </w:tc>
        <w:tc>
          <w:tcPr>
            <w:tcW w:w="2891" w:type="dxa"/>
            <w:vAlign w:val="center"/>
          </w:tcPr>
          <w:p>
            <w:pPr>
              <w:pStyle w:val="17"/>
            </w:pPr>
            <w:r>
              <w:t>编制报告及时率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≤30万元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岸线保有率</w:t>
            </w:r>
          </w:p>
        </w:tc>
        <w:tc>
          <w:tcPr>
            <w:tcW w:w="2891" w:type="dxa"/>
            <w:vAlign w:val="center"/>
          </w:tcPr>
          <w:p>
            <w:pPr>
              <w:pStyle w:val="17"/>
            </w:pPr>
            <w:r>
              <w:t>岸线保有率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129.涞水县南拒马河生态补水项目可行性研究报告编制费绩效目标表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13062323P000073100021</w:t>
            </w:r>
          </w:p>
        </w:tc>
        <w:tc>
          <w:tcPr>
            <w:tcW w:w="1587" w:type="dxa"/>
            <w:vAlign w:val="center"/>
          </w:tcPr>
          <w:p>
            <w:pPr>
              <w:pStyle w:val="15"/>
            </w:pPr>
            <w:r>
              <w:t>项目名称</w:t>
            </w:r>
          </w:p>
        </w:tc>
        <w:tc>
          <w:tcPr>
            <w:tcW w:w="4422" w:type="dxa"/>
            <w:gridSpan w:val="3"/>
            <w:vAlign w:val="center"/>
          </w:tcPr>
          <w:p>
            <w:pPr>
              <w:pStyle w:val="17"/>
            </w:pPr>
            <w:r>
              <w:t>涞水县南拒马河生态补水项目可行性研究报告编制费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w:t>
            </w:r>
          </w:p>
        </w:tc>
        <w:tc>
          <w:tcPr>
            <w:tcW w:w="1587" w:type="dxa"/>
            <w:vAlign w:val="center"/>
          </w:tcPr>
          <w:p>
            <w:pPr>
              <w:pStyle w:val="15"/>
            </w:pPr>
            <w:r>
              <w:t>其中：财政    资金</w:t>
            </w:r>
          </w:p>
        </w:tc>
        <w:tc>
          <w:tcPr>
            <w:tcW w:w="1304" w:type="dxa"/>
            <w:vAlign w:val="center"/>
          </w:tcPr>
          <w:p>
            <w:pPr>
              <w:pStyle w:val="17"/>
            </w:pPr>
            <w:r>
              <w:t>20.00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根据我县规划，计划对涞水县南拒马河进行生态补水，需编制该项目可研报告。</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20.00</w:t>
            </w:r>
          </w:p>
        </w:tc>
        <w:tc>
          <w:tcPr>
            <w:tcW w:w="3118" w:type="dxa"/>
            <w:gridSpan w:val="2"/>
            <w:vAlign w:val="center"/>
          </w:tcPr>
          <w:p>
            <w:pPr>
              <w:pStyle w:val="18"/>
            </w:pPr>
            <w:r>
              <w:t>20.00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1.根据我县规划，计划对涞水县南拒马河进行生态补水，需编制该项目可研报告。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编制报告数量</w:t>
            </w:r>
          </w:p>
        </w:tc>
        <w:tc>
          <w:tcPr>
            <w:tcW w:w="2891" w:type="dxa"/>
            <w:vAlign w:val="center"/>
          </w:tcPr>
          <w:p>
            <w:pPr>
              <w:pStyle w:val="17"/>
            </w:pPr>
            <w:r>
              <w:t>编制报告数量</w:t>
            </w:r>
          </w:p>
        </w:tc>
        <w:tc>
          <w:tcPr>
            <w:tcW w:w="1276" w:type="dxa"/>
            <w:vAlign w:val="center"/>
          </w:tcPr>
          <w:p>
            <w:pPr>
              <w:pStyle w:val="17"/>
            </w:pPr>
            <w:r>
              <w:t>≥2册</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编制工作完成率</w:t>
            </w:r>
          </w:p>
        </w:tc>
        <w:tc>
          <w:tcPr>
            <w:tcW w:w="2891" w:type="dxa"/>
            <w:vAlign w:val="center"/>
          </w:tcPr>
          <w:p>
            <w:pPr>
              <w:pStyle w:val="17"/>
            </w:pPr>
            <w:r>
              <w:t>编制工作完成率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编制报告及时率</w:t>
            </w:r>
          </w:p>
        </w:tc>
        <w:tc>
          <w:tcPr>
            <w:tcW w:w="2891" w:type="dxa"/>
            <w:vAlign w:val="center"/>
          </w:tcPr>
          <w:p>
            <w:pPr>
              <w:pStyle w:val="17"/>
            </w:pPr>
            <w:r>
              <w:t>编制报告及时率</w:t>
            </w:r>
          </w:p>
        </w:tc>
        <w:tc>
          <w:tcPr>
            <w:tcW w:w="1276" w:type="dxa"/>
            <w:vAlign w:val="center"/>
          </w:tcPr>
          <w:p>
            <w:pPr>
              <w:pStyle w:val="17"/>
            </w:pPr>
            <w:r>
              <w:t>≥90%</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资金成本</w:t>
            </w:r>
          </w:p>
        </w:tc>
        <w:tc>
          <w:tcPr>
            <w:tcW w:w="1276" w:type="dxa"/>
            <w:vAlign w:val="center"/>
          </w:tcPr>
          <w:p>
            <w:pPr>
              <w:pStyle w:val="17"/>
            </w:pPr>
            <w:r>
              <w:t>≤20万元</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生态效益指标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改善生态环境质量</w:t>
            </w:r>
          </w:p>
        </w:tc>
        <w:tc>
          <w:tcPr>
            <w:tcW w:w="1843" w:type="dxa"/>
            <w:vAlign w:val="center"/>
          </w:tcPr>
          <w:p>
            <w:pPr>
              <w:pStyle w:val="17"/>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满意率</w:t>
            </w:r>
          </w:p>
        </w:tc>
        <w:tc>
          <w:tcPr>
            <w:tcW w:w="2891" w:type="dxa"/>
            <w:vAlign w:val="center"/>
          </w:tcPr>
          <w:p>
            <w:pPr>
              <w:pStyle w:val="17"/>
            </w:pPr>
            <w:r>
              <w:t>满意率</w:t>
            </w:r>
          </w:p>
        </w:tc>
        <w:tc>
          <w:tcPr>
            <w:tcW w:w="1276" w:type="dxa"/>
            <w:vAlign w:val="center"/>
          </w:tcPr>
          <w:p>
            <w:pPr>
              <w:pStyle w:val="17"/>
            </w:pPr>
            <w:r>
              <w:t>≥90%</w:t>
            </w:r>
          </w:p>
        </w:tc>
        <w:tc>
          <w:tcPr>
            <w:tcW w:w="1843" w:type="dxa"/>
            <w:vAlign w:val="center"/>
          </w:tcPr>
          <w:p>
            <w:pPr>
              <w:pStyle w:val="17"/>
            </w:pPr>
            <w:r>
              <w:t>实施方案</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130.涞水县智造园区及市政公用设施建设PPP项目资本金绩效目标表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13062323P00940810028E</w:t>
            </w:r>
          </w:p>
        </w:tc>
        <w:tc>
          <w:tcPr>
            <w:tcW w:w="1587" w:type="dxa"/>
            <w:vAlign w:val="center"/>
          </w:tcPr>
          <w:p>
            <w:pPr>
              <w:pStyle w:val="15"/>
            </w:pPr>
            <w:r>
              <w:t>项目名称</w:t>
            </w:r>
          </w:p>
        </w:tc>
        <w:tc>
          <w:tcPr>
            <w:tcW w:w="4422" w:type="dxa"/>
            <w:gridSpan w:val="3"/>
            <w:vAlign w:val="center"/>
          </w:tcPr>
          <w:p>
            <w:pPr>
              <w:pStyle w:val="17"/>
            </w:pPr>
            <w:r>
              <w:t>涞水县智造园区及市政公用设施建设PPP项目资本金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500.00</w:t>
            </w:r>
          </w:p>
        </w:tc>
        <w:tc>
          <w:tcPr>
            <w:tcW w:w="1587" w:type="dxa"/>
            <w:vAlign w:val="center"/>
          </w:tcPr>
          <w:p>
            <w:pPr>
              <w:pStyle w:val="15"/>
            </w:pPr>
            <w:r>
              <w:t>其中：财政    资金</w:t>
            </w:r>
          </w:p>
        </w:tc>
        <w:tc>
          <w:tcPr>
            <w:tcW w:w="1304" w:type="dxa"/>
            <w:vAlign w:val="center"/>
          </w:tcPr>
          <w:p>
            <w:pPr>
              <w:pStyle w:val="17"/>
            </w:pPr>
            <w:r>
              <w:t>500.00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涞水县智造园区及市政公用设施建设PPP项目资本金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125.00</w:t>
            </w:r>
          </w:p>
        </w:tc>
        <w:tc>
          <w:tcPr>
            <w:tcW w:w="1587" w:type="dxa"/>
            <w:vAlign w:val="center"/>
          </w:tcPr>
          <w:p>
            <w:pPr>
              <w:pStyle w:val="18"/>
            </w:pPr>
            <w:r>
              <w:t>250.00</w:t>
            </w:r>
          </w:p>
        </w:tc>
        <w:tc>
          <w:tcPr>
            <w:tcW w:w="1304" w:type="dxa"/>
            <w:vAlign w:val="center"/>
          </w:tcPr>
          <w:p>
            <w:pPr>
              <w:pStyle w:val="18"/>
            </w:pPr>
            <w:r>
              <w:t>375.00</w:t>
            </w:r>
          </w:p>
        </w:tc>
        <w:tc>
          <w:tcPr>
            <w:tcW w:w="3118" w:type="dxa"/>
            <w:gridSpan w:val="2"/>
            <w:vAlign w:val="center"/>
          </w:tcPr>
          <w:p>
            <w:pPr>
              <w:pStyle w:val="18"/>
            </w:pPr>
            <w:r>
              <w:t>500.00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1.涞水县智造园区及市政公用设施建设PPP项目资本金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公用设施建设</w:t>
            </w:r>
          </w:p>
        </w:tc>
        <w:tc>
          <w:tcPr>
            <w:tcW w:w="2891" w:type="dxa"/>
            <w:vAlign w:val="center"/>
          </w:tcPr>
          <w:p>
            <w:pPr>
              <w:pStyle w:val="17"/>
            </w:pPr>
            <w:r>
              <w:t>公用设施建设</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工程质量</w:t>
            </w:r>
          </w:p>
        </w:tc>
        <w:tc>
          <w:tcPr>
            <w:tcW w:w="2891" w:type="dxa"/>
            <w:vAlign w:val="center"/>
          </w:tcPr>
          <w:p>
            <w:pPr>
              <w:pStyle w:val="17"/>
            </w:pPr>
            <w:r>
              <w:t>工程质量</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工程进度</w:t>
            </w:r>
          </w:p>
        </w:tc>
        <w:tc>
          <w:tcPr>
            <w:tcW w:w="2891" w:type="dxa"/>
            <w:vAlign w:val="center"/>
          </w:tcPr>
          <w:p>
            <w:pPr>
              <w:pStyle w:val="17"/>
            </w:pPr>
            <w:r>
              <w:t>工程进度</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经济效益提升</w:t>
            </w:r>
          </w:p>
        </w:tc>
        <w:tc>
          <w:tcPr>
            <w:tcW w:w="2891" w:type="dxa"/>
            <w:vAlign w:val="center"/>
          </w:tcPr>
          <w:p>
            <w:pPr>
              <w:pStyle w:val="17"/>
            </w:pPr>
            <w:r>
              <w:t>经济效益提升</w:t>
            </w:r>
          </w:p>
        </w:tc>
        <w:tc>
          <w:tcPr>
            <w:tcW w:w="1276" w:type="dxa"/>
            <w:vAlign w:val="center"/>
          </w:tcPr>
          <w:p>
            <w:pPr>
              <w:pStyle w:val="17"/>
            </w:pPr>
            <w:r>
              <w:t>≥95%</w:t>
            </w:r>
          </w:p>
        </w:tc>
        <w:tc>
          <w:tcPr>
            <w:tcW w:w="1843" w:type="dxa"/>
            <w:vAlign w:val="center"/>
          </w:tcPr>
          <w:p>
            <w:pPr>
              <w:pStyle w:val="17"/>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满意度</w:t>
            </w:r>
          </w:p>
        </w:tc>
        <w:tc>
          <w:tcPr>
            <w:tcW w:w="2891" w:type="dxa"/>
            <w:vAlign w:val="center"/>
          </w:tcPr>
          <w:p>
            <w:pPr>
              <w:pStyle w:val="17"/>
            </w:pPr>
            <w:r>
              <w:t>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131.涞水新城空气自动运维项目维护费绩效目标表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13062323P00940810010M</w:t>
            </w:r>
          </w:p>
        </w:tc>
        <w:tc>
          <w:tcPr>
            <w:tcW w:w="1587" w:type="dxa"/>
            <w:vAlign w:val="center"/>
          </w:tcPr>
          <w:p>
            <w:pPr>
              <w:pStyle w:val="15"/>
            </w:pPr>
            <w:r>
              <w:t>项目名称</w:t>
            </w:r>
          </w:p>
        </w:tc>
        <w:tc>
          <w:tcPr>
            <w:tcW w:w="4422" w:type="dxa"/>
            <w:gridSpan w:val="3"/>
            <w:vAlign w:val="center"/>
          </w:tcPr>
          <w:p>
            <w:pPr>
              <w:pStyle w:val="17"/>
            </w:pPr>
            <w:r>
              <w:t>涞水新城空气自动运维项目维护费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w:t>
            </w:r>
          </w:p>
        </w:tc>
        <w:tc>
          <w:tcPr>
            <w:tcW w:w="1587" w:type="dxa"/>
            <w:vAlign w:val="center"/>
          </w:tcPr>
          <w:p>
            <w:pPr>
              <w:pStyle w:val="15"/>
            </w:pPr>
            <w:r>
              <w:t>其中：财政    资金</w:t>
            </w:r>
          </w:p>
        </w:tc>
        <w:tc>
          <w:tcPr>
            <w:tcW w:w="1304" w:type="dxa"/>
            <w:vAlign w:val="center"/>
          </w:tcPr>
          <w:p>
            <w:pPr>
              <w:pStyle w:val="17"/>
            </w:pPr>
            <w:r>
              <w:t>16.00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涞水新城安装的控制质量自动检测系统长期可靠稳定运行，发挥仪器的最大效率</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4.00</w:t>
            </w:r>
          </w:p>
        </w:tc>
        <w:tc>
          <w:tcPr>
            <w:tcW w:w="1587" w:type="dxa"/>
            <w:vAlign w:val="center"/>
          </w:tcPr>
          <w:p>
            <w:pPr>
              <w:pStyle w:val="18"/>
            </w:pPr>
            <w:r>
              <w:t>8.00</w:t>
            </w:r>
          </w:p>
        </w:tc>
        <w:tc>
          <w:tcPr>
            <w:tcW w:w="1304" w:type="dxa"/>
            <w:vAlign w:val="center"/>
          </w:tcPr>
          <w:p>
            <w:pPr>
              <w:pStyle w:val="18"/>
            </w:pPr>
            <w:r>
              <w:t>12.00</w:t>
            </w:r>
          </w:p>
        </w:tc>
        <w:tc>
          <w:tcPr>
            <w:tcW w:w="3118" w:type="dxa"/>
            <w:gridSpan w:val="2"/>
            <w:vAlign w:val="center"/>
          </w:tcPr>
          <w:p>
            <w:pPr>
              <w:pStyle w:val="18"/>
            </w:pPr>
            <w:r>
              <w:t>16.00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1.涞水新城安装的控制质量自动检测系统长期可靠稳定运行，发挥仪器的最大效率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空气自动站系统数</w:t>
            </w:r>
          </w:p>
        </w:tc>
        <w:tc>
          <w:tcPr>
            <w:tcW w:w="2891" w:type="dxa"/>
            <w:vAlign w:val="center"/>
          </w:tcPr>
          <w:p>
            <w:pPr>
              <w:pStyle w:val="17"/>
            </w:pPr>
            <w:r>
              <w:t>空气质量自动检测系统的运营维护</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空气达标率</w:t>
            </w:r>
          </w:p>
        </w:tc>
        <w:tc>
          <w:tcPr>
            <w:tcW w:w="2891" w:type="dxa"/>
            <w:vAlign w:val="center"/>
          </w:tcPr>
          <w:p>
            <w:pPr>
              <w:pStyle w:val="17"/>
            </w:pPr>
            <w:r>
              <w:t>空气达标率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成本控制率</w:t>
            </w:r>
          </w:p>
        </w:tc>
        <w:tc>
          <w:tcPr>
            <w:tcW w:w="1276" w:type="dxa"/>
            <w:vAlign w:val="center"/>
          </w:tcPr>
          <w:p>
            <w:pPr>
              <w:pStyle w:val="17"/>
            </w:pPr>
            <w:r>
              <w:t>≥95%</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全年空气优良天数增长率（%）</w:t>
            </w:r>
          </w:p>
        </w:tc>
        <w:tc>
          <w:tcPr>
            <w:tcW w:w="2891" w:type="dxa"/>
            <w:vAlign w:val="center"/>
          </w:tcPr>
          <w:p>
            <w:pPr>
              <w:pStyle w:val="17"/>
            </w:pPr>
            <w:r>
              <w:t>全年空气优良天数同比增长率</w:t>
            </w:r>
          </w:p>
        </w:tc>
        <w:tc>
          <w:tcPr>
            <w:tcW w:w="1276" w:type="dxa"/>
            <w:vAlign w:val="center"/>
          </w:tcPr>
          <w:p>
            <w:pPr>
              <w:pStyle w:val="17"/>
            </w:pPr>
            <w:r>
              <w:t>满足生态环保的要求</w:t>
            </w:r>
          </w:p>
        </w:tc>
        <w:tc>
          <w:tcPr>
            <w:tcW w:w="1843" w:type="dxa"/>
            <w:vAlign w:val="center"/>
          </w:tcPr>
          <w:p>
            <w:pPr>
              <w:pStyle w:val="17"/>
            </w:pPr>
            <w:r>
              <w:t>依据文件</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对空气自动站运的整体满意度</w:t>
            </w:r>
          </w:p>
        </w:tc>
        <w:tc>
          <w:tcPr>
            <w:tcW w:w="1276" w:type="dxa"/>
            <w:vAlign w:val="center"/>
          </w:tcPr>
          <w:p>
            <w:pPr>
              <w:pStyle w:val="17"/>
            </w:pPr>
            <w:r>
              <w:t>≥95%</w:t>
            </w:r>
          </w:p>
        </w:tc>
        <w:tc>
          <w:tcPr>
            <w:tcW w:w="1843" w:type="dxa"/>
            <w:vAlign w:val="center"/>
          </w:tcPr>
          <w:p>
            <w:pPr>
              <w:pStyle w:val="17"/>
            </w:pPr>
            <w:r>
              <w:t>依据文件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132.涞水镇经济开发区南区征地补偿款绩效目标表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13062323P00940810038A</w:t>
            </w:r>
          </w:p>
        </w:tc>
        <w:tc>
          <w:tcPr>
            <w:tcW w:w="1587" w:type="dxa"/>
            <w:vAlign w:val="center"/>
          </w:tcPr>
          <w:p>
            <w:pPr>
              <w:pStyle w:val="15"/>
            </w:pPr>
            <w:r>
              <w:t>项目名称</w:t>
            </w:r>
          </w:p>
        </w:tc>
        <w:tc>
          <w:tcPr>
            <w:tcW w:w="4422" w:type="dxa"/>
            <w:gridSpan w:val="3"/>
            <w:vAlign w:val="center"/>
          </w:tcPr>
          <w:p>
            <w:pPr>
              <w:pStyle w:val="17"/>
            </w:pPr>
            <w:r>
              <w:t>涞水镇经济开发区南区征地补偿款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51.98</w:t>
            </w:r>
          </w:p>
        </w:tc>
        <w:tc>
          <w:tcPr>
            <w:tcW w:w="1587" w:type="dxa"/>
            <w:vAlign w:val="center"/>
          </w:tcPr>
          <w:p>
            <w:pPr>
              <w:pStyle w:val="15"/>
            </w:pPr>
            <w:r>
              <w:t>其中：财政    资金</w:t>
            </w:r>
          </w:p>
        </w:tc>
        <w:tc>
          <w:tcPr>
            <w:tcW w:w="1304" w:type="dxa"/>
            <w:vAlign w:val="center"/>
          </w:tcPr>
          <w:p>
            <w:pPr>
              <w:pStyle w:val="17"/>
            </w:pPr>
            <w:r>
              <w:t>51.98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经济开发区南区征地补偿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51.98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1.及时发放征地补偿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≥90百分比</w:t>
            </w:r>
          </w:p>
        </w:tc>
        <w:tc>
          <w:tcPr>
            <w:tcW w:w="1843"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≥90百分比</w:t>
            </w:r>
          </w:p>
        </w:tc>
        <w:tc>
          <w:tcPr>
            <w:tcW w:w="1843"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≤51.98万元</w:t>
            </w:r>
          </w:p>
        </w:tc>
        <w:tc>
          <w:tcPr>
            <w:tcW w:w="1843" w:type="dxa"/>
            <w:vAlign w:val="center"/>
          </w:tcPr>
          <w:p>
            <w:pPr>
              <w:pStyle w:val="17"/>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补贴发放率</w:t>
            </w:r>
          </w:p>
        </w:tc>
        <w:tc>
          <w:tcPr>
            <w:tcW w:w="2891" w:type="dxa"/>
            <w:vAlign w:val="center"/>
          </w:tcPr>
          <w:p>
            <w:pPr>
              <w:pStyle w:val="17"/>
            </w:pPr>
            <w:r>
              <w:t>征地补偿发放完成率</w:t>
            </w:r>
          </w:p>
        </w:tc>
        <w:tc>
          <w:tcPr>
            <w:tcW w:w="1276" w:type="dxa"/>
            <w:vAlign w:val="center"/>
          </w:tcPr>
          <w:p>
            <w:pPr>
              <w:pStyle w:val="17"/>
            </w:pPr>
            <w:r>
              <w:t>≥90百分比</w:t>
            </w:r>
          </w:p>
        </w:tc>
        <w:tc>
          <w:tcPr>
            <w:tcW w:w="1843" w:type="dxa"/>
            <w:vAlign w:val="center"/>
          </w:tcPr>
          <w:p>
            <w:pPr>
              <w:pStyle w:val="17"/>
            </w:pPr>
            <w:r>
              <w:t>县级文件</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133.涞水镇南郭下、北郭下占地遗留问题（第二次）绩效目标表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13062323P00940810034U</w:t>
            </w:r>
          </w:p>
        </w:tc>
        <w:tc>
          <w:tcPr>
            <w:tcW w:w="1587" w:type="dxa"/>
            <w:vAlign w:val="center"/>
          </w:tcPr>
          <w:p>
            <w:pPr>
              <w:pStyle w:val="15"/>
            </w:pPr>
            <w:r>
              <w:t>项目名称</w:t>
            </w:r>
          </w:p>
        </w:tc>
        <w:tc>
          <w:tcPr>
            <w:tcW w:w="4422" w:type="dxa"/>
            <w:gridSpan w:val="3"/>
            <w:vAlign w:val="center"/>
          </w:tcPr>
          <w:p>
            <w:pPr>
              <w:pStyle w:val="17"/>
            </w:pPr>
            <w:r>
              <w:t>涞水镇南郭下、北郭下占地遗留问题（第二次）</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158.16</w:t>
            </w:r>
          </w:p>
        </w:tc>
        <w:tc>
          <w:tcPr>
            <w:tcW w:w="1587" w:type="dxa"/>
            <w:vAlign w:val="center"/>
          </w:tcPr>
          <w:p>
            <w:pPr>
              <w:pStyle w:val="15"/>
            </w:pPr>
            <w:r>
              <w:t>其中：财政    资金</w:t>
            </w:r>
          </w:p>
        </w:tc>
        <w:tc>
          <w:tcPr>
            <w:tcW w:w="1304" w:type="dxa"/>
            <w:vAlign w:val="center"/>
          </w:tcPr>
          <w:p>
            <w:pPr>
              <w:pStyle w:val="17"/>
            </w:pPr>
            <w:r>
              <w:t>158.16</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南郭下、北郭下占地遗留问题</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40.00</w:t>
            </w:r>
          </w:p>
        </w:tc>
        <w:tc>
          <w:tcPr>
            <w:tcW w:w="1587" w:type="dxa"/>
            <w:vAlign w:val="center"/>
          </w:tcPr>
          <w:p>
            <w:pPr>
              <w:pStyle w:val="18"/>
            </w:pPr>
            <w:r>
              <w:t>80.00</w:t>
            </w:r>
          </w:p>
        </w:tc>
        <w:tc>
          <w:tcPr>
            <w:tcW w:w="1304" w:type="dxa"/>
            <w:vAlign w:val="center"/>
          </w:tcPr>
          <w:p>
            <w:pPr>
              <w:pStyle w:val="18"/>
            </w:pPr>
            <w:r>
              <w:t>100.00</w:t>
            </w:r>
          </w:p>
        </w:tc>
        <w:tc>
          <w:tcPr>
            <w:tcW w:w="3118" w:type="dxa"/>
            <w:gridSpan w:val="2"/>
            <w:vAlign w:val="center"/>
          </w:tcPr>
          <w:p>
            <w:pPr>
              <w:pStyle w:val="18"/>
            </w:pPr>
            <w:r>
              <w:t>158.16</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1.确保征地补偿发放到位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≥90百分比</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≥90百分比</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≤158.16万元</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补贴发放率</w:t>
            </w:r>
          </w:p>
        </w:tc>
        <w:tc>
          <w:tcPr>
            <w:tcW w:w="2891" w:type="dxa"/>
            <w:vAlign w:val="center"/>
          </w:tcPr>
          <w:p>
            <w:pPr>
              <w:pStyle w:val="17"/>
            </w:pPr>
            <w:r>
              <w:t>征地补偿发放完成率</w:t>
            </w:r>
          </w:p>
        </w:tc>
        <w:tc>
          <w:tcPr>
            <w:tcW w:w="1276" w:type="dxa"/>
            <w:vAlign w:val="center"/>
          </w:tcPr>
          <w:p>
            <w:pPr>
              <w:pStyle w:val="17"/>
            </w:pPr>
            <w:r>
              <w:t>≥90百分比</w:t>
            </w:r>
          </w:p>
        </w:tc>
        <w:tc>
          <w:tcPr>
            <w:tcW w:w="1843" w:type="dxa"/>
            <w:vAlign w:val="center"/>
          </w:tcPr>
          <w:p>
            <w:pPr>
              <w:pStyle w:val="17"/>
            </w:pPr>
            <w:r>
              <w:t>请示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134.涞水镇涞阳南路（南高速引线）两侧绿化土地流转费绩效目标表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13062323P00940810039X</w:t>
            </w:r>
          </w:p>
        </w:tc>
        <w:tc>
          <w:tcPr>
            <w:tcW w:w="1587" w:type="dxa"/>
            <w:vAlign w:val="center"/>
          </w:tcPr>
          <w:p>
            <w:pPr>
              <w:pStyle w:val="15"/>
            </w:pPr>
            <w:r>
              <w:t>项目名称</w:t>
            </w:r>
          </w:p>
        </w:tc>
        <w:tc>
          <w:tcPr>
            <w:tcW w:w="4422" w:type="dxa"/>
            <w:gridSpan w:val="3"/>
            <w:vAlign w:val="center"/>
          </w:tcPr>
          <w:p>
            <w:pPr>
              <w:pStyle w:val="17"/>
            </w:pPr>
            <w:r>
              <w:t>涞水镇涞阳南路（南高速引线）两侧绿化土地流转费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165.96</w:t>
            </w:r>
          </w:p>
        </w:tc>
        <w:tc>
          <w:tcPr>
            <w:tcW w:w="1587" w:type="dxa"/>
            <w:vAlign w:val="center"/>
          </w:tcPr>
          <w:p>
            <w:pPr>
              <w:pStyle w:val="15"/>
            </w:pPr>
            <w:r>
              <w:t>其中：财政    资金</w:t>
            </w:r>
          </w:p>
        </w:tc>
        <w:tc>
          <w:tcPr>
            <w:tcW w:w="1304" w:type="dxa"/>
            <w:vAlign w:val="center"/>
          </w:tcPr>
          <w:p>
            <w:pPr>
              <w:pStyle w:val="17"/>
            </w:pPr>
            <w:r>
              <w:t>165.96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涞阳南路两侧绿化土地流转费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165.96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1.完成土地流转费发放，确保社会稳定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执行到位率（%）</w:t>
            </w:r>
          </w:p>
        </w:tc>
        <w:tc>
          <w:tcPr>
            <w:tcW w:w="2891" w:type="dxa"/>
            <w:vAlign w:val="center"/>
          </w:tcPr>
          <w:p>
            <w:pPr>
              <w:pStyle w:val="17"/>
            </w:pPr>
            <w:r>
              <w:t>执行到位率（%）</w:t>
            </w:r>
          </w:p>
        </w:tc>
        <w:tc>
          <w:tcPr>
            <w:tcW w:w="1276" w:type="dxa"/>
            <w:vAlign w:val="center"/>
          </w:tcPr>
          <w:p>
            <w:pPr>
              <w:pStyle w:val="17"/>
            </w:pPr>
            <w:r>
              <w:t>≥90百分比</w:t>
            </w:r>
          </w:p>
        </w:tc>
        <w:tc>
          <w:tcPr>
            <w:tcW w:w="1843" w:type="dxa"/>
            <w:vAlign w:val="center"/>
          </w:tcPr>
          <w:p>
            <w:pPr>
              <w:pStyle w:val="17"/>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协议执行率</w:t>
            </w:r>
          </w:p>
        </w:tc>
        <w:tc>
          <w:tcPr>
            <w:tcW w:w="2891" w:type="dxa"/>
            <w:vAlign w:val="center"/>
          </w:tcPr>
          <w:p>
            <w:pPr>
              <w:pStyle w:val="17"/>
            </w:pPr>
            <w:r>
              <w:t>协议执行部分占计划的比率</w:t>
            </w:r>
          </w:p>
        </w:tc>
        <w:tc>
          <w:tcPr>
            <w:tcW w:w="1276" w:type="dxa"/>
            <w:vAlign w:val="center"/>
          </w:tcPr>
          <w:p>
            <w:pPr>
              <w:pStyle w:val="17"/>
            </w:pPr>
            <w:r>
              <w:t>≥90百分比</w:t>
            </w:r>
          </w:p>
        </w:tc>
        <w:tc>
          <w:tcPr>
            <w:tcW w:w="1843" w:type="dxa"/>
            <w:vAlign w:val="center"/>
          </w:tcPr>
          <w:p>
            <w:pPr>
              <w:pStyle w:val="17"/>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资金支付率</w:t>
            </w:r>
          </w:p>
        </w:tc>
        <w:tc>
          <w:tcPr>
            <w:tcW w:w="2891" w:type="dxa"/>
            <w:vAlign w:val="center"/>
          </w:tcPr>
          <w:p>
            <w:pPr>
              <w:pStyle w:val="17"/>
            </w:pPr>
            <w:r>
              <w:t>支付资金占资金总额的比率</w:t>
            </w:r>
          </w:p>
        </w:tc>
        <w:tc>
          <w:tcPr>
            <w:tcW w:w="1276" w:type="dxa"/>
            <w:vAlign w:val="center"/>
          </w:tcPr>
          <w:p>
            <w:pPr>
              <w:pStyle w:val="17"/>
            </w:pPr>
            <w:r>
              <w:t>≥90百分比</w:t>
            </w:r>
          </w:p>
        </w:tc>
        <w:tc>
          <w:tcPr>
            <w:tcW w:w="1843" w:type="dxa"/>
            <w:vAlign w:val="center"/>
          </w:tcPr>
          <w:p>
            <w:pPr>
              <w:pStyle w:val="17"/>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成本控制数</w:t>
            </w:r>
          </w:p>
        </w:tc>
        <w:tc>
          <w:tcPr>
            <w:tcW w:w="1276" w:type="dxa"/>
            <w:vAlign w:val="center"/>
          </w:tcPr>
          <w:p>
            <w:pPr>
              <w:pStyle w:val="17"/>
            </w:pPr>
            <w:r>
              <w:t>≤165.96万元</w:t>
            </w:r>
          </w:p>
        </w:tc>
        <w:tc>
          <w:tcPr>
            <w:tcW w:w="1843" w:type="dxa"/>
            <w:vAlign w:val="center"/>
          </w:tcPr>
          <w:p>
            <w:pPr>
              <w:pStyle w:val="17"/>
            </w:pP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流转费发放完成率</w:t>
            </w:r>
          </w:p>
        </w:tc>
        <w:tc>
          <w:tcPr>
            <w:tcW w:w="2891" w:type="dxa"/>
            <w:vAlign w:val="center"/>
          </w:tcPr>
          <w:p>
            <w:pPr>
              <w:pStyle w:val="17"/>
            </w:pPr>
            <w:r>
              <w:t>流转费发放完成率</w:t>
            </w:r>
          </w:p>
        </w:tc>
        <w:tc>
          <w:tcPr>
            <w:tcW w:w="1276" w:type="dxa"/>
            <w:vAlign w:val="center"/>
          </w:tcPr>
          <w:p>
            <w:pPr>
              <w:pStyle w:val="17"/>
            </w:pPr>
            <w:r>
              <w:t>≥90百分比</w:t>
            </w:r>
          </w:p>
        </w:tc>
        <w:tc>
          <w:tcPr>
            <w:tcW w:w="1843" w:type="dxa"/>
            <w:vAlign w:val="center"/>
          </w:tcPr>
          <w:p>
            <w:pPr>
              <w:pStyle w:val="17"/>
            </w:pPr>
            <w:r>
              <w:t>协议</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135.涞阳路交通设施提升项目绩效目标表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13062323P009408100338</w:t>
            </w:r>
          </w:p>
        </w:tc>
        <w:tc>
          <w:tcPr>
            <w:tcW w:w="1587" w:type="dxa"/>
            <w:vAlign w:val="center"/>
          </w:tcPr>
          <w:p>
            <w:pPr>
              <w:pStyle w:val="15"/>
            </w:pPr>
            <w:r>
              <w:t>项目名称</w:t>
            </w:r>
          </w:p>
        </w:tc>
        <w:tc>
          <w:tcPr>
            <w:tcW w:w="4422" w:type="dxa"/>
            <w:gridSpan w:val="3"/>
            <w:vAlign w:val="center"/>
          </w:tcPr>
          <w:p>
            <w:pPr>
              <w:pStyle w:val="17"/>
            </w:pPr>
            <w:r>
              <w:t>涞阳路交通设施提升项目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210.00</w:t>
            </w:r>
          </w:p>
        </w:tc>
        <w:tc>
          <w:tcPr>
            <w:tcW w:w="1587" w:type="dxa"/>
            <w:vAlign w:val="center"/>
          </w:tcPr>
          <w:p>
            <w:pPr>
              <w:pStyle w:val="15"/>
            </w:pPr>
            <w:r>
              <w:t>其中：财政    资金</w:t>
            </w:r>
          </w:p>
        </w:tc>
        <w:tc>
          <w:tcPr>
            <w:tcW w:w="1304" w:type="dxa"/>
            <w:vAlign w:val="center"/>
          </w:tcPr>
          <w:p>
            <w:pPr>
              <w:pStyle w:val="17"/>
            </w:pPr>
            <w:r>
              <w:t>210.00</w:t>
            </w:r>
          </w:p>
        </w:tc>
        <w:tc>
          <w:tcPr>
            <w:tcW w:w="1276" w:type="dxa"/>
            <w:vAlign w:val="center"/>
          </w:tcPr>
          <w:p>
            <w:pPr>
              <w:pStyle w:val="15"/>
            </w:pPr>
            <w:r>
              <w:t>其他资金</w:t>
            </w:r>
          </w:p>
        </w:tc>
        <w:tc>
          <w:tcPr>
            <w:tcW w:w="1843" w:type="dxa"/>
            <w:vAlign w:val="center"/>
          </w:tcPr>
          <w:p>
            <w:pPr>
              <w:pStyle w:val="17"/>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维护道路交通安全畅通，减少交通事故发生。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52.50</w:t>
            </w:r>
          </w:p>
        </w:tc>
        <w:tc>
          <w:tcPr>
            <w:tcW w:w="1587" w:type="dxa"/>
            <w:vAlign w:val="center"/>
          </w:tcPr>
          <w:p>
            <w:pPr>
              <w:pStyle w:val="18"/>
            </w:pPr>
            <w:r>
              <w:t>105.00</w:t>
            </w:r>
          </w:p>
        </w:tc>
        <w:tc>
          <w:tcPr>
            <w:tcW w:w="1304" w:type="dxa"/>
            <w:vAlign w:val="center"/>
          </w:tcPr>
          <w:p>
            <w:pPr>
              <w:pStyle w:val="18"/>
            </w:pPr>
            <w:r>
              <w:t>157.50</w:t>
            </w:r>
          </w:p>
        </w:tc>
        <w:tc>
          <w:tcPr>
            <w:tcW w:w="3118" w:type="dxa"/>
            <w:gridSpan w:val="2"/>
            <w:vAlign w:val="center"/>
          </w:tcPr>
          <w:p>
            <w:pPr>
              <w:pStyle w:val="18"/>
            </w:pPr>
            <w:r>
              <w:t>210.00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1.维护道路交通安全畅通，减少交通事故发生。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安装隔离护栏，信号灯及监控设施</w:t>
            </w:r>
          </w:p>
        </w:tc>
        <w:tc>
          <w:tcPr>
            <w:tcW w:w="2891" w:type="dxa"/>
            <w:vAlign w:val="center"/>
          </w:tcPr>
          <w:p>
            <w:pPr>
              <w:pStyle w:val="17"/>
            </w:pPr>
            <w:r>
              <w:t>1套</w:t>
            </w:r>
          </w:p>
        </w:tc>
        <w:tc>
          <w:tcPr>
            <w:tcW w:w="1276" w:type="dxa"/>
            <w:vAlign w:val="center"/>
          </w:tcPr>
          <w:p>
            <w:pPr>
              <w:pStyle w:val="17"/>
            </w:pPr>
            <w:r>
              <w:t>1套</w:t>
            </w:r>
          </w:p>
        </w:tc>
        <w:tc>
          <w:tcPr>
            <w:tcW w:w="1843" w:type="dxa"/>
            <w:vAlign w:val="center"/>
          </w:tcPr>
          <w:p>
            <w:pPr>
              <w:pStyle w:val="17"/>
            </w:pPr>
            <w:r>
              <w:t>根据县政府和领导批示</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减少路段交通事故发生，维护道路交通安全畅通</w:t>
            </w:r>
          </w:p>
        </w:tc>
        <w:tc>
          <w:tcPr>
            <w:tcW w:w="2891" w:type="dxa"/>
            <w:vAlign w:val="center"/>
          </w:tcPr>
          <w:p>
            <w:pPr>
              <w:pStyle w:val="17"/>
            </w:pPr>
            <w:r>
              <w:t>维护道路交通安全畅通，减少交通事故发生。</w:t>
            </w:r>
          </w:p>
        </w:tc>
        <w:tc>
          <w:tcPr>
            <w:tcW w:w="1276" w:type="dxa"/>
            <w:vAlign w:val="center"/>
          </w:tcPr>
          <w:p>
            <w:pPr>
              <w:pStyle w:val="17"/>
            </w:pPr>
            <w:r>
              <w:t>≥80百分比</w:t>
            </w:r>
          </w:p>
        </w:tc>
        <w:tc>
          <w:tcPr>
            <w:tcW w:w="1843" w:type="dxa"/>
            <w:vAlign w:val="center"/>
          </w:tcPr>
          <w:p>
            <w:pPr>
              <w:pStyle w:val="17"/>
            </w:pPr>
            <w:r>
              <w:t>根据县政府和领导批示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≥100百分比</w:t>
            </w:r>
          </w:p>
        </w:tc>
        <w:tc>
          <w:tcPr>
            <w:tcW w:w="1843" w:type="dxa"/>
            <w:vAlign w:val="center"/>
          </w:tcPr>
          <w:p>
            <w:pPr>
              <w:pStyle w:val="17"/>
            </w:pPr>
            <w:r>
              <w:t>根据县政府和领导批示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安装交通信号灯、护栏、监控设施</w:t>
            </w:r>
          </w:p>
        </w:tc>
        <w:tc>
          <w:tcPr>
            <w:tcW w:w="2891" w:type="dxa"/>
            <w:vAlign w:val="center"/>
          </w:tcPr>
          <w:p>
            <w:pPr>
              <w:pStyle w:val="17"/>
            </w:pPr>
            <w:r>
              <w:t>成本控制金额</w:t>
            </w:r>
          </w:p>
        </w:tc>
        <w:tc>
          <w:tcPr>
            <w:tcW w:w="1276" w:type="dxa"/>
            <w:vAlign w:val="center"/>
          </w:tcPr>
          <w:p>
            <w:pPr>
              <w:pStyle w:val="17"/>
            </w:pPr>
            <w:r>
              <w:t>210万元</w:t>
            </w:r>
          </w:p>
        </w:tc>
        <w:tc>
          <w:tcPr>
            <w:tcW w:w="1843" w:type="dxa"/>
            <w:vAlign w:val="center"/>
          </w:tcPr>
          <w:p>
            <w:pPr>
              <w:pStyle w:val="17"/>
            </w:pPr>
            <w:r>
              <w:t>根据县政府和领导批示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改善路段交通混乱现象，降低事故发生率</w:t>
            </w:r>
          </w:p>
        </w:tc>
        <w:tc>
          <w:tcPr>
            <w:tcW w:w="2891" w:type="dxa"/>
            <w:vAlign w:val="center"/>
          </w:tcPr>
          <w:p>
            <w:pPr>
              <w:pStyle w:val="17"/>
            </w:pPr>
            <w:r>
              <w:t>有效改善路段交通混乱现象，降低事故发生</w:t>
            </w:r>
          </w:p>
        </w:tc>
        <w:tc>
          <w:tcPr>
            <w:tcW w:w="1276" w:type="dxa"/>
            <w:vAlign w:val="center"/>
          </w:tcPr>
          <w:p>
            <w:pPr>
              <w:pStyle w:val="17"/>
            </w:pPr>
            <w:r>
              <w:t>≥80百分比</w:t>
            </w:r>
          </w:p>
        </w:tc>
        <w:tc>
          <w:tcPr>
            <w:tcW w:w="1843" w:type="dxa"/>
            <w:vAlign w:val="center"/>
          </w:tcPr>
          <w:p>
            <w:pPr>
              <w:pStyle w:val="17"/>
            </w:pPr>
            <w:r>
              <w:t>根据县政府和领导批示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改善路段交通混乱现象，降低事故发生率</w:t>
            </w:r>
          </w:p>
        </w:tc>
        <w:tc>
          <w:tcPr>
            <w:tcW w:w="2891" w:type="dxa"/>
            <w:vAlign w:val="center"/>
          </w:tcPr>
          <w:p>
            <w:pPr>
              <w:pStyle w:val="17"/>
            </w:pPr>
            <w:r>
              <w:t>有效治理路段交通拥堵现象，维护道路交通安全畅通。</w:t>
            </w:r>
          </w:p>
        </w:tc>
        <w:tc>
          <w:tcPr>
            <w:tcW w:w="1276" w:type="dxa"/>
            <w:vAlign w:val="center"/>
          </w:tcPr>
          <w:p>
            <w:pPr>
              <w:pStyle w:val="17"/>
            </w:pPr>
            <w:r>
              <w:t>≥80百分比</w:t>
            </w:r>
          </w:p>
        </w:tc>
        <w:tc>
          <w:tcPr>
            <w:tcW w:w="1843" w:type="dxa"/>
            <w:vAlign w:val="center"/>
          </w:tcPr>
          <w:p>
            <w:pPr>
              <w:pStyle w:val="17"/>
            </w:pPr>
            <w:r>
              <w:t>根据县政府和领导批示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通过问卷调查，满意和较满意的对</w:t>
            </w:r>
          </w:p>
        </w:tc>
        <w:tc>
          <w:tcPr>
            <w:tcW w:w="2891" w:type="dxa"/>
            <w:vAlign w:val="center"/>
          </w:tcPr>
          <w:p>
            <w:pPr>
              <w:pStyle w:val="17"/>
            </w:pPr>
            <w:r>
              <w:t>通过问卷调查，满意和较满意的对象占所有调查对象的比例</w:t>
            </w:r>
          </w:p>
        </w:tc>
        <w:tc>
          <w:tcPr>
            <w:tcW w:w="1276" w:type="dxa"/>
            <w:vAlign w:val="center"/>
          </w:tcPr>
          <w:p>
            <w:pPr>
              <w:pStyle w:val="17"/>
            </w:pPr>
            <w:r>
              <w:t>≥95百分比</w:t>
            </w:r>
          </w:p>
        </w:tc>
        <w:tc>
          <w:tcPr>
            <w:tcW w:w="1843" w:type="dxa"/>
            <w:vAlign w:val="center"/>
          </w:tcPr>
          <w:p>
            <w:pPr>
              <w:pStyle w:val="17"/>
            </w:pPr>
            <w:r>
              <w:t>根据县政府和领导批示</w:t>
            </w:r>
          </w:p>
        </w:tc>
      </w:tr>
    </w:tbl>
    <w:p>
      <w:pPr>
        <w:sectPr>
          <w:pgSz w:w="11900" w:h="16840"/>
          <w:pgMar w:top="1984" w:right="1304" w:bottom="1134" w:left="1304" w:header="720" w:footer="720" w:gutter="0"/>
          <w:pgNumType w:fmt="decimal"/>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136.涞阳南路、府前街交通设施改造升级项目质保金绩效目标表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324涞水县自然资源和规划局</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13062323P009408100292</w:t>
            </w:r>
          </w:p>
        </w:tc>
        <w:tc>
          <w:tcPr>
            <w:tcW w:w="1587" w:type="dxa"/>
            <w:vAlign w:val="center"/>
          </w:tcPr>
          <w:p>
            <w:pPr>
              <w:pStyle w:val="15"/>
            </w:pPr>
            <w:r>
              <w:t>项目名称</w:t>
            </w:r>
          </w:p>
        </w:tc>
        <w:tc>
          <w:tcPr>
            <w:tcW w:w="4422" w:type="dxa"/>
            <w:gridSpan w:val="3"/>
            <w:vAlign w:val="center"/>
          </w:tcPr>
          <w:p>
            <w:pPr>
              <w:pStyle w:val="17"/>
            </w:pPr>
            <w:r>
              <w:t>涞阳南路、府前街交通设施改造升级项目质保金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85.39</w:t>
            </w:r>
          </w:p>
        </w:tc>
        <w:tc>
          <w:tcPr>
            <w:tcW w:w="1587" w:type="dxa"/>
            <w:vAlign w:val="center"/>
          </w:tcPr>
          <w:p>
            <w:pPr>
              <w:pStyle w:val="15"/>
            </w:pPr>
            <w:r>
              <w:t>其中：财政    资金</w:t>
            </w:r>
          </w:p>
        </w:tc>
        <w:tc>
          <w:tcPr>
            <w:tcW w:w="1304" w:type="dxa"/>
            <w:vAlign w:val="center"/>
          </w:tcPr>
          <w:p>
            <w:pPr>
              <w:pStyle w:val="17"/>
            </w:pPr>
            <w:r>
              <w:t>85.39</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缓解城市交通拥堵，维护道路交通安全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85.39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1.缓解城市交通拥堵，维护道路交通安全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购置设备使用时长</w:t>
            </w:r>
            <w:r>
              <w:tab/>
            </w:r>
            <w:r>
              <w:t>购置设备使用时长</w:t>
            </w:r>
          </w:p>
          <w:p>
            <w:pPr>
              <w:pStyle w:val="17"/>
            </w:pPr>
            <w:r>
              <w:t>产品合格率（%）</w:t>
            </w:r>
            <w:r>
              <w:tab/>
            </w:r>
            <w:r>
              <w:t>产品合格率（%）</w:t>
            </w:r>
          </w:p>
          <w:p>
            <w:pPr>
              <w:pStyle w:val="17"/>
            </w:pPr>
            <w:r>
              <w:t>完工及时率（%）</w:t>
            </w:r>
            <w:r>
              <w:tab/>
            </w:r>
            <w:r>
              <w:t>完工及时率（%）</w:t>
            </w:r>
          </w:p>
          <w:p>
            <w:pPr>
              <w:pStyle w:val="17"/>
            </w:pPr>
            <w:r>
              <w:t>项目总成本</w:t>
            </w:r>
            <w:r>
              <w:tab/>
            </w:r>
            <w:r>
              <w:t>项目总成本</w:t>
            </w:r>
          </w:p>
          <w:p>
            <w:pPr>
              <w:pStyle w:val="17"/>
            </w:pPr>
            <w:r>
              <w:t>缓解城市交通拥堵，维护道路交通安全</w:t>
            </w:r>
            <w:r>
              <w:tab/>
            </w:r>
            <w:r>
              <w:t>缓解城市交通拥堵，维护道路交通安全</w:t>
            </w:r>
          </w:p>
          <w:p>
            <w:pPr>
              <w:pStyle w:val="17"/>
            </w:pPr>
            <w:r>
              <w:tab/>
            </w:r>
          </w:p>
          <w:p>
            <w:pPr>
              <w:pStyle w:val="17"/>
            </w:pPr>
            <w:r>
              <w:tab/>
            </w:r>
          </w:p>
          <w:p>
            <w:pPr>
              <w:pStyle w:val="17"/>
            </w:pPr>
            <w:r>
              <w:tab/>
            </w:r>
          </w:p>
          <w:p>
            <w:pPr>
              <w:pStyle w:val="17"/>
            </w:pPr>
            <w:r>
              <w:t>群众满意度</w:t>
            </w:r>
            <w:r>
              <w:tab/>
            </w:r>
            <w:r>
              <w:t>满意度和较满意度占满意度的百分比</w:t>
            </w:r>
          </w:p>
          <w:p>
            <w:pPr>
              <w:pStyle w:val="17"/>
            </w:pPr>
          </w:p>
        </w:tc>
        <w:tc>
          <w:tcPr>
            <w:tcW w:w="2891" w:type="dxa"/>
            <w:vAlign w:val="center"/>
          </w:tcPr>
          <w:p>
            <w:pPr>
              <w:pStyle w:val="17"/>
            </w:pPr>
            <w:r>
              <w:t>购置设备使用时长</w:t>
            </w:r>
            <w:r>
              <w:tab/>
            </w:r>
            <w:r>
              <w:t>购置设备使用时长</w:t>
            </w:r>
          </w:p>
          <w:p>
            <w:pPr>
              <w:pStyle w:val="17"/>
            </w:pPr>
            <w:r>
              <w:t>产品合格率（%）</w:t>
            </w:r>
            <w:r>
              <w:tab/>
            </w:r>
            <w:r>
              <w:t>产品合格率（%）</w:t>
            </w:r>
          </w:p>
          <w:p>
            <w:pPr>
              <w:pStyle w:val="17"/>
            </w:pPr>
            <w:r>
              <w:t>完工及时率（%）</w:t>
            </w:r>
            <w:r>
              <w:tab/>
            </w:r>
            <w:r>
              <w:t>完工及时率（%）</w:t>
            </w:r>
          </w:p>
          <w:p>
            <w:pPr>
              <w:pStyle w:val="17"/>
            </w:pPr>
            <w:r>
              <w:t>项目总成本</w:t>
            </w:r>
            <w:r>
              <w:tab/>
            </w:r>
            <w:r>
              <w:t>项目总成本</w:t>
            </w:r>
          </w:p>
          <w:p>
            <w:pPr>
              <w:pStyle w:val="17"/>
            </w:pPr>
            <w:r>
              <w:t>缓解城市交通拥堵，维护道路交通安全</w:t>
            </w:r>
            <w:r>
              <w:tab/>
            </w:r>
            <w:r>
              <w:t>缓解城市交通拥堵，维护道路交通安全</w:t>
            </w:r>
          </w:p>
          <w:p>
            <w:pPr>
              <w:pStyle w:val="17"/>
            </w:pPr>
            <w:r>
              <w:tab/>
            </w:r>
          </w:p>
          <w:p>
            <w:pPr>
              <w:pStyle w:val="17"/>
            </w:pPr>
            <w:r>
              <w:tab/>
            </w:r>
          </w:p>
          <w:p>
            <w:pPr>
              <w:pStyle w:val="17"/>
            </w:pPr>
            <w:r>
              <w:tab/>
            </w:r>
          </w:p>
          <w:p>
            <w:pPr>
              <w:pStyle w:val="17"/>
            </w:pPr>
            <w:r>
              <w:t>群众满意度</w:t>
            </w:r>
            <w:r>
              <w:tab/>
            </w:r>
            <w:r>
              <w:t>满意度和较满意度占满意度的百分比</w:t>
            </w:r>
          </w:p>
          <w:p>
            <w:pPr>
              <w:pStyle w:val="17"/>
            </w:pPr>
          </w:p>
        </w:tc>
        <w:tc>
          <w:tcPr>
            <w:tcW w:w="1276" w:type="dxa"/>
            <w:vAlign w:val="center"/>
          </w:tcPr>
          <w:p>
            <w:pPr>
              <w:pStyle w:val="17"/>
            </w:pPr>
            <w:r>
              <w:t>≥5年</w:t>
            </w:r>
          </w:p>
        </w:tc>
        <w:tc>
          <w:tcPr>
            <w:tcW w:w="1843" w:type="dxa"/>
            <w:vAlign w:val="center"/>
          </w:tcPr>
          <w:p>
            <w:pPr>
              <w:pStyle w:val="17"/>
            </w:pPr>
            <w:r>
              <w:t>完成指标值比率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产品合格率（%）</w:t>
            </w:r>
          </w:p>
        </w:tc>
        <w:tc>
          <w:tcPr>
            <w:tcW w:w="2891" w:type="dxa"/>
            <w:vAlign w:val="center"/>
          </w:tcPr>
          <w:p>
            <w:pPr>
              <w:pStyle w:val="17"/>
            </w:pPr>
            <w:r>
              <w:t>产品合格率（%）</w:t>
            </w:r>
          </w:p>
        </w:tc>
        <w:tc>
          <w:tcPr>
            <w:tcW w:w="1276" w:type="dxa"/>
            <w:vAlign w:val="center"/>
          </w:tcPr>
          <w:p>
            <w:pPr>
              <w:pStyle w:val="17"/>
            </w:pPr>
            <w:r>
              <w:t>100百分比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完工及时率（%）</w:t>
            </w:r>
          </w:p>
        </w:tc>
        <w:tc>
          <w:tcPr>
            <w:tcW w:w="2891" w:type="dxa"/>
            <w:vAlign w:val="center"/>
          </w:tcPr>
          <w:p>
            <w:pPr>
              <w:pStyle w:val="17"/>
            </w:pPr>
            <w:r>
              <w:t>完工及时率（%）</w:t>
            </w:r>
          </w:p>
        </w:tc>
        <w:tc>
          <w:tcPr>
            <w:tcW w:w="1276" w:type="dxa"/>
            <w:vAlign w:val="center"/>
          </w:tcPr>
          <w:p>
            <w:pPr>
              <w:pStyle w:val="17"/>
            </w:pPr>
            <w:r>
              <w:t>≥95百分比</w:t>
            </w:r>
          </w:p>
        </w:tc>
        <w:tc>
          <w:tcPr>
            <w:tcW w:w="1843" w:type="dxa"/>
            <w:vAlign w:val="center"/>
          </w:tcPr>
          <w:p>
            <w:pPr>
              <w:pStyle w:val="17"/>
            </w:pPr>
            <w:r>
              <w:t>根据行业标准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项目总成本</w:t>
            </w:r>
          </w:p>
        </w:tc>
        <w:tc>
          <w:tcPr>
            <w:tcW w:w="2891" w:type="dxa"/>
            <w:vAlign w:val="center"/>
          </w:tcPr>
          <w:p>
            <w:pPr>
              <w:pStyle w:val="17"/>
            </w:pPr>
            <w:r>
              <w:t>项目总成本</w:t>
            </w:r>
          </w:p>
        </w:tc>
        <w:tc>
          <w:tcPr>
            <w:tcW w:w="1276" w:type="dxa"/>
            <w:vAlign w:val="center"/>
          </w:tcPr>
          <w:p>
            <w:pPr>
              <w:pStyle w:val="17"/>
            </w:pPr>
            <w:r>
              <w:t>≤85.39万元</w:t>
            </w:r>
          </w:p>
        </w:tc>
        <w:tc>
          <w:tcPr>
            <w:tcW w:w="1843" w:type="dxa"/>
            <w:vAlign w:val="center"/>
          </w:tcPr>
          <w:p>
            <w:pPr>
              <w:pStyle w:val="17"/>
            </w:pPr>
            <w:r>
              <w:t>实际测算需求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缓解城市交通拥堵，维护道路交通安全</w:t>
            </w:r>
          </w:p>
        </w:tc>
        <w:tc>
          <w:tcPr>
            <w:tcW w:w="2891" w:type="dxa"/>
            <w:vAlign w:val="center"/>
          </w:tcPr>
          <w:p>
            <w:pPr>
              <w:pStyle w:val="17"/>
            </w:pPr>
            <w:r>
              <w:t>缓解城市交通拥堵，维护道路交通安全</w:t>
            </w:r>
          </w:p>
        </w:tc>
        <w:tc>
          <w:tcPr>
            <w:tcW w:w="1276" w:type="dxa"/>
            <w:vAlign w:val="center"/>
          </w:tcPr>
          <w:p>
            <w:pPr>
              <w:pStyle w:val="17"/>
            </w:pPr>
            <w:r>
              <w:t>良好</w:t>
            </w:r>
          </w:p>
        </w:tc>
        <w:tc>
          <w:tcPr>
            <w:tcW w:w="1843" w:type="dxa"/>
            <w:vAlign w:val="center"/>
          </w:tcPr>
          <w:p>
            <w:pPr>
              <w:pStyle w:val="17"/>
            </w:pPr>
            <w:r>
              <w:t>缓解城市交通拥堵，维护道路交通安全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满意度和较满意度占满意度的百分比</w:t>
            </w:r>
          </w:p>
        </w:tc>
        <w:tc>
          <w:tcPr>
            <w:tcW w:w="1276" w:type="dxa"/>
            <w:vAlign w:val="center"/>
          </w:tcPr>
          <w:p>
            <w:pPr>
              <w:pStyle w:val="17"/>
            </w:pPr>
            <w:r>
              <w:t>≥95百分比</w:t>
            </w:r>
          </w:p>
        </w:tc>
        <w:tc>
          <w:tcPr>
            <w:tcW w:w="1843" w:type="dxa"/>
            <w:vAlign w:val="center"/>
          </w:tcPr>
          <w:p>
            <w:pPr>
              <w:pStyle w:val="17"/>
            </w:pPr>
            <w:r>
              <w:t>完成指标值比率</w:t>
            </w:r>
          </w:p>
        </w:tc>
      </w:tr>
    </w:tbl>
    <w:p>
      <w:pPr>
        <w:spacing w:before="0" w:after="0" w:line="240" w:lineRule="auto"/>
        <w:ind w:firstLine="0"/>
        <w:jc w:val="both"/>
        <w:outlineLvl w:val="9"/>
        <w:sectPr>
          <w:pgSz w:w="11900" w:h="16840"/>
          <w:pgMar w:top="1984" w:right="1304" w:bottom="1134" w:left="1304" w:header="720" w:footer="720" w:gutter="0"/>
          <w:pgNumType w:fmt="decimal"/>
          <w:cols w:space="720" w:num="1"/>
        </w:sectPr>
      </w:pPr>
    </w:p>
    <w:p>
      <w:pPr>
        <w:spacing w:before="10" w:after="1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keepNext w:val="0"/>
        <w:keepLines w:val="0"/>
        <w:pageBreakBefore w:val="0"/>
        <w:widowControl w:val="0"/>
        <w:kinsoku/>
        <w:wordWrap/>
        <w:overflowPunct/>
        <w:topLinePunct w:val="0"/>
        <w:autoSpaceDE/>
        <w:autoSpaceDN/>
        <w:bidi w:val="0"/>
        <w:adjustRightInd/>
        <w:snapToGrid/>
        <w:spacing w:before="0" w:after="0" w:line="540" w:lineRule="exact"/>
        <w:ind w:firstLine="560" w:firstLineChars="200"/>
        <w:jc w:val="left"/>
        <w:textAlignment w:val="auto"/>
        <w:outlineLvl w:val="9"/>
      </w:pP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涞水县自然资源和规划局（本级）</w:t>
      </w:r>
      <w:r>
        <w:rPr>
          <w:rFonts w:hint="eastAsia" w:eastAsia="方正仿宋_GBK"/>
          <w:color w:val="000000"/>
          <w:sz w:val="28"/>
        </w:rPr>
        <w:t>安排政府采购项目</w:t>
      </w:r>
      <w:r>
        <w:rPr>
          <w:rFonts w:hint="eastAsia" w:eastAsia="方正仿宋_GBK"/>
          <w:color w:val="000000"/>
          <w:sz w:val="28"/>
          <w:lang w:val="en-US" w:eastAsia="zh-CN"/>
        </w:rPr>
        <w:t>服务</w:t>
      </w:r>
      <w:r>
        <w:rPr>
          <w:rFonts w:hint="eastAsia" w:eastAsia="方正仿宋_GBK"/>
          <w:color w:val="000000"/>
          <w:sz w:val="28"/>
        </w:rPr>
        <w:t>类</w:t>
      </w:r>
      <w:r>
        <w:rPr>
          <w:rFonts w:hint="eastAsia" w:eastAsia="方正仿宋_GBK"/>
          <w:color w:val="000000"/>
          <w:sz w:val="28"/>
          <w:lang w:val="en-US" w:eastAsia="zh-CN"/>
        </w:rPr>
        <w:t>22</w:t>
      </w:r>
      <w:r>
        <w:rPr>
          <w:rFonts w:hint="eastAsia" w:eastAsia="方正仿宋_GBK"/>
          <w:color w:val="000000"/>
          <w:sz w:val="28"/>
        </w:rPr>
        <w:t>个，涉及金额</w:t>
      </w:r>
      <w:r>
        <w:rPr>
          <w:rFonts w:hint="eastAsia" w:eastAsia="方正仿宋_GBK"/>
          <w:color w:val="000000"/>
          <w:sz w:val="28"/>
          <w:lang w:val="en-US" w:eastAsia="zh-CN"/>
        </w:rPr>
        <w:t>11740.35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 xml:space="preserve"> </w:t>
      </w:r>
      <w:r>
        <w:rPr>
          <w:rFonts w:eastAsia="方正仿宋_GBK"/>
          <w:color w:val="000000"/>
          <w:sz w:val="28"/>
        </w:rPr>
        <w:t>具体内容见下表。</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部门政府采购预算</w:t>
      </w:r>
    </w:p>
    <w:tbl>
      <w:tblPr>
        <w:tblStyle w:val="9"/>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4"/>
        <w:gridCol w:w="961"/>
        <w:gridCol w:w="1095"/>
        <w:gridCol w:w="763"/>
        <w:gridCol w:w="662"/>
        <w:gridCol w:w="465"/>
        <w:gridCol w:w="870"/>
        <w:gridCol w:w="1080"/>
        <w:gridCol w:w="570"/>
        <w:gridCol w:w="1080"/>
        <w:gridCol w:w="741"/>
        <w:gridCol w:w="699"/>
        <w:gridCol w:w="675"/>
        <w:gridCol w:w="1005"/>
        <w:gridCol w:w="750"/>
        <w:gridCol w:w="1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tblHeader/>
          <w:jc w:val="center"/>
        </w:trPr>
        <w:tc>
          <w:tcPr>
            <w:tcW w:w="6300"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324涞水县自然资源和规划局</w:t>
            </w:r>
          </w:p>
        </w:tc>
        <w:tc>
          <w:tcPr>
            <w:tcW w:w="7679"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4" w:hRule="atLeast"/>
          <w:tblHeader/>
          <w:jc w:val="center"/>
        </w:trPr>
        <w:tc>
          <w:tcPr>
            <w:tcW w:w="2445" w:type="dxa"/>
            <w:gridSpan w:val="2"/>
            <w:vAlign w:val="center"/>
          </w:tcPr>
          <w:p>
            <w:pPr>
              <w:pStyle w:val="15"/>
            </w:pPr>
            <w:r>
              <w:rPr>
                <w:rFonts w:hint="eastAsia"/>
              </w:rPr>
              <w:t>政府采购项目来源</w:t>
            </w:r>
          </w:p>
        </w:tc>
        <w:tc>
          <w:tcPr>
            <w:tcW w:w="1095" w:type="dxa"/>
            <w:vMerge w:val="restart"/>
            <w:vAlign w:val="center"/>
          </w:tcPr>
          <w:p>
            <w:pPr>
              <w:pStyle w:val="15"/>
            </w:pPr>
            <w:r>
              <w:rPr>
                <w:rFonts w:hint="eastAsia"/>
              </w:rPr>
              <w:t>采购物品名称</w:t>
            </w:r>
          </w:p>
        </w:tc>
        <w:tc>
          <w:tcPr>
            <w:tcW w:w="763" w:type="dxa"/>
            <w:vMerge w:val="restart"/>
            <w:vAlign w:val="center"/>
          </w:tcPr>
          <w:p>
            <w:pPr>
              <w:pStyle w:val="15"/>
            </w:pPr>
            <w:r>
              <w:rPr>
                <w:rFonts w:hint="eastAsia"/>
              </w:rPr>
              <w:t>政府采购目录序号</w:t>
            </w:r>
          </w:p>
        </w:tc>
        <w:tc>
          <w:tcPr>
            <w:tcW w:w="662" w:type="dxa"/>
            <w:vMerge w:val="restart"/>
            <w:vAlign w:val="center"/>
          </w:tcPr>
          <w:p>
            <w:pPr>
              <w:pStyle w:val="15"/>
            </w:pPr>
            <w:r>
              <w:rPr>
                <w:rFonts w:hint="eastAsia"/>
              </w:rPr>
              <w:t>计量</w:t>
            </w:r>
            <w:r>
              <w:t xml:space="preserve">  </w:t>
            </w:r>
            <w:r>
              <w:rPr>
                <w:rFonts w:hint="eastAsia"/>
              </w:rPr>
              <w:t>单位</w:t>
            </w:r>
          </w:p>
        </w:tc>
        <w:tc>
          <w:tcPr>
            <w:tcW w:w="465" w:type="dxa"/>
            <w:vMerge w:val="restart"/>
            <w:vAlign w:val="center"/>
          </w:tcPr>
          <w:p>
            <w:pPr>
              <w:pStyle w:val="15"/>
            </w:pPr>
            <w:r>
              <w:rPr>
                <w:rFonts w:hint="eastAsia"/>
              </w:rPr>
              <w:t>数量</w:t>
            </w:r>
          </w:p>
        </w:tc>
        <w:tc>
          <w:tcPr>
            <w:tcW w:w="870" w:type="dxa"/>
            <w:vMerge w:val="restart"/>
            <w:vAlign w:val="center"/>
          </w:tcPr>
          <w:p>
            <w:pPr>
              <w:pStyle w:val="15"/>
            </w:pPr>
            <w:r>
              <w:rPr>
                <w:rFonts w:hint="eastAsia"/>
              </w:rPr>
              <w:t>单价</w:t>
            </w:r>
          </w:p>
        </w:tc>
        <w:tc>
          <w:tcPr>
            <w:tcW w:w="6600" w:type="dxa"/>
            <w:gridSpan w:val="8"/>
            <w:vAlign w:val="center"/>
          </w:tcPr>
          <w:p>
            <w:pPr>
              <w:pStyle w:val="15"/>
            </w:pPr>
            <w:r>
              <w:rPr>
                <w:rFonts w:hint="eastAsia"/>
              </w:rPr>
              <w:t>政府采购金额（当年部门预算安排资金）</w:t>
            </w:r>
          </w:p>
        </w:tc>
        <w:tc>
          <w:tcPr>
            <w:tcW w:w="1079"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tblHeader/>
          <w:jc w:val="center"/>
        </w:trPr>
        <w:tc>
          <w:tcPr>
            <w:tcW w:w="1484" w:type="dxa"/>
            <w:vAlign w:val="center"/>
          </w:tcPr>
          <w:p>
            <w:pPr>
              <w:pStyle w:val="15"/>
            </w:pPr>
            <w:r>
              <w:rPr>
                <w:rFonts w:hint="eastAsia"/>
              </w:rPr>
              <w:t>项目名称</w:t>
            </w:r>
          </w:p>
        </w:tc>
        <w:tc>
          <w:tcPr>
            <w:tcW w:w="961" w:type="dxa"/>
            <w:vAlign w:val="center"/>
          </w:tcPr>
          <w:p>
            <w:pPr>
              <w:pStyle w:val="15"/>
            </w:pPr>
            <w:r>
              <w:rPr>
                <w:rFonts w:hint="eastAsia"/>
              </w:rPr>
              <w:t>预算</w:t>
            </w:r>
            <w:r>
              <w:t xml:space="preserve">    </w:t>
            </w:r>
            <w:r>
              <w:rPr>
                <w:rFonts w:hint="eastAsia"/>
              </w:rPr>
              <w:t>资金</w:t>
            </w:r>
          </w:p>
        </w:tc>
        <w:tc>
          <w:tcPr>
            <w:tcW w:w="1095" w:type="dxa"/>
            <w:vMerge w:val="continue"/>
          </w:tcPr>
          <w:p/>
        </w:tc>
        <w:tc>
          <w:tcPr>
            <w:tcW w:w="763" w:type="dxa"/>
            <w:vMerge w:val="continue"/>
          </w:tcPr>
          <w:p/>
        </w:tc>
        <w:tc>
          <w:tcPr>
            <w:tcW w:w="662" w:type="dxa"/>
            <w:vMerge w:val="continue"/>
          </w:tcPr>
          <w:p/>
        </w:tc>
        <w:tc>
          <w:tcPr>
            <w:tcW w:w="465" w:type="dxa"/>
            <w:vMerge w:val="continue"/>
          </w:tcPr>
          <w:p/>
        </w:tc>
        <w:tc>
          <w:tcPr>
            <w:tcW w:w="870" w:type="dxa"/>
            <w:vMerge w:val="continue"/>
          </w:tcPr>
          <w:p/>
        </w:tc>
        <w:tc>
          <w:tcPr>
            <w:tcW w:w="1080" w:type="dxa"/>
            <w:vAlign w:val="center"/>
          </w:tcPr>
          <w:p>
            <w:pPr>
              <w:pStyle w:val="15"/>
            </w:pPr>
            <w:r>
              <w:rPr>
                <w:rFonts w:hint="eastAsia"/>
              </w:rPr>
              <w:t>合计</w:t>
            </w:r>
          </w:p>
        </w:tc>
        <w:tc>
          <w:tcPr>
            <w:tcW w:w="570" w:type="dxa"/>
            <w:vAlign w:val="center"/>
          </w:tcPr>
          <w:p>
            <w:pPr>
              <w:pStyle w:val="15"/>
            </w:pPr>
            <w:r>
              <w:rPr>
                <w:rFonts w:hint="eastAsia"/>
              </w:rPr>
              <w:t>一般公共预算拨款</w:t>
            </w:r>
          </w:p>
        </w:tc>
        <w:tc>
          <w:tcPr>
            <w:tcW w:w="1080" w:type="dxa"/>
            <w:vAlign w:val="center"/>
          </w:tcPr>
          <w:p>
            <w:pPr>
              <w:pStyle w:val="15"/>
            </w:pPr>
            <w:r>
              <w:rPr>
                <w:rFonts w:hint="eastAsia"/>
              </w:rPr>
              <w:t>基金预算拨款</w:t>
            </w:r>
          </w:p>
        </w:tc>
        <w:tc>
          <w:tcPr>
            <w:tcW w:w="741" w:type="dxa"/>
            <w:vAlign w:val="center"/>
          </w:tcPr>
          <w:p>
            <w:pPr>
              <w:pStyle w:val="15"/>
            </w:pPr>
            <w:r>
              <w:rPr>
                <w:rFonts w:hint="eastAsia"/>
              </w:rPr>
              <w:t>国有资本经营预算拨款</w:t>
            </w:r>
          </w:p>
        </w:tc>
        <w:tc>
          <w:tcPr>
            <w:tcW w:w="699" w:type="dxa"/>
            <w:vAlign w:val="center"/>
          </w:tcPr>
          <w:p>
            <w:pPr>
              <w:pStyle w:val="15"/>
            </w:pPr>
            <w:r>
              <w:rPr>
                <w:rFonts w:hint="eastAsia"/>
              </w:rPr>
              <w:t>财政专户核拨</w:t>
            </w:r>
          </w:p>
        </w:tc>
        <w:tc>
          <w:tcPr>
            <w:tcW w:w="675" w:type="dxa"/>
            <w:vAlign w:val="center"/>
          </w:tcPr>
          <w:p>
            <w:pPr>
              <w:pStyle w:val="15"/>
            </w:pPr>
            <w:r>
              <w:rPr>
                <w:rFonts w:hint="eastAsia"/>
              </w:rPr>
              <w:t>单位</w:t>
            </w:r>
            <w:r>
              <w:t xml:space="preserve">    </w:t>
            </w:r>
            <w:r>
              <w:rPr>
                <w:rFonts w:hint="eastAsia"/>
              </w:rPr>
              <w:t>资金</w:t>
            </w:r>
          </w:p>
        </w:tc>
        <w:tc>
          <w:tcPr>
            <w:tcW w:w="1005" w:type="dxa"/>
            <w:vAlign w:val="center"/>
          </w:tcPr>
          <w:p>
            <w:pPr>
              <w:pStyle w:val="15"/>
            </w:pPr>
            <w:r>
              <w:rPr>
                <w:rFonts w:hint="eastAsia"/>
              </w:rPr>
              <w:t>财政拨</w:t>
            </w:r>
            <w:r>
              <w:t xml:space="preserve">    </w:t>
            </w:r>
            <w:r>
              <w:rPr>
                <w:rFonts w:hint="eastAsia"/>
              </w:rPr>
              <w:t>款结转</w:t>
            </w:r>
          </w:p>
        </w:tc>
        <w:tc>
          <w:tcPr>
            <w:tcW w:w="750"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10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 w:hRule="atLeast"/>
          <w:jc w:val="center"/>
        </w:trPr>
        <w:tc>
          <w:tcPr>
            <w:tcW w:w="1484" w:type="dxa"/>
            <w:vAlign w:val="center"/>
          </w:tcPr>
          <w:p>
            <w:pPr>
              <w:spacing w:line="300" w:lineRule="exact"/>
              <w:jc w:val="center"/>
            </w:pPr>
            <w:r>
              <w:rPr>
                <w:rFonts w:hint="eastAsia" w:ascii="宋体" w:hAnsi="宋体" w:eastAsia="宋体" w:cs="宋体"/>
                <w:b w:val="0"/>
                <w:bCs/>
                <w:sz w:val="18"/>
                <w:szCs w:val="18"/>
              </w:rPr>
              <w:t>合  计</w:t>
            </w:r>
          </w:p>
        </w:tc>
        <w:tc>
          <w:tcPr>
            <w:tcW w:w="961" w:type="dxa"/>
            <w:vAlign w:val="center"/>
          </w:tcPr>
          <w:p>
            <w:pPr>
              <w:spacing w:line="300" w:lineRule="exact"/>
              <w:jc w:val="right"/>
            </w:pPr>
          </w:p>
        </w:tc>
        <w:tc>
          <w:tcPr>
            <w:tcW w:w="1095" w:type="dxa"/>
            <w:vAlign w:val="center"/>
          </w:tcPr>
          <w:p>
            <w:pPr>
              <w:spacing w:line="300" w:lineRule="exact"/>
              <w:jc w:val="left"/>
            </w:pPr>
          </w:p>
        </w:tc>
        <w:tc>
          <w:tcPr>
            <w:tcW w:w="763" w:type="dxa"/>
            <w:vAlign w:val="center"/>
          </w:tcPr>
          <w:p>
            <w:pPr>
              <w:spacing w:line="300" w:lineRule="exact"/>
              <w:jc w:val="left"/>
            </w:pPr>
          </w:p>
        </w:tc>
        <w:tc>
          <w:tcPr>
            <w:tcW w:w="662" w:type="dxa"/>
            <w:vAlign w:val="center"/>
          </w:tcPr>
          <w:p>
            <w:pPr>
              <w:spacing w:line="300" w:lineRule="exact"/>
              <w:jc w:val="center"/>
            </w:pPr>
          </w:p>
        </w:tc>
        <w:tc>
          <w:tcPr>
            <w:tcW w:w="465" w:type="dxa"/>
            <w:vAlign w:val="center"/>
          </w:tcPr>
          <w:p>
            <w:pPr>
              <w:spacing w:line="300" w:lineRule="exact"/>
              <w:jc w:val="right"/>
            </w:pPr>
          </w:p>
        </w:tc>
        <w:tc>
          <w:tcPr>
            <w:tcW w:w="870" w:type="dxa"/>
            <w:vAlign w:val="center"/>
          </w:tcPr>
          <w:p>
            <w:pPr>
              <w:spacing w:line="300" w:lineRule="exact"/>
              <w:jc w:val="right"/>
            </w:pPr>
          </w:p>
        </w:tc>
        <w:tc>
          <w:tcPr>
            <w:tcW w:w="1080" w:type="dxa"/>
            <w:vAlign w:val="center"/>
          </w:tcPr>
          <w:p>
            <w:pPr>
              <w:spacing w:line="300" w:lineRule="exact"/>
              <w:jc w:val="right"/>
            </w:pPr>
            <w:r>
              <w:rPr>
                <w:rFonts w:hint="eastAsia" w:ascii="宋体" w:hAnsi="宋体" w:eastAsia="宋体" w:cs="宋体"/>
                <w:b w:val="0"/>
                <w:bCs/>
                <w:sz w:val="18"/>
                <w:szCs w:val="18"/>
                <w:lang w:val="en-US" w:eastAsia="zh-CN"/>
              </w:rPr>
              <w:t>150</w:t>
            </w:r>
          </w:p>
        </w:tc>
        <w:tc>
          <w:tcPr>
            <w:tcW w:w="570" w:type="dxa"/>
            <w:vAlign w:val="center"/>
          </w:tcPr>
          <w:p>
            <w:pPr>
              <w:spacing w:line="300" w:lineRule="exact"/>
              <w:jc w:val="right"/>
            </w:pPr>
          </w:p>
        </w:tc>
        <w:tc>
          <w:tcPr>
            <w:tcW w:w="1080" w:type="dxa"/>
            <w:vAlign w:val="center"/>
          </w:tcPr>
          <w:p>
            <w:pPr>
              <w:spacing w:line="300" w:lineRule="exact"/>
              <w:jc w:val="right"/>
            </w:pPr>
            <w:r>
              <w:rPr>
                <w:rFonts w:hint="eastAsia" w:eastAsia="宋体"/>
                <w:lang w:val="en-US" w:eastAsia="zh-CN"/>
              </w:rPr>
              <w:t>150</w:t>
            </w:r>
          </w:p>
        </w:tc>
        <w:tc>
          <w:tcPr>
            <w:tcW w:w="741" w:type="dxa"/>
            <w:vAlign w:val="center"/>
          </w:tcPr>
          <w:p>
            <w:pPr>
              <w:spacing w:line="300" w:lineRule="exact"/>
              <w:jc w:val="right"/>
            </w:pPr>
          </w:p>
        </w:tc>
        <w:tc>
          <w:tcPr>
            <w:tcW w:w="699" w:type="dxa"/>
            <w:vAlign w:val="center"/>
          </w:tcPr>
          <w:p>
            <w:pPr>
              <w:spacing w:line="300" w:lineRule="exact"/>
              <w:jc w:val="right"/>
            </w:pPr>
          </w:p>
        </w:tc>
        <w:tc>
          <w:tcPr>
            <w:tcW w:w="675" w:type="dxa"/>
            <w:vAlign w:val="center"/>
          </w:tcPr>
          <w:p>
            <w:pPr>
              <w:spacing w:line="300" w:lineRule="exact"/>
              <w:jc w:val="right"/>
            </w:pPr>
          </w:p>
        </w:tc>
        <w:tc>
          <w:tcPr>
            <w:tcW w:w="1005" w:type="dxa"/>
            <w:vAlign w:val="center"/>
          </w:tcPr>
          <w:p>
            <w:pPr>
              <w:spacing w:line="300" w:lineRule="exact"/>
              <w:jc w:val="center"/>
            </w:pPr>
          </w:p>
        </w:tc>
        <w:tc>
          <w:tcPr>
            <w:tcW w:w="750" w:type="dxa"/>
            <w:vAlign w:val="center"/>
          </w:tcPr>
          <w:p>
            <w:pPr>
              <w:spacing w:line="300" w:lineRule="exact"/>
              <w:jc w:val="right"/>
            </w:pPr>
          </w:p>
        </w:tc>
        <w:tc>
          <w:tcPr>
            <w:tcW w:w="1079" w:type="dxa"/>
            <w:vAlign w:val="center"/>
          </w:tcPr>
          <w:p>
            <w:pPr>
              <w:spacing w:line="300" w:lineRule="exact"/>
              <w:jc w:val="right"/>
            </w:pPr>
            <w:r>
              <w:rPr>
                <w:rFonts w:hint="eastAsia" w:ascii="宋体" w:hAnsi="宋体" w:eastAsia="宋体" w:cs="宋体"/>
                <w:b w:val="0"/>
                <w:bCs/>
                <w:sz w:val="18"/>
                <w:szCs w:val="18"/>
                <w:lang w:val="en-US"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9"/>
              <w:rPr>
                <w:rFonts w:hint="eastAsia" w:ascii="宋体" w:hAnsi="宋体" w:eastAsia="宋体" w:cs="宋体"/>
                <w:sz w:val="18"/>
                <w:szCs w:val="18"/>
                <w:lang w:eastAsia="zh-CN"/>
              </w:rPr>
            </w:pPr>
            <w:r>
              <w:rPr>
                <w:rFonts w:hint="eastAsia" w:ascii="宋体" w:hAnsi="宋体" w:eastAsia="宋体" w:cs="宋体"/>
                <w:sz w:val="18"/>
                <w:szCs w:val="18"/>
              </w:rPr>
              <w:t>涞水县自然资源和规划局本级小计</w:t>
            </w:r>
          </w:p>
        </w:tc>
        <w:tc>
          <w:tcPr>
            <w:tcW w:w="961" w:type="dxa"/>
            <w:vAlign w:val="center"/>
          </w:tcPr>
          <w:p>
            <w:pPr>
              <w:pStyle w:val="20"/>
              <w:rPr>
                <w:rFonts w:hint="eastAsia" w:ascii="宋体" w:hAnsi="宋体" w:eastAsia="宋体" w:cs="宋体"/>
                <w:sz w:val="18"/>
                <w:szCs w:val="18"/>
              </w:rPr>
            </w:pPr>
          </w:p>
        </w:tc>
        <w:tc>
          <w:tcPr>
            <w:tcW w:w="1095" w:type="dxa"/>
            <w:vAlign w:val="center"/>
          </w:tcPr>
          <w:p>
            <w:pPr>
              <w:pStyle w:val="21"/>
              <w:rPr>
                <w:rFonts w:hint="eastAsia" w:ascii="宋体" w:hAnsi="宋体" w:eastAsia="宋体" w:cs="宋体"/>
                <w:sz w:val="18"/>
                <w:szCs w:val="18"/>
              </w:rPr>
            </w:pPr>
          </w:p>
        </w:tc>
        <w:tc>
          <w:tcPr>
            <w:tcW w:w="763" w:type="dxa"/>
            <w:vAlign w:val="center"/>
          </w:tcPr>
          <w:p>
            <w:pPr>
              <w:pStyle w:val="21"/>
              <w:rPr>
                <w:rFonts w:hint="eastAsia" w:ascii="宋体" w:hAnsi="宋体" w:eastAsia="宋体" w:cs="宋体"/>
                <w:sz w:val="18"/>
                <w:szCs w:val="18"/>
              </w:rPr>
            </w:pPr>
          </w:p>
        </w:tc>
        <w:tc>
          <w:tcPr>
            <w:tcW w:w="662" w:type="dxa"/>
            <w:vAlign w:val="center"/>
          </w:tcPr>
          <w:p>
            <w:pPr>
              <w:pStyle w:val="19"/>
              <w:rPr>
                <w:rFonts w:hint="eastAsia" w:ascii="宋体" w:hAnsi="宋体" w:eastAsia="宋体" w:cs="宋体"/>
                <w:sz w:val="18"/>
                <w:szCs w:val="18"/>
              </w:rPr>
            </w:pPr>
          </w:p>
        </w:tc>
        <w:tc>
          <w:tcPr>
            <w:tcW w:w="465" w:type="dxa"/>
            <w:vAlign w:val="center"/>
          </w:tcPr>
          <w:p>
            <w:pPr>
              <w:pStyle w:val="20"/>
              <w:rPr>
                <w:rFonts w:hint="eastAsia" w:ascii="宋体" w:hAnsi="宋体" w:eastAsia="宋体" w:cs="宋体"/>
                <w:sz w:val="18"/>
                <w:szCs w:val="18"/>
              </w:rPr>
            </w:pPr>
          </w:p>
        </w:tc>
        <w:tc>
          <w:tcPr>
            <w:tcW w:w="870" w:type="dxa"/>
            <w:vAlign w:val="center"/>
          </w:tcPr>
          <w:p>
            <w:pPr>
              <w:pStyle w:val="20"/>
              <w:rPr>
                <w:rFonts w:hint="eastAsia" w:ascii="宋体" w:hAnsi="宋体" w:eastAsia="宋体" w:cs="宋体"/>
                <w:sz w:val="18"/>
                <w:szCs w:val="18"/>
              </w:rPr>
            </w:pPr>
          </w:p>
        </w:tc>
        <w:tc>
          <w:tcPr>
            <w:tcW w:w="1080" w:type="dxa"/>
            <w:vAlign w:val="center"/>
          </w:tcPr>
          <w:p>
            <w:pPr>
              <w:pStyle w:val="20"/>
              <w:rPr>
                <w:rFonts w:hint="eastAsia" w:ascii="宋体" w:hAnsi="宋体" w:eastAsia="宋体" w:cs="宋体"/>
                <w:sz w:val="18"/>
                <w:szCs w:val="18"/>
              </w:rPr>
            </w:pPr>
            <w:r>
              <w:rPr>
                <w:rFonts w:hint="eastAsia" w:ascii="宋体" w:hAnsi="宋体" w:eastAsia="宋体" w:cs="宋体"/>
                <w:sz w:val="18"/>
                <w:szCs w:val="18"/>
              </w:rPr>
              <w:t>11740.35</w:t>
            </w:r>
          </w:p>
        </w:tc>
        <w:tc>
          <w:tcPr>
            <w:tcW w:w="570" w:type="dxa"/>
            <w:vAlign w:val="center"/>
          </w:tcPr>
          <w:p>
            <w:pPr>
              <w:pStyle w:val="20"/>
              <w:rPr>
                <w:rFonts w:hint="eastAsia" w:ascii="宋体" w:hAnsi="宋体" w:eastAsia="宋体" w:cs="宋体"/>
                <w:sz w:val="18"/>
                <w:szCs w:val="18"/>
              </w:rPr>
            </w:pPr>
          </w:p>
        </w:tc>
        <w:tc>
          <w:tcPr>
            <w:tcW w:w="1080" w:type="dxa"/>
            <w:vAlign w:val="center"/>
          </w:tcPr>
          <w:p>
            <w:pPr>
              <w:pStyle w:val="20"/>
              <w:rPr>
                <w:rFonts w:hint="eastAsia" w:ascii="宋体" w:hAnsi="宋体" w:eastAsia="宋体" w:cs="宋体"/>
                <w:sz w:val="18"/>
                <w:szCs w:val="18"/>
              </w:rPr>
            </w:pPr>
            <w:r>
              <w:rPr>
                <w:rFonts w:hint="eastAsia" w:ascii="宋体" w:hAnsi="宋体" w:eastAsia="宋体" w:cs="宋体"/>
                <w:sz w:val="18"/>
                <w:szCs w:val="18"/>
              </w:rPr>
              <w:t>9627.35</w:t>
            </w:r>
          </w:p>
        </w:tc>
        <w:tc>
          <w:tcPr>
            <w:tcW w:w="741" w:type="dxa"/>
            <w:vAlign w:val="center"/>
          </w:tcPr>
          <w:p>
            <w:pPr>
              <w:pStyle w:val="20"/>
              <w:rPr>
                <w:rFonts w:hint="eastAsia" w:ascii="宋体" w:hAnsi="宋体" w:eastAsia="宋体" w:cs="宋体"/>
                <w:sz w:val="18"/>
                <w:szCs w:val="18"/>
              </w:rPr>
            </w:pPr>
          </w:p>
        </w:tc>
        <w:tc>
          <w:tcPr>
            <w:tcW w:w="699" w:type="dxa"/>
            <w:vAlign w:val="center"/>
          </w:tcPr>
          <w:p>
            <w:pPr>
              <w:pStyle w:val="20"/>
              <w:rPr>
                <w:rFonts w:hint="eastAsia" w:ascii="宋体" w:hAnsi="宋体" w:eastAsia="宋体" w:cs="宋体"/>
                <w:sz w:val="18"/>
                <w:szCs w:val="18"/>
              </w:rPr>
            </w:pPr>
          </w:p>
        </w:tc>
        <w:tc>
          <w:tcPr>
            <w:tcW w:w="675" w:type="dxa"/>
            <w:vAlign w:val="center"/>
          </w:tcPr>
          <w:p>
            <w:pPr>
              <w:pStyle w:val="20"/>
              <w:rPr>
                <w:rFonts w:hint="eastAsia" w:ascii="宋体" w:hAnsi="宋体" w:eastAsia="宋体" w:cs="宋体"/>
                <w:sz w:val="18"/>
                <w:szCs w:val="18"/>
              </w:rPr>
            </w:pPr>
          </w:p>
        </w:tc>
        <w:tc>
          <w:tcPr>
            <w:tcW w:w="1005" w:type="dxa"/>
            <w:vAlign w:val="center"/>
          </w:tcPr>
          <w:p>
            <w:pPr>
              <w:pStyle w:val="20"/>
              <w:rPr>
                <w:rFonts w:hint="eastAsia" w:ascii="宋体" w:hAnsi="宋体" w:eastAsia="宋体" w:cs="宋体"/>
                <w:sz w:val="18"/>
                <w:szCs w:val="18"/>
              </w:rPr>
            </w:pPr>
            <w:r>
              <w:rPr>
                <w:rFonts w:hint="eastAsia" w:ascii="宋体" w:hAnsi="宋体" w:eastAsia="宋体" w:cs="宋体"/>
                <w:sz w:val="18"/>
                <w:szCs w:val="18"/>
              </w:rPr>
              <w:t>2113.00</w:t>
            </w:r>
          </w:p>
        </w:tc>
        <w:tc>
          <w:tcPr>
            <w:tcW w:w="750" w:type="dxa"/>
            <w:vAlign w:val="center"/>
          </w:tcPr>
          <w:p>
            <w:pPr>
              <w:pStyle w:val="20"/>
              <w:rPr>
                <w:rFonts w:hint="eastAsia" w:ascii="宋体" w:hAnsi="宋体" w:eastAsia="宋体" w:cs="宋体"/>
                <w:sz w:val="18"/>
                <w:szCs w:val="18"/>
              </w:rPr>
            </w:pPr>
          </w:p>
        </w:tc>
        <w:tc>
          <w:tcPr>
            <w:tcW w:w="1079" w:type="dxa"/>
            <w:vAlign w:val="center"/>
          </w:tcPr>
          <w:p>
            <w:pPr>
              <w:pStyle w:val="20"/>
              <w:rPr>
                <w:rFonts w:hint="eastAsia" w:ascii="宋体" w:hAnsi="宋体" w:eastAsia="宋体" w:cs="宋体"/>
                <w:sz w:val="18"/>
                <w:szCs w:val="18"/>
              </w:rPr>
            </w:pPr>
            <w:r>
              <w:rPr>
                <w:rFonts w:hint="eastAsia" w:ascii="宋体" w:hAnsi="宋体" w:eastAsia="宋体" w:cs="宋体"/>
                <w:sz w:val="18"/>
                <w:szCs w:val="18"/>
              </w:rPr>
              <w:t>10799.78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112国道栗村等路口安装电子警察监控项目</w:t>
            </w:r>
          </w:p>
        </w:tc>
        <w:tc>
          <w:tcPr>
            <w:tcW w:w="96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112.00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交通管理设备</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A02370200</w:t>
            </w:r>
          </w:p>
        </w:tc>
        <w:tc>
          <w:tcPr>
            <w:tcW w:w="662"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批</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112.00</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112.00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2021年-2022年厕所革命所欠款项目</w:t>
            </w:r>
          </w:p>
        </w:tc>
        <w:tc>
          <w:tcPr>
            <w:tcW w:w="96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1073.00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其他建筑工程</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B99000000</w:t>
            </w:r>
          </w:p>
        </w:tc>
        <w:tc>
          <w:tcPr>
            <w:tcW w:w="662"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座</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1073.00</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1073.00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1073.00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2023年城乡环卫一体化项目全年运营费</w:t>
            </w:r>
          </w:p>
        </w:tc>
        <w:tc>
          <w:tcPr>
            <w:tcW w:w="96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3135.25</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其他生态环境保护和治理服务</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C07990000</w:t>
            </w:r>
          </w:p>
        </w:tc>
        <w:tc>
          <w:tcPr>
            <w:tcW w:w="662"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3135.25</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3135.25</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2194.68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8" w:hRule="atLeast"/>
          <w:jc w:val="center"/>
        </w:trPr>
        <w:tc>
          <w:tcPr>
            <w:tcW w:w="1484"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2023年农村人居环境整治建设项目</w:t>
            </w:r>
          </w:p>
        </w:tc>
        <w:tc>
          <w:tcPr>
            <w:tcW w:w="96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300.00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其他建筑工程</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B99000000</w:t>
            </w:r>
          </w:p>
        </w:tc>
        <w:tc>
          <w:tcPr>
            <w:tcW w:w="662"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座</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300.00</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300.00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sz w:val="18"/>
                <w:szCs w:val="18"/>
                <w:lang w:eastAsia="zh-CN"/>
              </w:rPr>
            </w:pPr>
            <w:r>
              <w:rPr>
                <w:rFonts w:hint="eastAsia" w:ascii="宋体" w:hAnsi="宋体" w:eastAsia="宋体" w:cs="宋体"/>
                <w:sz w:val="18"/>
                <w:szCs w:val="18"/>
              </w:rPr>
              <w:t>PPP项目绩效考核及合同履约管理机构服务费</w:t>
            </w:r>
          </w:p>
        </w:tc>
        <w:tc>
          <w:tcPr>
            <w:tcW w:w="961"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275.00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市政公用设施管理服务</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C13020000</w:t>
            </w:r>
          </w:p>
        </w:tc>
        <w:tc>
          <w:tcPr>
            <w:tcW w:w="662" w:type="dxa"/>
            <w:vAlign w:val="center"/>
          </w:tcPr>
          <w:p>
            <w:pPr>
              <w:pStyle w:val="18"/>
              <w:rPr>
                <w:rFonts w:hint="eastAsia" w:ascii="宋体" w:hAnsi="宋体" w:eastAsia="宋体" w:cs="宋体"/>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275.00</w:t>
            </w:r>
          </w:p>
        </w:tc>
        <w:tc>
          <w:tcPr>
            <w:tcW w:w="1080" w:type="dxa"/>
            <w:vAlign w:val="center"/>
          </w:tcPr>
          <w:p>
            <w:pPr>
              <w:pStyle w:val="16"/>
              <w:rPr>
                <w:rFonts w:hint="eastAsia" w:ascii="宋体" w:hAnsi="宋体" w:eastAsia="宋体" w:cs="宋体"/>
                <w:sz w:val="18"/>
                <w:szCs w:val="18"/>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275.00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275.00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北京城建精工钢结构公司厂区改造工程资金</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239.05</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其他建筑工程</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B99000000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239.05</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239.05</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239.05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公安局专项经费</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620.00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其他网络设备</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A02010299</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套</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320.00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320.00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公安局专项经费</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620.00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其他房屋施工</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B01990000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次</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300.00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300.00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拱辰街、朝阳北路交通设施改造升级项目质保金</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117.28</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交通管理设备</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A02370200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批</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117.28</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117.28</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117.28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环卫承包费</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1713.00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基础设施运营服务</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C16080300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年</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1713.00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1713.00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1713.00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开发区南区110KV、10KV电力线路迁移服务项目</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704.04</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其他建筑工程</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B99000000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704.04</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704.04</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704.04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垃圾场承包费</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184.84</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基础设施运营服务</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C16080300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年</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184.84</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184.84</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184.84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其中口村南涧崩塌治理工程</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71.50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山洪防御工程施工</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B02090700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4.00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4.00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其中口村南涧崩塌治理工程</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71.50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山洪防御工程施工</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B02090700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0.80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0.80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其中口村南涧崩塌治理工程</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71.50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山洪防御工程施工</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B02090700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66.70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66.70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区域评估费</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200.00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其他专业技术服务</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C19990000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200.00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200.00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野三坡景区百里峡等路口安装交通监控设施</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87.00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交通管理设备</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A02370200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批</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87.00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87.00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涞水花卉产业园10KV、0.4KV电力迁改项目及35KV电力迁改工程资金</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500.00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其他建筑工程</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B99000000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500.00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500.00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涞阳路交通设施提升项目</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210.00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交通管理设备</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A02370200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批</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210.00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210.00</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涞阳南路、府前街交通设施改造升级项目质保金</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85.39</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交通管理设备</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A02370200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批</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85.39</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85.39</w:t>
            </w: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85.39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54" w:hRule="atLeast"/>
          <w:jc w:val="center"/>
        </w:trPr>
        <w:tc>
          <w:tcPr>
            <w:tcW w:w="1484" w:type="dxa"/>
            <w:vAlign w:val="center"/>
          </w:tcPr>
          <w:p>
            <w:pPr>
              <w:pStyle w:val="17"/>
              <w:rPr>
                <w:rFonts w:hint="eastAsia" w:ascii="宋体" w:hAnsi="宋体" w:eastAsia="宋体" w:cs="宋体"/>
                <w:b w:val="0"/>
                <w:bCs/>
                <w:sz w:val="18"/>
                <w:szCs w:val="18"/>
              </w:rPr>
            </w:pPr>
            <w:r>
              <w:rPr>
                <w:rFonts w:hint="eastAsia" w:ascii="宋体" w:hAnsi="宋体" w:eastAsia="宋体" w:cs="宋体"/>
                <w:sz w:val="18"/>
                <w:szCs w:val="18"/>
              </w:rPr>
              <w:t>2022年草原防火等项目（第二批）中央基建投资预算-（冀财建[2022]177号</w:t>
            </w:r>
          </w:p>
        </w:tc>
        <w:tc>
          <w:tcPr>
            <w:tcW w:w="961"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363.00</w:t>
            </w:r>
          </w:p>
        </w:tc>
        <w:tc>
          <w:tcPr>
            <w:tcW w:w="1095"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其他办公设备</w:t>
            </w:r>
          </w:p>
        </w:tc>
        <w:tc>
          <w:tcPr>
            <w:tcW w:w="763" w:type="dxa"/>
            <w:vAlign w:val="center"/>
          </w:tcPr>
          <w:p>
            <w:pPr>
              <w:pStyle w:val="17"/>
              <w:rPr>
                <w:rFonts w:hint="eastAsia" w:ascii="宋体" w:hAnsi="宋体" w:eastAsia="宋体" w:cs="宋体"/>
                <w:sz w:val="18"/>
                <w:szCs w:val="18"/>
              </w:rPr>
            </w:pPr>
            <w:r>
              <w:rPr>
                <w:rFonts w:hint="eastAsia" w:ascii="宋体" w:hAnsi="宋体" w:eastAsia="宋体" w:cs="宋体"/>
                <w:sz w:val="18"/>
                <w:szCs w:val="18"/>
              </w:rPr>
              <w:t>A02029900</w:t>
            </w:r>
          </w:p>
        </w:tc>
        <w:tc>
          <w:tcPr>
            <w:tcW w:w="662" w:type="dxa"/>
            <w:vAlign w:val="center"/>
          </w:tcPr>
          <w:p>
            <w:pPr>
              <w:pStyle w:val="18"/>
              <w:rPr>
                <w:rFonts w:hint="eastAsia" w:ascii="宋体" w:hAnsi="宋体" w:eastAsia="宋体" w:cs="宋体"/>
                <w:b w:val="0"/>
                <w:bCs/>
                <w:sz w:val="18"/>
                <w:szCs w:val="18"/>
              </w:rPr>
            </w:pPr>
            <w:r>
              <w:rPr>
                <w:rFonts w:hint="eastAsia" w:ascii="宋体" w:hAnsi="宋体" w:eastAsia="宋体" w:cs="宋体"/>
                <w:sz w:val="18"/>
                <w:szCs w:val="18"/>
              </w:rPr>
              <w:t>万元</w:t>
            </w:r>
          </w:p>
        </w:tc>
        <w:tc>
          <w:tcPr>
            <w:tcW w:w="465" w:type="dxa"/>
            <w:vAlign w:val="center"/>
          </w:tcPr>
          <w:p>
            <w:pPr>
              <w:pStyle w:val="16"/>
              <w:rPr>
                <w:rFonts w:hint="eastAsia" w:ascii="宋体" w:hAnsi="宋体" w:eastAsia="宋体" w:cs="宋体"/>
                <w:b w:val="0"/>
                <w:bCs/>
                <w:sz w:val="18"/>
                <w:szCs w:val="18"/>
              </w:rPr>
            </w:pPr>
            <w:r>
              <w:rPr>
                <w:rFonts w:hint="eastAsia" w:ascii="宋体" w:hAnsi="宋体" w:eastAsia="宋体" w:cs="宋体"/>
                <w:sz w:val="18"/>
                <w:szCs w:val="18"/>
              </w:rPr>
              <w:t>1</w:t>
            </w:r>
          </w:p>
        </w:tc>
        <w:tc>
          <w:tcPr>
            <w:tcW w:w="870"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363.00</w:t>
            </w:r>
          </w:p>
        </w:tc>
        <w:tc>
          <w:tcPr>
            <w:tcW w:w="1080" w:type="dxa"/>
            <w:vAlign w:val="center"/>
          </w:tcPr>
          <w:p>
            <w:pPr>
              <w:pStyle w:val="16"/>
              <w:rPr>
                <w:rFonts w:hint="eastAsia" w:ascii="宋体" w:hAnsi="宋体" w:eastAsia="宋体" w:cs="宋体"/>
                <w:b w:val="0"/>
                <w:bCs/>
                <w:sz w:val="18"/>
                <w:szCs w:val="18"/>
                <w:lang w:val="en-US" w:eastAsia="zh-CN"/>
              </w:rPr>
            </w:pPr>
          </w:p>
        </w:tc>
        <w:tc>
          <w:tcPr>
            <w:tcW w:w="570" w:type="dxa"/>
            <w:vAlign w:val="center"/>
          </w:tcPr>
          <w:p>
            <w:pPr>
              <w:pStyle w:val="16"/>
              <w:rPr>
                <w:rFonts w:hint="eastAsia" w:ascii="宋体" w:hAnsi="宋体" w:eastAsia="宋体" w:cs="宋体"/>
                <w:sz w:val="18"/>
                <w:szCs w:val="18"/>
              </w:rPr>
            </w:pPr>
          </w:p>
        </w:tc>
        <w:tc>
          <w:tcPr>
            <w:tcW w:w="1080" w:type="dxa"/>
            <w:vAlign w:val="center"/>
          </w:tcPr>
          <w:p>
            <w:pPr>
              <w:pStyle w:val="16"/>
              <w:rPr>
                <w:rFonts w:hint="eastAsia" w:ascii="宋体" w:hAnsi="宋体" w:eastAsia="宋体" w:cs="宋体"/>
                <w:b w:val="0"/>
                <w:bCs/>
                <w:sz w:val="18"/>
                <w:szCs w:val="18"/>
                <w:lang w:val="en-US" w:eastAsia="zh-CN"/>
              </w:rPr>
            </w:pPr>
          </w:p>
        </w:tc>
        <w:tc>
          <w:tcPr>
            <w:tcW w:w="741" w:type="dxa"/>
            <w:vAlign w:val="center"/>
          </w:tcPr>
          <w:p>
            <w:pPr>
              <w:pStyle w:val="16"/>
              <w:rPr>
                <w:rFonts w:hint="eastAsia" w:ascii="宋体" w:hAnsi="宋体" w:eastAsia="宋体" w:cs="宋体"/>
                <w:sz w:val="18"/>
                <w:szCs w:val="18"/>
              </w:rPr>
            </w:pPr>
          </w:p>
        </w:tc>
        <w:tc>
          <w:tcPr>
            <w:tcW w:w="699" w:type="dxa"/>
            <w:vAlign w:val="center"/>
          </w:tcPr>
          <w:p>
            <w:pPr>
              <w:pStyle w:val="16"/>
              <w:rPr>
                <w:rFonts w:hint="eastAsia" w:ascii="宋体" w:hAnsi="宋体" w:eastAsia="宋体" w:cs="宋体"/>
                <w:sz w:val="18"/>
                <w:szCs w:val="18"/>
              </w:rPr>
            </w:pPr>
          </w:p>
        </w:tc>
        <w:tc>
          <w:tcPr>
            <w:tcW w:w="675" w:type="dxa"/>
            <w:vAlign w:val="center"/>
          </w:tcPr>
          <w:p>
            <w:pPr>
              <w:pStyle w:val="16"/>
              <w:rPr>
                <w:rFonts w:hint="eastAsia" w:ascii="宋体" w:hAnsi="宋体" w:eastAsia="宋体" w:cs="宋体"/>
                <w:sz w:val="18"/>
                <w:szCs w:val="18"/>
              </w:rPr>
            </w:pPr>
          </w:p>
        </w:tc>
        <w:tc>
          <w:tcPr>
            <w:tcW w:w="1005" w:type="dxa"/>
            <w:vAlign w:val="center"/>
          </w:tcPr>
          <w:p>
            <w:pPr>
              <w:pStyle w:val="16"/>
              <w:rPr>
                <w:rFonts w:hint="eastAsia" w:ascii="宋体" w:hAnsi="宋体" w:eastAsia="宋体" w:cs="宋体"/>
                <w:sz w:val="18"/>
                <w:szCs w:val="18"/>
              </w:rPr>
            </w:pPr>
            <w:r>
              <w:rPr>
                <w:rFonts w:hint="eastAsia" w:ascii="宋体" w:hAnsi="宋体" w:eastAsia="宋体" w:cs="宋体"/>
                <w:sz w:val="18"/>
                <w:szCs w:val="18"/>
              </w:rPr>
              <w:t>363.00</w:t>
            </w:r>
          </w:p>
        </w:tc>
        <w:tc>
          <w:tcPr>
            <w:tcW w:w="750" w:type="dxa"/>
            <w:vAlign w:val="center"/>
          </w:tcPr>
          <w:p>
            <w:pPr>
              <w:pStyle w:val="16"/>
              <w:rPr>
                <w:rFonts w:hint="eastAsia" w:ascii="宋体" w:hAnsi="宋体" w:eastAsia="宋体" w:cs="宋体"/>
                <w:sz w:val="18"/>
                <w:szCs w:val="18"/>
              </w:rPr>
            </w:pPr>
          </w:p>
        </w:tc>
        <w:tc>
          <w:tcPr>
            <w:tcW w:w="1079" w:type="dxa"/>
            <w:vAlign w:val="center"/>
          </w:tcPr>
          <w:p>
            <w:pPr>
              <w:pStyle w:val="16"/>
              <w:rPr>
                <w:rFonts w:hint="eastAsia" w:ascii="宋体" w:hAnsi="宋体" w:eastAsia="宋体" w:cs="宋体"/>
                <w:b w:val="0"/>
                <w:bCs/>
                <w:sz w:val="18"/>
                <w:szCs w:val="18"/>
                <w:lang w:val="en-US" w:eastAsia="zh-CN"/>
              </w:rPr>
            </w:pPr>
            <w:r>
              <w:rPr>
                <w:rFonts w:hint="eastAsia" w:ascii="宋体" w:hAnsi="宋体" w:eastAsia="宋体" w:cs="宋体"/>
                <w:sz w:val="18"/>
                <w:szCs w:val="18"/>
              </w:rPr>
              <w:t>363.00</w:t>
            </w:r>
          </w:p>
        </w:tc>
      </w:tr>
    </w:tbl>
    <w:p>
      <w:pPr>
        <w:jc w:val="both"/>
        <w:rPr>
          <w:rFonts w:ascii="方正书宋_GBK" w:hAnsi="方正书宋_GBK" w:eastAsia="方正书宋_GBK" w:cs="方正书宋_GBK"/>
          <w:color w:val="000000"/>
          <w:sz w:val="21"/>
        </w:rPr>
      </w:pPr>
    </w:p>
    <w:p>
      <w:pPr>
        <w:jc w:val="both"/>
        <w:rPr>
          <w:rFonts w:ascii="方正书宋_GBK" w:hAnsi="方正书宋_GBK" w:eastAsia="方正书宋_GBK" w:cs="方正书宋_GBK"/>
          <w:color w:val="000000"/>
          <w:sz w:val="21"/>
        </w:rPr>
      </w:pPr>
    </w:p>
    <w:p>
      <w:pPr>
        <w:jc w:val="both"/>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firstLineChars="200"/>
        <w:outlineLvl w:val="2"/>
      </w:pPr>
      <w:r>
        <w:rPr>
          <w:rFonts w:ascii="黑体" w:hAnsi="黑体" w:eastAsia="黑体" w:cs="黑体"/>
          <w:color w:val="000000"/>
          <w:sz w:val="32"/>
        </w:rPr>
        <w:t>七、国有资产信息</w:t>
      </w:r>
      <w:bookmarkEnd w:id="1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16" w:name="_Toc_3_3_0000000017"/>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年年末我单位固定资产总额832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6088万元，其中，房屋及构筑物390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3616万元，涉及两处不动产；汽车辆数19辆，摩托车辆数10辆，共价值220.7089万元；通用设备家具、电脑、打印机等价值149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8052万元；专用设备71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7330万元。其中单价20万元以上的设备：不动产共享交换设备42</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p>
    <w:p>
      <w:pPr>
        <w:pStyle w:val="8"/>
        <w:shd w:val="clear" w:color="auto" w:fill="FFFFFF"/>
        <w:spacing w:line="560" w:lineRule="exact"/>
        <w:ind w:firstLine="640"/>
        <w:rPr>
          <w:rFonts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固定资产占用情况表</w:t>
      </w:r>
    </w:p>
    <w:tbl>
      <w:tblPr>
        <w:tblStyle w:val="9"/>
        <w:tblpPr w:leftFromText="180" w:rightFromText="180" w:vertAnchor="text" w:horzAnchor="page" w:tblpX="1424" w:tblpY="5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1"/>
        <w:gridCol w:w="2151"/>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项  目</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数量</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b/>
                <w:bCs/>
                <w:color w:val="000000"/>
                <w:kern w:val="0"/>
                <w:sz w:val="21"/>
                <w:szCs w:val="21"/>
              </w:rPr>
              <w:t>固定资产总额</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832.6088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1、房屋（平方米）</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sz w:val="21"/>
                <w:szCs w:val="21"/>
              </w:rPr>
              <w:t>2543</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390.3616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color w:val="000000"/>
                <w:kern w:val="0"/>
                <w:sz w:val="21"/>
                <w:szCs w:val="21"/>
              </w:rPr>
              <w:t>其中：办公用房（平方米）</w:t>
            </w:r>
          </w:p>
        </w:tc>
        <w:tc>
          <w:tcPr>
            <w:tcW w:w="215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sz w:val="21"/>
                <w:szCs w:val="21"/>
              </w:rPr>
              <w:t>2543</w:t>
            </w:r>
          </w:p>
        </w:tc>
        <w:tc>
          <w:tcPr>
            <w:tcW w:w="5616"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宋体" w:hAnsi="宋体"/>
                <w:sz w:val="21"/>
                <w:szCs w:val="21"/>
              </w:rPr>
            </w:pPr>
            <w:r>
              <w:rPr>
                <w:rFonts w:hint="eastAsia" w:ascii="宋体" w:hAnsi="宋体" w:cs="仿宋"/>
                <w:sz w:val="21"/>
                <w:szCs w:val="21"/>
              </w:rPr>
              <w:t>390.3616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olor w:val="000000"/>
                <w:kern w:val="0"/>
                <w:sz w:val="21"/>
                <w:szCs w:val="21"/>
              </w:rPr>
              <w:t>2、车辆（台、辆）</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sz w:val="21"/>
                <w:szCs w:val="21"/>
              </w:rPr>
              <w:t>29</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sz w:val="21"/>
                <w:szCs w:val="21"/>
              </w:rPr>
            </w:pPr>
            <w:r>
              <w:rPr>
                <w:rFonts w:hint="eastAsia" w:ascii="宋体" w:hAnsi="宋体" w:cs="仿宋"/>
                <w:sz w:val="21"/>
                <w:szCs w:val="21"/>
              </w:rPr>
              <w:t>220.7089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eastAsia="仿宋_GB2312"/>
                <w:sz w:val="21"/>
                <w:szCs w:val="21"/>
              </w:rPr>
            </w:pPr>
            <w:r>
              <w:rPr>
                <w:rFonts w:hint="eastAsia" w:ascii="宋体" w:hAnsi="宋体"/>
                <w:color w:val="000000"/>
                <w:kern w:val="0"/>
                <w:sz w:val="21"/>
                <w:szCs w:val="21"/>
              </w:rPr>
              <w:t>3、单价在20万元以上的设备</w:t>
            </w:r>
          </w:p>
        </w:tc>
        <w:tc>
          <w:tcPr>
            <w:tcW w:w="2151"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eastAsia" w:ascii="宋体" w:hAnsi="宋体" w:eastAsia="仿宋_GB2312"/>
                <w:color w:val="000000"/>
                <w:kern w:val="0"/>
                <w:sz w:val="21"/>
                <w:szCs w:val="21"/>
                <w:lang w:val="en-US" w:eastAsia="zh-CN"/>
              </w:rPr>
            </w:pPr>
            <w:r>
              <w:rPr>
                <w:rFonts w:hint="eastAsia" w:ascii="宋体" w:hAnsi="宋体" w:eastAsia="仿宋_GB2312"/>
                <w:color w:val="000000"/>
                <w:kern w:val="0"/>
                <w:sz w:val="21"/>
                <w:szCs w:val="21"/>
                <w:lang w:val="en-US" w:eastAsia="zh-CN"/>
              </w:rPr>
              <w:t>1</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hint="default" w:ascii="仿宋_GB2312" w:eastAsia="仿宋_GB2312"/>
                <w:sz w:val="21"/>
                <w:szCs w:val="21"/>
                <w:lang w:val="en-US" w:eastAsia="zh-CN"/>
              </w:rPr>
            </w:pPr>
            <w:r>
              <w:rPr>
                <w:rFonts w:hint="eastAsia" w:ascii="宋体" w:hAnsi="宋体" w:cs="仿宋"/>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051"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sz w:val="21"/>
                <w:szCs w:val="21"/>
              </w:rPr>
            </w:pPr>
            <w:r>
              <w:rPr>
                <w:rFonts w:hint="eastAsia" w:ascii="宋体" w:hAnsi="宋体"/>
                <w:color w:val="000000"/>
                <w:kern w:val="0"/>
                <w:sz w:val="21"/>
                <w:szCs w:val="21"/>
              </w:rPr>
              <w:t>4、其他固定资产</w:t>
            </w:r>
          </w:p>
        </w:tc>
        <w:tc>
          <w:tcPr>
            <w:tcW w:w="2151" w:type="dxa"/>
            <w:tcBorders>
              <w:top w:val="single" w:color="auto" w:sz="4" w:space="0"/>
              <w:left w:val="nil"/>
              <w:bottom w:val="single" w:color="auto" w:sz="4" w:space="0"/>
              <w:right w:val="single" w:color="auto" w:sz="4" w:space="0"/>
            </w:tcBorders>
            <w:noWrap w:val="0"/>
            <w:vAlign w:val="center"/>
          </w:tcPr>
          <w:p>
            <w:pPr>
              <w:spacing w:line="560" w:lineRule="exact"/>
              <w:jc w:val="center"/>
              <w:rPr>
                <w:rFonts w:ascii="仿宋_GB2312" w:eastAsia="仿宋_GB2312"/>
                <w:sz w:val="21"/>
                <w:szCs w:val="21"/>
              </w:rPr>
            </w:pPr>
            <w:r>
              <w:rPr>
                <w:rFonts w:hint="eastAsia" w:ascii="宋体" w:hAnsi="宋体"/>
                <w:color w:val="000000"/>
                <w:kern w:val="0"/>
                <w:sz w:val="21"/>
                <w:szCs w:val="21"/>
              </w:rPr>
              <w:t>—</w:t>
            </w:r>
          </w:p>
        </w:tc>
        <w:tc>
          <w:tcPr>
            <w:tcW w:w="5616" w:type="dxa"/>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宋体" w:hAnsi="宋体" w:cs="仿宋"/>
                <w:sz w:val="21"/>
                <w:szCs w:val="21"/>
              </w:rPr>
            </w:pPr>
            <w:r>
              <w:rPr>
                <w:rFonts w:hint="eastAsia" w:ascii="宋体" w:hAnsi="宋体" w:cs="仿宋"/>
                <w:sz w:val="21"/>
                <w:szCs w:val="21"/>
              </w:rPr>
              <w:t>172.0193</w:t>
            </w:r>
          </w:p>
        </w:tc>
      </w:tr>
    </w:tbl>
    <w:p>
      <w:pPr>
        <w:pStyle w:val="8"/>
        <w:shd w:val="clear" w:color="auto" w:fill="FFFFFF"/>
        <w:spacing w:line="560" w:lineRule="exact"/>
        <w:ind w:firstLine="640"/>
        <w:rPr>
          <w:rFonts w:hint="eastAsia" w:ascii="宋体" w:hAnsi="宋体" w:cs="仿宋"/>
        </w:rPr>
      </w:pPr>
      <w:r>
        <w:rPr>
          <w:rFonts w:hint="eastAsia" w:ascii="宋体" w:hAnsi="宋体" w:cs="仿宋"/>
        </w:rPr>
        <w:t xml:space="preserve">              </w:t>
      </w: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640"/>
        <w:rPr>
          <w:rFonts w:hint="eastAsia" w:ascii="宋体" w:hAnsi="宋体" w:cs="仿宋"/>
        </w:rPr>
      </w:pPr>
    </w:p>
    <w:p>
      <w:pPr>
        <w:pStyle w:val="8"/>
        <w:shd w:val="clear" w:color="auto" w:fill="FFFFFF"/>
        <w:spacing w:line="560" w:lineRule="exact"/>
        <w:ind w:firstLine="8546" w:firstLineChars="3561"/>
        <w:rPr>
          <w:rFonts w:ascii="宋体" w:hAnsi="宋体"/>
        </w:rPr>
      </w:pPr>
      <w:r>
        <w:rPr>
          <w:rFonts w:hint="eastAsia" w:ascii="宋体" w:hAnsi="宋体" w:cs="仿宋"/>
          <w:color w:val="000000"/>
        </w:rPr>
        <w:t>截止时间：20</w:t>
      </w:r>
      <w:r>
        <w:rPr>
          <w:rFonts w:hint="eastAsia" w:ascii="宋体" w:hAnsi="宋体" w:cs="仿宋"/>
          <w:color w:val="000000"/>
          <w:lang w:val="en-US" w:eastAsia="zh-CN"/>
        </w:rPr>
        <w:t>21</w:t>
      </w:r>
      <w:r>
        <w:rPr>
          <w:rFonts w:hint="eastAsia" w:ascii="宋体" w:hAnsi="宋体" w:cs="仿宋"/>
          <w:color w:val="000000"/>
        </w:rPr>
        <w:t>年12月31日</w:t>
      </w:r>
      <w:r>
        <w:rPr>
          <w:rFonts w:hint="eastAsia" w:ascii="宋体" w:hAnsi="宋体"/>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我局固定资产明细如下：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1、房产2处，土地使用权分别为0.79亩、1.42亩,房屋面积分别为1299平米、1244平米。</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2、汽车19辆，两轮摩托车10台。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3、一般设备：空调50台，打印机83台，台式电脑58台，笔记本电脑4台，手持GPS34台，执法仪67个，其他设备若干。</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000000"/>
          <w:sz w:val="32"/>
        </w:rPr>
      </w:pPr>
      <w:r>
        <w:rPr>
          <w:rFonts w:hint="eastAsia" w:ascii="仿宋_GB2312" w:hAnsi="仿宋_GB2312" w:eastAsia="仿宋_GB2312" w:cs="仿宋_GB2312"/>
          <w:sz w:val="32"/>
          <w:szCs w:val="32"/>
          <w:lang w:val="en-US" w:eastAsia="zh-CN"/>
        </w:rPr>
        <w:t>2022年我部门无购置固定资产情况。</w:t>
      </w: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7" w:name="_Toc_3_3_0000000018"/>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B4C2E"/>
    <w:rsid w:val="01E23B7B"/>
    <w:rsid w:val="03997AE5"/>
    <w:rsid w:val="03AE6E21"/>
    <w:rsid w:val="054B4674"/>
    <w:rsid w:val="05F72E03"/>
    <w:rsid w:val="07402A87"/>
    <w:rsid w:val="07D50919"/>
    <w:rsid w:val="08311A97"/>
    <w:rsid w:val="088345DF"/>
    <w:rsid w:val="09307030"/>
    <w:rsid w:val="0A5B257C"/>
    <w:rsid w:val="0AAD08F7"/>
    <w:rsid w:val="0F080B12"/>
    <w:rsid w:val="0F2648C5"/>
    <w:rsid w:val="0FC47022"/>
    <w:rsid w:val="11B8632C"/>
    <w:rsid w:val="13155376"/>
    <w:rsid w:val="13F851FE"/>
    <w:rsid w:val="15000D60"/>
    <w:rsid w:val="162C6EB0"/>
    <w:rsid w:val="16747F26"/>
    <w:rsid w:val="169508BC"/>
    <w:rsid w:val="16BE59A3"/>
    <w:rsid w:val="17275F8D"/>
    <w:rsid w:val="174D4525"/>
    <w:rsid w:val="1750655B"/>
    <w:rsid w:val="17F52331"/>
    <w:rsid w:val="195E7F0D"/>
    <w:rsid w:val="1B0114BA"/>
    <w:rsid w:val="1B107ADE"/>
    <w:rsid w:val="1B7900EB"/>
    <w:rsid w:val="1C0E117B"/>
    <w:rsid w:val="1C821675"/>
    <w:rsid w:val="1DA60D77"/>
    <w:rsid w:val="1ED16490"/>
    <w:rsid w:val="1F001077"/>
    <w:rsid w:val="20F67022"/>
    <w:rsid w:val="226822BD"/>
    <w:rsid w:val="24616811"/>
    <w:rsid w:val="25D17336"/>
    <w:rsid w:val="265514D7"/>
    <w:rsid w:val="27D1149E"/>
    <w:rsid w:val="28552771"/>
    <w:rsid w:val="28856053"/>
    <w:rsid w:val="292E55D7"/>
    <w:rsid w:val="2A7F3244"/>
    <w:rsid w:val="2B1F1365"/>
    <w:rsid w:val="2DEA131C"/>
    <w:rsid w:val="2FCB406D"/>
    <w:rsid w:val="31981D6A"/>
    <w:rsid w:val="321B589B"/>
    <w:rsid w:val="326C67A3"/>
    <w:rsid w:val="32D6736A"/>
    <w:rsid w:val="33D42478"/>
    <w:rsid w:val="343F4B49"/>
    <w:rsid w:val="34A808EB"/>
    <w:rsid w:val="35213875"/>
    <w:rsid w:val="3796554B"/>
    <w:rsid w:val="37C01B9C"/>
    <w:rsid w:val="37CF26CA"/>
    <w:rsid w:val="38266DC5"/>
    <w:rsid w:val="38E452E6"/>
    <w:rsid w:val="39632C69"/>
    <w:rsid w:val="398A34FF"/>
    <w:rsid w:val="3A034024"/>
    <w:rsid w:val="3BB3471E"/>
    <w:rsid w:val="3BE64ED1"/>
    <w:rsid w:val="3C526A0A"/>
    <w:rsid w:val="3D5C645B"/>
    <w:rsid w:val="3FA673C3"/>
    <w:rsid w:val="3FC36518"/>
    <w:rsid w:val="409969B6"/>
    <w:rsid w:val="40CD2B03"/>
    <w:rsid w:val="41171FD0"/>
    <w:rsid w:val="43A55E49"/>
    <w:rsid w:val="456112A8"/>
    <w:rsid w:val="46EA0127"/>
    <w:rsid w:val="481F30A9"/>
    <w:rsid w:val="485C6DF9"/>
    <w:rsid w:val="48BA73C9"/>
    <w:rsid w:val="4A6E08DD"/>
    <w:rsid w:val="4B49722A"/>
    <w:rsid w:val="4D6B4997"/>
    <w:rsid w:val="4DCC1D54"/>
    <w:rsid w:val="4DDF0103"/>
    <w:rsid w:val="503D57FB"/>
    <w:rsid w:val="51357465"/>
    <w:rsid w:val="51F67A42"/>
    <w:rsid w:val="520704DC"/>
    <w:rsid w:val="53441882"/>
    <w:rsid w:val="54D2203E"/>
    <w:rsid w:val="54EA7388"/>
    <w:rsid w:val="554E3DD1"/>
    <w:rsid w:val="56A26341"/>
    <w:rsid w:val="57662746"/>
    <w:rsid w:val="578409E1"/>
    <w:rsid w:val="57A710E4"/>
    <w:rsid w:val="58351BEA"/>
    <w:rsid w:val="59DD570D"/>
    <w:rsid w:val="5AC870C9"/>
    <w:rsid w:val="5AF812E0"/>
    <w:rsid w:val="5B01542B"/>
    <w:rsid w:val="5D916BCF"/>
    <w:rsid w:val="5EF77271"/>
    <w:rsid w:val="5FA27483"/>
    <w:rsid w:val="5FBC4017"/>
    <w:rsid w:val="5FE5531C"/>
    <w:rsid w:val="60496E03"/>
    <w:rsid w:val="60B048C6"/>
    <w:rsid w:val="60C54708"/>
    <w:rsid w:val="60EB65DA"/>
    <w:rsid w:val="618868A7"/>
    <w:rsid w:val="621C69DD"/>
    <w:rsid w:val="63BA77AE"/>
    <w:rsid w:val="64684DAF"/>
    <w:rsid w:val="64C1262D"/>
    <w:rsid w:val="65513813"/>
    <w:rsid w:val="65805293"/>
    <w:rsid w:val="663C74B6"/>
    <w:rsid w:val="66AF4697"/>
    <w:rsid w:val="67C55AD2"/>
    <w:rsid w:val="681F30A7"/>
    <w:rsid w:val="68D218BB"/>
    <w:rsid w:val="69330D2B"/>
    <w:rsid w:val="6BDE260D"/>
    <w:rsid w:val="6DF221BF"/>
    <w:rsid w:val="6E2D3C13"/>
    <w:rsid w:val="6E86574F"/>
    <w:rsid w:val="6F10021F"/>
    <w:rsid w:val="6F153270"/>
    <w:rsid w:val="70057F14"/>
    <w:rsid w:val="74493EE1"/>
    <w:rsid w:val="75370F72"/>
    <w:rsid w:val="755C6A27"/>
    <w:rsid w:val="770A654F"/>
    <w:rsid w:val="780441DB"/>
    <w:rsid w:val="78537EE7"/>
    <w:rsid w:val="78EB4D7D"/>
    <w:rsid w:val="79554E68"/>
    <w:rsid w:val="79E92814"/>
    <w:rsid w:val="7A0E773F"/>
    <w:rsid w:val="7CA85B5D"/>
    <w:rsid w:val="7D221505"/>
    <w:rsid w:val="7E2135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5"/>
    <w:autoRedefine/>
    <w:unhideWhenUsed/>
    <w:qFormat/>
    <w:uiPriority w:val="99"/>
    <w:pPr>
      <w:tabs>
        <w:tab w:val="center" w:pos="4153"/>
        <w:tab w:val="right" w:pos="8306"/>
      </w:tabs>
      <w:snapToGrid w:val="0"/>
    </w:pPr>
    <w:rPr>
      <w:sz w:val="18"/>
      <w:szCs w:val="18"/>
    </w:rPr>
  </w:style>
  <w:style w:type="paragraph" w:styleId="4">
    <w:name w:val="header"/>
    <w:basedOn w:val="1"/>
    <w:link w:val="3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99"/>
    <w:pPr>
      <w:jc w:val="left"/>
    </w:pPr>
    <w:rPr>
      <w:kern w:val="0"/>
      <w:sz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07DF196-29BA-4F64-A2E6-9B891D8DA970}">
  <ds:schemaRefs/>
</ds:datastoreItem>
</file>

<file path=customXml/itemProps11.xml><?xml version="1.0" encoding="utf-8"?>
<ds:datastoreItem xmlns:ds="http://schemas.openxmlformats.org/officeDocument/2006/customXml" ds:itemID="{4D21B174-EFD5-481F-8023-ECD2C99EA6A5}">
  <ds:schemaRefs/>
</ds:datastoreItem>
</file>

<file path=customXml/itemProps12.xml><?xml version="1.0" encoding="utf-8"?>
<ds:datastoreItem xmlns:ds="http://schemas.openxmlformats.org/officeDocument/2006/customXml" ds:itemID="{B8034E79-3EC9-4FB4-8900-8DB566ED87F2}">
  <ds:schemaRefs/>
</ds:datastoreItem>
</file>

<file path=customXml/itemProps13.xml><?xml version="1.0" encoding="utf-8"?>
<ds:datastoreItem xmlns:ds="http://schemas.openxmlformats.org/officeDocument/2006/customXml" ds:itemID="{82063DCE-E0D9-4D45-94AB-06A5849F123C}">
  <ds:schemaRefs/>
</ds:datastoreItem>
</file>

<file path=customXml/itemProps14.xml><?xml version="1.0" encoding="utf-8"?>
<ds:datastoreItem xmlns:ds="http://schemas.openxmlformats.org/officeDocument/2006/customXml" ds:itemID="{7DA1E944-597F-4D9A-ADC8-E3A5D62388E9}">
  <ds:schemaRefs/>
</ds:datastoreItem>
</file>

<file path=customXml/itemProps15.xml><?xml version="1.0" encoding="utf-8"?>
<ds:datastoreItem xmlns:ds="http://schemas.openxmlformats.org/officeDocument/2006/customXml" ds:itemID="{240D75C0-5405-407A-9D88-451A6C53325C}">
  <ds:schemaRefs/>
</ds:datastoreItem>
</file>

<file path=customXml/itemProps16.xml><?xml version="1.0" encoding="utf-8"?>
<ds:datastoreItem xmlns:ds="http://schemas.openxmlformats.org/officeDocument/2006/customXml" ds:itemID="{DFFE41CD-7795-417D-8B3D-7B7E92ADCE28}">
  <ds:schemaRefs/>
</ds:datastoreItem>
</file>

<file path=customXml/itemProps17.xml><?xml version="1.0" encoding="utf-8"?>
<ds:datastoreItem xmlns:ds="http://schemas.openxmlformats.org/officeDocument/2006/customXml" ds:itemID="{DD8D39B1-E032-4B64-9020-66CD65ABCD3B}">
  <ds:schemaRefs/>
</ds:datastoreItem>
</file>

<file path=customXml/itemProps18.xml><?xml version="1.0" encoding="utf-8"?>
<ds:datastoreItem xmlns:ds="http://schemas.openxmlformats.org/officeDocument/2006/customXml" ds:itemID="{6C8F0DDD-DA95-49D7-BEC9-54BED6023821}">
  <ds:schemaRefs/>
</ds:datastoreItem>
</file>

<file path=customXml/itemProps19.xml><?xml version="1.0" encoding="utf-8"?>
<ds:datastoreItem xmlns:ds="http://schemas.openxmlformats.org/officeDocument/2006/customXml" ds:itemID="{BAA19A8D-5B92-489B-B169-BAD91A103344}">
  <ds:schemaRefs/>
</ds:datastoreItem>
</file>

<file path=customXml/itemProps2.xml><?xml version="1.0" encoding="utf-8"?>
<ds:datastoreItem xmlns:ds="http://schemas.openxmlformats.org/officeDocument/2006/customXml" ds:itemID="{D5DDAF8B-C90E-40EE-B940-CCD547411B81}">
  <ds:schemaRefs/>
</ds:datastoreItem>
</file>

<file path=customXml/itemProps20.xml><?xml version="1.0" encoding="utf-8"?>
<ds:datastoreItem xmlns:ds="http://schemas.openxmlformats.org/officeDocument/2006/customXml" ds:itemID="{9E39FA8A-0D5E-4C72-88C2-A4A5C9D016A3}">
  <ds:schemaRefs/>
</ds:datastoreItem>
</file>

<file path=customXml/itemProps21.xml><?xml version="1.0" encoding="utf-8"?>
<ds:datastoreItem xmlns:ds="http://schemas.openxmlformats.org/officeDocument/2006/customXml" ds:itemID="{127F30A9-AC64-4000-970B-04BBBAF6782F}">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9B2DCA2B-261B-4FC5-92E2-74D6E9C53092}">
  <ds:schemaRefs/>
</ds:datastoreItem>
</file>

<file path=customXml/itemProps25.xml><?xml version="1.0" encoding="utf-8"?>
<ds:datastoreItem xmlns:ds="http://schemas.openxmlformats.org/officeDocument/2006/customXml" ds:itemID="{6A6DB8E6-5EDD-4508-B255-AD07BCA264C9}">
  <ds:schemaRefs/>
</ds:datastoreItem>
</file>

<file path=customXml/itemProps26.xml><?xml version="1.0" encoding="utf-8"?>
<ds:datastoreItem xmlns:ds="http://schemas.openxmlformats.org/officeDocument/2006/customXml" ds:itemID="{CB6B8C05-D526-4E72-8AB4-B1FB0F487636}">
  <ds:schemaRefs/>
</ds:datastoreItem>
</file>

<file path=customXml/itemProps27.xml><?xml version="1.0" encoding="utf-8"?>
<ds:datastoreItem xmlns:ds="http://schemas.openxmlformats.org/officeDocument/2006/customXml" ds:itemID="{5EFC46A3-03BA-4ECF-B65E-51918400F753}">
  <ds:schemaRefs/>
</ds:datastoreItem>
</file>

<file path=customXml/itemProps28.xml><?xml version="1.0" encoding="utf-8"?>
<ds:datastoreItem xmlns:ds="http://schemas.openxmlformats.org/officeDocument/2006/customXml" ds:itemID="{4074F53B-6AA8-493B-96FF-0D7EB858216C}">
  <ds:schemaRefs/>
</ds:datastoreItem>
</file>

<file path=customXml/itemProps29.xml><?xml version="1.0" encoding="utf-8"?>
<ds:datastoreItem xmlns:ds="http://schemas.openxmlformats.org/officeDocument/2006/customXml" ds:itemID="{989DA21E-0CDF-4E3D-84F6-1D172BF7F4B9}">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C66F43F9-0AB8-4241-BA67-D8AE60CF6C21}">
  <ds:schemaRefs/>
</ds:datastoreItem>
</file>

<file path=customXml/itemProps31.xml><?xml version="1.0" encoding="utf-8"?>
<ds:datastoreItem xmlns:ds="http://schemas.openxmlformats.org/officeDocument/2006/customXml" ds:itemID="{C486A553-0F69-4945-B340-E49BCA32411A}">
  <ds:schemaRefs/>
</ds:datastoreItem>
</file>

<file path=customXml/itemProps32.xml><?xml version="1.0" encoding="utf-8"?>
<ds:datastoreItem xmlns:ds="http://schemas.openxmlformats.org/officeDocument/2006/customXml" ds:itemID="{BC8B0B68-B399-4D6D-AE2B-284CCF1A5CB6}">
  <ds:schemaRefs/>
</ds:datastoreItem>
</file>

<file path=customXml/itemProps33.xml><?xml version="1.0" encoding="utf-8"?>
<ds:datastoreItem xmlns:ds="http://schemas.openxmlformats.org/officeDocument/2006/customXml" ds:itemID="{C593EC27-B89C-46A8-9CF9-3B5AE2B23C20}">
  <ds:schemaRefs/>
</ds:datastoreItem>
</file>

<file path=customXml/itemProps34.xml><?xml version="1.0" encoding="utf-8"?>
<ds:datastoreItem xmlns:ds="http://schemas.openxmlformats.org/officeDocument/2006/customXml" ds:itemID="{1C4E702D-2594-4689-8404-84AFD7E73E52}">
  <ds:schemaRefs/>
</ds:datastoreItem>
</file>

<file path=customXml/itemProps35.xml><?xml version="1.0" encoding="utf-8"?>
<ds:datastoreItem xmlns:ds="http://schemas.openxmlformats.org/officeDocument/2006/customXml" ds:itemID="{3300B263-A8B2-4577-A8B1-07D060066AC1}">
  <ds:schemaRefs/>
</ds:datastoreItem>
</file>

<file path=customXml/itemProps36.xml><?xml version="1.0" encoding="utf-8"?>
<ds:datastoreItem xmlns:ds="http://schemas.openxmlformats.org/officeDocument/2006/customXml" ds:itemID="{526561F4-D429-4474-A75E-30A59CF88000}">
  <ds:schemaRefs/>
</ds:datastoreItem>
</file>

<file path=customXml/itemProps37.xml><?xml version="1.0" encoding="utf-8"?>
<ds:datastoreItem xmlns:ds="http://schemas.openxmlformats.org/officeDocument/2006/customXml" ds:itemID="{B9E9C162-3959-4E09-8552-3788A3BCB94D}">
  <ds:schemaRefs/>
</ds:datastoreItem>
</file>

<file path=customXml/itemProps38.xml><?xml version="1.0" encoding="utf-8"?>
<ds:datastoreItem xmlns:ds="http://schemas.openxmlformats.org/officeDocument/2006/customXml" ds:itemID="{66CC41B6-D28D-4EED-B564-F0D3D013B8B1}">
  <ds:schemaRefs/>
</ds:datastoreItem>
</file>

<file path=customXml/itemProps39.xml><?xml version="1.0" encoding="utf-8"?>
<ds:datastoreItem xmlns:ds="http://schemas.openxmlformats.org/officeDocument/2006/customXml" ds:itemID="{335668B4-649C-41E0-BC80-7D94ABF681A2}">
  <ds:schemaRefs/>
</ds:datastoreItem>
</file>

<file path=customXml/itemProps4.xml><?xml version="1.0" encoding="utf-8"?>
<ds:datastoreItem xmlns:ds="http://schemas.openxmlformats.org/officeDocument/2006/customXml" ds:itemID="{C864F1CC-9C8C-41E6-8FD8-C85E12A44050}">
  <ds:schemaRefs/>
</ds:datastoreItem>
</file>

<file path=customXml/itemProps40.xml><?xml version="1.0" encoding="utf-8"?>
<ds:datastoreItem xmlns:ds="http://schemas.openxmlformats.org/officeDocument/2006/customXml" ds:itemID="{B52E45D6-0F3C-4B21-B161-FA591631F8EB}">
  <ds:schemaRefs/>
</ds:datastoreItem>
</file>

<file path=customXml/itemProps5.xml><?xml version="1.0" encoding="utf-8"?>
<ds:datastoreItem xmlns:ds="http://schemas.openxmlformats.org/officeDocument/2006/customXml" ds:itemID="{E56AD1C2-FB4D-4572-86C7-2470DBB3943B}">
  <ds:schemaRefs/>
</ds:datastoreItem>
</file>

<file path=customXml/itemProps6.xml><?xml version="1.0" encoding="utf-8"?>
<ds:datastoreItem xmlns:ds="http://schemas.openxmlformats.org/officeDocument/2006/customXml" ds:itemID="{55A60376-5F1A-4B58-BE70-A0B8CD8AC393}">
  <ds:schemaRefs/>
</ds:datastoreItem>
</file>

<file path=customXml/itemProps7.xml><?xml version="1.0" encoding="utf-8"?>
<ds:datastoreItem xmlns:ds="http://schemas.openxmlformats.org/officeDocument/2006/customXml" ds:itemID="{FF40C868-CD10-4565-BD6F-28B55B247751}">
  <ds:schemaRefs/>
</ds:datastoreItem>
</file>

<file path=customXml/itemProps8.xml><?xml version="1.0" encoding="utf-8"?>
<ds:datastoreItem xmlns:ds="http://schemas.openxmlformats.org/officeDocument/2006/customXml" ds:itemID="{F2B0114A-1BF3-408C-A937-DBD594359DD7}">
  <ds:schemaRefs/>
</ds:datastoreItem>
</file>

<file path=customXml/itemProps9.xml><?xml version="1.0" encoding="utf-8"?>
<ds:datastoreItem xmlns:ds="http://schemas.openxmlformats.org/officeDocument/2006/customXml" ds:itemID="{BF249A3C-5046-4792-B1C7-86A45BD0F7B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176</Pages>
  <Words>62755</Words>
  <Characters>75779</Characters>
  <Lines>107</Lines>
  <Paragraphs>30</Paragraphs>
  <TotalTime>27</TotalTime>
  <ScaleCrop>false</ScaleCrop>
  <LinksUpToDate>false</LinksUpToDate>
  <CharactersWithSpaces>77214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2023-02-07T07:11:00Z</cp:lastPrinted>
  <dcterms:modified xsi:type="dcterms:W3CDTF">2024-02-01T06:11:39Z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5B3202D2BCAD4C0682B9A9D71071880C</vt:lpwstr>
  </property>
</Properties>
</file>