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58" w:name="_GoBack"/>
      <w:bookmarkEnd w:id="58"/>
      <w:r>
        <w:rPr>
          <w:rFonts w:ascii="黑体" w:hAnsi="黑体" w:eastAsia="黑体" w:cs="黑体"/>
          <w:b/>
          <w:color w:val="000000"/>
          <w:sz w:val="44"/>
        </w:rPr>
        <w:t>2022年</w:t>
      </w:r>
      <w:r>
        <w:rPr>
          <w:rFonts w:hint="eastAsia" w:ascii="黑体" w:hAnsi="黑体" w:eastAsia="黑体" w:cs="黑体"/>
          <w:b/>
          <w:color w:val="000000"/>
          <w:sz w:val="44"/>
          <w:lang w:eastAsia="zh-CN"/>
        </w:rPr>
        <w:t>涞水县住房和城乡建设局</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6"/>
        <w:tabs>
          <w:tab w:val="right" w:leader="dot" w:pos="14562"/>
        </w:tabs>
        <w:rPr>
          <w:lang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5</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7</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9</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11</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15</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16</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17</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18</w:t>
      </w:r>
      <w:r>
        <w:rPr>
          <w:rFonts w:hint="eastAsia"/>
          <w:lang w:eastAsia="zh-CN"/>
        </w:rPr>
        <w:fldChar w:fldCharType="end"/>
      </w:r>
    </w:p>
    <w:p>
      <w:pPr>
        <w:pStyle w:val="6"/>
        <w:tabs>
          <w:tab w:val="right" w:leader="dot" w:pos="14562"/>
        </w:tabs>
      </w:pPr>
      <w:r>
        <w:fldChar w:fldCharType="begin"/>
      </w:r>
      <w:r>
        <w:instrText xml:space="preserve"> HYPERLINK \l "_Toc_3_3_0000000011" </w:instrText>
      </w:r>
      <w:r>
        <w:fldChar w:fldCharType="separate"/>
      </w:r>
      <w:r>
        <w:t>二、部门预算安排的总体情况</w:t>
      </w:r>
      <w:r>
        <w:tab/>
      </w:r>
      <w:r>
        <w:rPr>
          <w:rFonts w:hint="eastAsia"/>
          <w:lang w:eastAsia="zh-CN"/>
        </w:rPr>
        <w:t>27</w:t>
      </w:r>
      <w:r>
        <w:rPr>
          <w:rFonts w:hint="eastAsia"/>
          <w:lang w:eastAsia="zh-CN"/>
        </w:rPr>
        <w:fldChar w:fldCharType="end"/>
      </w:r>
    </w:p>
    <w:p>
      <w:pPr>
        <w:pStyle w:val="6"/>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28</w:t>
      </w:r>
      <w:r>
        <w:rPr>
          <w:rFonts w:hint="eastAsia"/>
          <w:lang w:eastAsia="zh-CN"/>
        </w:rPr>
        <w:fldChar w:fldCharType="end"/>
      </w:r>
    </w:p>
    <w:p>
      <w:pPr>
        <w:pStyle w:val="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19</w:t>
      </w:r>
      <w:r>
        <w:rPr>
          <w:rFonts w:hint="eastAsia"/>
          <w:lang w:eastAsia="zh-CN"/>
        </w:rPr>
        <w:fldChar w:fldCharType="end"/>
      </w:r>
    </w:p>
    <w:p>
      <w:pPr>
        <w:pStyle w:val="6"/>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30</w:t>
      </w:r>
      <w:r>
        <w:rPr>
          <w:rFonts w:hint="eastAsia"/>
          <w:lang w:eastAsia="zh-CN"/>
        </w:rPr>
        <w:fldChar w:fldCharType="end"/>
      </w:r>
    </w:p>
    <w:p>
      <w:pPr>
        <w:pStyle w:val="6"/>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86</w:t>
      </w:r>
      <w:r>
        <w:rPr>
          <w:rFonts w:hint="eastAsia"/>
          <w:lang w:eastAsia="zh-CN"/>
        </w:rPr>
        <w:fldChar w:fldCharType="end"/>
      </w:r>
    </w:p>
    <w:p>
      <w:pPr>
        <w:pStyle w:val="6"/>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86</w:t>
      </w:r>
      <w:r>
        <w:rPr>
          <w:rFonts w:hint="eastAsia"/>
          <w:lang w:eastAsia="zh-CN"/>
        </w:rPr>
        <w:fldChar w:fldCharType="end"/>
      </w:r>
    </w:p>
    <w:p>
      <w:pPr>
        <w:pStyle w:val="6"/>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87</w:t>
      </w:r>
      <w:r>
        <w:rPr>
          <w:rFonts w:hint="eastAsia"/>
          <w:lang w:eastAsia="zh-CN"/>
        </w:rPr>
        <w:fldChar w:fldCharType="end"/>
      </w:r>
    </w:p>
    <w:p>
      <w:pPr>
        <w:pStyle w:val="6"/>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88</w:t>
      </w:r>
      <w:r>
        <w:rPr>
          <w:rFonts w:hint="eastAsia"/>
          <w:lang w:eastAsia="zh-CN"/>
        </w:rP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方正小标宋_GBK" w:hAnsi="方正小标宋_GBK" w:cs="方正小标宋_GBK" w:eastAsiaTheme="minorEastAsia"/>
          <w:color w:val="000000"/>
          <w:sz w:val="36"/>
          <w:lang w:eastAsia="zh-CN"/>
        </w:rPr>
      </w:pPr>
    </w:p>
    <w:tbl>
      <w:tblPr>
        <w:tblStyle w:val="11"/>
        <w:tblW w:w="14317" w:type="dxa"/>
        <w:tblInd w:w="250" w:type="dxa"/>
        <w:tblLayout w:type="autofit"/>
        <w:tblCellMar>
          <w:top w:w="0" w:type="dxa"/>
          <w:left w:w="108" w:type="dxa"/>
          <w:bottom w:w="0" w:type="dxa"/>
          <w:right w:w="108" w:type="dxa"/>
        </w:tblCellMar>
      </w:tblPr>
      <w:tblGrid>
        <w:gridCol w:w="851"/>
        <w:gridCol w:w="3827"/>
        <w:gridCol w:w="1417"/>
        <w:gridCol w:w="4678"/>
        <w:gridCol w:w="1919"/>
        <w:gridCol w:w="1625"/>
      </w:tblGrid>
      <w:tr>
        <w:tblPrEx>
          <w:tblCellMar>
            <w:top w:w="0" w:type="dxa"/>
            <w:left w:w="108" w:type="dxa"/>
            <w:bottom w:w="0" w:type="dxa"/>
            <w:right w:w="108" w:type="dxa"/>
          </w:tblCellMar>
        </w:tblPrEx>
        <w:trPr>
          <w:trHeight w:val="360" w:hRule="atLeast"/>
        </w:trPr>
        <w:tc>
          <w:tcPr>
            <w:tcW w:w="14317" w:type="dxa"/>
            <w:gridSpan w:val="6"/>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r>
              <w:rPr>
                <w:rFonts w:hint="eastAsia" w:ascii="宋体" w:hAnsi="宋体" w:eastAsia="宋体" w:cs="宋体"/>
                <w:color w:val="000000"/>
                <w:sz w:val="36"/>
                <w:szCs w:val="36"/>
                <w:lang w:eastAsia="zh-CN"/>
              </w:rPr>
              <w:t>部门预算收支总表</w:t>
            </w:r>
          </w:p>
        </w:tc>
      </w:tr>
      <w:tr>
        <w:tblPrEx>
          <w:tblCellMar>
            <w:top w:w="0" w:type="dxa"/>
            <w:left w:w="108" w:type="dxa"/>
            <w:bottom w:w="0" w:type="dxa"/>
            <w:right w:w="108" w:type="dxa"/>
          </w:tblCellMar>
        </w:tblPrEx>
        <w:trPr>
          <w:trHeight w:val="360" w:hRule="atLeast"/>
        </w:trPr>
        <w:tc>
          <w:tcPr>
            <w:tcW w:w="609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6597"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预算年度：2022</w:t>
            </w:r>
          </w:p>
        </w:tc>
        <w:tc>
          <w:tcPr>
            <w:tcW w:w="162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524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收入</w:t>
            </w:r>
          </w:p>
        </w:tc>
        <w:tc>
          <w:tcPr>
            <w:tcW w:w="8222"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851"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预算数</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354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预算数</w:t>
            </w:r>
          </w:p>
        </w:tc>
      </w:tr>
      <w:tr>
        <w:tblPrEx>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54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一、一般公共预算拨款收入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2562.17</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一、一般公共服务支出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二、政府性基金预算拨款收入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3850.00</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二、外交支出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三、国有资本经营预算拨款收入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三、国防支出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四、财政专户管理资金收入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四、公共安全支出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五、事业收入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五、教育支出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六、事业单位经营收入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六、科学技术支出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七、上级补助收入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七、文化旅游体育与传媒支出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八、附属单位上缴收入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八、社会保障和就业支出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126.56</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九、其他收入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九、社会保险基金支出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十、卫生健康支出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35.49</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十一、节能环保支出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十二、城乡社区支出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5651.52</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13</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十三、农林水支出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14</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十四、交通运输支出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十五、资源勘探工业信息等支出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十六、商业服务业等支出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17</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十七、金融支出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十八、援助其他地区支出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19</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十九、自然资源海洋气象等支出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二十、住房保障支出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859.68</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二十一、粮油物资储备支出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二十二、国有资本经营预算支出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23</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二十三、灾害防治及应急管理支出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24</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二十四、预备费</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25</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二十五、其他支出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782.73</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二十六、转移性支出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27</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二十七、债务还本支出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28</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二十八、债务付息支出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29</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二十九、债务发行费用支出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三十、抗疫特别国债安排的支出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31</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本年收入合计</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6412.17</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本年支出合计</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7455.98</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32</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上年结转结余</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1043.81</w:t>
            </w: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年终结转结余</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33</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收入总计</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7455.98</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支出总计</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7455.98</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tbl>
      <w:tblPr>
        <w:tblStyle w:val="11"/>
        <w:tblW w:w="14120" w:type="dxa"/>
        <w:tblInd w:w="93" w:type="dxa"/>
        <w:tblLayout w:type="autofit"/>
        <w:tblCellMar>
          <w:top w:w="0" w:type="dxa"/>
          <w:left w:w="108" w:type="dxa"/>
          <w:bottom w:w="0" w:type="dxa"/>
          <w:right w:w="108" w:type="dxa"/>
        </w:tblCellMar>
      </w:tblPr>
      <w:tblGrid>
        <w:gridCol w:w="470"/>
        <w:gridCol w:w="997"/>
        <w:gridCol w:w="5090"/>
        <w:gridCol w:w="941"/>
        <w:gridCol w:w="941"/>
        <w:gridCol w:w="1040"/>
        <w:gridCol w:w="691"/>
        <w:gridCol w:w="642"/>
        <w:gridCol w:w="627"/>
        <w:gridCol w:w="842"/>
        <w:gridCol w:w="728"/>
        <w:gridCol w:w="660"/>
        <w:gridCol w:w="941"/>
      </w:tblGrid>
      <w:tr>
        <w:tblPrEx>
          <w:tblCellMar>
            <w:top w:w="0" w:type="dxa"/>
            <w:left w:w="108" w:type="dxa"/>
            <w:bottom w:w="0" w:type="dxa"/>
            <w:right w:w="108" w:type="dxa"/>
          </w:tblCellMar>
        </w:tblPrEx>
        <w:trPr>
          <w:trHeight w:val="360" w:hRule="atLeast"/>
        </w:trPr>
        <w:tc>
          <w:tcPr>
            <w:tcW w:w="14120" w:type="dxa"/>
            <w:gridSpan w:val="13"/>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bookmarkStart w:id="0" w:name="_Toc_2_2_0000000003"/>
            <w:r>
              <w:rPr>
                <w:rFonts w:hint="eastAsia" w:ascii="宋体" w:hAnsi="宋体" w:eastAsia="宋体" w:cs="宋体"/>
                <w:color w:val="000000"/>
                <w:sz w:val="36"/>
                <w:szCs w:val="36"/>
                <w:lang w:eastAsia="zh-CN"/>
              </w:rPr>
              <w:t>部门预算收入总表</w:t>
            </w:r>
          </w:p>
        </w:tc>
      </w:tr>
      <w:tr>
        <w:tblPrEx>
          <w:tblCellMar>
            <w:top w:w="0" w:type="dxa"/>
            <w:left w:w="108" w:type="dxa"/>
            <w:bottom w:w="0" w:type="dxa"/>
            <w:right w:w="108" w:type="dxa"/>
          </w:tblCellMar>
        </w:tblPrEx>
        <w:trPr>
          <w:trHeight w:val="360" w:hRule="atLeast"/>
        </w:trPr>
        <w:tc>
          <w:tcPr>
            <w:tcW w:w="10980"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157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预算年度：2022</w:t>
            </w:r>
          </w:p>
        </w:tc>
        <w:tc>
          <w:tcPr>
            <w:tcW w:w="157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00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功能分类科目</w:t>
            </w:r>
          </w:p>
        </w:tc>
        <w:tc>
          <w:tcPr>
            <w:tcW w:w="755"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5985" w:type="dxa"/>
            <w:gridSpan w:val="8"/>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本年收入</w:t>
            </w:r>
          </w:p>
        </w:tc>
        <w:tc>
          <w:tcPr>
            <w:tcW w:w="91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上年结转</w:t>
            </w:r>
          </w:p>
        </w:tc>
      </w:tr>
      <w:tr>
        <w:tblPrEx>
          <w:tblCellMar>
            <w:top w:w="0" w:type="dxa"/>
            <w:left w:w="108" w:type="dxa"/>
            <w:bottom w:w="0" w:type="dxa"/>
            <w:right w:w="108" w:type="dxa"/>
          </w:tblCellMar>
        </w:tblPrEx>
        <w:trPr>
          <w:trHeight w:val="585" w:hRule="atLeast"/>
        </w:trPr>
        <w:tc>
          <w:tcPr>
            <w:tcW w:w="47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9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509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755"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75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财政拨款收入</w:t>
            </w:r>
          </w:p>
        </w:tc>
        <w:tc>
          <w:tcPr>
            <w:tcW w:w="69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财政专户收入</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事业收入</w:t>
            </w:r>
          </w:p>
        </w:tc>
        <w:tc>
          <w:tcPr>
            <w:tcW w:w="62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经营收入</w:t>
            </w:r>
          </w:p>
        </w:tc>
        <w:tc>
          <w:tcPr>
            <w:tcW w:w="84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上级补助收入</w:t>
            </w:r>
          </w:p>
        </w:tc>
        <w:tc>
          <w:tcPr>
            <w:tcW w:w="72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附属单位上缴收入</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其他收入</w:t>
            </w:r>
          </w:p>
        </w:tc>
        <w:tc>
          <w:tcPr>
            <w:tcW w:w="91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9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509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75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75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69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62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c>
          <w:tcPr>
            <w:tcW w:w="84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9</w:t>
            </w:r>
          </w:p>
        </w:tc>
        <w:tc>
          <w:tcPr>
            <w:tcW w:w="72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10</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11</w:t>
            </w:r>
          </w:p>
        </w:tc>
        <w:tc>
          <w:tcPr>
            <w:tcW w:w="9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12</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合计</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7455.98</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6412.17</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6412.17</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1043.81</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208</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社会保障和就业支出</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126.56</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126.56</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126.56</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20805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行政事业单位养老支出</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126.56</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126.56</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126.56</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2080505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机关事业单位基本养老保险缴费支出</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88.42</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88.42</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88.42</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2080506</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机关事业单位职业年金缴费支出</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38.14</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38.14</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38.14</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210</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卫生健康支出</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35.49</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35.49</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35.49</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21011</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行政事业单位医疗</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35.49</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35.49</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35.49</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2101101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行政单位医疗</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4.88</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4.88</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4.88</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2101102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事业单位医疗</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30.61</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30.61</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30.61</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城乡社区支出</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5651.52</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5651.52</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5651.52</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城乡社区管理事务</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1148.02</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1148.02</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1148.02</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2120101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行政运行</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960.16</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960.16</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960.16</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13</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2120102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一般行政管理事务</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187.86</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187.86</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187.86</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14</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21203</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城乡社区公共设施</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644.44</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644.44</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644.44</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2120303</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小城镇基础设施建设</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644.44</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644.44</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644.44</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城乡社区环境卫生</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9.06</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9.06</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9.06</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17</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2120501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城乡社区环境卫生</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9.06</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9.06</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9.06</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21213</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城市基础设施配套费安排的支出</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3500.00</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3500.00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3500.00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19</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2121301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城市公共设施</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748.25</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748.25</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748.25</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2121302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城市环境卫生</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1192.85</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1192.85</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1192.85</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2121399</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其他城市基础设施配套费安排的支出</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1558.90</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1558.90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1558.90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21214</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污水处理费安排的支出</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350.00</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350.00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350.00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23</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2121401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污水处理设施建设和运营</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350.00</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350.00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350.00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24</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221</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住房保障支出</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859.68</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598.60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598.60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261.08</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25</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22101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保障性安居工程支出</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805.08</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544.00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544.00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261.08</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2210105</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农村危房改造</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261.08</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261.08</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27</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2210108</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老旧小区改造</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544.00</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544.00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544.00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28</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22102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住房改革支出</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54.60</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54.60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54.60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29</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2210201</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住房公积金</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54.60</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54.60</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54.60</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229</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其他支出</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782.73</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782.73</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31</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22904</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其他政府性基金及对应专项债务收入安排的支出</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782.73</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782.73</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32</w:t>
            </w:r>
          </w:p>
        </w:tc>
        <w:tc>
          <w:tcPr>
            <w:tcW w:w="91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2290402</w:t>
            </w:r>
          </w:p>
        </w:tc>
        <w:tc>
          <w:tcPr>
            <w:tcW w:w="509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其他地方自行试点项目收益专项债券收入安排的支出</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782.73</w:t>
            </w:r>
          </w:p>
        </w:tc>
        <w:tc>
          <w:tcPr>
            <w:tcW w:w="75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0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9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2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842"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72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782.73</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0"/>
    <w:tbl>
      <w:tblPr>
        <w:tblStyle w:val="11"/>
        <w:tblW w:w="14474" w:type="dxa"/>
        <w:tblInd w:w="93" w:type="dxa"/>
        <w:tblLayout w:type="autofit"/>
        <w:tblCellMar>
          <w:top w:w="0" w:type="dxa"/>
          <w:left w:w="108" w:type="dxa"/>
          <w:bottom w:w="0" w:type="dxa"/>
          <w:right w:w="108" w:type="dxa"/>
        </w:tblCellMar>
      </w:tblPr>
      <w:tblGrid>
        <w:gridCol w:w="470"/>
        <w:gridCol w:w="1246"/>
        <w:gridCol w:w="4841"/>
        <w:gridCol w:w="1350"/>
        <w:gridCol w:w="941"/>
        <w:gridCol w:w="941"/>
        <w:gridCol w:w="910"/>
        <w:gridCol w:w="1570"/>
        <w:gridCol w:w="2205"/>
      </w:tblGrid>
      <w:tr>
        <w:tblPrEx>
          <w:tblCellMar>
            <w:top w:w="0" w:type="dxa"/>
            <w:left w:w="108" w:type="dxa"/>
            <w:bottom w:w="0" w:type="dxa"/>
            <w:right w:w="108" w:type="dxa"/>
          </w:tblCellMar>
        </w:tblPrEx>
        <w:trPr>
          <w:trHeight w:val="360" w:hRule="atLeast"/>
        </w:trPr>
        <w:tc>
          <w:tcPr>
            <w:tcW w:w="14474" w:type="dxa"/>
            <w:gridSpan w:val="9"/>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bookmarkStart w:id="1" w:name="_Toc_2_2_0000000004"/>
            <w:r>
              <w:rPr>
                <w:rFonts w:hint="eastAsia" w:ascii="宋体" w:hAnsi="宋体" w:eastAsia="宋体" w:cs="宋体"/>
                <w:color w:val="000000"/>
                <w:sz w:val="36"/>
                <w:szCs w:val="36"/>
                <w:lang w:eastAsia="zh-CN"/>
              </w:rPr>
              <w:t>部门预算支出总表</w:t>
            </w:r>
          </w:p>
        </w:tc>
      </w:tr>
      <w:tr>
        <w:tblPrEx>
          <w:tblCellMar>
            <w:top w:w="0" w:type="dxa"/>
            <w:left w:w="108" w:type="dxa"/>
            <w:bottom w:w="0" w:type="dxa"/>
            <w:right w:w="108" w:type="dxa"/>
          </w:tblCellMar>
        </w:tblPrEx>
        <w:trPr>
          <w:trHeight w:val="360" w:hRule="atLeast"/>
        </w:trPr>
        <w:tc>
          <w:tcPr>
            <w:tcW w:w="1069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157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预算年度：2022</w:t>
            </w:r>
          </w:p>
        </w:tc>
        <w:tc>
          <w:tcPr>
            <w:tcW w:w="220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08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35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本年支出合计</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c>
          <w:tcPr>
            <w:tcW w:w="91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经营支出</w:t>
            </w:r>
          </w:p>
        </w:tc>
        <w:tc>
          <w:tcPr>
            <w:tcW w:w="15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上缴上级支出</w:t>
            </w:r>
          </w:p>
        </w:tc>
        <w:tc>
          <w:tcPr>
            <w:tcW w:w="2205"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对附属单位补助支出</w:t>
            </w:r>
          </w:p>
        </w:tc>
      </w:tr>
      <w:tr>
        <w:tblPrEx>
          <w:tblCellMar>
            <w:top w:w="0" w:type="dxa"/>
            <w:left w:w="108" w:type="dxa"/>
            <w:bottom w:w="0" w:type="dxa"/>
            <w:right w:w="108" w:type="dxa"/>
          </w:tblCellMar>
        </w:tblPrEx>
        <w:trPr>
          <w:trHeight w:val="360" w:hRule="atLeast"/>
        </w:trPr>
        <w:tc>
          <w:tcPr>
            <w:tcW w:w="47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2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484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35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91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57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205"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2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484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35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9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5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220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合计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7455.98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1176.81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6279.17</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208</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社会保障和就业支出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126.56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126.56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20805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行政事业单位养老支出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126.56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126.56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2080505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机关事业单位基本养老保险缴费支出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88.42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88.42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2080506</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机关事业单位职业年金缴费支出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38.14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38.14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210</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卫生健康支出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35.49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35.49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21011</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行政事业单位医疗</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35.49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35.49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2101101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行政单位医疗</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4.88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4.88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2101102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事业单位医疗</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30.61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30.61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城乡社区支出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5651.52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960.16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4691.36</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城乡社区管理事务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1148.02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960.16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187.86</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2120101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行政运行</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960.16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960.16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13</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2120102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一般行政管理事务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187.86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187.86</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14</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城乡社区公共设施</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644.44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644.44</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2120303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小城镇基础设施建设</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644.44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644.44</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城乡社区环境卫生</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9.06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9.06</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17</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2120501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城乡社区环境卫生</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9.06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9.06</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21213</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城市基础设施配套费安排的支出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3500.00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3500.00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19</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2121301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城市公共设施</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748.25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748.25</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2121302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城市环境卫生</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1192.85</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1192.85</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2121399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其他城市基础设施配套费安排的支出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1558.90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1558.90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21214</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污水处理费安排的支出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23</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2121401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污水处理设施建设和运营</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24</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221</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住房保障支出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859.68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54.60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805.08</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25</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保障性安居工程支出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805.08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805.08</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2210105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农村危房改造</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261.08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261.08</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27</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2210108</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老旧小区改造</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544.00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544.00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28</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住房改革支出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54.60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54.60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29</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2210201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住房公积金</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54.60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54.60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229</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其他支出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782.73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782.73</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31</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22904</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其他政府性基金及对应专项债务收入安排的支出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782.73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782.73</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32</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2290402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其他地方自行试点项目收益专项债券收入安排的支出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782.73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782.73</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1"/>
    <w:tbl>
      <w:tblPr>
        <w:tblStyle w:val="11"/>
        <w:tblW w:w="14798" w:type="dxa"/>
        <w:tblInd w:w="93" w:type="dxa"/>
        <w:tblLayout w:type="autofit"/>
        <w:tblCellMar>
          <w:top w:w="0" w:type="dxa"/>
          <w:left w:w="108" w:type="dxa"/>
          <w:bottom w:w="0" w:type="dxa"/>
          <w:right w:w="108" w:type="dxa"/>
        </w:tblCellMar>
      </w:tblPr>
      <w:tblGrid>
        <w:gridCol w:w="468"/>
        <w:gridCol w:w="2923"/>
        <w:gridCol w:w="1158"/>
        <w:gridCol w:w="3688"/>
        <w:gridCol w:w="1276"/>
        <w:gridCol w:w="1701"/>
        <w:gridCol w:w="176"/>
        <w:gridCol w:w="1525"/>
        <w:gridCol w:w="905"/>
        <w:gridCol w:w="978"/>
      </w:tblGrid>
      <w:tr>
        <w:tblPrEx>
          <w:tblCellMar>
            <w:top w:w="0" w:type="dxa"/>
            <w:left w:w="108" w:type="dxa"/>
            <w:bottom w:w="0" w:type="dxa"/>
            <w:right w:w="108" w:type="dxa"/>
          </w:tblCellMar>
        </w:tblPrEx>
        <w:trPr>
          <w:trHeight w:val="360" w:hRule="atLeast"/>
        </w:trPr>
        <w:tc>
          <w:tcPr>
            <w:tcW w:w="14798" w:type="dxa"/>
            <w:gridSpan w:val="10"/>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bookmarkStart w:id="2" w:name="_Toc_2_2_0000000005"/>
            <w:r>
              <w:rPr>
                <w:rFonts w:hint="eastAsia" w:ascii="宋体" w:hAnsi="宋体" w:eastAsia="宋体" w:cs="宋体"/>
                <w:color w:val="000000"/>
                <w:sz w:val="36"/>
                <w:szCs w:val="36"/>
                <w:lang w:eastAsia="zh-CN"/>
              </w:rPr>
              <w:t>部门预算财政拨款收支总表</w:t>
            </w:r>
          </w:p>
        </w:tc>
      </w:tr>
      <w:tr>
        <w:tblPrEx>
          <w:tblCellMar>
            <w:top w:w="0" w:type="dxa"/>
            <w:left w:w="108" w:type="dxa"/>
            <w:bottom w:w="0" w:type="dxa"/>
            <w:right w:w="108" w:type="dxa"/>
          </w:tblCellMar>
        </w:tblPrEx>
        <w:trPr>
          <w:trHeight w:val="360" w:hRule="atLeast"/>
        </w:trPr>
        <w:tc>
          <w:tcPr>
            <w:tcW w:w="1139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243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预算年度：2022</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6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08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收入</w:t>
            </w:r>
          </w:p>
        </w:tc>
        <w:tc>
          <w:tcPr>
            <w:tcW w:w="10249" w:type="dxa"/>
            <w:gridSpan w:val="7"/>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46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92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115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w:t>
            </w:r>
          </w:p>
        </w:tc>
        <w:tc>
          <w:tcPr>
            <w:tcW w:w="368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一般公共预算财政拨款</w:t>
            </w:r>
          </w:p>
        </w:tc>
        <w:tc>
          <w:tcPr>
            <w:tcW w:w="170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政府性基金预算财政拨款</w:t>
            </w:r>
          </w:p>
        </w:tc>
        <w:tc>
          <w:tcPr>
            <w:tcW w:w="188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46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292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115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368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170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88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一、一般公共预算拨款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2562.17</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一、一般公共服务支出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二、政府性基金预算拨款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3850.00</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二、外交支出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三、国有资本经营预算拨款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三、国防支出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四、公共安全支出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五、教育支出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六、科学技术支出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七、文化旅游体育与传媒支出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八、社会保障和就业支出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126.56</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126.56</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九、社会保险基金支出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十、卫生健康支出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35.49</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35.49</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十一、节能环保支出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十二、城乡社区支出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5651.52</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1801.52</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3850.00</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13</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十三、农林水支出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14</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十四、交通运输支出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十五、资源勘探工业信息等支出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十六、商业服务业等支出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17</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十七、金融支出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十八、援助其他地区支出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19</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十九、自然资源海洋气象等支出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二十、住房保障支出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859.68</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859.68</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二十一、粮油物资储备支出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二十二、国有资本经营预算支出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23</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二十三、灾害防治及应急管理支出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24</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二十四、预备费</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25</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二十五、其他支出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782.73</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782.73</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二十六、转移性支出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27</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二十七、债务还本支出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28</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二十八、债务付息支出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29</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二十九、债务发行费用支出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三十、抗疫特别国债安排的支出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31</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本年收入合计</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6412.17</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本年支出合计</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7455.98</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2823.25</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4632.73</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32</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年初财政拨款结转和结余</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1043.81</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年末财政拨款结转和结余</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33</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一、一般公共预算拨款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261.08</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34</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二、政府性基金预算拨款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782.73</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三、国有资本经营预算拨款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36</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收入总计</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7455.98</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支出总计</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7455.98</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2823.25</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4632.73</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outlineLvl w:val="1"/>
        <w:rPr>
          <w:rFonts w:ascii="方正小标宋_GBK" w:hAnsi="方正小标宋_GBK" w:eastAsia="方正小标宋_GBK" w:cs="方正小标宋_GBK"/>
          <w:color w:val="000000"/>
          <w:sz w:val="36"/>
          <w:lang w:eastAsia="zh-CN"/>
        </w:rPr>
      </w:pPr>
    </w:p>
    <w:p>
      <w:pPr>
        <w:outlineLvl w:val="1"/>
        <w:rPr>
          <w:rFonts w:ascii="方正小标宋_GBK" w:hAnsi="方正小标宋_GBK" w:eastAsia="方正小标宋_GBK" w:cs="方正小标宋_GBK"/>
          <w:color w:val="000000"/>
          <w:sz w:val="36"/>
          <w:lang w:eastAsia="zh-CN"/>
        </w:rPr>
      </w:pPr>
    </w:p>
    <w:bookmarkEnd w:id="2"/>
    <w:tbl>
      <w:tblPr>
        <w:tblStyle w:val="11"/>
        <w:tblW w:w="14332" w:type="dxa"/>
        <w:tblInd w:w="93" w:type="dxa"/>
        <w:tblLayout w:type="autofit"/>
        <w:tblCellMar>
          <w:top w:w="0" w:type="dxa"/>
          <w:left w:w="108" w:type="dxa"/>
          <w:bottom w:w="0" w:type="dxa"/>
          <w:right w:w="108" w:type="dxa"/>
        </w:tblCellMar>
      </w:tblPr>
      <w:tblGrid>
        <w:gridCol w:w="724"/>
        <w:gridCol w:w="1559"/>
        <w:gridCol w:w="3969"/>
        <w:gridCol w:w="1560"/>
        <w:gridCol w:w="1417"/>
        <w:gridCol w:w="516"/>
        <w:gridCol w:w="1043"/>
        <w:gridCol w:w="1560"/>
        <w:gridCol w:w="1984"/>
      </w:tblGrid>
      <w:tr>
        <w:tblPrEx>
          <w:tblCellMar>
            <w:top w:w="0" w:type="dxa"/>
            <w:left w:w="108" w:type="dxa"/>
            <w:bottom w:w="0" w:type="dxa"/>
            <w:right w:w="108" w:type="dxa"/>
          </w:tblCellMar>
        </w:tblPrEx>
        <w:trPr>
          <w:trHeight w:val="360" w:hRule="atLeast"/>
        </w:trPr>
        <w:tc>
          <w:tcPr>
            <w:tcW w:w="14332" w:type="dxa"/>
            <w:gridSpan w:val="9"/>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bookmarkStart w:id="3" w:name="_Toc_2_2_0000000006"/>
            <w:r>
              <w:rPr>
                <w:rFonts w:hint="eastAsia" w:ascii="宋体" w:hAnsi="宋体" w:eastAsia="宋体" w:cs="宋体"/>
                <w:color w:val="000000"/>
                <w:sz w:val="36"/>
                <w:szCs w:val="36"/>
                <w:lang w:eastAsia="zh-CN"/>
              </w:rPr>
              <w:t>部门预算一般公共预算财政拨款支出表</w:t>
            </w:r>
          </w:p>
        </w:tc>
      </w:tr>
      <w:tr>
        <w:tblPrEx>
          <w:tblCellMar>
            <w:top w:w="0" w:type="dxa"/>
            <w:left w:w="108" w:type="dxa"/>
            <w:bottom w:w="0" w:type="dxa"/>
            <w:right w:w="108" w:type="dxa"/>
          </w:tblCellMar>
        </w:tblPrEx>
        <w:trPr>
          <w:trHeight w:val="360" w:hRule="atLeast"/>
        </w:trPr>
        <w:tc>
          <w:tcPr>
            <w:tcW w:w="974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2603"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预算年度：2022</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72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552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56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4536"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72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56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合计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2823.25</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1176.81</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1049.75</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127.06</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1646.44</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208</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社会保障和就业支出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126.56</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126.56</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126.56</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20805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行政事业单位养老支出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126.56</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126.56</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126.56</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2080505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机关事业单位基本养老保险缴费支出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88.42</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88.42</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88.42</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2080506</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机关事业单位职业年金缴费支出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38.14</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38.14</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38.14</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210</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卫生健康支出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35.49</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35.49</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35.49</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21011</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行政事业单位医疗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35.49</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35.49</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35.49</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2101101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行政单位医疗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4.88</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4.88</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4.88</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2101102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事业单位医疗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30.61</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30.61</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30.61</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城乡社区支出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1801.52</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960.16</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833.10</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127.06</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841.36</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城乡社区管理事务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1148.02</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960.16</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833.10</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127.06</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187.86</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2120101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行政运行</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960.16</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960.16</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833.10</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127.06</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13</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2120102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一般行政管理事务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187.86</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187.86</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14</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城乡社区公共设施</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644.44</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644.44</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2120303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小城镇基础设施建设</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644.44</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644.44</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城乡社区环境卫生</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9.06</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9.06</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17</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2120501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城乡社区环境卫生</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9.06</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9.06</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221</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住房保障支出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859.68</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54.60</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54.60</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805.08</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19</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保障性安居工程支出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805.08</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805.08</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2210105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农村危房改造</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261.08</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261.08</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2210108</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老旧小区改造</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544.00</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544.00</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住房改革支出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54.60</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54.60</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54.60</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23</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2210201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住房公积金</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54.60</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54.60</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54.60</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3"/>
    <w:tbl>
      <w:tblPr>
        <w:tblStyle w:val="11"/>
        <w:tblW w:w="14600" w:type="dxa"/>
        <w:tblInd w:w="93" w:type="dxa"/>
        <w:tblLayout w:type="autofit"/>
        <w:tblCellMar>
          <w:top w:w="0" w:type="dxa"/>
          <w:left w:w="108" w:type="dxa"/>
          <w:bottom w:w="0" w:type="dxa"/>
          <w:right w:w="108" w:type="dxa"/>
        </w:tblCellMar>
      </w:tblPr>
      <w:tblGrid>
        <w:gridCol w:w="818"/>
        <w:gridCol w:w="1584"/>
        <w:gridCol w:w="4559"/>
        <w:gridCol w:w="2171"/>
        <w:gridCol w:w="2734"/>
        <w:gridCol w:w="2734"/>
      </w:tblGrid>
      <w:tr>
        <w:tblPrEx>
          <w:tblCellMar>
            <w:top w:w="0" w:type="dxa"/>
            <w:left w:w="108" w:type="dxa"/>
            <w:bottom w:w="0" w:type="dxa"/>
            <w:right w:w="108" w:type="dxa"/>
          </w:tblCellMar>
        </w:tblPrEx>
        <w:trPr>
          <w:trHeight w:val="360" w:hRule="atLeast"/>
        </w:trPr>
        <w:tc>
          <w:tcPr>
            <w:tcW w:w="14600" w:type="dxa"/>
            <w:gridSpan w:val="6"/>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bookmarkStart w:id="4" w:name="_Toc_2_2_0000000007"/>
            <w:r>
              <w:rPr>
                <w:rFonts w:hint="eastAsia" w:ascii="宋体" w:hAnsi="宋体" w:eastAsia="宋体" w:cs="宋体"/>
                <w:color w:val="000000"/>
                <w:sz w:val="36"/>
                <w:szCs w:val="36"/>
                <w:lang w:eastAsia="zh-CN"/>
              </w:rPr>
              <w:t>部门预算一般公共预算财政拨款基本支出表</w:t>
            </w:r>
          </w:p>
        </w:tc>
      </w:tr>
      <w:tr>
        <w:tblPrEx>
          <w:tblCellMar>
            <w:top w:w="0" w:type="dxa"/>
            <w:left w:w="108" w:type="dxa"/>
            <w:bottom w:w="0" w:type="dxa"/>
            <w:right w:w="108" w:type="dxa"/>
          </w:tblCellMar>
        </w:tblPrEx>
        <w:trPr>
          <w:trHeight w:val="360" w:hRule="atLeast"/>
        </w:trPr>
        <w:tc>
          <w:tcPr>
            <w:tcW w:w="913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273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预算年度：2022</w:t>
            </w:r>
          </w:p>
        </w:tc>
        <w:tc>
          <w:tcPr>
            <w:tcW w:w="273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1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14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支出部门经济分类科目</w:t>
            </w:r>
          </w:p>
        </w:tc>
        <w:tc>
          <w:tcPr>
            <w:tcW w:w="7639"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trPr>
        <w:tc>
          <w:tcPr>
            <w:tcW w:w="81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5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455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217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r>
      <w:tr>
        <w:tblPrEx>
          <w:tblCellMar>
            <w:top w:w="0" w:type="dxa"/>
            <w:left w:w="108" w:type="dxa"/>
            <w:bottom w:w="0" w:type="dxa"/>
            <w:right w:w="108" w:type="dxa"/>
          </w:tblCellMar>
        </w:tblPrEx>
        <w:trPr>
          <w:trHeight w:val="360"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5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455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217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合计</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1176.81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1049.75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127.06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工资福利支出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1046.84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1046.84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基本工资</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555.61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555.61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30102</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津贴补贴</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96.83</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96.83</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30103</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奖金</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3.37</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3.37</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30107</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绩效工资</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168.16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168.16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30108</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机关事业单位基本养老保险缴费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88.42</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88.42</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30109</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职业年金缴费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38.14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38.14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30110</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城镇职工基本医疗保险缴费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35.49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35.49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30112</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其他社会保障缴费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6.22</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6.22</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30113</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住房公积金</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54.60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54.60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商品和服务支出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127.06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127.06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13</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办公费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30.18</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14</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30207</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邮电费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0.36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0.36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30208</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取暖费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10.01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10.01</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30211</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差旅费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14.40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14.40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17</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30217</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公务接待费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30226</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劳务费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33.25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33.25</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19</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30228</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工会经费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8.67</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8.67</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30229</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福利费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17.95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17.95</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30231</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公务用车运行维护费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4.00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4.00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30239</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其他交通费用</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6.18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6.18</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23</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30299</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其他商品和服务支出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0.56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0.56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24</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303</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对个人和家庭的补助</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2.91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2.91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25</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30305</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生活补助</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2.91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2.91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4"/>
    <w:tbl>
      <w:tblPr>
        <w:tblStyle w:val="11"/>
        <w:tblW w:w="14332" w:type="dxa"/>
        <w:tblInd w:w="93" w:type="dxa"/>
        <w:tblLayout w:type="autofit"/>
        <w:tblCellMar>
          <w:top w:w="0" w:type="dxa"/>
          <w:left w:w="108" w:type="dxa"/>
          <w:bottom w:w="0" w:type="dxa"/>
          <w:right w:w="108" w:type="dxa"/>
        </w:tblCellMar>
      </w:tblPr>
      <w:tblGrid>
        <w:gridCol w:w="630"/>
        <w:gridCol w:w="1219"/>
        <w:gridCol w:w="6816"/>
        <w:gridCol w:w="1840"/>
        <w:gridCol w:w="1843"/>
        <w:gridCol w:w="1984"/>
      </w:tblGrid>
      <w:tr>
        <w:tblPrEx>
          <w:tblCellMar>
            <w:top w:w="0" w:type="dxa"/>
            <w:left w:w="108" w:type="dxa"/>
            <w:bottom w:w="0" w:type="dxa"/>
            <w:right w:w="108" w:type="dxa"/>
          </w:tblCellMar>
        </w:tblPrEx>
        <w:trPr>
          <w:trHeight w:val="360" w:hRule="atLeast"/>
        </w:trPr>
        <w:tc>
          <w:tcPr>
            <w:tcW w:w="14332" w:type="dxa"/>
            <w:gridSpan w:val="6"/>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bookmarkStart w:id="5" w:name="_Toc_2_2_0000000008"/>
            <w:r>
              <w:rPr>
                <w:rFonts w:hint="eastAsia" w:ascii="宋体" w:hAnsi="宋体" w:eastAsia="宋体" w:cs="宋体"/>
                <w:color w:val="000000"/>
                <w:sz w:val="36"/>
                <w:szCs w:val="36"/>
                <w:lang w:eastAsia="zh-CN"/>
              </w:rPr>
              <w:t>部门预算政府基金预算财政拨款支出表</w:t>
            </w:r>
          </w:p>
        </w:tc>
      </w:tr>
      <w:tr>
        <w:tblPrEx>
          <w:tblCellMar>
            <w:top w:w="0" w:type="dxa"/>
            <w:left w:w="108" w:type="dxa"/>
            <w:bottom w:w="0" w:type="dxa"/>
            <w:right w:w="108" w:type="dxa"/>
          </w:tblCellMar>
        </w:tblPrEx>
        <w:trPr>
          <w:trHeight w:val="360" w:hRule="atLeast"/>
        </w:trPr>
        <w:tc>
          <w:tcPr>
            <w:tcW w:w="105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预算年度：2022</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6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803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84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184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63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2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681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84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84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6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2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681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84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121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合计</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4632.73</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4632.73</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121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w:t>
            </w:r>
          </w:p>
        </w:tc>
        <w:tc>
          <w:tcPr>
            <w:tcW w:w="681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城乡社区支出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3850.00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3850.00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121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21213</w:t>
            </w:r>
          </w:p>
        </w:tc>
        <w:tc>
          <w:tcPr>
            <w:tcW w:w="681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城市基础设施配套费安排的支出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3500.00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3500.00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121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2121301</w:t>
            </w:r>
          </w:p>
        </w:tc>
        <w:tc>
          <w:tcPr>
            <w:tcW w:w="681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城市公共设施</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748.25</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748.25</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121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2121302</w:t>
            </w:r>
          </w:p>
        </w:tc>
        <w:tc>
          <w:tcPr>
            <w:tcW w:w="681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城市环境卫生</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1192.85</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1192.85</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121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2121399</w:t>
            </w:r>
          </w:p>
        </w:tc>
        <w:tc>
          <w:tcPr>
            <w:tcW w:w="681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其他城市基础设施配套费安排的支出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1558.90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1558.90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121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21214</w:t>
            </w:r>
          </w:p>
        </w:tc>
        <w:tc>
          <w:tcPr>
            <w:tcW w:w="681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污水处理费安排的支出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121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2121401</w:t>
            </w:r>
          </w:p>
        </w:tc>
        <w:tc>
          <w:tcPr>
            <w:tcW w:w="681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污水处理设施建设和运营</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121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229</w:t>
            </w:r>
          </w:p>
        </w:tc>
        <w:tc>
          <w:tcPr>
            <w:tcW w:w="681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其他支出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782.73</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782.73</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121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22904</w:t>
            </w:r>
          </w:p>
        </w:tc>
        <w:tc>
          <w:tcPr>
            <w:tcW w:w="681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其他政府性基金及对应专项债务收入安排的支出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782.73</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782.73</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121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2290402</w:t>
            </w:r>
          </w:p>
        </w:tc>
        <w:tc>
          <w:tcPr>
            <w:tcW w:w="681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其他地方自行试点项目收益专项债券收入安排的支出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782.73</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782.73</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5"/>
    <w:tbl>
      <w:tblPr>
        <w:tblStyle w:val="11"/>
        <w:tblW w:w="14180" w:type="dxa"/>
        <w:tblInd w:w="93" w:type="dxa"/>
        <w:tblLayout w:type="autofit"/>
        <w:tblCellMar>
          <w:top w:w="0" w:type="dxa"/>
          <w:left w:w="108" w:type="dxa"/>
          <w:bottom w:w="0" w:type="dxa"/>
          <w:right w:w="108" w:type="dxa"/>
        </w:tblCellMar>
      </w:tblPr>
      <w:tblGrid>
        <w:gridCol w:w="1130"/>
        <w:gridCol w:w="2187"/>
        <w:gridCol w:w="2187"/>
        <w:gridCol w:w="1130"/>
        <w:gridCol w:w="3773"/>
        <w:gridCol w:w="3773"/>
      </w:tblGrid>
      <w:tr>
        <w:tblPrEx>
          <w:tblCellMar>
            <w:top w:w="0" w:type="dxa"/>
            <w:left w:w="108" w:type="dxa"/>
            <w:bottom w:w="0" w:type="dxa"/>
            <w:right w:w="108" w:type="dxa"/>
          </w:tblCellMar>
        </w:tblPrEx>
        <w:trPr>
          <w:trHeight w:val="360" w:hRule="atLeast"/>
        </w:trPr>
        <w:tc>
          <w:tcPr>
            <w:tcW w:w="14180" w:type="dxa"/>
            <w:gridSpan w:val="6"/>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r>
              <w:rPr>
                <w:rFonts w:hint="eastAsia" w:ascii="宋体" w:hAnsi="宋体" w:eastAsia="宋体" w:cs="宋体"/>
                <w:color w:val="000000"/>
                <w:sz w:val="36"/>
                <w:szCs w:val="36"/>
                <w:lang w:eastAsia="zh-CN"/>
              </w:rPr>
              <w:t>部门预算国有资本经营预算财政拨款支出表</w:t>
            </w:r>
          </w:p>
        </w:tc>
      </w:tr>
      <w:tr>
        <w:tblPrEx>
          <w:tblCellMar>
            <w:top w:w="0" w:type="dxa"/>
            <w:left w:w="108" w:type="dxa"/>
            <w:bottom w:w="0" w:type="dxa"/>
            <w:right w:w="108" w:type="dxa"/>
          </w:tblCellMar>
        </w:tblPrEx>
        <w:trPr>
          <w:trHeight w:val="360" w:hRule="atLeast"/>
        </w:trPr>
        <w:tc>
          <w:tcPr>
            <w:tcW w:w="663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37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预算年度：2022</w:t>
            </w:r>
          </w:p>
        </w:tc>
        <w:tc>
          <w:tcPr>
            <w:tcW w:w="37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37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77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377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113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13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77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77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11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77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377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nil"/>
              <w:bottom w:val="nil"/>
              <w:right w:val="nil"/>
            </w:tcBorders>
            <w:shd w:val="clear" w:color="auto" w:fill="auto"/>
            <w:noWrap/>
          </w:tcPr>
          <w:p>
            <w:pPr>
              <w:jc w:val="center"/>
              <w:rPr>
                <w:rFonts w:ascii="Calibri" w:hAnsi="Calibri" w:eastAsia="宋体" w:cs="宋体"/>
                <w:color w:val="000000"/>
                <w:sz w:val="22"/>
                <w:szCs w:val="22"/>
                <w:lang w:eastAsia="zh-CN"/>
              </w:rPr>
            </w:pPr>
          </w:p>
        </w:tc>
        <w:tc>
          <w:tcPr>
            <w:tcW w:w="4374" w:type="dxa"/>
            <w:gridSpan w:val="2"/>
            <w:tcBorders>
              <w:top w:val="single" w:color="auto" w:sz="4" w:space="0"/>
              <w:left w:val="nil"/>
              <w:bottom w:val="nil"/>
              <w:right w:val="nil"/>
            </w:tcBorders>
            <w:shd w:val="clear" w:color="auto" w:fill="auto"/>
            <w:noWrap/>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注：无国有资本经营预算，空表列示。</w:t>
            </w:r>
          </w:p>
        </w:tc>
        <w:tc>
          <w:tcPr>
            <w:tcW w:w="1130" w:type="dxa"/>
            <w:tcBorders>
              <w:top w:val="nil"/>
              <w:left w:val="nil"/>
              <w:bottom w:val="nil"/>
              <w:right w:val="nil"/>
            </w:tcBorders>
            <w:shd w:val="clear" w:color="auto" w:fill="auto"/>
            <w:noWrap/>
          </w:tcPr>
          <w:p>
            <w:pPr>
              <w:jc w:val="right"/>
              <w:rPr>
                <w:rFonts w:ascii="Calibri" w:hAnsi="Calibri" w:eastAsia="宋体" w:cs="宋体"/>
                <w:color w:val="000000"/>
                <w:sz w:val="22"/>
                <w:szCs w:val="22"/>
                <w:lang w:eastAsia="zh-CN"/>
              </w:rPr>
            </w:pPr>
          </w:p>
        </w:tc>
        <w:tc>
          <w:tcPr>
            <w:tcW w:w="3773" w:type="dxa"/>
            <w:tcBorders>
              <w:top w:val="nil"/>
              <w:left w:val="nil"/>
              <w:bottom w:val="nil"/>
              <w:right w:val="nil"/>
            </w:tcBorders>
            <w:shd w:val="clear" w:color="auto" w:fill="auto"/>
            <w:noWrap/>
          </w:tcPr>
          <w:p>
            <w:pPr>
              <w:jc w:val="right"/>
              <w:rPr>
                <w:rFonts w:ascii="Calibri" w:hAnsi="Calibri" w:eastAsia="宋体" w:cs="宋体"/>
                <w:color w:val="000000"/>
                <w:sz w:val="22"/>
                <w:szCs w:val="22"/>
                <w:lang w:eastAsia="zh-CN"/>
              </w:rPr>
            </w:pPr>
          </w:p>
        </w:tc>
        <w:tc>
          <w:tcPr>
            <w:tcW w:w="3773" w:type="dxa"/>
            <w:tcBorders>
              <w:top w:val="nil"/>
              <w:left w:val="nil"/>
              <w:bottom w:val="nil"/>
              <w:right w:val="nil"/>
            </w:tcBorders>
            <w:shd w:val="clear" w:color="auto" w:fill="auto"/>
            <w:noWrap/>
          </w:tcPr>
          <w:p>
            <w:pPr>
              <w:jc w:val="right"/>
              <w:rPr>
                <w:rFonts w:ascii="Calibri" w:hAnsi="Calibri" w:eastAsia="宋体" w:cs="宋体"/>
                <w:color w:val="000000"/>
                <w:sz w:val="22"/>
                <w:szCs w:val="22"/>
                <w:lang w:eastAsia="zh-CN"/>
              </w:rPr>
            </w:pPr>
          </w:p>
        </w:tc>
      </w:tr>
    </w:tbl>
    <w:p>
      <w:pPr>
        <w:ind w:firstLine="420"/>
        <w:sectPr>
          <w:footerReference r:id="rId3" w:type="default"/>
          <w:footerReference r:id="rId4" w:type="even"/>
          <w:pgSz w:w="16840" w:h="11900" w:orient="landscape"/>
          <w:pgMar w:top="1361" w:right="1020" w:bottom="1134" w:left="1020" w:header="720" w:footer="720" w:gutter="0"/>
          <w:cols w:space="720" w:num="1"/>
        </w:sectPr>
      </w:pPr>
    </w:p>
    <w:tbl>
      <w:tblPr>
        <w:tblStyle w:val="11"/>
        <w:tblW w:w="14474" w:type="dxa"/>
        <w:tblInd w:w="93" w:type="dxa"/>
        <w:tblLayout w:type="autofit"/>
        <w:tblCellMar>
          <w:top w:w="0" w:type="dxa"/>
          <w:left w:w="108" w:type="dxa"/>
          <w:bottom w:w="0" w:type="dxa"/>
          <w:right w:w="108" w:type="dxa"/>
        </w:tblCellMar>
      </w:tblPr>
      <w:tblGrid>
        <w:gridCol w:w="594"/>
        <w:gridCol w:w="4666"/>
        <w:gridCol w:w="1418"/>
        <w:gridCol w:w="2551"/>
        <w:gridCol w:w="110"/>
        <w:gridCol w:w="2158"/>
        <w:gridCol w:w="382"/>
        <w:gridCol w:w="2595"/>
      </w:tblGrid>
      <w:tr>
        <w:tblPrEx>
          <w:tblCellMar>
            <w:top w:w="0" w:type="dxa"/>
            <w:left w:w="108" w:type="dxa"/>
            <w:bottom w:w="0" w:type="dxa"/>
            <w:right w:w="108" w:type="dxa"/>
          </w:tblCellMar>
        </w:tblPrEx>
        <w:trPr>
          <w:trHeight w:val="360" w:hRule="atLeast"/>
        </w:trPr>
        <w:tc>
          <w:tcPr>
            <w:tcW w:w="14474" w:type="dxa"/>
            <w:gridSpan w:val="8"/>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r>
              <w:rPr>
                <w:rFonts w:hint="eastAsia" w:ascii="宋体" w:hAnsi="宋体" w:eastAsia="宋体" w:cs="宋体"/>
                <w:color w:val="000000"/>
                <w:sz w:val="36"/>
                <w:szCs w:val="36"/>
                <w:lang w:eastAsia="zh-CN"/>
              </w:rPr>
              <w:t>部门预算财政拨款“三公”经费支出表</w:t>
            </w:r>
          </w:p>
        </w:tc>
      </w:tr>
      <w:tr>
        <w:tblPrEx>
          <w:tblCellMar>
            <w:top w:w="0" w:type="dxa"/>
            <w:left w:w="108" w:type="dxa"/>
            <w:bottom w:w="0" w:type="dxa"/>
            <w:right w:w="108" w:type="dxa"/>
          </w:tblCellMar>
        </w:tblPrEx>
        <w:trPr>
          <w:trHeight w:val="360" w:hRule="atLeast"/>
        </w:trPr>
        <w:tc>
          <w:tcPr>
            <w:tcW w:w="933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254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预算年度：2022</w:t>
            </w:r>
          </w:p>
        </w:tc>
        <w:tc>
          <w:tcPr>
            <w:tcW w:w="259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59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666"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9214" w:type="dxa"/>
            <w:gridSpan w:val="6"/>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资金性质</w:t>
            </w:r>
          </w:p>
        </w:tc>
      </w:tr>
      <w:tr>
        <w:tblPrEx>
          <w:tblCellMar>
            <w:top w:w="0" w:type="dxa"/>
            <w:left w:w="108" w:type="dxa"/>
            <w:bottom w:w="0" w:type="dxa"/>
            <w:right w:w="108" w:type="dxa"/>
          </w:tblCellMar>
        </w:tblPrEx>
        <w:trPr>
          <w:trHeight w:val="360" w:hRule="atLeast"/>
        </w:trPr>
        <w:tc>
          <w:tcPr>
            <w:tcW w:w="59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466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一般公共预算财政拨款</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政府性基金财政拨款</w:t>
            </w:r>
          </w:p>
        </w:tc>
        <w:tc>
          <w:tcPr>
            <w:tcW w:w="29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59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466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29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合计</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5.00</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5.00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“三公”经费小计</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5.00</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5.00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一、因公出国（境）费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xml:space="preserve">    其中：教学科研人员因公出国（境）费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xml:space="preserve">          其他因公出国（境）费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二、公务用车购置及运维费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4.00</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4.00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xml:space="preserve">    其中：公务用车购置费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xml:space="preserve">          公务用车运行维护费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4.00</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4.00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三、公务接待费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1.50</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四、会议费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五、培训费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简体" w:hAnsi="黑体" w:eastAsia="方正小标宋简体" w:cs="方正小标宋_GBK"/>
          <w:color w:val="000000"/>
          <w:sz w:val="44"/>
          <w:lang w:eastAsia="zh-CN"/>
        </w:rPr>
      </w:pPr>
    </w:p>
    <w:p>
      <w:pPr>
        <w:jc w:val="center"/>
        <w:rPr>
          <w:rFonts w:ascii="方正小标宋简体" w:hAnsi="黑体" w:eastAsia="方正小标宋简体"/>
        </w:rPr>
      </w:pPr>
      <w:r>
        <w:rPr>
          <w:rFonts w:hint="eastAsia" w:ascii="方正小标宋简体" w:hAnsi="黑体" w:eastAsia="方正小标宋简体" w:cs="方正小标宋_GBK"/>
          <w:color w:val="000000"/>
          <w:sz w:val="44"/>
          <w:lang w:eastAsia="zh-CN"/>
        </w:rPr>
        <w:t>涞水县住房和城乡建设局</w:t>
      </w:r>
      <w:r>
        <w:rPr>
          <w:rFonts w:hint="eastAsia" w:ascii="方正小标宋简体" w:hAnsi="黑体" w:eastAsia="方正小标宋简体" w:cs="方正小标宋_GBK"/>
          <w:color w:val="000000"/>
          <w:sz w:val="44"/>
        </w:rPr>
        <w:t>2022年部门预算信息公开情况说明</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按照《</w:t>
      </w:r>
      <w:r>
        <w:rPr>
          <w:rFonts w:hint="eastAsia" w:ascii="仿宋_GB2312" w:eastAsia="仿宋_GB2312"/>
          <w:color w:val="000000"/>
          <w:sz w:val="32"/>
          <w:szCs w:val="32"/>
          <w:lang w:eastAsia="zh-CN"/>
        </w:rPr>
        <w:t>中华人民共和国</w:t>
      </w:r>
      <w:r>
        <w:rPr>
          <w:rFonts w:hint="eastAsia" w:ascii="仿宋_GB2312" w:eastAsia="仿宋_GB2312"/>
          <w:color w:val="000000"/>
          <w:sz w:val="32"/>
          <w:szCs w:val="32"/>
        </w:rPr>
        <w:t>预算法》、《地方预决算公开操作规程》和《关于进一步推进预算公开工作的实施意见》规定，现将</w:t>
      </w:r>
      <w:r>
        <w:rPr>
          <w:rFonts w:hint="eastAsia" w:ascii="仿宋_GB2312" w:eastAsia="仿宋_GB2312"/>
          <w:color w:val="000000"/>
          <w:sz w:val="32"/>
          <w:szCs w:val="32"/>
          <w:lang w:eastAsia="zh-CN"/>
        </w:rPr>
        <w:t>涞水县住房和城乡建设局</w:t>
      </w:r>
      <w:r>
        <w:rPr>
          <w:rFonts w:hint="eastAsia" w:ascii="仿宋_GB2312" w:eastAsia="仿宋_GB2312"/>
          <w:color w:val="000000"/>
          <w:sz w:val="32"/>
          <w:szCs w:val="32"/>
        </w:rPr>
        <w:t>2022年部门预算公开如下：</w:t>
      </w:r>
    </w:p>
    <w:p>
      <w:pPr>
        <w:spacing w:line="560" w:lineRule="exact"/>
        <w:ind w:firstLine="480" w:firstLineChars="150"/>
        <w:rPr>
          <w:rFonts w:ascii="黑体" w:hAnsi="黑体" w:eastAsia="黑体" w:cs="黑体"/>
          <w:sz w:val="32"/>
          <w:szCs w:val="32"/>
        </w:rPr>
      </w:pPr>
      <w:r>
        <w:rPr>
          <w:rFonts w:hint="eastAsia" w:ascii="黑体" w:hAnsi="黑体" w:eastAsia="黑体" w:cs="黑体"/>
          <w:sz w:val="32"/>
          <w:szCs w:val="32"/>
        </w:rPr>
        <w:t>一、部门职能及机构设置情况</w:t>
      </w:r>
    </w:p>
    <w:p>
      <w:pPr>
        <w:spacing w:line="560" w:lineRule="exact"/>
        <w:rPr>
          <w:rFonts w:ascii="楷体" w:hAnsi="楷体" w:eastAsia="楷体" w:cs="楷体"/>
          <w:sz w:val="32"/>
          <w:szCs w:val="32"/>
        </w:rPr>
      </w:pPr>
      <w:r>
        <w:rPr>
          <w:rFonts w:hint="eastAsia" w:ascii="楷体" w:hAnsi="楷体" w:eastAsia="楷体" w:cs="楷体"/>
          <w:sz w:val="32"/>
          <w:szCs w:val="32"/>
        </w:rPr>
        <w:t xml:space="preserve">   （一）部门职能</w:t>
      </w:r>
    </w:p>
    <w:p>
      <w:pPr>
        <w:spacing w:line="560" w:lineRule="exact"/>
        <w:ind w:firstLine="480" w:firstLineChars="150"/>
        <w:rPr>
          <w:rFonts w:ascii="楷体" w:hAnsi="楷体" w:eastAsia="楷体" w:cs="楷体"/>
          <w:sz w:val="32"/>
          <w:szCs w:val="32"/>
        </w:rPr>
      </w:pPr>
      <w:r>
        <w:rPr>
          <w:rFonts w:ascii="仿宋" w:hAnsi="仿宋" w:eastAsia="仿宋"/>
          <w:sz w:val="32"/>
          <w:szCs w:val="32"/>
        </w:rPr>
        <w:t>（1）贯彻执行国家、省、市有关住房和城乡建设工作的方针、政策和法律法规，拟定有关发展规划并指导实施，依据有关规定进行行业管理；根据本县国民经济和社会发展总体规划，拟定本县危旧住房改造计划并组织实施。</w:t>
      </w:r>
    </w:p>
    <w:p>
      <w:pPr>
        <w:spacing w:line="560" w:lineRule="exact"/>
        <w:ind w:firstLine="480" w:firstLineChars="150"/>
        <w:rPr>
          <w:rFonts w:ascii="仿宋" w:hAnsi="仿宋" w:eastAsia="仿宋"/>
          <w:sz w:val="32"/>
          <w:szCs w:val="32"/>
        </w:rPr>
      </w:pPr>
      <w:r>
        <w:rPr>
          <w:rFonts w:ascii="仿宋" w:hAnsi="仿宋" w:eastAsia="仿宋"/>
          <w:sz w:val="32"/>
          <w:szCs w:val="32"/>
        </w:rPr>
        <w:t>（2）承担保障城镇低收入家庭住房的责任。拟定住房保障相关办法指导实施；会同有关部门做好中央、省、市、县经济适用住房、廉租住房资金安排并监督实施；编制住房保障发展规划和年度计划并监督实施。</w:t>
      </w:r>
    </w:p>
    <w:p>
      <w:pPr>
        <w:spacing w:line="560" w:lineRule="exact"/>
        <w:ind w:firstLine="480" w:firstLineChars="150"/>
        <w:rPr>
          <w:rFonts w:ascii="楷体" w:hAnsi="楷体" w:eastAsia="楷体" w:cs="楷体"/>
          <w:sz w:val="32"/>
          <w:szCs w:val="32"/>
        </w:rPr>
      </w:pPr>
      <w:r>
        <w:rPr>
          <w:rFonts w:ascii="仿宋" w:hAnsi="仿宋" w:eastAsia="仿宋"/>
          <w:sz w:val="32"/>
          <w:szCs w:val="32"/>
        </w:rPr>
        <w:t>（3）承担规范、指导村镇建设的责任。指导全县乡镇和村庄的建设与管理，推动村镇建设的改革与发展。</w:t>
      </w:r>
    </w:p>
    <w:p>
      <w:pPr>
        <w:spacing w:line="560" w:lineRule="exact"/>
        <w:ind w:firstLine="480" w:firstLineChars="150"/>
        <w:rPr>
          <w:rFonts w:hint="eastAsia" w:ascii="仿宋" w:hAnsi="仿宋" w:eastAsia="仿宋"/>
          <w:sz w:val="32"/>
          <w:szCs w:val="32"/>
          <w:lang w:eastAsia="zh-CN"/>
        </w:rPr>
      </w:pPr>
      <w:r>
        <w:rPr>
          <w:rFonts w:ascii="仿宋" w:hAnsi="仿宋" w:eastAsia="仿宋"/>
          <w:sz w:val="32"/>
          <w:szCs w:val="32"/>
        </w:rPr>
        <w:t>（4）承担规范房地产市场秩序、监督管理房地产市场的责任。负责全县住宅与房地产业行业管理；会同或配合有关部门拟定房地产市场监管办法，并监督执行，推动住宅产业化；参与城镇土地使用权有偿出让工作；提出房地产业的行业发展规划、产业政策，负责房地产开发、房屋权属管理，商品房预（销）售、房地产转让、抵押、房屋租赁、房屋面积管理，房地产估价与经济管理、物业管理、房屋征收拆迁的规章制度并监督执行。</w:t>
      </w:r>
    </w:p>
    <w:p>
      <w:pPr>
        <w:spacing w:line="560" w:lineRule="exact"/>
        <w:ind w:firstLine="480" w:firstLineChars="150"/>
        <w:rPr>
          <w:rFonts w:ascii="楷体" w:hAnsi="楷体" w:eastAsia="楷体" w:cs="楷体"/>
          <w:sz w:val="32"/>
          <w:szCs w:val="32"/>
        </w:rPr>
      </w:pPr>
      <w:r>
        <w:rPr>
          <w:rFonts w:ascii="仿宋" w:hAnsi="仿宋" w:eastAsia="仿宋"/>
          <w:sz w:val="32"/>
          <w:szCs w:val="32"/>
        </w:rPr>
        <w:t>　（5）监督管理建筑市场、规范市场各方主体行为。规范建筑市场，监督、管理建筑市场准入、工程招投标、工程咨询、工程监理、工程质量、工程稽查和安全；组织或参与重大工程质量事故的调查处理；负责工程质量的审核与评定及对工程质量纠纷的仲裁；负责建筑安装、建筑装饰的行业管理，包括对建筑安装、建筑装饰企业的资质管理；监督检查工程质量及施工安全。</w:t>
      </w:r>
    </w:p>
    <w:p>
      <w:pPr>
        <w:spacing w:line="560" w:lineRule="exact"/>
        <w:ind w:firstLine="480" w:firstLineChars="150"/>
        <w:rPr>
          <w:rFonts w:ascii="仿宋" w:hAnsi="仿宋" w:eastAsia="仿宋"/>
          <w:sz w:val="32"/>
          <w:szCs w:val="32"/>
        </w:rPr>
      </w:pPr>
      <w:r>
        <w:rPr>
          <w:rFonts w:ascii="仿宋" w:hAnsi="仿宋" w:eastAsia="仿宋"/>
          <w:sz w:val="32"/>
          <w:szCs w:val="32"/>
        </w:rPr>
        <w:t>（6）监督指导全县各类工程建设标准定额的实施；对工程造价实施管理，会同有关部门对工程建设地方标准和建筑系统各行业的工程标准化、经济定额、产品标准实施监督。</w:t>
      </w:r>
    </w:p>
    <w:p>
      <w:pPr>
        <w:spacing w:line="560" w:lineRule="exact"/>
        <w:ind w:firstLine="480" w:firstLineChars="150"/>
        <w:rPr>
          <w:rFonts w:ascii="仿宋" w:hAnsi="仿宋" w:eastAsia="仿宋"/>
          <w:sz w:val="32"/>
          <w:szCs w:val="32"/>
        </w:rPr>
      </w:pPr>
      <w:r>
        <w:rPr>
          <w:rFonts w:ascii="仿宋" w:hAnsi="仿宋" w:eastAsia="仿宋"/>
          <w:sz w:val="32"/>
          <w:szCs w:val="32"/>
        </w:rPr>
        <w:t>（7）负责住房和城乡建设监察的管理工作，负责城区规划区内防汛及防汛设施的维护管理工作，对违反相关法律法规的行为进行处罚。</w:t>
      </w:r>
    </w:p>
    <w:p>
      <w:pPr>
        <w:spacing w:line="560" w:lineRule="exact"/>
        <w:ind w:firstLine="480" w:firstLineChars="150"/>
        <w:rPr>
          <w:rFonts w:ascii="仿宋" w:hAnsi="仿宋" w:eastAsia="仿宋"/>
          <w:sz w:val="32"/>
          <w:szCs w:val="32"/>
        </w:rPr>
      </w:pPr>
      <w:r>
        <w:rPr>
          <w:rFonts w:ascii="仿宋" w:hAnsi="仿宋" w:eastAsia="仿宋"/>
          <w:sz w:val="32"/>
          <w:szCs w:val="32"/>
        </w:rPr>
        <w:t>（8）承担推进建筑节能、城镇减排的责任，会同有关部门拟定建筑节能的政策并监督实施；指导房屋墙体材料革新工作；组织实施重大建筑节能项目，推进城镇减排。</w:t>
      </w:r>
    </w:p>
    <w:p>
      <w:pPr>
        <w:spacing w:line="560" w:lineRule="exact"/>
        <w:ind w:firstLine="480" w:firstLineChars="150"/>
        <w:rPr>
          <w:rFonts w:ascii="仿宋" w:hAnsi="仿宋" w:eastAsia="仿宋"/>
          <w:sz w:val="32"/>
          <w:szCs w:val="32"/>
        </w:rPr>
      </w:pPr>
      <w:r>
        <w:rPr>
          <w:rFonts w:hint="eastAsia" w:ascii="仿宋" w:hAnsi="仿宋" w:eastAsia="仿宋" w:cs="宋体"/>
          <w:sz w:val="32"/>
          <w:szCs w:val="32"/>
        </w:rPr>
        <w:t>（</w:t>
      </w:r>
      <w:r>
        <w:rPr>
          <w:rFonts w:ascii="仿宋" w:hAnsi="仿宋" w:eastAsia="仿宋"/>
          <w:sz w:val="32"/>
          <w:szCs w:val="32"/>
        </w:rPr>
        <w:t>9）指导公房的使用、修缮、拆迁、改造和保留保护的管理；负责本县房屋安全鉴定监督工作。</w:t>
      </w:r>
    </w:p>
    <w:p>
      <w:pPr>
        <w:spacing w:line="560" w:lineRule="exact"/>
        <w:ind w:firstLine="480" w:firstLineChars="150"/>
        <w:rPr>
          <w:rFonts w:ascii="仿宋" w:hAnsi="仿宋" w:eastAsia="仿宋"/>
          <w:sz w:val="32"/>
          <w:szCs w:val="32"/>
        </w:rPr>
      </w:pPr>
      <w:r>
        <w:rPr>
          <w:rFonts w:ascii="仿宋" w:hAnsi="仿宋" w:eastAsia="仿宋"/>
          <w:sz w:val="32"/>
          <w:szCs w:val="32"/>
        </w:rPr>
        <w:t>（10）负责全县建设工程勘察设计工作，规范勘察设计市场；制定本系统科技发展规划、计划及技术经济政策，组织科技论证、开发和成果的推广应用；拟订和实施本系统行业人才培养规划；负责系统内科技人才队伍建设管理工作；负责组织管理本系统专业经济、技术职称和执业资格管理工作。</w:t>
      </w:r>
    </w:p>
    <w:p>
      <w:pPr>
        <w:spacing w:line="560" w:lineRule="exact"/>
        <w:ind w:firstLine="480" w:firstLineChars="150"/>
        <w:rPr>
          <w:rFonts w:ascii="仿宋" w:hAnsi="仿宋" w:eastAsia="仿宋"/>
          <w:sz w:val="32"/>
          <w:szCs w:val="32"/>
        </w:rPr>
      </w:pPr>
      <w:r>
        <w:rPr>
          <w:rFonts w:ascii="仿宋" w:hAnsi="仿宋" w:eastAsia="仿宋"/>
          <w:sz w:val="32"/>
          <w:szCs w:val="32"/>
        </w:rPr>
        <w:t>（11）合同有关部门编制城建资金使用计划、资金筹措及监督使用。</w:t>
      </w:r>
    </w:p>
    <w:p>
      <w:pPr>
        <w:spacing w:line="560" w:lineRule="exact"/>
        <w:ind w:firstLine="480" w:firstLineChars="150"/>
        <w:rPr>
          <w:rFonts w:ascii="仿宋" w:hAnsi="仿宋" w:eastAsia="仿宋"/>
          <w:sz w:val="32"/>
          <w:szCs w:val="32"/>
        </w:rPr>
      </w:pPr>
      <w:r>
        <w:rPr>
          <w:rFonts w:ascii="仿宋" w:hAnsi="仿宋" w:eastAsia="仿宋"/>
          <w:sz w:val="32"/>
          <w:szCs w:val="32"/>
        </w:rPr>
        <w:t>（12）负责住房和城乡建设系统的法制宣传教育工作；指导、监督住房和城乡建设行政执法和行政监察工作。</w:t>
      </w:r>
    </w:p>
    <w:p>
      <w:pPr>
        <w:spacing w:line="560" w:lineRule="exact"/>
        <w:ind w:firstLine="480" w:firstLineChars="150"/>
        <w:rPr>
          <w:rFonts w:ascii="仿宋" w:hAnsi="仿宋" w:eastAsia="仿宋"/>
          <w:sz w:val="32"/>
          <w:szCs w:val="32"/>
        </w:rPr>
      </w:pPr>
      <w:r>
        <w:rPr>
          <w:rFonts w:ascii="仿宋" w:hAnsi="仿宋" w:eastAsia="仿宋"/>
          <w:sz w:val="32"/>
          <w:szCs w:val="32"/>
        </w:rPr>
        <w:t>（13）负责住房和建设信息管理工作。</w:t>
      </w:r>
    </w:p>
    <w:p>
      <w:pPr>
        <w:spacing w:line="560" w:lineRule="exact"/>
        <w:ind w:firstLine="480" w:firstLineChars="150"/>
        <w:rPr>
          <w:rFonts w:ascii="仿宋" w:hAnsi="仿宋" w:eastAsia="仿宋"/>
          <w:sz w:val="32"/>
          <w:szCs w:val="32"/>
        </w:rPr>
      </w:pPr>
      <w:r>
        <w:rPr>
          <w:rFonts w:ascii="仿宋" w:hAnsi="仿宋" w:eastAsia="仿宋"/>
          <w:sz w:val="32"/>
          <w:szCs w:val="32"/>
        </w:rPr>
        <w:t>（14）负责全县城市规划区内国有土地上房屋征收的监督管理；负责本县城市规划区内国有土地上房屋拆迁安置指导工作。</w:t>
      </w:r>
    </w:p>
    <w:p>
      <w:pPr>
        <w:spacing w:line="560" w:lineRule="exact"/>
        <w:ind w:firstLine="480" w:firstLineChars="150"/>
        <w:rPr>
          <w:rFonts w:ascii="仿宋" w:hAnsi="仿宋" w:eastAsia="仿宋"/>
          <w:sz w:val="32"/>
          <w:szCs w:val="32"/>
        </w:rPr>
      </w:pPr>
      <w:r>
        <w:rPr>
          <w:rFonts w:ascii="仿宋" w:hAnsi="仿宋" w:eastAsia="仿宋"/>
          <w:sz w:val="32"/>
          <w:szCs w:val="32"/>
        </w:rPr>
        <w:t>（15）负责全县住房和城乡建设统计工作。</w:t>
      </w:r>
    </w:p>
    <w:p>
      <w:pPr>
        <w:spacing w:line="560" w:lineRule="exact"/>
        <w:ind w:firstLine="480" w:firstLineChars="150"/>
        <w:rPr>
          <w:rFonts w:ascii="仿宋" w:hAnsi="仿宋" w:eastAsia="仿宋"/>
          <w:sz w:val="32"/>
          <w:szCs w:val="32"/>
        </w:rPr>
      </w:pPr>
      <w:r>
        <w:rPr>
          <w:rFonts w:ascii="仿宋" w:hAnsi="仿宋" w:eastAsia="仿宋"/>
          <w:sz w:val="32"/>
          <w:szCs w:val="32"/>
        </w:rPr>
        <w:t>（16）承办县政府交办的其它事项。</w:t>
      </w:r>
    </w:p>
    <w:p>
      <w:pPr>
        <w:spacing w:line="560" w:lineRule="exact"/>
        <w:ind w:firstLine="643" w:firstLineChars="200"/>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w:t>
      </w:r>
      <w:r>
        <w:rPr>
          <w:rFonts w:hint="eastAsia" w:ascii="仿宋" w:hAnsi="仿宋" w:eastAsia="仿宋" w:cs="宋体"/>
          <w:b/>
          <w:sz w:val="32"/>
          <w:szCs w:val="32"/>
        </w:rPr>
        <w:t>综</w:t>
      </w:r>
      <w:r>
        <w:rPr>
          <w:rFonts w:hint="eastAsia" w:ascii="仿宋" w:hAnsi="仿宋" w:eastAsia="仿宋" w:cs="Batang"/>
          <w:b/>
          <w:sz w:val="32"/>
          <w:szCs w:val="32"/>
        </w:rPr>
        <w:t>合</w:t>
      </w:r>
      <w:r>
        <w:rPr>
          <w:rFonts w:hint="eastAsia" w:ascii="仿宋" w:hAnsi="仿宋" w:eastAsia="仿宋" w:cs="宋体"/>
          <w:b/>
          <w:sz w:val="32"/>
          <w:szCs w:val="32"/>
        </w:rPr>
        <w:t>办</w:t>
      </w:r>
      <w:r>
        <w:rPr>
          <w:rFonts w:hint="eastAsia" w:ascii="仿宋" w:hAnsi="仿宋" w:eastAsia="仿宋" w:cs="Batang"/>
          <w:b/>
          <w:sz w:val="32"/>
          <w:szCs w:val="32"/>
        </w:rPr>
        <w:t>公室</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w:t>
      </w:r>
      <w:r>
        <w:rPr>
          <w:rFonts w:hint="eastAsia" w:ascii="仿宋" w:hAnsi="仿宋" w:eastAsia="仿宋" w:cs="Batang"/>
          <w:sz w:val="32"/>
          <w:szCs w:val="32"/>
        </w:rPr>
        <w:t>公文起草、</w:t>
      </w:r>
      <w:r>
        <w:rPr>
          <w:rFonts w:hint="eastAsia" w:ascii="仿宋" w:hAnsi="仿宋" w:eastAsia="仿宋" w:cs="宋体"/>
          <w:sz w:val="32"/>
          <w:szCs w:val="32"/>
        </w:rPr>
        <w:t>缮</w:t>
      </w:r>
      <w:r>
        <w:rPr>
          <w:rFonts w:hint="eastAsia" w:ascii="仿宋" w:hAnsi="仿宋" w:eastAsia="仿宋" w:cs="Batang"/>
          <w:sz w:val="32"/>
          <w:szCs w:val="32"/>
        </w:rPr>
        <w:t>印封</w:t>
      </w:r>
      <w:r>
        <w:rPr>
          <w:rFonts w:hint="eastAsia" w:ascii="仿宋" w:hAnsi="仿宋" w:eastAsia="仿宋" w:cs="宋体"/>
          <w:sz w:val="32"/>
          <w:szCs w:val="32"/>
        </w:rPr>
        <w:t>发</w:t>
      </w:r>
      <w:r>
        <w:rPr>
          <w:rFonts w:hint="eastAsia" w:ascii="仿宋" w:hAnsi="仿宋" w:eastAsia="仿宋" w:cs="Batang"/>
          <w:sz w:val="32"/>
          <w:szCs w:val="32"/>
        </w:rPr>
        <w:t>、上</w:t>
      </w:r>
      <w:r>
        <w:rPr>
          <w:rFonts w:hint="eastAsia" w:ascii="仿宋" w:hAnsi="仿宋" w:eastAsia="仿宋" w:cs="宋体"/>
          <w:sz w:val="32"/>
          <w:szCs w:val="32"/>
        </w:rPr>
        <w:t>报</w:t>
      </w:r>
      <w:r>
        <w:rPr>
          <w:rFonts w:hint="eastAsia" w:ascii="仿宋" w:hAnsi="仿宋" w:eastAsia="仿宋" w:cs="Batang"/>
          <w:sz w:val="32"/>
          <w:szCs w:val="32"/>
        </w:rPr>
        <w:t>下</w:t>
      </w:r>
      <w:r>
        <w:rPr>
          <w:rFonts w:hint="eastAsia" w:ascii="仿宋" w:hAnsi="仿宋" w:eastAsia="仿宋" w:cs="宋体"/>
          <w:sz w:val="32"/>
          <w:szCs w:val="32"/>
        </w:rPr>
        <w:t>达</w:t>
      </w:r>
      <w:r>
        <w:rPr>
          <w:rFonts w:hint="eastAsia" w:ascii="仿宋" w:hAnsi="仿宋" w:eastAsia="仿宋" w:cs="Batang"/>
          <w:sz w:val="32"/>
          <w:szCs w:val="32"/>
        </w:rPr>
        <w:t>、宣</w:t>
      </w:r>
      <w:r>
        <w:rPr>
          <w:rFonts w:hint="eastAsia" w:ascii="仿宋" w:hAnsi="仿宋" w:eastAsia="仿宋" w:cs="宋体"/>
          <w:sz w:val="32"/>
          <w:szCs w:val="32"/>
        </w:rPr>
        <w:t>传报</w:t>
      </w:r>
      <w:r>
        <w:rPr>
          <w:rFonts w:hint="eastAsia" w:ascii="仿宋" w:hAnsi="仿宋" w:eastAsia="仿宋" w:cs="Batang"/>
          <w:sz w:val="32"/>
          <w:szCs w:val="32"/>
        </w:rPr>
        <w:t>道、</w:t>
      </w:r>
      <w:r>
        <w:rPr>
          <w:rFonts w:hint="eastAsia" w:ascii="仿宋" w:hAnsi="仿宋" w:eastAsia="仿宋" w:cs="宋体"/>
          <w:sz w:val="32"/>
          <w:szCs w:val="32"/>
        </w:rPr>
        <w:t>综</w:t>
      </w:r>
      <w:r>
        <w:rPr>
          <w:rFonts w:hint="eastAsia" w:ascii="仿宋" w:hAnsi="仿宋" w:eastAsia="仿宋" w:cs="Batang"/>
          <w:sz w:val="32"/>
          <w:szCs w:val="32"/>
        </w:rPr>
        <w:t>合</w:t>
      </w:r>
      <w:r>
        <w:rPr>
          <w:rFonts w:hint="eastAsia" w:ascii="仿宋" w:hAnsi="仿宋" w:eastAsia="仿宋" w:cs="宋体"/>
          <w:sz w:val="32"/>
          <w:szCs w:val="32"/>
        </w:rPr>
        <w:t>统计</w:t>
      </w:r>
      <w:r>
        <w:rPr>
          <w:rFonts w:hint="eastAsia" w:ascii="仿宋" w:hAnsi="仿宋" w:eastAsia="仿宋" w:cs="Batang"/>
          <w:sz w:val="32"/>
          <w:szCs w:val="32"/>
        </w:rPr>
        <w:t>、</w:t>
      </w:r>
      <w:r>
        <w:rPr>
          <w:rFonts w:hint="eastAsia" w:ascii="仿宋" w:hAnsi="仿宋" w:eastAsia="仿宋" w:cs="宋体"/>
          <w:sz w:val="32"/>
          <w:szCs w:val="32"/>
        </w:rPr>
        <w:t>档</w:t>
      </w:r>
      <w:r>
        <w:rPr>
          <w:rFonts w:hint="eastAsia" w:ascii="仿宋" w:hAnsi="仿宋" w:eastAsia="仿宋" w:cs="Batang"/>
          <w:sz w:val="32"/>
          <w:szCs w:val="32"/>
        </w:rPr>
        <w:t>案管理、</w:t>
      </w:r>
      <w:r>
        <w:rPr>
          <w:rFonts w:hint="eastAsia" w:ascii="仿宋" w:hAnsi="仿宋" w:eastAsia="仿宋" w:cs="宋体"/>
          <w:sz w:val="32"/>
          <w:szCs w:val="32"/>
        </w:rPr>
        <w:t>车辆</w:t>
      </w:r>
      <w:r>
        <w:rPr>
          <w:rFonts w:hint="eastAsia" w:ascii="仿宋" w:hAnsi="仿宋" w:eastAsia="仿宋" w:cs="Batang"/>
          <w:sz w:val="32"/>
          <w:szCs w:val="32"/>
        </w:rPr>
        <w:t>管理、安全保</w:t>
      </w:r>
      <w:r>
        <w:rPr>
          <w:rFonts w:hint="eastAsia" w:ascii="仿宋" w:hAnsi="仿宋" w:eastAsia="仿宋" w:cs="宋体"/>
          <w:sz w:val="32"/>
          <w:szCs w:val="32"/>
        </w:rPr>
        <w:t>卫</w:t>
      </w:r>
      <w:r>
        <w:rPr>
          <w:rFonts w:hint="eastAsia" w:ascii="仿宋" w:hAnsi="仿宋" w:eastAsia="仿宋" w:cs="Batang"/>
          <w:sz w:val="32"/>
          <w:szCs w:val="32"/>
        </w:rPr>
        <w:t>、</w:t>
      </w:r>
      <w:r>
        <w:rPr>
          <w:rFonts w:hint="eastAsia" w:ascii="仿宋" w:hAnsi="仿宋" w:eastAsia="仿宋" w:cs="宋体"/>
          <w:sz w:val="32"/>
          <w:szCs w:val="32"/>
        </w:rPr>
        <w:t>环</w:t>
      </w:r>
      <w:r>
        <w:rPr>
          <w:rFonts w:hint="eastAsia" w:ascii="仿宋" w:hAnsi="仿宋" w:eastAsia="仿宋" w:cs="Batang"/>
          <w:sz w:val="32"/>
          <w:szCs w:val="32"/>
        </w:rPr>
        <w:t>境</w:t>
      </w:r>
      <w:r>
        <w:rPr>
          <w:rFonts w:hint="eastAsia" w:ascii="仿宋" w:hAnsi="仿宋" w:eastAsia="仿宋" w:cs="宋体"/>
          <w:sz w:val="32"/>
          <w:szCs w:val="32"/>
        </w:rPr>
        <w:t>卫</w:t>
      </w:r>
      <w:r>
        <w:rPr>
          <w:rFonts w:hint="eastAsia" w:ascii="仿宋" w:hAnsi="仿宋" w:eastAsia="仿宋" w:cs="Batang"/>
          <w:sz w:val="32"/>
          <w:szCs w:val="32"/>
        </w:rPr>
        <w:t>生、出勤考核、</w:t>
      </w:r>
      <w:r>
        <w:rPr>
          <w:rFonts w:ascii="仿宋" w:hAnsi="仿宋" w:eastAsia="仿宋"/>
          <w:sz w:val="32"/>
          <w:szCs w:val="32"/>
        </w:rPr>
        <w:t>形象建</w:t>
      </w:r>
      <w:r>
        <w:rPr>
          <w:rFonts w:hint="eastAsia" w:ascii="仿宋" w:hAnsi="仿宋" w:eastAsia="仿宋" w:cs="宋体"/>
          <w:sz w:val="32"/>
          <w:szCs w:val="32"/>
        </w:rPr>
        <w:t>设</w:t>
      </w:r>
      <w:r>
        <w:rPr>
          <w:rFonts w:hint="eastAsia" w:ascii="仿宋" w:hAnsi="仿宋" w:eastAsia="仿宋" w:cs="Batang"/>
          <w:sz w:val="32"/>
          <w:szCs w:val="32"/>
        </w:rPr>
        <w:t>、</w:t>
      </w:r>
      <w:r>
        <w:rPr>
          <w:rFonts w:hint="eastAsia" w:ascii="仿宋" w:hAnsi="仿宋" w:eastAsia="仿宋" w:cs="宋体"/>
          <w:sz w:val="32"/>
          <w:szCs w:val="32"/>
        </w:rPr>
        <w:t>会议组织</w:t>
      </w:r>
      <w:r>
        <w:rPr>
          <w:rFonts w:hint="eastAsia" w:ascii="仿宋" w:hAnsi="仿宋" w:eastAsia="仿宋" w:cs="Batang"/>
          <w:sz w:val="32"/>
          <w:szCs w:val="32"/>
        </w:rPr>
        <w:t>等机</w:t>
      </w:r>
      <w:r>
        <w:rPr>
          <w:rFonts w:hint="eastAsia" w:ascii="仿宋" w:hAnsi="仿宋" w:eastAsia="仿宋" w:cs="宋体"/>
          <w:sz w:val="32"/>
          <w:szCs w:val="32"/>
        </w:rPr>
        <w:t>关</w:t>
      </w:r>
      <w:r>
        <w:rPr>
          <w:rFonts w:hint="eastAsia" w:ascii="仿宋" w:hAnsi="仿宋" w:eastAsia="仿宋" w:cs="Batang"/>
          <w:sz w:val="32"/>
          <w:szCs w:val="32"/>
        </w:rPr>
        <w:t>行政事</w:t>
      </w:r>
      <w:r>
        <w:rPr>
          <w:rFonts w:hint="eastAsia" w:ascii="仿宋" w:hAnsi="仿宋" w:eastAsia="仿宋" w:cs="宋体"/>
          <w:sz w:val="32"/>
          <w:szCs w:val="32"/>
        </w:rPr>
        <w:t>务</w:t>
      </w:r>
      <w:r>
        <w:rPr>
          <w:rFonts w:hint="eastAsia" w:ascii="仿宋" w:hAnsi="仿宋" w:eastAsia="仿宋" w:cs="Batang"/>
          <w:sz w:val="32"/>
          <w:szCs w:val="32"/>
        </w:rPr>
        <w:t>管理工作。</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2、</w:t>
      </w:r>
      <w:r>
        <w:rPr>
          <w:rFonts w:hint="eastAsia" w:ascii="仿宋" w:hAnsi="仿宋" w:eastAsia="仿宋" w:cs="宋体"/>
          <w:b/>
          <w:sz w:val="32"/>
          <w:szCs w:val="32"/>
        </w:rPr>
        <w:t>计财</w:t>
      </w:r>
      <w:r>
        <w:rPr>
          <w:rFonts w:hint="eastAsia" w:ascii="仿宋" w:hAnsi="仿宋" w:eastAsia="仿宋" w:cs="Batang"/>
          <w:b/>
          <w:sz w:val="32"/>
          <w:szCs w:val="32"/>
        </w:rPr>
        <w:t>股</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负责财务</w:t>
      </w:r>
      <w:r>
        <w:rPr>
          <w:rFonts w:hint="eastAsia" w:ascii="仿宋" w:hAnsi="仿宋" w:eastAsia="仿宋" w:cs="Batang"/>
          <w:sz w:val="32"/>
          <w:szCs w:val="32"/>
        </w:rPr>
        <w:t>管理、</w:t>
      </w:r>
      <w:r>
        <w:rPr>
          <w:rFonts w:hint="eastAsia" w:ascii="仿宋" w:hAnsi="仿宋" w:eastAsia="仿宋" w:cs="宋体"/>
          <w:sz w:val="32"/>
          <w:szCs w:val="32"/>
        </w:rPr>
        <w:t>财务</w:t>
      </w:r>
      <w:r>
        <w:rPr>
          <w:rFonts w:hint="eastAsia" w:ascii="仿宋" w:hAnsi="仿宋" w:eastAsia="仿宋" w:cs="Batang"/>
          <w:sz w:val="32"/>
          <w:szCs w:val="32"/>
        </w:rPr>
        <w:t>核算、</w:t>
      </w:r>
      <w:r>
        <w:rPr>
          <w:rFonts w:hint="eastAsia" w:ascii="仿宋" w:hAnsi="仿宋" w:eastAsia="仿宋" w:cs="宋体"/>
          <w:sz w:val="32"/>
          <w:szCs w:val="32"/>
        </w:rPr>
        <w:t>财务监</w:t>
      </w:r>
      <w:r>
        <w:rPr>
          <w:rFonts w:hint="eastAsia" w:ascii="仿宋" w:hAnsi="仿宋" w:eastAsia="仿宋" w:cs="Batang"/>
          <w:sz w:val="32"/>
          <w:szCs w:val="32"/>
        </w:rPr>
        <w:t>督、</w:t>
      </w:r>
      <w:r>
        <w:rPr>
          <w:rFonts w:hint="eastAsia" w:ascii="仿宋" w:hAnsi="仿宋" w:eastAsia="仿宋" w:cs="宋体"/>
          <w:sz w:val="32"/>
          <w:szCs w:val="32"/>
        </w:rPr>
        <w:t>财务</w:t>
      </w:r>
      <w:r>
        <w:rPr>
          <w:rFonts w:hint="eastAsia" w:ascii="仿宋" w:hAnsi="仿宋" w:eastAsia="仿宋" w:cs="Batang"/>
          <w:sz w:val="32"/>
          <w:szCs w:val="32"/>
        </w:rPr>
        <w:t>分析及物品</w:t>
      </w:r>
      <w:r>
        <w:rPr>
          <w:rFonts w:hint="eastAsia" w:ascii="仿宋" w:hAnsi="仿宋" w:eastAsia="仿宋" w:cs="宋体"/>
          <w:sz w:val="32"/>
          <w:szCs w:val="32"/>
        </w:rPr>
        <w:t>购</w:t>
      </w:r>
      <w:r>
        <w:rPr>
          <w:rFonts w:hint="eastAsia" w:ascii="仿宋" w:hAnsi="仿宋" w:eastAsia="仿宋" w:cs="Batang"/>
          <w:sz w:val="32"/>
          <w:szCs w:val="32"/>
        </w:rPr>
        <w:t>置。</w:t>
      </w:r>
      <w:r>
        <w:rPr>
          <w:rFonts w:hint="eastAsia" w:ascii="仿宋" w:hAnsi="仿宋" w:eastAsia="仿宋" w:cs="宋体"/>
          <w:sz w:val="32"/>
          <w:szCs w:val="32"/>
        </w:rPr>
        <w:t>编</w:t>
      </w:r>
      <w:r>
        <w:rPr>
          <w:rFonts w:hint="eastAsia" w:ascii="仿宋" w:hAnsi="仿宋" w:eastAsia="仿宋" w:cs="Batang"/>
          <w:sz w:val="32"/>
          <w:szCs w:val="32"/>
        </w:rPr>
        <w:t>制</w:t>
      </w:r>
      <w:r>
        <w:rPr>
          <w:rFonts w:hint="eastAsia" w:ascii="仿宋" w:hAnsi="仿宋" w:eastAsia="仿宋" w:cs="宋体"/>
          <w:sz w:val="32"/>
          <w:szCs w:val="32"/>
        </w:rPr>
        <w:t>项</w:t>
      </w:r>
      <w:r>
        <w:rPr>
          <w:rFonts w:hint="eastAsia" w:ascii="仿宋" w:hAnsi="仿宋" w:eastAsia="仿宋" w:cs="Batang"/>
          <w:sz w:val="32"/>
          <w:szCs w:val="32"/>
        </w:rPr>
        <w:t>目</w:t>
      </w:r>
      <w:r>
        <w:rPr>
          <w:rFonts w:hint="eastAsia" w:ascii="仿宋" w:hAnsi="仿宋" w:eastAsia="仿宋" w:cs="宋体"/>
          <w:sz w:val="32"/>
          <w:szCs w:val="32"/>
        </w:rPr>
        <w:t>预</w:t>
      </w:r>
      <w:r>
        <w:rPr>
          <w:rFonts w:hint="eastAsia" w:ascii="仿宋" w:hAnsi="仿宋" w:eastAsia="仿宋" w:cs="Batang"/>
          <w:sz w:val="32"/>
          <w:szCs w:val="32"/>
        </w:rPr>
        <w:t>算，</w:t>
      </w:r>
      <w:r>
        <w:rPr>
          <w:rFonts w:hint="eastAsia" w:ascii="仿宋" w:hAnsi="仿宋" w:eastAsia="仿宋" w:cs="宋体"/>
          <w:sz w:val="32"/>
          <w:szCs w:val="32"/>
        </w:rPr>
        <w:t>监</w:t>
      </w:r>
      <w:r>
        <w:rPr>
          <w:rFonts w:hint="eastAsia" w:ascii="仿宋" w:hAnsi="仿宋" w:eastAsia="仿宋" w:cs="Batang"/>
          <w:sz w:val="32"/>
          <w:szCs w:val="32"/>
        </w:rPr>
        <w:t>管</w:t>
      </w:r>
      <w:r>
        <w:rPr>
          <w:rFonts w:hint="eastAsia" w:ascii="仿宋" w:hAnsi="仿宋" w:eastAsia="仿宋" w:cs="宋体"/>
          <w:sz w:val="32"/>
          <w:szCs w:val="32"/>
        </w:rPr>
        <w:t>项</w:t>
      </w:r>
      <w:r>
        <w:rPr>
          <w:rFonts w:hint="eastAsia" w:ascii="仿宋" w:hAnsi="仿宋" w:eastAsia="仿宋" w:cs="Batang"/>
          <w:sz w:val="32"/>
          <w:szCs w:val="32"/>
        </w:rPr>
        <w:t>目</w:t>
      </w:r>
      <w:r>
        <w:rPr>
          <w:rFonts w:hint="eastAsia" w:ascii="仿宋" w:hAnsi="仿宋" w:eastAsia="仿宋" w:cs="宋体"/>
          <w:sz w:val="32"/>
          <w:szCs w:val="32"/>
        </w:rPr>
        <w:t>资</w:t>
      </w:r>
      <w:r>
        <w:rPr>
          <w:rFonts w:hint="eastAsia" w:ascii="仿宋" w:hAnsi="仿宋" w:eastAsia="仿宋" w:cs="Batang"/>
          <w:sz w:val="32"/>
          <w:szCs w:val="32"/>
        </w:rPr>
        <w:t>金。</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城</w:t>
      </w:r>
      <w:r>
        <w:rPr>
          <w:rFonts w:hint="eastAsia" w:ascii="仿宋" w:hAnsi="仿宋" w:eastAsia="仿宋" w:cs="宋体"/>
          <w:b/>
          <w:sz w:val="32"/>
          <w:szCs w:val="32"/>
        </w:rPr>
        <w:t>乡</w:t>
      </w:r>
      <w:r>
        <w:rPr>
          <w:rFonts w:hint="eastAsia" w:ascii="仿宋" w:hAnsi="仿宋" w:eastAsia="仿宋" w:cs="Batang"/>
          <w:b/>
          <w:sz w:val="32"/>
          <w:szCs w:val="32"/>
        </w:rPr>
        <w:t>建</w:t>
      </w:r>
      <w:r>
        <w:rPr>
          <w:rFonts w:hint="eastAsia" w:ascii="仿宋" w:hAnsi="仿宋" w:eastAsia="仿宋" w:cs="宋体"/>
          <w:b/>
          <w:sz w:val="32"/>
          <w:szCs w:val="32"/>
        </w:rPr>
        <w:t>设</w:t>
      </w:r>
      <w:r>
        <w:rPr>
          <w:rFonts w:hint="eastAsia" w:ascii="仿宋" w:hAnsi="仿宋" w:eastAsia="仿宋" w:cs="Batang"/>
          <w:b/>
          <w:sz w:val="32"/>
          <w:szCs w:val="32"/>
        </w:rPr>
        <w:t>股</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w:t>
      </w:r>
      <w:r>
        <w:rPr>
          <w:rFonts w:hint="eastAsia" w:ascii="仿宋" w:hAnsi="仿宋" w:eastAsia="仿宋" w:cs="Batang"/>
          <w:sz w:val="32"/>
          <w:szCs w:val="32"/>
        </w:rPr>
        <w:t>或</w:t>
      </w:r>
      <w:r>
        <w:rPr>
          <w:rFonts w:hint="eastAsia" w:ascii="仿宋" w:hAnsi="仿宋" w:eastAsia="仿宋" w:cs="宋体"/>
          <w:sz w:val="32"/>
          <w:szCs w:val="32"/>
        </w:rPr>
        <w:t>参与县</w:t>
      </w:r>
      <w:r>
        <w:rPr>
          <w:rFonts w:hint="eastAsia" w:ascii="仿宋" w:hAnsi="仿宋" w:eastAsia="仿宋" w:cs="Batang"/>
          <w:sz w:val="32"/>
          <w:szCs w:val="32"/>
        </w:rPr>
        <w:t>城</w:t>
      </w:r>
      <w:r>
        <w:rPr>
          <w:rFonts w:hint="eastAsia" w:ascii="仿宋" w:hAnsi="仿宋" w:eastAsia="仿宋" w:cs="宋体"/>
          <w:sz w:val="32"/>
          <w:szCs w:val="32"/>
        </w:rPr>
        <w:t>区</w:t>
      </w:r>
      <w:r>
        <w:rPr>
          <w:rFonts w:hint="eastAsia" w:ascii="仿宋" w:hAnsi="仿宋" w:eastAsia="仿宋" w:cs="Batang"/>
          <w:sz w:val="32"/>
          <w:szCs w:val="32"/>
        </w:rPr>
        <w:t>市政公用</w:t>
      </w:r>
      <w:r>
        <w:rPr>
          <w:rFonts w:hint="eastAsia" w:ascii="仿宋" w:hAnsi="仿宋" w:eastAsia="仿宋" w:cs="宋体"/>
          <w:sz w:val="32"/>
          <w:szCs w:val="32"/>
        </w:rPr>
        <w:t>设</w:t>
      </w:r>
      <w:r>
        <w:rPr>
          <w:rFonts w:hint="eastAsia" w:ascii="仿宋" w:hAnsi="仿宋" w:eastAsia="仿宋" w:cs="Batang"/>
          <w:sz w:val="32"/>
          <w:szCs w:val="32"/>
        </w:rPr>
        <w:t>施</w:t>
      </w:r>
      <w:r>
        <w:rPr>
          <w:rFonts w:hint="eastAsia" w:ascii="仿宋" w:hAnsi="仿宋" w:eastAsia="仿宋" w:cs="宋体"/>
          <w:sz w:val="32"/>
          <w:szCs w:val="32"/>
        </w:rPr>
        <w:t>项</w:t>
      </w:r>
      <w:r>
        <w:rPr>
          <w:rFonts w:hint="eastAsia" w:ascii="仿宋" w:hAnsi="仿宋" w:eastAsia="仿宋" w:cs="Batang"/>
          <w:sz w:val="32"/>
          <w:szCs w:val="32"/>
        </w:rPr>
        <w:t>目的建</w:t>
      </w:r>
      <w:r>
        <w:rPr>
          <w:rFonts w:hint="eastAsia" w:ascii="仿宋" w:hAnsi="仿宋" w:eastAsia="仿宋" w:cs="宋体"/>
          <w:sz w:val="32"/>
          <w:szCs w:val="32"/>
        </w:rPr>
        <w:t>设</w:t>
      </w:r>
      <w:r>
        <w:rPr>
          <w:rFonts w:hint="eastAsia" w:ascii="仿宋" w:hAnsi="仿宋" w:eastAsia="仿宋" w:cs="Batang"/>
          <w:sz w:val="32"/>
          <w:szCs w:val="32"/>
        </w:rPr>
        <w:t>管理和</w:t>
      </w:r>
      <w:r>
        <w:rPr>
          <w:rFonts w:hint="eastAsia" w:ascii="仿宋" w:hAnsi="仿宋" w:eastAsia="仿宋" w:cs="宋体"/>
          <w:sz w:val="32"/>
          <w:szCs w:val="32"/>
        </w:rPr>
        <w:t>检</w:t>
      </w:r>
      <w:r>
        <w:rPr>
          <w:rFonts w:hint="eastAsia" w:ascii="仿宋" w:hAnsi="仿宋" w:eastAsia="仿宋" w:cs="Batang"/>
          <w:sz w:val="32"/>
          <w:szCs w:val="32"/>
        </w:rPr>
        <w:t>修；</w:t>
      </w:r>
      <w:r>
        <w:rPr>
          <w:rFonts w:hint="eastAsia" w:ascii="仿宋" w:hAnsi="仿宋" w:eastAsia="仿宋" w:cs="宋体"/>
          <w:sz w:val="32"/>
          <w:szCs w:val="32"/>
        </w:rPr>
        <w:t>负责污</w:t>
      </w:r>
      <w:r>
        <w:rPr>
          <w:rFonts w:hint="eastAsia" w:ascii="仿宋" w:hAnsi="仿宋" w:eastAsia="仿宋" w:cs="Batang"/>
          <w:sz w:val="32"/>
          <w:szCs w:val="32"/>
        </w:rPr>
        <w:t>水</w:t>
      </w:r>
      <w:r>
        <w:rPr>
          <w:rFonts w:hint="eastAsia" w:ascii="仿宋" w:hAnsi="仿宋" w:eastAsia="仿宋" w:cs="宋体"/>
          <w:sz w:val="32"/>
          <w:szCs w:val="32"/>
        </w:rPr>
        <w:t>处</w:t>
      </w:r>
      <w:r>
        <w:rPr>
          <w:rFonts w:hint="eastAsia" w:ascii="仿宋" w:hAnsi="仿宋" w:eastAsia="仿宋" w:cs="Batang"/>
          <w:sz w:val="32"/>
          <w:szCs w:val="32"/>
        </w:rPr>
        <w:t>理</w:t>
      </w:r>
      <w:r>
        <w:rPr>
          <w:rFonts w:hint="eastAsia" w:ascii="仿宋" w:hAnsi="仿宋" w:eastAsia="仿宋" w:cs="宋体"/>
          <w:sz w:val="32"/>
          <w:szCs w:val="32"/>
        </w:rPr>
        <w:t>厂</w:t>
      </w:r>
      <w:r>
        <w:rPr>
          <w:rFonts w:hint="eastAsia" w:ascii="仿宋" w:hAnsi="仿宋" w:eastAsia="仿宋" w:cs="Batang"/>
          <w:sz w:val="32"/>
          <w:szCs w:val="32"/>
        </w:rPr>
        <w:t>的建</w:t>
      </w:r>
      <w:r>
        <w:rPr>
          <w:rFonts w:hint="eastAsia" w:ascii="仿宋" w:hAnsi="仿宋" w:eastAsia="仿宋" w:cs="宋体"/>
          <w:sz w:val="32"/>
          <w:szCs w:val="32"/>
        </w:rPr>
        <w:t>设</w:t>
      </w:r>
      <w:r>
        <w:rPr>
          <w:rFonts w:hint="eastAsia" w:ascii="仿宋" w:hAnsi="仿宋" w:eastAsia="仿宋" w:cs="Batang"/>
          <w:sz w:val="32"/>
          <w:szCs w:val="32"/>
        </w:rPr>
        <w:t>及</w:t>
      </w:r>
      <w:r>
        <w:rPr>
          <w:rFonts w:hint="eastAsia" w:ascii="仿宋" w:hAnsi="仿宋" w:eastAsia="仿宋" w:cs="宋体"/>
          <w:sz w:val="32"/>
          <w:szCs w:val="32"/>
        </w:rPr>
        <w:t>运营监</w:t>
      </w:r>
      <w:r>
        <w:rPr>
          <w:rFonts w:hint="eastAsia" w:ascii="仿宋" w:hAnsi="仿宋" w:eastAsia="仿宋" w:cs="Batang"/>
          <w:sz w:val="32"/>
          <w:szCs w:val="32"/>
        </w:rPr>
        <w:t>督管理。</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4、</w:t>
      </w:r>
      <w:r>
        <w:rPr>
          <w:rFonts w:ascii="仿宋" w:hAnsi="仿宋" w:eastAsia="仿宋"/>
          <w:b/>
          <w:sz w:val="32"/>
          <w:szCs w:val="32"/>
        </w:rPr>
        <w:t>建筑市</w:t>
      </w:r>
      <w:r>
        <w:rPr>
          <w:rFonts w:hint="eastAsia" w:ascii="仿宋" w:hAnsi="仿宋" w:eastAsia="仿宋" w:cs="宋体"/>
          <w:b/>
          <w:sz w:val="32"/>
          <w:szCs w:val="32"/>
        </w:rPr>
        <w:t>场监</w:t>
      </w:r>
      <w:r>
        <w:rPr>
          <w:rFonts w:hint="eastAsia" w:ascii="仿宋" w:hAnsi="仿宋" w:eastAsia="仿宋" w:cs="Batang"/>
          <w:b/>
          <w:sz w:val="32"/>
          <w:szCs w:val="32"/>
        </w:rPr>
        <w:t>管股（原工程股）</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建筑市</w:t>
      </w:r>
      <w:r>
        <w:rPr>
          <w:rFonts w:hint="eastAsia" w:ascii="仿宋" w:hAnsi="仿宋" w:eastAsia="仿宋" w:cs="宋体"/>
          <w:sz w:val="32"/>
          <w:szCs w:val="32"/>
        </w:rPr>
        <w:t>场</w:t>
      </w:r>
      <w:r>
        <w:rPr>
          <w:rFonts w:hint="eastAsia" w:ascii="仿宋" w:hAnsi="仿宋" w:eastAsia="仿宋" w:cs="Batang"/>
          <w:sz w:val="32"/>
          <w:szCs w:val="32"/>
        </w:rPr>
        <w:t>的</w:t>
      </w:r>
      <w:r>
        <w:rPr>
          <w:rFonts w:hint="eastAsia" w:ascii="仿宋" w:hAnsi="仿宋" w:eastAsia="仿宋" w:cs="宋体"/>
          <w:sz w:val="32"/>
          <w:szCs w:val="32"/>
        </w:rPr>
        <w:t>监</w:t>
      </w:r>
      <w:r>
        <w:rPr>
          <w:rFonts w:hint="eastAsia" w:ascii="仿宋" w:hAnsi="仿宋" w:eastAsia="仿宋" w:cs="Batang"/>
          <w:sz w:val="32"/>
          <w:szCs w:val="32"/>
        </w:rPr>
        <w:t>督管理；制定本</w:t>
      </w:r>
      <w:r>
        <w:rPr>
          <w:rFonts w:hint="eastAsia" w:ascii="仿宋" w:hAnsi="仿宋" w:eastAsia="仿宋" w:cs="宋体"/>
          <w:sz w:val="32"/>
          <w:szCs w:val="32"/>
        </w:rPr>
        <w:t>县</w:t>
      </w:r>
      <w:r>
        <w:rPr>
          <w:rFonts w:hint="eastAsia" w:ascii="仿宋" w:hAnsi="仿宋" w:eastAsia="仿宋" w:cs="Batang"/>
          <w:sz w:val="32"/>
          <w:szCs w:val="32"/>
        </w:rPr>
        <w:t>工程建</w:t>
      </w:r>
      <w:r>
        <w:rPr>
          <w:rFonts w:hint="eastAsia" w:ascii="仿宋" w:hAnsi="仿宋" w:eastAsia="仿宋" w:cs="宋体"/>
          <w:sz w:val="32"/>
          <w:szCs w:val="32"/>
        </w:rPr>
        <w:t>设实</w:t>
      </w:r>
      <w:r>
        <w:rPr>
          <w:rFonts w:hint="eastAsia" w:ascii="仿宋" w:hAnsi="仿宋" w:eastAsia="仿宋" w:cs="Batang"/>
          <w:sz w:val="32"/>
          <w:szCs w:val="32"/>
        </w:rPr>
        <w:t>施</w:t>
      </w:r>
      <w:r>
        <w:rPr>
          <w:rFonts w:hint="eastAsia" w:ascii="仿宋" w:hAnsi="仿宋" w:eastAsia="仿宋" w:cs="宋体"/>
          <w:sz w:val="32"/>
          <w:szCs w:val="32"/>
        </w:rPr>
        <w:t>阶</w:t>
      </w:r>
      <w:r>
        <w:rPr>
          <w:rFonts w:hint="eastAsia" w:ascii="仿宋" w:hAnsi="仿宋" w:eastAsia="仿宋" w:cs="Batang"/>
          <w:sz w:val="32"/>
          <w:szCs w:val="32"/>
        </w:rPr>
        <w:t>段的有</w:t>
      </w:r>
      <w:r>
        <w:rPr>
          <w:rFonts w:hint="eastAsia" w:ascii="仿宋" w:hAnsi="仿宋" w:eastAsia="仿宋" w:cs="宋体"/>
          <w:sz w:val="32"/>
          <w:szCs w:val="32"/>
        </w:rPr>
        <w:t>关规</w:t>
      </w:r>
      <w:r>
        <w:rPr>
          <w:rFonts w:hint="eastAsia" w:ascii="仿宋" w:hAnsi="仿宋" w:eastAsia="仿宋" w:cs="Batang"/>
          <w:sz w:val="32"/>
          <w:szCs w:val="32"/>
        </w:rPr>
        <w:t>章制度</w:t>
      </w:r>
      <w:r>
        <w:rPr>
          <w:rFonts w:hint="eastAsia" w:ascii="仿宋" w:hAnsi="仿宋" w:eastAsia="仿宋" w:cs="宋体"/>
          <w:sz w:val="32"/>
          <w:szCs w:val="32"/>
        </w:rPr>
        <w:t>组织实</w:t>
      </w:r>
      <w:r>
        <w:rPr>
          <w:rFonts w:hint="eastAsia" w:ascii="仿宋" w:hAnsi="仿宋" w:eastAsia="仿宋" w:cs="Batang"/>
          <w:sz w:val="32"/>
          <w:szCs w:val="32"/>
        </w:rPr>
        <w:t>施；</w:t>
      </w:r>
      <w:r>
        <w:rPr>
          <w:rFonts w:hint="eastAsia" w:ascii="仿宋" w:hAnsi="仿宋" w:eastAsia="仿宋" w:cs="宋体"/>
          <w:sz w:val="32"/>
          <w:szCs w:val="32"/>
        </w:rPr>
        <w:t>负责</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工程的</w:t>
      </w:r>
      <w:r>
        <w:rPr>
          <w:rFonts w:hint="eastAsia" w:ascii="仿宋" w:hAnsi="仿宋" w:eastAsia="仿宋" w:cs="宋体"/>
          <w:sz w:val="32"/>
          <w:szCs w:val="32"/>
        </w:rPr>
        <w:t>发</w:t>
      </w:r>
      <w:r>
        <w:rPr>
          <w:rFonts w:hint="eastAsia" w:ascii="仿宋" w:hAnsi="仿宋" w:eastAsia="仿宋" w:cs="Batang"/>
          <w:sz w:val="32"/>
          <w:szCs w:val="32"/>
        </w:rPr>
        <w:t>包、承包和招</w:t>
      </w:r>
      <w:r>
        <w:rPr>
          <w:rFonts w:hint="eastAsia" w:ascii="仿宋" w:hAnsi="仿宋" w:eastAsia="仿宋" w:cs="宋体"/>
          <w:sz w:val="32"/>
          <w:szCs w:val="32"/>
        </w:rPr>
        <w:t>标</w:t>
      </w:r>
      <w:r>
        <w:rPr>
          <w:rFonts w:hint="eastAsia" w:ascii="仿宋" w:hAnsi="仿宋" w:eastAsia="仿宋" w:cs="Batang"/>
          <w:sz w:val="32"/>
          <w:szCs w:val="32"/>
        </w:rPr>
        <w:t>、投</w:t>
      </w:r>
      <w:r>
        <w:rPr>
          <w:rFonts w:hint="eastAsia" w:ascii="仿宋" w:hAnsi="仿宋" w:eastAsia="仿宋" w:cs="宋体"/>
          <w:sz w:val="32"/>
          <w:szCs w:val="32"/>
        </w:rPr>
        <w:t>标</w:t>
      </w:r>
      <w:r>
        <w:rPr>
          <w:rFonts w:hint="eastAsia" w:ascii="仿宋" w:hAnsi="仿宋" w:eastAsia="仿宋" w:cs="Batang"/>
          <w:sz w:val="32"/>
          <w:szCs w:val="32"/>
        </w:rPr>
        <w:t>管理；</w:t>
      </w:r>
      <w:r>
        <w:rPr>
          <w:rFonts w:hint="eastAsia" w:ascii="仿宋" w:hAnsi="仿宋" w:eastAsia="仿宋" w:cs="宋体"/>
          <w:sz w:val="32"/>
          <w:szCs w:val="32"/>
        </w:rPr>
        <w:t>负责</w:t>
      </w:r>
      <w:r>
        <w:rPr>
          <w:rFonts w:hint="eastAsia" w:ascii="仿宋" w:hAnsi="仿宋" w:eastAsia="仿宋" w:cs="Batang"/>
          <w:sz w:val="32"/>
          <w:szCs w:val="32"/>
        </w:rPr>
        <w:t>本</w:t>
      </w:r>
      <w:r>
        <w:rPr>
          <w:rFonts w:hint="eastAsia" w:ascii="仿宋" w:hAnsi="仿宋" w:eastAsia="仿宋" w:cs="宋体"/>
          <w:sz w:val="32"/>
          <w:szCs w:val="32"/>
        </w:rPr>
        <w:t>县</w:t>
      </w:r>
      <w:r>
        <w:rPr>
          <w:rFonts w:hint="eastAsia" w:ascii="仿宋" w:hAnsi="仿宋" w:eastAsia="仿宋" w:cs="Batang"/>
          <w:sz w:val="32"/>
          <w:szCs w:val="32"/>
        </w:rPr>
        <w:t>管理建</w:t>
      </w:r>
      <w:r>
        <w:rPr>
          <w:rFonts w:hint="eastAsia" w:ascii="仿宋" w:hAnsi="仿宋" w:eastAsia="仿宋" w:cs="宋体"/>
          <w:sz w:val="32"/>
          <w:szCs w:val="32"/>
        </w:rPr>
        <w:t>设项</w:t>
      </w:r>
      <w:r>
        <w:rPr>
          <w:rFonts w:hint="eastAsia" w:ascii="仿宋" w:hAnsi="仿宋" w:eastAsia="仿宋" w:cs="Batang"/>
          <w:sz w:val="32"/>
          <w:szCs w:val="32"/>
        </w:rPr>
        <w:t>目的建筑工程施工</w:t>
      </w:r>
      <w:r>
        <w:rPr>
          <w:rFonts w:hint="eastAsia" w:ascii="仿宋" w:hAnsi="仿宋" w:eastAsia="仿宋" w:cs="宋体"/>
          <w:sz w:val="32"/>
          <w:szCs w:val="32"/>
        </w:rPr>
        <w:t>许</w:t>
      </w:r>
      <w:r>
        <w:rPr>
          <w:rFonts w:hint="eastAsia" w:ascii="仿宋" w:hAnsi="仿宋" w:eastAsia="仿宋" w:cs="Batang"/>
          <w:sz w:val="32"/>
          <w:szCs w:val="32"/>
        </w:rPr>
        <w:t>可</w:t>
      </w:r>
      <w:r>
        <w:rPr>
          <w:rFonts w:hint="eastAsia" w:ascii="仿宋" w:hAnsi="仿宋" w:eastAsia="仿宋" w:cs="宋体"/>
          <w:sz w:val="32"/>
          <w:szCs w:val="32"/>
        </w:rPr>
        <w:t>证发</w:t>
      </w:r>
      <w:r>
        <w:rPr>
          <w:rFonts w:hint="eastAsia" w:ascii="仿宋" w:hAnsi="仿宋" w:eastAsia="仿宋" w:cs="Batang"/>
          <w:sz w:val="32"/>
          <w:szCs w:val="32"/>
        </w:rPr>
        <w:t>放和</w:t>
      </w:r>
      <w:r>
        <w:rPr>
          <w:rFonts w:hint="eastAsia" w:ascii="仿宋" w:hAnsi="仿宋" w:eastAsia="仿宋" w:cs="宋体"/>
          <w:sz w:val="32"/>
          <w:szCs w:val="32"/>
        </w:rPr>
        <w:t>组织</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工程竣工</w:t>
      </w:r>
      <w:r>
        <w:rPr>
          <w:rFonts w:hint="eastAsia" w:ascii="仿宋" w:hAnsi="仿宋" w:eastAsia="仿宋" w:cs="宋体"/>
          <w:sz w:val="32"/>
          <w:szCs w:val="32"/>
        </w:rPr>
        <w:t>验</w:t>
      </w:r>
      <w:r>
        <w:rPr>
          <w:rFonts w:hint="eastAsia" w:ascii="仿宋" w:hAnsi="仿宋" w:eastAsia="仿宋" w:cs="Batang"/>
          <w:sz w:val="32"/>
          <w:szCs w:val="32"/>
        </w:rPr>
        <w:t>收、</w:t>
      </w:r>
      <w:r>
        <w:rPr>
          <w:rFonts w:hint="eastAsia" w:ascii="仿宋" w:hAnsi="仿宋" w:eastAsia="仿宋" w:cs="宋体"/>
          <w:sz w:val="32"/>
          <w:szCs w:val="32"/>
        </w:rPr>
        <w:t>实</w:t>
      </w:r>
      <w:r>
        <w:rPr>
          <w:rFonts w:hint="eastAsia" w:ascii="仿宋" w:hAnsi="仿宋" w:eastAsia="仿宋" w:cs="Batang"/>
          <w:sz w:val="32"/>
          <w:szCs w:val="32"/>
        </w:rPr>
        <w:t>施竣工</w:t>
      </w:r>
      <w:r>
        <w:rPr>
          <w:rFonts w:hint="eastAsia" w:ascii="仿宋" w:hAnsi="仿宋" w:eastAsia="仿宋" w:cs="宋体"/>
          <w:sz w:val="32"/>
          <w:szCs w:val="32"/>
        </w:rPr>
        <w:t>验</w:t>
      </w:r>
      <w:r>
        <w:rPr>
          <w:rFonts w:hint="eastAsia" w:ascii="仿宋" w:hAnsi="仿宋" w:eastAsia="仿宋" w:cs="Batang"/>
          <w:sz w:val="32"/>
          <w:szCs w:val="32"/>
        </w:rPr>
        <w:t>收</w:t>
      </w:r>
      <w:r>
        <w:rPr>
          <w:rFonts w:hint="eastAsia" w:ascii="仿宋" w:hAnsi="仿宋" w:eastAsia="仿宋" w:cs="宋体"/>
          <w:sz w:val="32"/>
          <w:szCs w:val="32"/>
        </w:rPr>
        <w:t>备</w:t>
      </w:r>
      <w:r>
        <w:rPr>
          <w:rFonts w:hint="eastAsia" w:ascii="仿宋" w:hAnsi="仿宋" w:eastAsia="仿宋" w:cs="Batang"/>
          <w:sz w:val="32"/>
          <w:szCs w:val="32"/>
        </w:rPr>
        <w:t>案；</w:t>
      </w:r>
      <w:r>
        <w:rPr>
          <w:rFonts w:hint="eastAsia" w:ascii="仿宋" w:hAnsi="仿宋" w:eastAsia="仿宋" w:cs="宋体"/>
          <w:sz w:val="32"/>
          <w:szCs w:val="32"/>
        </w:rPr>
        <w:t>负责</w:t>
      </w:r>
      <w:r>
        <w:rPr>
          <w:rFonts w:hint="eastAsia" w:ascii="仿宋" w:hAnsi="仿宋" w:eastAsia="仿宋" w:cs="Batang"/>
          <w:sz w:val="32"/>
          <w:szCs w:val="32"/>
        </w:rPr>
        <w:t>工程</w:t>
      </w:r>
      <w:r>
        <w:rPr>
          <w:rFonts w:hint="eastAsia" w:ascii="仿宋" w:hAnsi="仿宋" w:eastAsia="仿宋" w:cs="宋体"/>
          <w:sz w:val="32"/>
          <w:szCs w:val="32"/>
        </w:rPr>
        <w:t>监</w:t>
      </w:r>
      <w:r>
        <w:rPr>
          <w:rFonts w:hint="eastAsia" w:ascii="仿宋" w:hAnsi="仿宋" w:eastAsia="仿宋" w:cs="Batang"/>
          <w:sz w:val="32"/>
          <w:szCs w:val="32"/>
        </w:rPr>
        <w:t>理、招</w:t>
      </w:r>
      <w:r>
        <w:rPr>
          <w:rFonts w:hint="eastAsia" w:ascii="仿宋" w:hAnsi="仿宋" w:eastAsia="仿宋" w:cs="宋体"/>
          <w:sz w:val="32"/>
          <w:szCs w:val="32"/>
        </w:rPr>
        <w:t>标</w:t>
      </w:r>
      <w:r>
        <w:rPr>
          <w:rFonts w:hint="eastAsia" w:ascii="仿宋" w:hAnsi="仿宋" w:eastAsia="仿宋" w:cs="Batang"/>
          <w:sz w:val="32"/>
          <w:szCs w:val="32"/>
        </w:rPr>
        <w:t>代理、造价咨</w:t>
      </w:r>
      <w:r>
        <w:rPr>
          <w:rFonts w:hint="eastAsia" w:ascii="仿宋" w:hAnsi="仿宋" w:eastAsia="仿宋" w:cs="宋体"/>
          <w:sz w:val="32"/>
          <w:szCs w:val="32"/>
        </w:rPr>
        <w:t>询</w:t>
      </w:r>
      <w:r>
        <w:rPr>
          <w:rFonts w:hint="eastAsia" w:ascii="仿宋" w:hAnsi="仿宋" w:eastAsia="仿宋" w:cs="Batang"/>
          <w:sz w:val="32"/>
          <w:szCs w:val="32"/>
        </w:rPr>
        <w:t>、</w:t>
      </w:r>
      <w:r>
        <w:rPr>
          <w:rFonts w:hint="eastAsia" w:ascii="仿宋" w:hAnsi="仿宋" w:eastAsia="仿宋" w:cs="宋体"/>
          <w:sz w:val="32"/>
          <w:szCs w:val="32"/>
        </w:rPr>
        <w:t>质</w:t>
      </w:r>
      <w:r>
        <w:rPr>
          <w:rFonts w:hint="eastAsia" w:ascii="仿宋" w:hAnsi="仿宋" w:eastAsia="仿宋" w:cs="Batang"/>
          <w:sz w:val="32"/>
          <w:szCs w:val="32"/>
        </w:rPr>
        <w:t>量</w:t>
      </w:r>
      <w:r>
        <w:rPr>
          <w:rFonts w:hint="eastAsia" w:ascii="仿宋" w:hAnsi="仿宋" w:eastAsia="仿宋" w:cs="宋体"/>
          <w:sz w:val="32"/>
          <w:szCs w:val="32"/>
        </w:rPr>
        <w:t>检测</w:t>
      </w:r>
      <w:r>
        <w:rPr>
          <w:rFonts w:hint="eastAsia" w:ascii="仿宋" w:hAnsi="仿宋" w:eastAsia="仿宋" w:cs="Batang"/>
          <w:sz w:val="32"/>
          <w:szCs w:val="32"/>
        </w:rPr>
        <w:t>的</w:t>
      </w:r>
      <w:r>
        <w:rPr>
          <w:rFonts w:hint="eastAsia" w:ascii="仿宋" w:hAnsi="仿宋" w:eastAsia="仿宋" w:cs="宋体"/>
          <w:sz w:val="32"/>
          <w:szCs w:val="32"/>
        </w:rPr>
        <w:t>监</w:t>
      </w:r>
      <w:r>
        <w:rPr>
          <w:rFonts w:hint="eastAsia" w:ascii="仿宋" w:hAnsi="仿宋" w:eastAsia="仿宋" w:cs="Batang"/>
          <w:sz w:val="32"/>
          <w:szCs w:val="32"/>
        </w:rPr>
        <w:t>督管理；</w:t>
      </w:r>
      <w:r>
        <w:rPr>
          <w:rFonts w:hint="eastAsia" w:ascii="仿宋" w:hAnsi="仿宋" w:eastAsia="仿宋" w:cs="宋体"/>
          <w:sz w:val="32"/>
          <w:szCs w:val="32"/>
        </w:rPr>
        <w:t>负责</w:t>
      </w:r>
      <w:r>
        <w:rPr>
          <w:rFonts w:hint="eastAsia" w:ascii="仿宋" w:hAnsi="仿宋" w:eastAsia="仿宋" w:cs="Batang"/>
          <w:sz w:val="32"/>
          <w:szCs w:val="32"/>
        </w:rPr>
        <w:t>本局行政</w:t>
      </w:r>
      <w:r>
        <w:rPr>
          <w:rFonts w:hint="eastAsia" w:ascii="仿宋" w:hAnsi="仿宋" w:eastAsia="仿宋" w:cs="宋体"/>
          <w:sz w:val="32"/>
          <w:szCs w:val="32"/>
        </w:rPr>
        <w:t>审</w:t>
      </w:r>
      <w:r>
        <w:rPr>
          <w:rFonts w:hint="eastAsia" w:ascii="仿宋" w:hAnsi="仿宋" w:eastAsia="仿宋" w:cs="Batang"/>
          <w:sz w:val="32"/>
          <w:szCs w:val="32"/>
        </w:rPr>
        <w:t>批服</w:t>
      </w:r>
      <w:r>
        <w:rPr>
          <w:rFonts w:hint="eastAsia" w:ascii="仿宋" w:hAnsi="仿宋" w:eastAsia="仿宋" w:cs="宋体"/>
          <w:sz w:val="32"/>
          <w:szCs w:val="32"/>
        </w:rPr>
        <w:t>务</w:t>
      </w:r>
      <w:r>
        <w:rPr>
          <w:rFonts w:hint="eastAsia" w:ascii="仿宋" w:hAnsi="仿宋" w:eastAsia="仿宋" w:cs="Batang"/>
          <w:sz w:val="32"/>
          <w:szCs w:val="32"/>
        </w:rPr>
        <w:t>工作。</w:t>
      </w:r>
    </w:p>
    <w:p>
      <w:pPr>
        <w:spacing w:line="560" w:lineRule="exact"/>
        <w:ind w:firstLine="640" w:firstLineChars="200"/>
        <w:rPr>
          <w:rFonts w:ascii="仿宋" w:hAnsi="仿宋" w:eastAsia="仿宋"/>
          <w:sz w:val="32"/>
          <w:szCs w:val="32"/>
        </w:rPr>
      </w:pPr>
      <w:r>
        <w:rPr>
          <w:rFonts w:ascii="仿宋" w:hAnsi="仿宋" w:eastAsia="仿宋"/>
          <w:sz w:val="32"/>
          <w:szCs w:val="32"/>
        </w:rPr>
        <w:t>制定建</w:t>
      </w:r>
      <w:r>
        <w:rPr>
          <w:rFonts w:hint="eastAsia" w:ascii="仿宋" w:hAnsi="仿宋" w:eastAsia="仿宋" w:cs="宋体"/>
          <w:sz w:val="32"/>
          <w:szCs w:val="32"/>
        </w:rPr>
        <w:t>设</w:t>
      </w:r>
      <w:r>
        <w:rPr>
          <w:rFonts w:hint="eastAsia" w:ascii="仿宋" w:hAnsi="仿宋" w:eastAsia="仿宋" w:cs="Batang"/>
          <w:sz w:val="32"/>
          <w:szCs w:val="32"/>
        </w:rPr>
        <w:t>工程勘察</w:t>
      </w:r>
      <w:r>
        <w:rPr>
          <w:rFonts w:hint="eastAsia" w:ascii="仿宋" w:hAnsi="仿宋" w:eastAsia="仿宋" w:cs="宋体"/>
          <w:sz w:val="32"/>
          <w:szCs w:val="32"/>
        </w:rPr>
        <w:t>设计实</w:t>
      </w:r>
      <w:r>
        <w:rPr>
          <w:rFonts w:hint="eastAsia" w:ascii="仿宋" w:hAnsi="仿宋" w:eastAsia="仿宋" w:cs="Batang"/>
          <w:sz w:val="32"/>
          <w:szCs w:val="32"/>
        </w:rPr>
        <w:t>施的有</w:t>
      </w:r>
      <w:r>
        <w:rPr>
          <w:rFonts w:hint="eastAsia" w:ascii="仿宋" w:hAnsi="仿宋" w:eastAsia="仿宋" w:cs="宋体"/>
          <w:sz w:val="32"/>
          <w:szCs w:val="32"/>
        </w:rPr>
        <w:t>关规</w:t>
      </w:r>
      <w:r>
        <w:rPr>
          <w:rFonts w:hint="eastAsia" w:ascii="仿宋" w:hAnsi="仿宋" w:eastAsia="仿宋" w:cs="Batang"/>
          <w:sz w:val="32"/>
          <w:szCs w:val="32"/>
        </w:rPr>
        <w:t>章制度</w:t>
      </w:r>
      <w:r>
        <w:rPr>
          <w:rFonts w:hint="eastAsia" w:ascii="仿宋" w:hAnsi="仿宋" w:eastAsia="仿宋" w:cs="宋体"/>
          <w:sz w:val="32"/>
          <w:szCs w:val="32"/>
        </w:rPr>
        <w:t>并组织实</w:t>
      </w:r>
      <w:r>
        <w:rPr>
          <w:rFonts w:hint="eastAsia" w:ascii="仿宋" w:hAnsi="仿宋" w:eastAsia="仿宋" w:cs="Batang"/>
          <w:sz w:val="32"/>
          <w:szCs w:val="32"/>
        </w:rPr>
        <w:t>施；</w:t>
      </w:r>
      <w:r>
        <w:rPr>
          <w:rFonts w:hint="eastAsia" w:ascii="仿宋" w:hAnsi="仿宋" w:eastAsia="仿宋" w:cs="宋体"/>
          <w:sz w:val="32"/>
          <w:szCs w:val="32"/>
        </w:rPr>
        <w:t>负责</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工程建</w:t>
      </w:r>
      <w:r>
        <w:rPr>
          <w:rFonts w:hint="eastAsia" w:ascii="仿宋" w:hAnsi="仿宋" w:eastAsia="仿宋" w:cs="宋体"/>
          <w:sz w:val="32"/>
          <w:szCs w:val="32"/>
        </w:rPr>
        <w:t>设类</w:t>
      </w:r>
      <w:r>
        <w:rPr>
          <w:rFonts w:hint="eastAsia" w:ascii="仿宋" w:hAnsi="仿宋" w:eastAsia="仿宋" w:cs="Batang"/>
          <w:sz w:val="32"/>
          <w:szCs w:val="32"/>
        </w:rPr>
        <w:t>地方</w:t>
      </w:r>
      <w:r>
        <w:rPr>
          <w:rFonts w:hint="eastAsia" w:ascii="仿宋" w:hAnsi="仿宋" w:eastAsia="仿宋" w:cs="宋体"/>
          <w:sz w:val="32"/>
          <w:szCs w:val="32"/>
        </w:rPr>
        <w:t>标</w:t>
      </w:r>
      <w:r>
        <w:rPr>
          <w:rFonts w:hint="eastAsia" w:ascii="仿宋" w:hAnsi="仿宋" w:eastAsia="仿宋" w:cs="Batang"/>
          <w:sz w:val="32"/>
          <w:szCs w:val="32"/>
        </w:rPr>
        <w:t>准的推广</w:t>
      </w:r>
      <w:r>
        <w:rPr>
          <w:rFonts w:hint="eastAsia" w:ascii="仿宋" w:hAnsi="仿宋" w:eastAsia="仿宋" w:cs="宋体"/>
          <w:sz w:val="32"/>
          <w:szCs w:val="32"/>
        </w:rPr>
        <w:t>应</w:t>
      </w:r>
      <w:r>
        <w:rPr>
          <w:rFonts w:hint="eastAsia" w:ascii="仿宋" w:hAnsi="仿宋" w:eastAsia="仿宋" w:cs="Batang"/>
          <w:sz w:val="32"/>
          <w:szCs w:val="32"/>
        </w:rPr>
        <w:t>用；</w:t>
      </w:r>
      <w:r>
        <w:rPr>
          <w:rFonts w:hint="eastAsia" w:ascii="仿宋" w:hAnsi="仿宋" w:eastAsia="仿宋" w:cs="宋体"/>
          <w:sz w:val="32"/>
          <w:szCs w:val="32"/>
        </w:rPr>
        <w:t>负责</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工程抗震</w:t>
      </w:r>
      <w:r>
        <w:rPr>
          <w:rFonts w:hint="eastAsia" w:ascii="仿宋" w:hAnsi="仿宋" w:eastAsia="仿宋" w:cs="宋体"/>
          <w:sz w:val="32"/>
          <w:szCs w:val="32"/>
        </w:rPr>
        <w:t>设</w:t>
      </w:r>
      <w:r>
        <w:rPr>
          <w:rFonts w:hint="eastAsia" w:ascii="仿宋" w:hAnsi="仿宋" w:eastAsia="仿宋" w:cs="Batang"/>
          <w:sz w:val="32"/>
          <w:szCs w:val="32"/>
        </w:rPr>
        <w:t>防管理工作。</w:t>
      </w:r>
    </w:p>
    <w:p>
      <w:pPr>
        <w:spacing w:line="560" w:lineRule="exact"/>
        <w:ind w:firstLine="640" w:firstLineChars="200"/>
        <w:rPr>
          <w:rFonts w:ascii="仿宋" w:hAnsi="仿宋" w:eastAsia="仿宋"/>
          <w:sz w:val="32"/>
          <w:szCs w:val="32"/>
        </w:rPr>
      </w:pPr>
      <w:r>
        <w:rPr>
          <w:rFonts w:ascii="仿宋" w:hAnsi="仿宋" w:eastAsia="仿宋"/>
          <w:sz w:val="32"/>
          <w:szCs w:val="32"/>
        </w:rPr>
        <w:t>指</w:t>
      </w:r>
      <w:r>
        <w:rPr>
          <w:rFonts w:hint="eastAsia" w:ascii="仿宋" w:hAnsi="仿宋" w:eastAsia="仿宋" w:cs="宋体"/>
          <w:sz w:val="32"/>
          <w:szCs w:val="32"/>
        </w:rPr>
        <w:t>导</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建筑</w:t>
      </w:r>
      <w:r>
        <w:rPr>
          <w:rFonts w:hint="eastAsia" w:ascii="仿宋" w:hAnsi="仿宋" w:eastAsia="仿宋" w:cs="宋体"/>
          <w:sz w:val="32"/>
          <w:szCs w:val="32"/>
        </w:rPr>
        <w:t>业</w:t>
      </w:r>
      <w:r>
        <w:rPr>
          <w:rFonts w:hint="eastAsia" w:ascii="仿宋" w:hAnsi="仿宋" w:eastAsia="仿宋" w:cs="Batang"/>
          <w:sz w:val="32"/>
          <w:szCs w:val="32"/>
        </w:rPr>
        <w:t>体制改革，</w:t>
      </w:r>
      <w:r>
        <w:rPr>
          <w:rFonts w:hint="eastAsia" w:ascii="仿宋" w:hAnsi="仿宋" w:eastAsia="仿宋" w:cs="宋体"/>
          <w:sz w:val="32"/>
          <w:szCs w:val="32"/>
        </w:rPr>
        <w:t>组织协调</w:t>
      </w:r>
      <w:r>
        <w:rPr>
          <w:rFonts w:hint="eastAsia" w:ascii="仿宋" w:hAnsi="仿宋" w:eastAsia="仿宋" w:cs="Batang"/>
          <w:sz w:val="32"/>
          <w:szCs w:val="32"/>
        </w:rPr>
        <w:t>建筑</w:t>
      </w:r>
      <w:r>
        <w:rPr>
          <w:rFonts w:hint="eastAsia" w:ascii="仿宋" w:hAnsi="仿宋" w:eastAsia="仿宋" w:cs="宋体"/>
          <w:sz w:val="32"/>
          <w:szCs w:val="32"/>
        </w:rPr>
        <w:t>业</w:t>
      </w:r>
      <w:r>
        <w:rPr>
          <w:rFonts w:hint="eastAsia" w:ascii="仿宋" w:hAnsi="仿宋" w:eastAsia="仿宋" w:cs="Batang"/>
          <w:sz w:val="32"/>
          <w:szCs w:val="32"/>
        </w:rPr>
        <w:t>企</w:t>
      </w:r>
      <w:r>
        <w:rPr>
          <w:rFonts w:hint="eastAsia" w:ascii="仿宋" w:hAnsi="仿宋" w:eastAsia="仿宋" w:cs="宋体"/>
          <w:sz w:val="32"/>
          <w:szCs w:val="32"/>
        </w:rPr>
        <w:t>业参与国际国内</w:t>
      </w:r>
      <w:r>
        <w:rPr>
          <w:rFonts w:hint="eastAsia" w:ascii="仿宋" w:hAnsi="仿宋" w:eastAsia="仿宋" w:cs="Batang"/>
          <w:sz w:val="32"/>
          <w:szCs w:val="32"/>
        </w:rPr>
        <w:t>工程承包、建筑</w:t>
      </w:r>
      <w:r>
        <w:rPr>
          <w:rFonts w:hint="eastAsia" w:ascii="仿宋" w:hAnsi="仿宋" w:eastAsia="仿宋" w:cs="宋体"/>
          <w:sz w:val="32"/>
          <w:szCs w:val="32"/>
        </w:rPr>
        <w:t>劳务</w:t>
      </w:r>
      <w:r>
        <w:rPr>
          <w:rFonts w:hint="eastAsia" w:ascii="仿宋" w:hAnsi="仿宋" w:eastAsia="仿宋" w:cs="Batang"/>
          <w:sz w:val="32"/>
          <w:szCs w:val="32"/>
        </w:rPr>
        <w:t>合作，服</w:t>
      </w:r>
      <w:r>
        <w:rPr>
          <w:rFonts w:hint="eastAsia" w:ascii="仿宋" w:hAnsi="仿宋" w:eastAsia="仿宋" w:cs="宋体"/>
          <w:sz w:val="32"/>
          <w:szCs w:val="32"/>
        </w:rPr>
        <w:t>务</w:t>
      </w:r>
      <w:r>
        <w:rPr>
          <w:rFonts w:hint="eastAsia" w:ascii="仿宋" w:hAnsi="仿宋" w:eastAsia="仿宋" w:cs="Batang"/>
          <w:sz w:val="32"/>
          <w:szCs w:val="32"/>
        </w:rPr>
        <w:t>于建筑</w:t>
      </w:r>
      <w:r>
        <w:rPr>
          <w:rFonts w:hint="eastAsia" w:ascii="仿宋" w:hAnsi="仿宋" w:eastAsia="仿宋" w:cs="宋体"/>
          <w:sz w:val="32"/>
          <w:szCs w:val="32"/>
        </w:rPr>
        <w:t>业</w:t>
      </w:r>
      <w:r>
        <w:rPr>
          <w:rFonts w:hint="eastAsia" w:ascii="仿宋" w:hAnsi="仿宋" w:eastAsia="仿宋" w:cs="Batang"/>
          <w:sz w:val="32"/>
          <w:szCs w:val="32"/>
        </w:rPr>
        <w:t>企</w:t>
      </w:r>
      <w:r>
        <w:rPr>
          <w:rFonts w:hint="eastAsia" w:ascii="仿宋" w:hAnsi="仿宋" w:eastAsia="仿宋" w:cs="宋体"/>
          <w:sz w:val="32"/>
          <w:szCs w:val="32"/>
        </w:rPr>
        <w:t>业开</w:t>
      </w:r>
      <w:r>
        <w:rPr>
          <w:rFonts w:hint="eastAsia" w:ascii="仿宋" w:hAnsi="仿宋" w:eastAsia="仿宋" w:cs="Batang"/>
          <w:sz w:val="32"/>
          <w:szCs w:val="32"/>
        </w:rPr>
        <w:t>拓外部建筑市</w:t>
      </w:r>
      <w:r>
        <w:rPr>
          <w:rFonts w:hint="eastAsia" w:ascii="仿宋" w:hAnsi="仿宋" w:eastAsia="仿宋" w:cs="宋体"/>
          <w:sz w:val="32"/>
          <w:szCs w:val="32"/>
        </w:rPr>
        <w:t>场</w:t>
      </w:r>
      <w:r>
        <w:rPr>
          <w:rFonts w:hint="eastAsia" w:ascii="仿宋" w:hAnsi="仿宋" w:eastAsia="仿宋" w:cs="Batang"/>
          <w:sz w:val="32"/>
          <w:szCs w:val="32"/>
        </w:rPr>
        <w:t>；</w:t>
      </w:r>
      <w:r>
        <w:rPr>
          <w:rFonts w:hint="eastAsia" w:ascii="仿宋" w:hAnsi="仿宋" w:eastAsia="仿宋" w:cs="宋体"/>
          <w:sz w:val="32"/>
          <w:szCs w:val="32"/>
        </w:rPr>
        <w:t>负责</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建筑</w:t>
      </w:r>
      <w:r>
        <w:rPr>
          <w:rFonts w:hint="eastAsia" w:ascii="仿宋" w:hAnsi="仿宋" w:eastAsia="仿宋" w:cs="宋体"/>
          <w:sz w:val="32"/>
          <w:szCs w:val="32"/>
        </w:rPr>
        <w:t>业</w:t>
      </w:r>
      <w:r>
        <w:rPr>
          <w:rFonts w:hint="eastAsia" w:ascii="仿宋" w:hAnsi="仿宋" w:eastAsia="仿宋" w:cs="Batang"/>
          <w:sz w:val="32"/>
          <w:szCs w:val="32"/>
        </w:rPr>
        <w:t>施工企</w:t>
      </w:r>
      <w:r>
        <w:rPr>
          <w:rFonts w:hint="eastAsia" w:ascii="仿宋" w:hAnsi="仿宋" w:eastAsia="仿宋" w:cs="宋体"/>
          <w:sz w:val="32"/>
          <w:szCs w:val="32"/>
        </w:rPr>
        <w:t>业</w:t>
      </w:r>
      <w:r>
        <w:rPr>
          <w:rFonts w:hint="eastAsia" w:ascii="仿宋" w:hAnsi="仿宋" w:eastAsia="仿宋" w:cs="Batang"/>
          <w:sz w:val="32"/>
          <w:szCs w:val="32"/>
        </w:rPr>
        <w:t>的</w:t>
      </w:r>
      <w:r>
        <w:rPr>
          <w:rFonts w:hint="eastAsia" w:ascii="仿宋" w:hAnsi="仿宋" w:eastAsia="仿宋" w:cs="宋体"/>
          <w:sz w:val="32"/>
          <w:szCs w:val="32"/>
        </w:rPr>
        <w:t>资质</w:t>
      </w:r>
      <w:r>
        <w:rPr>
          <w:rFonts w:hint="eastAsia" w:ascii="仿宋" w:hAnsi="仿宋" w:eastAsia="仿宋" w:cs="Batang"/>
          <w:sz w:val="32"/>
          <w:szCs w:val="32"/>
        </w:rPr>
        <w:t>管理；</w:t>
      </w:r>
      <w:r>
        <w:rPr>
          <w:rFonts w:hint="eastAsia" w:ascii="仿宋" w:hAnsi="仿宋" w:eastAsia="仿宋" w:cs="宋体"/>
          <w:sz w:val="32"/>
          <w:szCs w:val="32"/>
        </w:rPr>
        <w:t>负责</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建筑</w:t>
      </w:r>
      <w:r>
        <w:rPr>
          <w:rFonts w:hint="eastAsia" w:ascii="仿宋" w:hAnsi="仿宋" w:eastAsia="仿宋" w:cs="宋体"/>
          <w:sz w:val="32"/>
          <w:szCs w:val="32"/>
        </w:rPr>
        <w:t>业</w:t>
      </w:r>
      <w:r>
        <w:rPr>
          <w:rFonts w:hint="eastAsia" w:ascii="仿宋" w:hAnsi="仿宋" w:eastAsia="仿宋" w:cs="Batang"/>
          <w:sz w:val="32"/>
          <w:szCs w:val="32"/>
        </w:rPr>
        <w:t>企</w:t>
      </w:r>
      <w:r>
        <w:rPr>
          <w:rFonts w:hint="eastAsia" w:ascii="仿宋" w:hAnsi="仿宋" w:eastAsia="仿宋" w:cs="宋体"/>
          <w:sz w:val="32"/>
          <w:szCs w:val="32"/>
        </w:rPr>
        <w:t>业</w:t>
      </w:r>
      <w:r>
        <w:rPr>
          <w:rFonts w:hint="eastAsia" w:ascii="仿宋" w:hAnsi="仿宋" w:eastAsia="仿宋" w:cs="Batang"/>
          <w:sz w:val="32"/>
          <w:szCs w:val="32"/>
        </w:rPr>
        <w:t>生</w:t>
      </w:r>
      <w:r>
        <w:rPr>
          <w:rFonts w:hint="eastAsia" w:ascii="仿宋" w:hAnsi="仿宋" w:eastAsia="仿宋" w:cs="宋体"/>
          <w:sz w:val="32"/>
          <w:szCs w:val="32"/>
        </w:rPr>
        <w:t>产经营统计</w:t>
      </w:r>
      <w:r>
        <w:rPr>
          <w:rFonts w:hint="eastAsia" w:ascii="仿宋" w:hAnsi="仿宋" w:eastAsia="仿宋" w:cs="Batang"/>
          <w:sz w:val="32"/>
          <w:szCs w:val="32"/>
        </w:rPr>
        <w:t>；管理</w:t>
      </w:r>
      <w:r>
        <w:rPr>
          <w:rFonts w:hint="eastAsia" w:ascii="仿宋" w:hAnsi="仿宋" w:eastAsia="仿宋" w:cs="宋体"/>
          <w:sz w:val="32"/>
          <w:szCs w:val="32"/>
        </w:rPr>
        <w:t>进</w:t>
      </w:r>
      <w:r>
        <w:rPr>
          <w:rFonts w:hint="eastAsia" w:ascii="仿宋" w:hAnsi="仿宋" w:eastAsia="仿宋" w:cs="Batang"/>
          <w:sz w:val="32"/>
          <w:szCs w:val="32"/>
        </w:rPr>
        <w:t>、出本</w:t>
      </w:r>
      <w:r>
        <w:rPr>
          <w:rFonts w:hint="eastAsia" w:ascii="仿宋" w:hAnsi="仿宋" w:eastAsia="仿宋" w:cs="宋体"/>
          <w:sz w:val="32"/>
          <w:szCs w:val="32"/>
        </w:rPr>
        <w:t>县</w:t>
      </w:r>
      <w:r>
        <w:rPr>
          <w:rFonts w:hint="eastAsia" w:ascii="仿宋" w:hAnsi="仿宋" w:eastAsia="仿宋" w:cs="Batang"/>
          <w:sz w:val="32"/>
          <w:szCs w:val="32"/>
        </w:rPr>
        <w:t>的建筑</w:t>
      </w:r>
      <w:r>
        <w:rPr>
          <w:rFonts w:hint="eastAsia" w:ascii="仿宋" w:hAnsi="仿宋" w:eastAsia="仿宋" w:cs="宋体"/>
          <w:sz w:val="32"/>
          <w:szCs w:val="32"/>
        </w:rPr>
        <w:t>队</w:t>
      </w:r>
      <w:r>
        <w:rPr>
          <w:rFonts w:hint="eastAsia" w:ascii="仿宋" w:hAnsi="仿宋" w:eastAsia="仿宋" w:cs="Batang"/>
          <w:sz w:val="32"/>
          <w:szCs w:val="32"/>
        </w:rPr>
        <w:t>伍；</w:t>
      </w:r>
      <w:r>
        <w:rPr>
          <w:rFonts w:hint="eastAsia" w:ascii="仿宋" w:hAnsi="仿宋" w:eastAsia="仿宋" w:cs="宋体"/>
          <w:sz w:val="32"/>
          <w:szCs w:val="32"/>
        </w:rPr>
        <w:t>负责</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建筑</w:t>
      </w:r>
      <w:r>
        <w:rPr>
          <w:rFonts w:hint="eastAsia" w:ascii="仿宋" w:hAnsi="仿宋" w:eastAsia="仿宋" w:cs="宋体"/>
          <w:sz w:val="32"/>
          <w:szCs w:val="32"/>
        </w:rPr>
        <w:t>劳务</w:t>
      </w:r>
      <w:r>
        <w:rPr>
          <w:rFonts w:hint="eastAsia" w:ascii="仿宋" w:hAnsi="仿宋" w:eastAsia="仿宋" w:cs="Batang"/>
          <w:sz w:val="32"/>
          <w:szCs w:val="32"/>
        </w:rPr>
        <w:t>基地管理，</w:t>
      </w:r>
      <w:r>
        <w:rPr>
          <w:rFonts w:hint="eastAsia" w:ascii="仿宋" w:hAnsi="仿宋" w:eastAsia="仿宋" w:cs="宋体"/>
          <w:sz w:val="32"/>
          <w:szCs w:val="32"/>
        </w:rPr>
        <w:t>扩</w:t>
      </w:r>
      <w:r>
        <w:rPr>
          <w:rFonts w:hint="eastAsia" w:ascii="仿宋" w:hAnsi="仿宋" w:eastAsia="仿宋" w:cs="Batang"/>
          <w:sz w:val="32"/>
          <w:szCs w:val="32"/>
        </w:rPr>
        <w:t>大建筑</w:t>
      </w:r>
      <w:r>
        <w:rPr>
          <w:rFonts w:hint="eastAsia" w:ascii="仿宋" w:hAnsi="仿宋" w:eastAsia="仿宋" w:cs="宋体"/>
          <w:sz w:val="32"/>
          <w:szCs w:val="32"/>
        </w:rPr>
        <w:t>劳务输</w:t>
      </w:r>
      <w:r>
        <w:rPr>
          <w:rFonts w:hint="eastAsia" w:ascii="仿宋" w:hAnsi="仿宋" w:eastAsia="仿宋" w:cs="Batang"/>
          <w:sz w:val="32"/>
          <w:szCs w:val="32"/>
        </w:rPr>
        <w:t>出和建筑</w:t>
      </w:r>
      <w:r>
        <w:rPr>
          <w:rFonts w:hint="eastAsia" w:ascii="仿宋" w:hAnsi="仿宋" w:eastAsia="仿宋" w:cs="宋体"/>
          <w:sz w:val="32"/>
          <w:szCs w:val="32"/>
        </w:rPr>
        <w:t>劳务</w:t>
      </w:r>
      <w:r>
        <w:rPr>
          <w:rFonts w:hint="eastAsia" w:ascii="仿宋" w:hAnsi="仿宋" w:eastAsia="仿宋" w:cs="Batang"/>
          <w:sz w:val="32"/>
          <w:szCs w:val="32"/>
        </w:rPr>
        <w:t>要素市</w:t>
      </w:r>
      <w:r>
        <w:rPr>
          <w:rFonts w:hint="eastAsia" w:ascii="仿宋" w:hAnsi="仿宋" w:eastAsia="仿宋" w:cs="宋体"/>
          <w:sz w:val="32"/>
          <w:szCs w:val="32"/>
        </w:rPr>
        <w:t>场</w:t>
      </w:r>
      <w:r>
        <w:rPr>
          <w:rFonts w:hint="eastAsia" w:ascii="仿宋" w:hAnsi="仿宋" w:eastAsia="仿宋" w:cs="Batang"/>
          <w:sz w:val="32"/>
          <w:szCs w:val="32"/>
        </w:rPr>
        <w:t>管理；管理建成后住房室</w:t>
      </w:r>
      <w:r>
        <w:rPr>
          <w:rFonts w:hint="eastAsia" w:ascii="仿宋" w:hAnsi="仿宋" w:eastAsia="仿宋" w:cs="宋体"/>
          <w:sz w:val="32"/>
          <w:szCs w:val="32"/>
        </w:rPr>
        <w:t>内</w:t>
      </w:r>
      <w:r>
        <w:rPr>
          <w:rFonts w:hint="eastAsia" w:ascii="仿宋" w:hAnsi="仿宋" w:eastAsia="仿宋" w:cs="Batang"/>
          <w:sz w:val="32"/>
          <w:szCs w:val="32"/>
        </w:rPr>
        <w:t>装</w:t>
      </w:r>
      <w:r>
        <w:rPr>
          <w:rFonts w:hint="eastAsia" w:ascii="仿宋" w:hAnsi="仿宋" w:eastAsia="仿宋" w:cs="宋体"/>
          <w:sz w:val="32"/>
          <w:szCs w:val="32"/>
        </w:rPr>
        <w:t>饰</w:t>
      </w:r>
      <w:r>
        <w:rPr>
          <w:rFonts w:hint="eastAsia" w:ascii="仿宋" w:hAnsi="仿宋" w:eastAsia="仿宋" w:cs="Batang"/>
          <w:sz w:val="32"/>
          <w:szCs w:val="32"/>
        </w:rPr>
        <w:t>及公共建筑</w:t>
      </w:r>
      <w:r>
        <w:rPr>
          <w:rFonts w:hint="eastAsia" w:ascii="仿宋" w:hAnsi="仿宋" w:eastAsia="仿宋" w:cs="宋体"/>
          <w:sz w:val="32"/>
          <w:szCs w:val="32"/>
        </w:rPr>
        <w:t>内</w:t>
      </w:r>
      <w:r>
        <w:rPr>
          <w:rFonts w:hint="eastAsia" w:ascii="仿宋" w:hAnsi="仿宋" w:eastAsia="仿宋" w:cs="Batang"/>
          <w:sz w:val="32"/>
          <w:szCs w:val="32"/>
        </w:rPr>
        <w:t>外装</w:t>
      </w:r>
      <w:r>
        <w:rPr>
          <w:rFonts w:hint="eastAsia" w:ascii="仿宋" w:hAnsi="仿宋" w:eastAsia="仿宋" w:cs="宋体"/>
          <w:sz w:val="32"/>
          <w:szCs w:val="32"/>
        </w:rPr>
        <w:t>饰</w:t>
      </w:r>
      <w:r>
        <w:rPr>
          <w:rFonts w:hint="eastAsia" w:ascii="仿宋" w:hAnsi="仿宋" w:eastAsia="仿宋" w:cs="Batang"/>
          <w:sz w:val="32"/>
          <w:szCs w:val="32"/>
        </w:rPr>
        <w:t>。</w:t>
      </w:r>
      <w:r>
        <w:rPr>
          <w:rFonts w:hint="eastAsia" w:ascii="仿宋" w:hAnsi="仿宋" w:eastAsia="仿宋" w:cs="宋体"/>
          <w:sz w:val="32"/>
          <w:szCs w:val="32"/>
        </w:rPr>
        <w:t>负责</w:t>
      </w:r>
      <w:r>
        <w:rPr>
          <w:rFonts w:hint="eastAsia" w:ascii="仿宋" w:hAnsi="仿宋" w:eastAsia="仿宋" w:cs="Batang"/>
          <w:sz w:val="32"/>
          <w:szCs w:val="32"/>
        </w:rPr>
        <w:t>制定本行</w:t>
      </w:r>
      <w:r>
        <w:rPr>
          <w:rFonts w:hint="eastAsia" w:ascii="仿宋" w:hAnsi="仿宋" w:eastAsia="仿宋" w:cs="宋体"/>
          <w:sz w:val="32"/>
          <w:szCs w:val="32"/>
        </w:rPr>
        <w:t>业</w:t>
      </w:r>
      <w:r>
        <w:rPr>
          <w:rFonts w:hint="eastAsia" w:ascii="仿宋" w:hAnsi="仿宋" w:eastAsia="仿宋" w:cs="Batang"/>
          <w:sz w:val="32"/>
          <w:szCs w:val="32"/>
        </w:rPr>
        <w:t>相</w:t>
      </w:r>
      <w:r>
        <w:rPr>
          <w:rFonts w:hint="eastAsia" w:ascii="仿宋" w:hAnsi="仿宋" w:eastAsia="仿宋" w:cs="宋体"/>
          <w:sz w:val="32"/>
          <w:szCs w:val="32"/>
        </w:rPr>
        <w:t>关</w:t>
      </w:r>
      <w:r>
        <w:rPr>
          <w:rFonts w:hint="eastAsia" w:ascii="仿宋" w:hAnsi="仿宋" w:eastAsia="仿宋" w:cs="Batang"/>
          <w:sz w:val="32"/>
          <w:szCs w:val="32"/>
        </w:rPr>
        <w:t>人才培</w:t>
      </w:r>
      <w:r>
        <w:rPr>
          <w:rFonts w:hint="eastAsia" w:ascii="仿宋" w:hAnsi="仿宋" w:eastAsia="仿宋" w:cs="宋体"/>
          <w:sz w:val="32"/>
          <w:szCs w:val="32"/>
        </w:rPr>
        <w:t>养规划</w:t>
      </w:r>
      <w:r>
        <w:rPr>
          <w:rFonts w:hint="eastAsia" w:ascii="仿宋" w:hAnsi="仿宋" w:eastAsia="仿宋" w:cs="Batang"/>
          <w:sz w:val="32"/>
          <w:szCs w:val="32"/>
        </w:rPr>
        <w:t>和</w:t>
      </w:r>
      <w:r>
        <w:rPr>
          <w:rFonts w:hint="eastAsia" w:ascii="仿宋" w:hAnsi="仿宋" w:eastAsia="仿宋" w:cs="宋体"/>
          <w:sz w:val="32"/>
          <w:szCs w:val="32"/>
        </w:rPr>
        <w:t>专业</w:t>
      </w:r>
      <w:r>
        <w:rPr>
          <w:rFonts w:hint="eastAsia" w:ascii="仿宋" w:hAnsi="仿宋" w:eastAsia="仿宋" w:cs="Batang"/>
          <w:sz w:val="32"/>
          <w:szCs w:val="32"/>
        </w:rPr>
        <w:t>技</w:t>
      </w:r>
      <w:r>
        <w:rPr>
          <w:rFonts w:hint="eastAsia" w:ascii="仿宋" w:hAnsi="仿宋" w:eastAsia="仿宋" w:cs="宋体"/>
          <w:sz w:val="32"/>
          <w:szCs w:val="32"/>
        </w:rPr>
        <w:t>术</w:t>
      </w:r>
      <w:r>
        <w:rPr>
          <w:rFonts w:hint="eastAsia" w:ascii="仿宋" w:hAnsi="仿宋" w:eastAsia="仿宋" w:cs="Batang"/>
          <w:sz w:val="32"/>
          <w:szCs w:val="32"/>
        </w:rPr>
        <w:t>人</w:t>
      </w:r>
      <w:r>
        <w:rPr>
          <w:rFonts w:hint="eastAsia" w:ascii="仿宋" w:hAnsi="仿宋" w:eastAsia="仿宋" w:cs="宋体"/>
          <w:sz w:val="32"/>
          <w:szCs w:val="32"/>
        </w:rPr>
        <w:t>员</w:t>
      </w:r>
      <w:r>
        <w:rPr>
          <w:rFonts w:hint="eastAsia" w:ascii="仿宋" w:hAnsi="仿宋" w:eastAsia="仿宋" w:cs="Batang"/>
          <w:sz w:val="32"/>
          <w:szCs w:val="32"/>
        </w:rPr>
        <w:t>的</w:t>
      </w:r>
      <w:r>
        <w:rPr>
          <w:rFonts w:hint="eastAsia" w:ascii="仿宋" w:hAnsi="仿宋" w:eastAsia="仿宋" w:cs="宋体"/>
          <w:sz w:val="32"/>
          <w:szCs w:val="32"/>
        </w:rPr>
        <w:t>继续教</w:t>
      </w:r>
      <w:r>
        <w:rPr>
          <w:rFonts w:hint="eastAsia" w:ascii="仿宋" w:hAnsi="仿宋" w:eastAsia="仿宋" w:cs="Batang"/>
          <w:sz w:val="32"/>
          <w:szCs w:val="32"/>
        </w:rPr>
        <w:t>育；</w:t>
      </w:r>
      <w:r>
        <w:rPr>
          <w:rFonts w:hint="eastAsia" w:ascii="仿宋" w:hAnsi="仿宋" w:eastAsia="仿宋" w:cs="宋体"/>
          <w:sz w:val="32"/>
          <w:szCs w:val="32"/>
        </w:rPr>
        <w:t>负责</w:t>
      </w:r>
      <w:r>
        <w:rPr>
          <w:rFonts w:hint="eastAsia" w:ascii="仿宋" w:hAnsi="仿宋" w:eastAsia="仿宋" w:cs="Batang"/>
          <w:sz w:val="32"/>
          <w:szCs w:val="32"/>
        </w:rPr>
        <w:t>有</w:t>
      </w:r>
      <w:r>
        <w:rPr>
          <w:rFonts w:hint="eastAsia" w:ascii="仿宋" w:hAnsi="仿宋" w:eastAsia="仿宋" w:cs="宋体"/>
          <w:sz w:val="32"/>
          <w:szCs w:val="32"/>
        </w:rPr>
        <w:t>关</w:t>
      </w:r>
      <w:r>
        <w:rPr>
          <w:rFonts w:hint="eastAsia" w:ascii="仿宋" w:hAnsi="仿宋" w:eastAsia="仿宋" w:cs="Batang"/>
          <w:sz w:val="32"/>
          <w:szCs w:val="32"/>
        </w:rPr>
        <w:t>人</w:t>
      </w:r>
      <w:r>
        <w:rPr>
          <w:rFonts w:hint="eastAsia" w:ascii="仿宋" w:hAnsi="仿宋" w:eastAsia="仿宋" w:cs="宋体"/>
          <w:sz w:val="32"/>
          <w:szCs w:val="32"/>
        </w:rPr>
        <w:t>员岗</w:t>
      </w:r>
      <w:r>
        <w:rPr>
          <w:rFonts w:hint="eastAsia" w:ascii="仿宋" w:hAnsi="仿宋" w:eastAsia="仿宋" w:cs="Batang"/>
          <w:sz w:val="32"/>
          <w:szCs w:val="32"/>
        </w:rPr>
        <w:t>位培</w:t>
      </w:r>
      <w:r>
        <w:rPr>
          <w:rFonts w:hint="eastAsia" w:ascii="仿宋" w:hAnsi="仿宋" w:eastAsia="仿宋" w:cs="宋体"/>
          <w:sz w:val="32"/>
          <w:szCs w:val="32"/>
        </w:rPr>
        <w:t>训</w:t>
      </w:r>
      <w:r>
        <w:rPr>
          <w:rFonts w:hint="eastAsia" w:ascii="仿宋" w:hAnsi="仿宋" w:eastAsia="仿宋" w:cs="Batang"/>
          <w:sz w:val="32"/>
          <w:szCs w:val="32"/>
        </w:rPr>
        <w:t>；</w:t>
      </w:r>
      <w:r>
        <w:rPr>
          <w:rFonts w:hint="eastAsia" w:ascii="仿宋" w:hAnsi="仿宋" w:eastAsia="仿宋" w:cs="宋体"/>
          <w:sz w:val="32"/>
          <w:szCs w:val="32"/>
        </w:rPr>
        <w:t>负责</w:t>
      </w:r>
      <w:r>
        <w:rPr>
          <w:rFonts w:hint="eastAsia" w:ascii="仿宋" w:hAnsi="仿宋" w:eastAsia="仿宋" w:cs="Batang"/>
          <w:sz w:val="32"/>
          <w:szCs w:val="32"/>
        </w:rPr>
        <w:t>本行</w:t>
      </w:r>
      <w:r>
        <w:rPr>
          <w:rFonts w:hint="eastAsia" w:ascii="仿宋" w:hAnsi="仿宋" w:eastAsia="仿宋" w:cs="宋体"/>
          <w:sz w:val="32"/>
          <w:szCs w:val="32"/>
        </w:rPr>
        <w:t>业</w:t>
      </w:r>
      <w:r>
        <w:rPr>
          <w:rFonts w:hint="eastAsia" w:ascii="仿宋" w:hAnsi="仿宋" w:eastAsia="仿宋" w:cs="Batang"/>
          <w:sz w:val="32"/>
          <w:szCs w:val="32"/>
        </w:rPr>
        <w:t>科技人才</w:t>
      </w:r>
      <w:r>
        <w:rPr>
          <w:rFonts w:hint="eastAsia" w:ascii="仿宋" w:hAnsi="仿宋" w:eastAsia="仿宋" w:cs="宋体"/>
          <w:sz w:val="32"/>
          <w:szCs w:val="32"/>
        </w:rPr>
        <w:t>队</w:t>
      </w:r>
      <w:r>
        <w:rPr>
          <w:rFonts w:hint="eastAsia" w:ascii="仿宋" w:hAnsi="仿宋" w:eastAsia="仿宋" w:cs="Batang"/>
          <w:sz w:val="32"/>
          <w:szCs w:val="32"/>
        </w:rPr>
        <w:t>伍建</w:t>
      </w:r>
      <w:r>
        <w:rPr>
          <w:rFonts w:hint="eastAsia" w:ascii="仿宋" w:hAnsi="仿宋" w:eastAsia="仿宋" w:cs="宋体"/>
          <w:sz w:val="32"/>
          <w:szCs w:val="32"/>
        </w:rPr>
        <w:t>设</w:t>
      </w:r>
      <w:r>
        <w:rPr>
          <w:rFonts w:hint="eastAsia" w:ascii="仿宋" w:hAnsi="仿宋" w:eastAsia="仿宋" w:cs="Batang"/>
          <w:sz w:val="32"/>
          <w:szCs w:val="32"/>
        </w:rPr>
        <w:t>工作。</w:t>
      </w:r>
      <w:r>
        <w:rPr>
          <w:rFonts w:hint="eastAsia" w:ascii="仿宋" w:hAnsi="仿宋" w:eastAsia="仿宋" w:cs="宋体"/>
          <w:sz w:val="32"/>
          <w:szCs w:val="32"/>
        </w:rPr>
        <w:t>负责</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建</w:t>
      </w:r>
      <w:r>
        <w:rPr>
          <w:rFonts w:hint="eastAsia" w:ascii="仿宋" w:hAnsi="仿宋" w:eastAsia="仿宋" w:cs="宋体"/>
          <w:sz w:val="32"/>
          <w:szCs w:val="32"/>
        </w:rPr>
        <w:t>设领</w:t>
      </w:r>
      <w:r>
        <w:rPr>
          <w:rFonts w:hint="eastAsia" w:ascii="仿宋" w:hAnsi="仿宋" w:eastAsia="仿宋" w:cs="Batang"/>
          <w:sz w:val="32"/>
          <w:szCs w:val="32"/>
        </w:rPr>
        <w:t>域工程款</w:t>
      </w:r>
      <w:r>
        <w:rPr>
          <w:rFonts w:hint="eastAsia" w:ascii="仿宋" w:hAnsi="仿宋" w:eastAsia="仿宋" w:cs="宋体"/>
          <w:sz w:val="32"/>
          <w:szCs w:val="32"/>
        </w:rPr>
        <w:t>清</w:t>
      </w:r>
      <w:r>
        <w:rPr>
          <w:rFonts w:hint="eastAsia" w:ascii="仿宋" w:hAnsi="仿宋" w:eastAsia="仿宋" w:cs="Batang"/>
          <w:sz w:val="32"/>
          <w:szCs w:val="32"/>
        </w:rPr>
        <w:t>欠工作。</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5</w:t>
      </w:r>
      <w:r>
        <w:rPr>
          <w:rFonts w:ascii="仿宋" w:hAnsi="仿宋" w:eastAsia="仿宋"/>
          <w:b/>
          <w:sz w:val="32"/>
          <w:szCs w:val="32"/>
        </w:rPr>
        <w:t>、住房保障和房</w:t>
      </w:r>
      <w:r>
        <w:rPr>
          <w:rFonts w:hint="eastAsia" w:ascii="仿宋" w:hAnsi="仿宋" w:eastAsia="仿宋" w:cs="宋体"/>
          <w:b/>
          <w:sz w:val="32"/>
          <w:szCs w:val="32"/>
        </w:rPr>
        <w:t>产</w:t>
      </w:r>
      <w:r>
        <w:rPr>
          <w:rFonts w:hint="eastAsia" w:ascii="仿宋" w:hAnsi="仿宋" w:eastAsia="仿宋" w:cs="Batang"/>
          <w:b/>
          <w:sz w:val="32"/>
          <w:szCs w:val="32"/>
        </w:rPr>
        <w:t>管理中心（</w:t>
      </w:r>
      <w:r>
        <w:rPr>
          <w:rFonts w:hint="eastAsia" w:ascii="仿宋" w:hAnsi="仿宋" w:eastAsia="仿宋" w:cs="宋体"/>
          <w:b/>
          <w:sz w:val="32"/>
          <w:szCs w:val="32"/>
        </w:rPr>
        <w:t>办</w:t>
      </w:r>
      <w:r>
        <w:rPr>
          <w:rFonts w:hint="eastAsia" w:ascii="仿宋" w:hAnsi="仿宋" w:eastAsia="仿宋" w:cs="Batang"/>
          <w:b/>
          <w:sz w:val="32"/>
          <w:szCs w:val="32"/>
        </w:rPr>
        <w:t>公地点</w:t>
      </w:r>
      <w:r>
        <w:rPr>
          <w:rFonts w:hint="eastAsia" w:ascii="仿宋" w:hAnsi="仿宋" w:eastAsia="仿宋" w:cs="宋体"/>
          <w:b/>
          <w:sz w:val="32"/>
          <w:szCs w:val="32"/>
        </w:rPr>
        <w:t>涞阳</w:t>
      </w:r>
      <w:r>
        <w:rPr>
          <w:rFonts w:hint="eastAsia" w:ascii="仿宋" w:hAnsi="仿宋" w:eastAsia="仿宋" w:cs="Batang"/>
          <w:b/>
          <w:sz w:val="32"/>
          <w:szCs w:val="32"/>
        </w:rPr>
        <w:t>路</w:t>
      </w:r>
      <w:r>
        <w:rPr>
          <w:rFonts w:hint="eastAsia" w:ascii="仿宋" w:hAnsi="仿宋" w:eastAsia="仿宋" w:cs="宋体"/>
          <w:b/>
          <w:sz w:val="32"/>
          <w:szCs w:val="32"/>
        </w:rPr>
        <w:t>与</w:t>
      </w:r>
      <w:r>
        <w:rPr>
          <w:rFonts w:hint="eastAsia" w:ascii="仿宋" w:hAnsi="仿宋" w:eastAsia="仿宋" w:cs="Batang"/>
          <w:b/>
          <w:sz w:val="32"/>
          <w:szCs w:val="32"/>
        </w:rPr>
        <w:t>金源街交叉口）</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负责监</w:t>
      </w:r>
      <w:r>
        <w:rPr>
          <w:rFonts w:hint="eastAsia" w:ascii="仿宋" w:hAnsi="仿宋" w:eastAsia="仿宋" w:cs="Batang"/>
          <w:sz w:val="32"/>
          <w:szCs w:val="32"/>
        </w:rPr>
        <w:t>督管理全</w:t>
      </w:r>
      <w:r>
        <w:rPr>
          <w:rFonts w:hint="eastAsia" w:ascii="仿宋" w:hAnsi="仿宋" w:eastAsia="仿宋" w:cs="宋体"/>
          <w:sz w:val="32"/>
          <w:szCs w:val="32"/>
        </w:rPr>
        <w:t>县</w:t>
      </w:r>
      <w:r>
        <w:rPr>
          <w:rFonts w:hint="eastAsia" w:ascii="仿宋" w:hAnsi="仿宋" w:eastAsia="仿宋" w:cs="Batang"/>
          <w:sz w:val="32"/>
          <w:szCs w:val="32"/>
        </w:rPr>
        <w:t>房地</w:t>
      </w:r>
      <w:r>
        <w:rPr>
          <w:rFonts w:hint="eastAsia" w:ascii="仿宋" w:hAnsi="仿宋" w:eastAsia="仿宋" w:cs="宋体"/>
          <w:sz w:val="32"/>
          <w:szCs w:val="32"/>
        </w:rPr>
        <w:t>产</w:t>
      </w:r>
      <w:r>
        <w:rPr>
          <w:rFonts w:hint="eastAsia" w:ascii="仿宋" w:hAnsi="仿宋" w:eastAsia="仿宋" w:cs="Batang"/>
          <w:sz w:val="32"/>
          <w:szCs w:val="32"/>
        </w:rPr>
        <w:t>市</w:t>
      </w:r>
      <w:r>
        <w:rPr>
          <w:rFonts w:hint="eastAsia" w:ascii="仿宋" w:hAnsi="仿宋" w:eastAsia="仿宋" w:cs="宋体"/>
          <w:sz w:val="32"/>
          <w:szCs w:val="32"/>
        </w:rPr>
        <w:t>场</w:t>
      </w:r>
      <w:r>
        <w:rPr>
          <w:rFonts w:hint="eastAsia" w:ascii="仿宋" w:hAnsi="仿宋" w:eastAsia="仿宋" w:cs="Batang"/>
          <w:sz w:val="32"/>
          <w:szCs w:val="32"/>
        </w:rPr>
        <w:t>秩序，</w:t>
      </w:r>
      <w:r>
        <w:rPr>
          <w:rFonts w:hint="eastAsia" w:ascii="仿宋" w:hAnsi="仿宋" w:eastAsia="仿宋" w:cs="宋体"/>
          <w:sz w:val="32"/>
          <w:szCs w:val="32"/>
        </w:rPr>
        <w:t>参与</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住宅</w:t>
      </w:r>
      <w:r>
        <w:rPr>
          <w:rFonts w:hint="eastAsia" w:ascii="仿宋" w:hAnsi="仿宋" w:eastAsia="仿宋" w:cs="宋体"/>
          <w:sz w:val="32"/>
          <w:szCs w:val="32"/>
        </w:rPr>
        <w:t>与</w:t>
      </w:r>
      <w:r>
        <w:rPr>
          <w:rFonts w:hint="eastAsia" w:ascii="仿宋" w:hAnsi="仿宋" w:eastAsia="仿宋" w:cs="Batang"/>
          <w:sz w:val="32"/>
          <w:szCs w:val="32"/>
        </w:rPr>
        <w:t>房地</w:t>
      </w:r>
      <w:r>
        <w:rPr>
          <w:rFonts w:hint="eastAsia" w:ascii="仿宋" w:hAnsi="仿宋" w:eastAsia="仿宋" w:cs="宋体"/>
          <w:sz w:val="32"/>
          <w:szCs w:val="32"/>
        </w:rPr>
        <w:t>产业</w:t>
      </w:r>
      <w:r>
        <w:rPr>
          <w:rFonts w:hint="eastAsia" w:ascii="仿宋" w:hAnsi="仿宋" w:eastAsia="仿宋" w:cs="Batang"/>
          <w:sz w:val="32"/>
          <w:szCs w:val="32"/>
        </w:rPr>
        <w:t>行</w:t>
      </w:r>
      <w:r>
        <w:rPr>
          <w:rFonts w:hint="eastAsia" w:ascii="仿宋" w:hAnsi="仿宋" w:eastAsia="仿宋" w:cs="宋体"/>
          <w:sz w:val="32"/>
          <w:szCs w:val="32"/>
        </w:rPr>
        <w:t>业</w:t>
      </w:r>
      <w:r>
        <w:rPr>
          <w:rFonts w:hint="eastAsia" w:ascii="仿宋" w:hAnsi="仿宋" w:eastAsia="仿宋" w:cs="Batang"/>
          <w:sz w:val="32"/>
          <w:szCs w:val="32"/>
        </w:rPr>
        <w:t>管理。</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房地</w:t>
      </w:r>
      <w:r>
        <w:rPr>
          <w:rFonts w:hint="eastAsia" w:ascii="仿宋" w:hAnsi="仿宋" w:eastAsia="仿宋" w:cs="宋体"/>
          <w:sz w:val="32"/>
          <w:szCs w:val="32"/>
        </w:rPr>
        <w:t>产</w:t>
      </w:r>
      <w:r>
        <w:rPr>
          <w:rFonts w:hint="eastAsia" w:ascii="仿宋" w:hAnsi="仿宋" w:eastAsia="仿宋" w:cs="Batang"/>
          <w:sz w:val="32"/>
          <w:szCs w:val="32"/>
        </w:rPr>
        <w:t>交易和房屋</w:t>
      </w:r>
      <w:r>
        <w:rPr>
          <w:rFonts w:hint="eastAsia" w:ascii="仿宋" w:hAnsi="仿宋" w:eastAsia="仿宋" w:cs="宋体"/>
          <w:sz w:val="32"/>
          <w:szCs w:val="32"/>
        </w:rPr>
        <w:t>产权</w:t>
      </w:r>
      <w:r>
        <w:rPr>
          <w:rFonts w:hint="eastAsia" w:ascii="仿宋" w:hAnsi="仿宋" w:eastAsia="仿宋" w:cs="Batang"/>
          <w:sz w:val="32"/>
          <w:szCs w:val="32"/>
        </w:rPr>
        <w:t>、</w:t>
      </w:r>
      <w:r>
        <w:rPr>
          <w:rFonts w:hint="eastAsia" w:ascii="仿宋" w:hAnsi="仿宋" w:eastAsia="仿宋" w:cs="宋体"/>
          <w:sz w:val="32"/>
          <w:szCs w:val="32"/>
        </w:rPr>
        <w:t>产</w:t>
      </w:r>
      <w:r>
        <w:rPr>
          <w:rFonts w:hint="eastAsia" w:ascii="仿宋" w:hAnsi="仿宋" w:eastAsia="仿宋" w:cs="Batang"/>
          <w:sz w:val="32"/>
          <w:szCs w:val="32"/>
        </w:rPr>
        <w:t>籍管理；</w:t>
      </w:r>
      <w:r>
        <w:rPr>
          <w:rFonts w:hint="eastAsia" w:ascii="仿宋" w:hAnsi="仿宋" w:eastAsia="仿宋" w:cs="宋体"/>
          <w:sz w:val="32"/>
          <w:szCs w:val="32"/>
        </w:rPr>
        <w:t>负责</w:t>
      </w:r>
      <w:r>
        <w:rPr>
          <w:rFonts w:hint="eastAsia" w:ascii="仿宋" w:hAnsi="仿宋" w:eastAsia="仿宋" w:cs="Batang"/>
          <w:sz w:val="32"/>
          <w:szCs w:val="32"/>
        </w:rPr>
        <w:t>本</w:t>
      </w:r>
      <w:r>
        <w:rPr>
          <w:rFonts w:hint="eastAsia" w:ascii="仿宋" w:hAnsi="仿宋" w:eastAsia="仿宋" w:cs="宋体"/>
          <w:sz w:val="32"/>
          <w:szCs w:val="32"/>
        </w:rPr>
        <w:t>县</w:t>
      </w:r>
      <w:r>
        <w:rPr>
          <w:rFonts w:hint="eastAsia" w:ascii="仿宋" w:hAnsi="仿宋" w:eastAsia="仿宋" w:cs="Batang"/>
          <w:sz w:val="32"/>
          <w:szCs w:val="32"/>
        </w:rPr>
        <w:t>商品房</w:t>
      </w:r>
      <w:r>
        <w:rPr>
          <w:rFonts w:hint="eastAsia" w:ascii="仿宋" w:hAnsi="仿宋" w:eastAsia="仿宋" w:cs="宋体"/>
          <w:sz w:val="32"/>
          <w:szCs w:val="32"/>
        </w:rPr>
        <w:t>预</w:t>
      </w:r>
      <w:r>
        <w:rPr>
          <w:rFonts w:hint="eastAsia" w:ascii="仿宋" w:hAnsi="仿宋" w:eastAsia="仿宋" w:cs="Batang"/>
          <w:sz w:val="32"/>
          <w:szCs w:val="32"/>
        </w:rPr>
        <w:t>（</w:t>
      </w:r>
      <w:r>
        <w:rPr>
          <w:rFonts w:hint="eastAsia" w:ascii="仿宋" w:hAnsi="仿宋" w:eastAsia="仿宋" w:cs="宋体"/>
          <w:sz w:val="32"/>
          <w:szCs w:val="32"/>
        </w:rPr>
        <w:t>销</w:t>
      </w:r>
      <w:r>
        <w:rPr>
          <w:rFonts w:hint="eastAsia" w:ascii="仿宋" w:hAnsi="仿宋" w:eastAsia="仿宋" w:cs="Batang"/>
          <w:sz w:val="32"/>
          <w:szCs w:val="32"/>
        </w:rPr>
        <w:t>）售登</w:t>
      </w:r>
      <w:r>
        <w:rPr>
          <w:rFonts w:hint="eastAsia" w:ascii="仿宋" w:hAnsi="仿宋" w:eastAsia="仿宋" w:cs="宋体"/>
          <w:sz w:val="32"/>
          <w:szCs w:val="32"/>
        </w:rPr>
        <w:t>记</w:t>
      </w:r>
      <w:r>
        <w:rPr>
          <w:rFonts w:hint="eastAsia" w:ascii="仿宋" w:hAnsi="仿宋" w:eastAsia="仿宋" w:cs="Batang"/>
          <w:sz w:val="32"/>
          <w:szCs w:val="32"/>
        </w:rPr>
        <w:t>、</w:t>
      </w:r>
      <w:r>
        <w:rPr>
          <w:rFonts w:hint="eastAsia" w:ascii="仿宋" w:hAnsi="仿宋" w:eastAsia="仿宋" w:cs="宋体"/>
          <w:sz w:val="32"/>
          <w:szCs w:val="32"/>
        </w:rPr>
        <w:t>备</w:t>
      </w:r>
      <w:r>
        <w:rPr>
          <w:rFonts w:hint="eastAsia" w:ascii="仿宋" w:hAnsi="仿宋" w:eastAsia="仿宋" w:cs="Batang"/>
          <w:sz w:val="32"/>
          <w:szCs w:val="32"/>
        </w:rPr>
        <w:t>案管理；</w:t>
      </w:r>
      <w:r>
        <w:rPr>
          <w:rFonts w:hint="eastAsia" w:ascii="仿宋" w:hAnsi="仿宋" w:eastAsia="仿宋" w:cs="宋体"/>
          <w:sz w:val="32"/>
          <w:szCs w:val="32"/>
        </w:rPr>
        <w:t>负责</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房地</w:t>
      </w:r>
      <w:r>
        <w:rPr>
          <w:rFonts w:hint="eastAsia" w:ascii="仿宋" w:hAnsi="仿宋" w:eastAsia="仿宋" w:cs="宋体"/>
          <w:sz w:val="32"/>
          <w:szCs w:val="32"/>
        </w:rPr>
        <w:t>产</w:t>
      </w:r>
      <w:r>
        <w:rPr>
          <w:rFonts w:hint="eastAsia" w:ascii="仿宋" w:hAnsi="仿宋" w:eastAsia="仿宋" w:cs="Batang"/>
          <w:sz w:val="32"/>
          <w:szCs w:val="32"/>
        </w:rPr>
        <w:t>中介机</w:t>
      </w:r>
      <w:r>
        <w:rPr>
          <w:rFonts w:hint="eastAsia" w:ascii="仿宋" w:hAnsi="仿宋" w:eastAsia="仿宋" w:cs="宋体"/>
          <w:sz w:val="32"/>
          <w:szCs w:val="32"/>
        </w:rPr>
        <w:t>构</w:t>
      </w:r>
      <w:r>
        <w:rPr>
          <w:rFonts w:hint="eastAsia" w:ascii="仿宋" w:hAnsi="仿宋" w:eastAsia="仿宋" w:cs="Batang"/>
          <w:sz w:val="32"/>
          <w:szCs w:val="32"/>
        </w:rPr>
        <w:t>及</w:t>
      </w:r>
      <w:r>
        <w:rPr>
          <w:rFonts w:hint="eastAsia" w:ascii="仿宋" w:hAnsi="仿宋" w:eastAsia="仿宋" w:cs="宋体"/>
          <w:sz w:val="32"/>
          <w:szCs w:val="32"/>
        </w:rPr>
        <w:t>执业资</w:t>
      </w:r>
      <w:r>
        <w:rPr>
          <w:rFonts w:hint="eastAsia" w:ascii="仿宋" w:hAnsi="仿宋" w:eastAsia="仿宋" w:cs="Batang"/>
          <w:sz w:val="32"/>
          <w:szCs w:val="32"/>
        </w:rPr>
        <w:t>格管理工作；</w:t>
      </w:r>
      <w:r>
        <w:rPr>
          <w:rFonts w:hint="eastAsia" w:ascii="仿宋" w:hAnsi="仿宋" w:eastAsia="仿宋" w:cs="宋体"/>
          <w:sz w:val="32"/>
          <w:szCs w:val="32"/>
        </w:rPr>
        <w:t>负责</w:t>
      </w:r>
      <w:r>
        <w:rPr>
          <w:rFonts w:hint="eastAsia" w:ascii="仿宋" w:hAnsi="仿宋" w:eastAsia="仿宋" w:cs="Batang"/>
          <w:sz w:val="32"/>
          <w:szCs w:val="32"/>
        </w:rPr>
        <w:t>房地</w:t>
      </w:r>
      <w:r>
        <w:rPr>
          <w:rFonts w:hint="eastAsia" w:ascii="仿宋" w:hAnsi="仿宋" w:eastAsia="仿宋" w:cs="宋体"/>
          <w:sz w:val="32"/>
          <w:szCs w:val="32"/>
        </w:rPr>
        <w:t>产</w:t>
      </w:r>
      <w:r>
        <w:rPr>
          <w:rFonts w:hint="eastAsia" w:ascii="仿宋" w:hAnsi="仿宋" w:eastAsia="仿宋" w:cs="Batang"/>
          <w:sz w:val="32"/>
          <w:szCs w:val="32"/>
        </w:rPr>
        <w:t>信息系</w:t>
      </w:r>
      <w:r>
        <w:rPr>
          <w:rFonts w:hint="eastAsia" w:ascii="仿宋" w:hAnsi="仿宋" w:eastAsia="仿宋" w:cs="宋体"/>
          <w:sz w:val="32"/>
          <w:szCs w:val="32"/>
        </w:rPr>
        <w:t>统</w:t>
      </w:r>
      <w:r>
        <w:rPr>
          <w:rFonts w:hint="eastAsia" w:ascii="仿宋" w:hAnsi="仿宋" w:eastAsia="仿宋" w:cs="Batang"/>
          <w:sz w:val="32"/>
          <w:szCs w:val="32"/>
        </w:rPr>
        <w:t>建</w:t>
      </w:r>
      <w:r>
        <w:rPr>
          <w:rFonts w:hint="eastAsia" w:ascii="仿宋" w:hAnsi="仿宋" w:eastAsia="仿宋" w:cs="宋体"/>
          <w:sz w:val="32"/>
          <w:szCs w:val="32"/>
        </w:rPr>
        <w:t>设与</w:t>
      </w:r>
      <w:r>
        <w:rPr>
          <w:rFonts w:hint="eastAsia" w:ascii="仿宋" w:hAnsi="仿宋" w:eastAsia="仿宋" w:cs="Batang"/>
          <w:sz w:val="32"/>
          <w:szCs w:val="32"/>
        </w:rPr>
        <w:t>管理工作；</w:t>
      </w:r>
      <w:r>
        <w:rPr>
          <w:rFonts w:hint="eastAsia" w:ascii="仿宋" w:hAnsi="仿宋" w:eastAsia="仿宋" w:cs="宋体"/>
          <w:sz w:val="32"/>
          <w:szCs w:val="32"/>
        </w:rPr>
        <w:t>负责</w:t>
      </w:r>
      <w:r>
        <w:rPr>
          <w:rFonts w:hint="eastAsia" w:ascii="仿宋" w:hAnsi="仿宋" w:eastAsia="仿宋" w:cs="Batang"/>
          <w:sz w:val="32"/>
          <w:szCs w:val="32"/>
        </w:rPr>
        <w:t>房地</w:t>
      </w:r>
      <w:r>
        <w:rPr>
          <w:rFonts w:hint="eastAsia" w:ascii="仿宋" w:hAnsi="仿宋" w:eastAsia="仿宋" w:cs="宋体"/>
          <w:sz w:val="32"/>
          <w:szCs w:val="32"/>
        </w:rPr>
        <w:t>产</w:t>
      </w:r>
      <w:r>
        <w:rPr>
          <w:rFonts w:hint="eastAsia" w:ascii="仿宋" w:hAnsi="仿宋" w:eastAsia="仿宋" w:cs="Batang"/>
          <w:sz w:val="32"/>
          <w:szCs w:val="32"/>
        </w:rPr>
        <w:t>交易</w:t>
      </w:r>
      <w:r>
        <w:rPr>
          <w:rFonts w:hint="eastAsia" w:ascii="仿宋" w:hAnsi="仿宋" w:eastAsia="仿宋" w:cs="宋体"/>
          <w:sz w:val="32"/>
          <w:szCs w:val="32"/>
        </w:rPr>
        <w:t>与权属纠纷调处</w:t>
      </w:r>
      <w:r>
        <w:rPr>
          <w:rFonts w:hint="eastAsia" w:ascii="仿宋" w:hAnsi="仿宋" w:eastAsia="仿宋" w:cs="Batang"/>
          <w:sz w:val="32"/>
          <w:szCs w:val="32"/>
        </w:rPr>
        <w:t>工作。</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物</w:t>
      </w:r>
      <w:r>
        <w:rPr>
          <w:rFonts w:hint="eastAsia" w:ascii="仿宋" w:hAnsi="仿宋" w:eastAsia="仿宋" w:cs="宋体"/>
          <w:sz w:val="32"/>
          <w:szCs w:val="32"/>
        </w:rPr>
        <w:t>业</w:t>
      </w:r>
      <w:r>
        <w:rPr>
          <w:rFonts w:hint="eastAsia" w:ascii="仿宋" w:hAnsi="仿宋" w:eastAsia="仿宋" w:cs="Batang"/>
          <w:sz w:val="32"/>
          <w:szCs w:val="32"/>
        </w:rPr>
        <w:t>管理的行</w:t>
      </w:r>
      <w:r>
        <w:rPr>
          <w:rFonts w:hint="eastAsia" w:ascii="仿宋" w:hAnsi="仿宋" w:eastAsia="仿宋" w:cs="宋体"/>
          <w:sz w:val="32"/>
          <w:szCs w:val="32"/>
        </w:rPr>
        <w:t>业</w:t>
      </w:r>
      <w:r>
        <w:rPr>
          <w:rFonts w:hint="eastAsia" w:ascii="仿宋" w:hAnsi="仿宋" w:eastAsia="仿宋" w:cs="Batang"/>
          <w:sz w:val="32"/>
          <w:szCs w:val="32"/>
        </w:rPr>
        <w:t>管理工作；</w:t>
      </w:r>
      <w:r>
        <w:rPr>
          <w:rFonts w:hint="eastAsia" w:ascii="仿宋" w:hAnsi="仿宋" w:eastAsia="仿宋" w:cs="宋体"/>
          <w:sz w:val="32"/>
          <w:szCs w:val="32"/>
        </w:rPr>
        <w:t>负责</w:t>
      </w:r>
      <w:r>
        <w:rPr>
          <w:rFonts w:hint="eastAsia" w:ascii="仿宋" w:hAnsi="仿宋" w:eastAsia="仿宋" w:cs="Batang"/>
          <w:sz w:val="32"/>
          <w:szCs w:val="32"/>
        </w:rPr>
        <w:t>制定全</w:t>
      </w:r>
      <w:r>
        <w:rPr>
          <w:rFonts w:hint="eastAsia" w:ascii="仿宋" w:hAnsi="仿宋" w:eastAsia="仿宋" w:cs="宋体"/>
          <w:sz w:val="32"/>
          <w:szCs w:val="32"/>
        </w:rPr>
        <w:t>县</w:t>
      </w:r>
      <w:r>
        <w:rPr>
          <w:rFonts w:hint="eastAsia" w:ascii="仿宋" w:hAnsi="仿宋" w:eastAsia="仿宋" w:cs="Batang"/>
          <w:sz w:val="32"/>
          <w:szCs w:val="32"/>
        </w:rPr>
        <w:t>物</w:t>
      </w:r>
      <w:r>
        <w:rPr>
          <w:rFonts w:hint="eastAsia" w:ascii="仿宋" w:hAnsi="仿宋" w:eastAsia="仿宋" w:cs="宋体"/>
          <w:sz w:val="32"/>
          <w:szCs w:val="32"/>
        </w:rPr>
        <w:t>业</w:t>
      </w:r>
      <w:r>
        <w:rPr>
          <w:rFonts w:hint="eastAsia" w:ascii="仿宋" w:hAnsi="仿宋" w:eastAsia="仿宋" w:cs="Batang"/>
          <w:sz w:val="32"/>
          <w:szCs w:val="32"/>
        </w:rPr>
        <w:t>管理的相</w:t>
      </w:r>
      <w:r>
        <w:rPr>
          <w:rFonts w:hint="eastAsia" w:ascii="仿宋" w:hAnsi="仿宋" w:eastAsia="仿宋" w:cs="宋体"/>
          <w:sz w:val="32"/>
          <w:szCs w:val="32"/>
        </w:rPr>
        <w:t>关办</w:t>
      </w:r>
      <w:r>
        <w:rPr>
          <w:rFonts w:hint="eastAsia" w:ascii="仿宋" w:hAnsi="仿宋" w:eastAsia="仿宋" w:cs="Batang"/>
          <w:sz w:val="32"/>
          <w:szCs w:val="32"/>
        </w:rPr>
        <w:t>法</w:t>
      </w:r>
      <w:r>
        <w:rPr>
          <w:rFonts w:hint="eastAsia" w:ascii="仿宋" w:hAnsi="仿宋" w:eastAsia="仿宋" w:cs="宋体"/>
          <w:sz w:val="32"/>
          <w:szCs w:val="32"/>
        </w:rPr>
        <w:t>并组织实</w:t>
      </w:r>
      <w:r>
        <w:rPr>
          <w:rFonts w:hint="eastAsia" w:ascii="仿宋" w:hAnsi="仿宋" w:eastAsia="仿宋" w:cs="Batang"/>
          <w:sz w:val="32"/>
          <w:szCs w:val="32"/>
        </w:rPr>
        <w:t>施；</w:t>
      </w:r>
      <w:r>
        <w:rPr>
          <w:rFonts w:hint="eastAsia" w:ascii="仿宋" w:hAnsi="仿宋" w:eastAsia="仿宋" w:cs="宋体"/>
          <w:sz w:val="32"/>
          <w:szCs w:val="32"/>
        </w:rPr>
        <w:t>参与</w:t>
      </w:r>
      <w:r>
        <w:rPr>
          <w:rFonts w:hint="eastAsia" w:ascii="仿宋" w:hAnsi="仿宋" w:eastAsia="仿宋" w:cs="Batang"/>
          <w:sz w:val="32"/>
          <w:szCs w:val="32"/>
        </w:rPr>
        <w:t>本</w:t>
      </w:r>
      <w:r>
        <w:rPr>
          <w:rFonts w:hint="eastAsia" w:ascii="仿宋" w:hAnsi="仿宋" w:eastAsia="仿宋" w:cs="宋体"/>
          <w:sz w:val="32"/>
          <w:szCs w:val="32"/>
        </w:rPr>
        <w:t>县</w:t>
      </w:r>
      <w:r>
        <w:rPr>
          <w:rFonts w:hint="eastAsia" w:ascii="仿宋" w:hAnsi="仿宋" w:eastAsia="仿宋" w:cs="Batang"/>
          <w:sz w:val="32"/>
          <w:szCs w:val="32"/>
        </w:rPr>
        <w:t>住宅小</w:t>
      </w:r>
      <w:r>
        <w:rPr>
          <w:rFonts w:hint="eastAsia" w:ascii="仿宋" w:hAnsi="仿宋" w:eastAsia="仿宋" w:cs="宋体"/>
          <w:sz w:val="32"/>
          <w:szCs w:val="32"/>
        </w:rPr>
        <w:t>区综</w:t>
      </w:r>
      <w:r>
        <w:rPr>
          <w:rFonts w:hint="eastAsia" w:ascii="仿宋" w:hAnsi="仿宋" w:eastAsia="仿宋" w:cs="Batang"/>
          <w:sz w:val="32"/>
          <w:szCs w:val="32"/>
        </w:rPr>
        <w:t>合</w:t>
      </w:r>
      <w:r>
        <w:rPr>
          <w:rFonts w:hint="eastAsia" w:ascii="仿宋" w:hAnsi="仿宋" w:eastAsia="仿宋" w:cs="宋体"/>
          <w:sz w:val="32"/>
          <w:szCs w:val="32"/>
        </w:rPr>
        <w:t>验</w:t>
      </w:r>
      <w:r>
        <w:rPr>
          <w:rFonts w:hint="eastAsia" w:ascii="仿宋" w:hAnsi="仿宋" w:eastAsia="仿宋" w:cs="Batang"/>
          <w:sz w:val="32"/>
          <w:szCs w:val="32"/>
        </w:rPr>
        <w:t>收工作；</w:t>
      </w:r>
      <w:r>
        <w:rPr>
          <w:rFonts w:hint="eastAsia" w:ascii="仿宋" w:hAnsi="仿宋" w:eastAsia="仿宋" w:cs="宋体"/>
          <w:sz w:val="32"/>
          <w:szCs w:val="32"/>
        </w:rPr>
        <w:t>参与旧</w:t>
      </w:r>
      <w:r>
        <w:rPr>
          <w:rFonts w:hint="eastAsia" w:ascii="仿宋" w:hAnsi="仿宋" w:eastAsia="仿宋" w:cs="Batang"/>
          <w:sz w:val="32"/>
          <w:szCs w:val="32"/>
        </w:rPr>
        <w:t>住宅小</w:t>
      </w:r>
      <w:r>
        <w:rPr>
          <w:rFonts w:hint="eastAsia" w:ascii="仿宋" w:hAnsi="仿宋" w:eastAsia="仿宋" w:cs="宋体"/>
          <w:sz w:val="32"/>
          <w:szCs w:val="32"/>
        </w:rPr>
        <w:t>区</w:t>
      </w:r>
      <w:r>
        <w:rPr>
          <w:rFonts w:hint="eastAsia" w:ascii="仿宋" w:hAnsi="仿宋" w:eastAsia="仿宋" w:cs="Batang"/>
          <w:sz w:val="32"/>
          <w:szCs w:val="32"/>
        </w:rPr>
        <w:t>的改善工作。</w:t>
      </w:r>
      <w:r>
        <w:rPr>
          <w:rFonts w:hint="eastAsia" w:ascii="仿宋" w:hAnsi="仿宋" w:eastAsia="仿宋" w:cs="宋体"/>
          <w:sz w:val="32"/>
          <w:szCs w:val="32"/>
        </w:rPr>
        <w:t>拟订县区</w:t>
      </w:r>
      <w:r>
        <w:rPr>
          <w:rFonts w:hint="eastAsia" w:ascii="仿宋" w:hAnsi="仿宋" w:eastAsia="仿宋" w:cs="Batang"/>
          <w:sz w:val="32"/>
          <w:szCs w:val="32"/>
        </w:rPr>
        <w:t>危</w:t>
      </w:r>
      <w:r>
        <w:rPr>
          <w:rFonts w:hint="eastAsia" w:ascii="仿宋" w:hAnsi="仿宋" w:eastAsia="仿宋" w:cs="宋体"/>
          <w:sz w:val="32"/>
          <w:szCs w:val="32"/>
        </w:rPr>
        <w:t>旧</w:t>
      </w:r>
      <w:r>
        <w:rPr>
          <w:rFonts w:hint="eastAsia" w:ascii="仿宋" w:hAnsi="仿宋" w:eastAsia="仿宋" w:cs="Batang"/>
          <w:sz w:val="32"/>
          <w:szCs w:val="32"/>
        </w:rPr>
        <w:t>住房和</w:t>
      </w:r>
      <w:r>
        <w:rPr>
          <w:rFonts w:hint="eastAsia" w:ascii="仿宋" w:hAnsi="仿宋" w:eastAsia="仿宋" w:cs="宋体"/>
          <w:sz w:val="32"/>
          <w:szCs w:val="32"/>
        </w:rPr>
        <w:t>旧</w:t>
      </w:r>
      <w:r>
        <w:rPr>
          <w:rFonts w:hint="eastAsia" w:ascii="仿宋" w:hAnsi="仿宋" w:eastAsia="仿宋" w:cs="Batang"/>
          <w:sz w:val="32"/>
          <w:szCs w:val="32"/>
        </w:rPr>
        <w:t>住宅小</w:t>
      </w:r>
      <w:r>
        <w:rPr>
          <w:rFonts w:hint="eastAsia" w:ascii="仿宋" w:hAnsi="仿宋" w:eastAsia="仿宋" w:cs="宋体"/>
          <w:sz w:val="32"/>
          <w:szCs w:val="32"/>
        </w:rPr>
        <w:t>区</w:t>
      </w:r>
      <w:r>
        <w:rPr>
          <w:rFonts w:hint="eastAsia" w:ascii="仿宋" w:hAnsi="仿宋" w:eastAsia="仿宋" w:cs="Batang"/>
          <w:sz w:val="32"/>
          <w:szCs w:val="32"/>
        </w:rPr>
        <w:t>的改造、改善</w:t>
      </w:r>
      <w:r>
        <w:rPr>
          <w:rFonts w:hint="eastAsia" w:ascii="仿宋" w:hAnsi="仿宋" w:eastAsia="仿宋" w:cs="宋体"/>
          <w:sz w:val="32"/>
          <w:szCs w:val="32"/>
        </w:rPr>
        <w:t>计划并组织实</w:t>
      </w:r>
      <w:r>
        <w:rPr>
          <w:rFonts w:hint="eastAsia" w:ascii="仿宋" w:hAnsi="仿宋" w:eastAsia="仿宋" w:cs="Batang"/>
          <w:sz w:val="32"/>
          <w:szCs w:val="32"/>
        </w:rPr>
        <w:t>施；</w:t>
      </w:r>
      <w:r>
        <w:rPr>
          <w:rFonts w:hint="eastAsia" w:ascii="仿宋" w:hAnsi="仿宋" w:eastAsia="仿宋" w:cs="宋体"/>
          <w:sz w:val="32"/>
          <w:szCs w:val="32"/>
        </w:rPr>
        <w:t>负责</w:t>
      </w:r>
      <w:r>
        <w:rPr>
          <w:rFonts w:hint="eastAsia" w:ascii="仿宋" w:hAnsi="仿宋" w:eastAsia="仿宋" w:cs="Batang"/>
          <w:sz w:val="32"/>
          <w:szCs w:val="32"/>
        </w:rPr>
        <w:t>全</w:t>
      </w:r>
      <w:r>
        <w:rPr>
          <w:rFonts w:hint="eastAsia" w:ascii="仿宋" w:hAnsi="仿宋" w:eastAsia="仿宋" w:cs="宋体"/>
          <w:sz w:val="32"/>
          <w:szCs w:val="32"/>
        </w:rPr>
        <w:t>县</w:t>
      </w:r>
      <w:r>
        <w:rPr>
          <w:rFonts w:hint="eastAsia" w:ascii="仿宋" w:hAnsi="仿宋" w:eastAsia="仿宋" w:cs="Batang"/>
          <w:sz w:val="32"/>
          <w:szCs w:val="32"/>
        </w:rPr>
        <w:t>房屋租</w:t>
      </w:r>
      <w:r>
        <w:rPr>
          <w:rFonts w:hint="eastAsia" w:ascii="仿宋" w:hAnsi="仿宋" w:eastAsia="仿宋" w:cs="宋体"/>
          <w:sz w:val="32"/>
          <w:szCs w:val="32"/>
        </w:rPr>
        <w:t>赁</w:t>
      </w:r>
      <w:r>
        <w:rPr>
          <w:rFonts w:hint="eastAsia" w:ascii="仿宋" w:hAnsi="仿宋" w:eastAsia="仿宋" w:cs="Batang"/>
          <w:sz w:val="32"/>
          <w:szCs w:val="32"/>
        </w:rPr>
        <w:t>、抵押管理工作。</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组织编写</w:t>
      </w:r>
      <w:r>
        <w:rPr>
          <w:rFonts w:hint="eastAsia" w:ascii="仿宋" w:hAnsi="仿宋" w:eastAsia="仿宋" w:cs="Batang"/>
          <w:sz w:val="32"/>
          <w:szCs w:val="32"/>
        </w:rPr>
        <w:t>保障性住房</w:t>
      </w:r>
      <w:r>
        <w:rPr>
          <w:rFonts w:hint="eastAsia" w:ascii="仿宋" w:hAnsi="仿宋" w:eastAsia="仿宋" w:cs="宋体"/>
          <w:sz w:val="32"/>
          <w:szCs w:val="32"/>
        </w:rPr>
        <w:t>发</w:t>
      </w:r>
      <w:r>
        <w:rPr>
          <w:rFonts w:hint="eastAsia" w:ascii="仿宋" w:hAnsi="仿宋" w:eastAsia="仿宋" w:cs="Batang"/>
          <w:sz w:val="32"/>
          <w:szCs w:val="32"/>
        </w:rPr>
        <w:t>展</w:t>
      </w:r>
      <w:r>
        <w:rPr>
          <w:rFonts w:hint="eastAsia" w:ascii="仿宋" w:hAnsi="仿宋" w:eastAsia="仿宋" w:cs="宋体"/>
          <w:sz w:val="32"/>
          <w:szCs w:val="32"/>
        </w:rPr>
        <w:t>规划</w:t>
      </w:r>
      <w:r>
        <w:rPr>
          <w:rFonts w:hint="eastAsia" w:ascii="仿宋" w:hAnsi="仿宋" w:eastAsia="仿宋" w:cs="Batang"/>
          <w:sz w:val="32"/>
          <w:szCs w:val="32"/>
        </w:rPr>
        <w:t>和年度</w:t>
      </w:r>
      <w:r>
        <w:rPr>
          <w:rFonts w:hint="eastAsia" w:ascii="仿宋" w:hAnsi="仿宋" w:eastAsia="仿宋" w:cs="宋体"/>
          <w:sz w:val="32"/>
          <w:szCs w:val="32"/>
        </w:rPr>
        <w:t>计划并监</w:t>
      </w:r>
      <w:r>
        <w:rPr>
          <w:rFonts w:hint="eastAsia" w:ascii="仿宋" w:hAnsi="仿宋" w:eastAsia="仿宋" w:cs="Batang"/>
          <w:sz w:val="32"/>
          <w:szCs w:val="32"/>
        </w:rPr>
        <w:t>督</w:t>
      </w:r>
      <w:r>
        <w:rPr>
          <w:rFonts w:hint="eastAsia" w:ascii="仿宋" w:hAnsi="仿宋" w:eastAsia="仿宋" w:cs="宋体"/>
          <w:sz w:val="32"/>
          <w:szCs w:val="32"/>
        </w:rPr>
        <w:t>实</w:t>
      </w:r>
      <w:r>
        <w:rPr>
          <w:rFonts w:hint="eastAsia" w:ascii="仿宋" w:hAnsi="仿宋" w:eastAsia="仿宋" w:cs="Batang"/>
          <w:sz w:val="32"/>
          <w:szCs w:val="32"/>
        </w:rPr>
        <w:t>施。</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6、</w:t>
      </w:r>
      <w:r>
        <w:rPr>
          <w:rFonts w:hint="eastAsia" w:ascii="仿宋" w:hAnsi="仿宋" w:eastAsia="仿宋" w:cs="宋体"/>
          <w:b/>
          <w:sz w:val="32"/>
          <w:szCs w:val="32"/>
        </w:rPr>
        <w:t>园</w:t>
      </w:r>
      <w:r>
        <w:rPr>
          <w:rFonts w:hint="eastAsia" w:ascii="仿宋" w:hAnsi="仿宋" w:eastAsia="仿宋" w:cs="Batang"/>
          <w:b/>
          <w:sz w:val="32"/>
          <w:szCs w:val="32"/>
        </w:rPr>
        <w:t>林</w:t>
      </w:r>
      <w:r>
        <w:rPr>
          <w:rFonts w:hint="eastAsia" w:ascii="仿宋" w:hAnsi="仿宋" w:eastAsia="仿宋" w:cs="宋体"/>
          <w:b/>
          <w:sz w:val="32"/>
          <w:szCs w:val="32"/>
        </w:rPr>
        <w:t>绿</w:t>
      </w:r>
      <w:r>
        <w:rPr>
          <w:rFonts w:hint="eastAsia" w:ascii="仿宋" w:hAnsi="仿宋" w:eastAsia="仿宋" w:cs="Batang"/>
          <w:b/>
          <w:sz w:val="32"/>
          <w:szCs w:val="32"/>
        </w:rPr>
        <w:t>化管理站（</w:t>
      </w:r>
      <w:r>
        <w:rPr>
          <w:rFonts w:hint="eastAsia" w:ascii="仿宋" w:hAnsi="仿宋" w:eastAsia="仿宋" w:cs="宋体"/>
          <w:b/>
          <w:sz w:val="32"/>
          <w:szCs w:val="32"/>
        </w:rPr>
        <w:t>办</w:t>
      </w:r>
      <w:r>
        <w:rPr>
          <w:rFonts w:hint="eastAsia" w:ascii="仿宋" w:hAnsi="仿宋" w:eastAsia="仿宋" w:cs="Batang"/>
          <w:b/>
          <w:sz w:val="32"/>
          <w:szCs w:val="32"/>
        </w:rPr>
        <w:t>公地点</w:t>
      </w:r>
      <w:r>
        <w:rPr>
          <w:rFonts w:hint="eastAsia" w:ascii="仿宋" w:hAnsi="仿宋" w:eastAsia="仿宋" w:cs="宋体"/>
          <w:b/>
          <w:sz w:val="32"/>
          <w:szCs w:val="32"/>
        </w:rPr>
        <w:t>滨</w:t>
      </w:r>
      <w:r>
        <w:rPr>
          <w:rFonts w:hint="eastAsia" w:ascii="仿宋" w:hAnsi="仿宋" w:eastAsia="仿宋" w:cs="Batang"/>
          <w:b/>
          <w:sz w:val="32"/>
          <w:szCs w:val="32"/>
        </w:rPr>
        <w:t>河公</w:t>
      </w:r>
      <w:r>
        <w:rPr>
          <w:rFonts w:hint="eastAsia" w:ascii="仿宋" w:hAnsi="仿宋" w:eastAsia="仿宋" w:cs="宋体"/>
          <w:b/>
          <w:sz w:val="32"/>
          <w:szCs w:val="32"/>
        </w:rPr>
        <w:t>园</w:t>
      </w:r>
      <w:r>
        <w:rPr>
          <w:rFonts w:hint="eastAsia" w:ascii="仿宋" w:hAnsi="仿宋" w:eastAsia="仿宋" w:cs="Batang"/>
          <w:b/>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负责贯彻</w:t>
      </w:r>
      <w:r>
        <w:rPr>
          <w:rFonts w:hint="eastAsia" w:ascii="仿宋" w:hAnsi="仿宋" w:eastAsia="仿宋" w:cs="Batang"/>
          <w:sz w:val="32"/>
          <w:szCs w:val="32"/>
        </w:rPr>
        <w:t>落</w:t>
      </w:r>
      <w:r>
        <w:rPr>
          <w:rFonts w:hint="eastAsia" w:ascii="仿宋" w:hAnsi="仿宋" w:eastAsia="仿宋" w:cs="宋体"/>
          <w:sz w:val="32"/>
          <w:szCs w:val="32"/>
        </w:rPr>
        <w:t>实园</w:t>
      </w:r>
      <w:r>
        <w:rPr>
          <w:rFonts w:hint="eastAsia" w:ascii="仿宋" w:hAnsi="仿宋" w:eastAsia="仿宋" w:cs="Batang"/>
          <w:sz w:val="32"/>
          <w:szCs w:val="32"/>
        </w:rPr>
        <w:t>林</w:t>
      </w:r>
      <w:r>
        <w:rPr>
          <w:rFonts w:hint="eastAsia" w:ascii="仿宋" w:hAnsi="仿宋" w:eastAsia="仿宋" w:cs="宋体"/>
          <w:sz w:val="32"/>
          <w:szCs w:val="32"/>
        </w:rPr>
        <w:t>绿</w:t>
      </w:r>
      <w:r>
        <w:rPr>
          <w:rFonts w:hint="eastAsia" w:ascii="仿宋" w:hAnsi="仿宋" w:eastAsia="仿宋" w:cs="Batang"/>
          <w:sz w:val="32"/>
          <w:szCs w:val="32"/>
        </w:rPr>
        <w:t>化管理法律、法</w:t>
      </w:r>
      <w:r>
        <w:rPr>
          <w:rFonts w:hint="eastAsia" w:ascii="仿宋" w:hAnsi="仿宋" w:eastAsia="仿宋" w:cs="宋体"/>
          <w:sz w:val="32"/>
          <w:szCs w:val="32"/>
        </w:rPr>
        <w:t>规</w:t>
      </w:r>
      <w:r>
        <w:rPr>
          <w:rFonts w:hint="eastAsia" w:ascii="仿宋" w:hAnsi="仿宋" w:eastAsia="仿宋" w:cs="Batang"/>
          <w:sz w:val="32"/>
          <w:szCs w:val="32"/>
        </w:rPr>
        <w:t>及</w:t>
      </w:r>
      <w:r>
        <w:rPr>
          <w:rFonts w:hint="eastAsia" w:ascii="仿宋" w:hAnsi="仿宋" w:eastAsia="仿宋" w:cs="宋体"/>
          <w:sz w:val="32"/>
          <w:szCs w:val="32"/>
        </w:rPr>
        <w:t>规</w:t>
      </w:r>
      <w:r>
        <w:rPr>
          <w:rFonts w:hint="eastAsia" w:ascii="仿宋" w:hAnsi="仿宋" w:eastAsia="仿宋" w:cs="Batang"/>
          <w:sz w:val="32"/>
          <w:szCs w:val="32"/>
        </w:rPr>
        <w:t>章；</w:t>
      </w:r>
      <w:r>
        <w:rPr>
          <w:rFonts w:hint="eastAsia" w:ascii="仿宋" w:hAnsi="仿宋" w:eastAsia="仿宋" w:cs="宋体"/>
          <w:sz w:val="32"/>
          <w:szCs w:val="32"/>
        </w:rPr>
        <w:t>负责编</w:t>
      </w:r>
      <w:r>
        <w:rPr>
          <w:rFonts w:hint="eastAsia" w:ascii="仿宋" w:hAnsi="仿宋" w:eastAsia="仿宋" w:cs="Batang"/>
          <w:sz w:val="32"/>
          <w:szCs w:val="32"/>
        </w:rPr>
        <w:t>制</w:t>
      </w:r>
      <w:r>
        <w:rPr>
          <w:rFonts w:hint="eastAsia" w:ascii="仿宋" w:hAnsi="仿宋" w:eastAsia="仿宋" w:cs="宋体"/>
          <w:sz w:val="32"/>
          <w:szCs w:val="32"/>
        </w:rPr>
        <w:t>县</w:t>
      </w:r>
      <w:r>
        <w:rPr>
          <w:rFonts w:hint="eastAsia" w:ascii="仿宋" w:hAnsi="仿宋" w:eastAsia="仿宋" w:cs="Batang"/>
          <w:sz w:val="32"/>
          <w:szCs w:val="32"/>
        </w:rPr>
        <w:t>城</w:t>
      </w:r>
      <w:r>
        <w:rPr>
          <w:rFonts w:hint="eastAsia" w:ascii="仿宋" w:hAnsi="仿宋" w:eastAsia="仿宋" w:cs="宋体"/>
          <w:sz w:val="32"/>
          <w:szCs w:val="32"/>
        </w:rPr>
        <w:t>区内绿</w:t>
      </w:r>
      <w:r>
        <w:rPr>
          <w:rFonts w:hint="eastAsia" w:ascii="仿宋" w:hAnsi="仿宋" w:eastAsia="仿宋" w:cs="Batang"/>
          <w:sz w:val="32"/>
          <w:szCs w:val="32"/>
        </w:rPr>
        <w:t>化工作近期和</w:t>
      </w:r>
      <w:r>
        <w:rPr>
          <w:rFonts w:hint="eastAsia" w:ascii="仿宋" w:hAnsi="仿宋" w:eastAsia="仿宋" w:cs="宋体"/>
          <w:sz w:val="32"/>
          <w:szCs w:val="32"/>
        </w:rPr>
        <w:t>长远规划并组织实</w:t>
      </w:r>
      <w:r>
        <w:rPr>
          <w:rFonts w:hint="eastAsia" w:ascii="仿宋" w:hAnsi="仿宋" w:eastAsia="仿宋" w:cs="Batang"/>
          <w:sz w:val="32"/>
          <w:szCs w:val="32"/>
        </w:rPr>
        <w:t>施；</w:t>
      </w:r>
      <w:r>
        <w:rPr>
          <w:rFonts w:hint="eastAsia" w:ascii="仿宋" w:hAnsi="仿宋" w:eastAsia="仿宋" w:cs="宋体"/>
          <w:sz w:val="32"/>
          <w:szCs w:val="32"/>
        </w:rPr>
        <w:t>负责</w:t>
      </w:r>
      <w:r>
        <w:rPr>
          <w:rFonts w:hint="eastAsia" w:ascii="仿宋" w:hAnsi="仿宋" w:eastAsia="仿宋" w:cs="Batang"/>
          <w:sz w:val="32"/>
          <w:szCs w:val="32"/>
        </w:rPr>
        <w:t>城市公共</w:t>
      </w:r>
      <w:r>
        <w:rPr>
          <w:rFonts w:hint="eastAsia" w:ascii="仿宋" w:hAnsi="仿宋" w:eastAsia="仿宋" w:cs="宋体"/>
          <w:sz w:val="32"/>
          <w:szCs w:val="32"/>
        </w:rPr>
        <w:t>绿</w:t>
      </w:r>
      <w:r>
        <w:rPr>
          <w:rFonts w:hint="eastAsia" w:ascii="仿宋" w:hAnsi="仿宋" w:eastAsia="仿宋" w:cs="Batang"/>
          <w:sz w:val="32"/>
          <w:szCs w:val="32"/>
        </w:rPr>
        <w:t>地、居住</w:t>
      </w:r>
      <w:r>
        <w:rPr>
          <w:rFonts w:hint="eastAsia" w:ascii="仿宋" w:hAnsi="仿宋" w:eastAsia="仿宋" w:cs="宋体"/>
          <w:sz w:val="32"/>
          <w:szCs w:val="32"/>
        </w:rPr>
        <w:t>区绿</w:t>
      </w:r>
      <w:r>
        <w:rPr>
          <w:rFonts w:hint="eastAsia" w:ascii="仿宋" w:hAnsi="仿宋" w:eastAsia="仿宋" w:cs="Batang"/>
          <w:sz w:val="32"/>
          <w:szCs w:val="32"/>
        </w:rPr>
        <w:t>地、</w:t>
      </w:r>
      <w:r>
        <w:rPr>
          <w:rFonts w:hint="eastAsia" w:ascii="仿宋" w:hAnsi="仿宋" w:eastAsia="仿宋" w:cs="宋体"/>
          <w:sz w:val="32"/>
          <w:szCs w:val="32"/>
        </w:rPr>
        <w:t>风</w:t>
      </w:r>
      <w:r>
        <w:rPr>
          <w:rFonts w:hint="eastAsia" w:ascii="仿宋" w:hAnsi="仿宋" w:eastAsia="仿宋" w:cs="Batang"/>
          <w:sz w:val="32"/>
          <w:szCs w:val="32"/>
        </w:rPr>
        <w:t>景林和干道</w:t>
      </w:r>
      <w:r>
        <w:rPr>
          <w:rFonts w:hint="eastAsia" w:ascii="仿宋" w:hAnsi="仿宋" w:eastAsia="仿宋" w:cs="宋体"/>
          <w:sz w:val="32"/>
          <w:szCs w:val="32"/>
        </w:rPr>
        <w:t>绿</w:t>
      </w:r>
      <w:r>
        <w:rPr>
          <w:rFonts w:hint="eastAsia" w:ascii="仿宋" w:hAnsi="仿宋" w:eastAsia="仿宋" w:cs="Batang"/>
          <w:sz w:val="32"/>
          <w:szCs w:val="32"/>
        </w:rPr>
        <w:t>化工程及</w:t>
      </w:r>
      <w:r>
        <w:rPr>
          <w:rFonts w:hint="eastAsia" w:ascii="仿宋" w:hAnsi="仿宋" w:eastAsia="仿宋" w:cs="宋体"/>
          <w:sz w:val="32"/>
          <w:szCs w:val="32"/>
        </w:rPr>
        <w:t>办</w:t>
      </w:r>
      <w:r>
        <w:rPr>
          <w:rFonts w:hint="eastAsia" w:ascii="仿宋" w:hAnsi="仿宋" w:eastAsia="仿宋" w:cs="Batang"/>
          <w:sz w:val="32"/>
          <w:szCs w:val="32"/>
        </w:rPr>
        <w:t>理</w:t>
      </w:r>
      <w:r>
        <w:rPr>
          <w:rFonts w:hint="eastAsia" w:ascii="仿宋" w:hAnsi="仿宋" w:eastAsia="仿宋" w:cs="宋体"/>
          <w:sz w:val="32"/>
          <w:szCs w:val="32"/>
        </w:rPr>
        <w:t>砍</w:t>
      </w:r>
      <w:r>
        <w:rPr>
          <w:rFonts w:hint="eastAsia" w:ascii="仿宋" w:hAnsi="仿宋" w:eastAsia="仿宋" w:cs="Batang"/>
          <w:sz w:val="32"/>
          <w:szCs w:val="32"/>
        </w:rPr>
        <w:t>伐、移植</w:t>
      </w:r>
      <w:r>
        <w:rPr>
          <w:rFonts w:hint="eastAsia" w:ascii="仿宋" w:hAnsi="仿宋" w:eastAsia="仿宋" w:cs="宋体"/>
          <w:sz w:val="32"/>
          <w:szCs w:val="32"/>
        </w:rPr>
        <w:t>树</w:t>
      </w:r>
      <w:r>
        <w:rPr>
          <w:rFonts w:hint="eastAsia" w:ascii="仿宋" w:hAnsi="仿宋" w:eastAsia="仿宋" w:cs="Batang"/>
          <w:sz w:val="32"/>
          <w:szCs w:val="32"/>
        </w:rPr>
        <w:t>木和拆除</w:t>
      </w:r>
      <w:r>
        <w:rPr>
          <w:rFonts w:hint="eastAsia" w:ascii="仿宋" w:hAnsi="仿宋" w:eastAsia="仿宋" w:cs="宋体"/>
          <w:sz w:val="32"/>
          <w:szCs w:val="32"/>
        </w:rPr>
        <w:t>绿篱</w:t>
      </w:r>
      <w:r>
        <w:rPr>
          <w:rFonts w:hint="eastAsia" w:ascii="仿宋" w:hAnsi="仿宋" w:eastAsia="仿宋" w:cs="Batang"/>
          <w:sz w:val="32"/>
          <w:szCs w:val="32"/>
        </w:rPr>
        <w:t>、花</w:t>
      </w:r>
      <w:r>
        <w:rPr>
          <w:rFonts w:hint="eastAsia" w:ascii="仿宋" w:hAnsi="仿宋" w:eastAsia="仿宋" w:cs="宋体"/>
          <w:sz w:val="32"/>
          <w:szCs w:val="32"/>
        </w:rPr>
        <w:t>坛</w:t>
      </w:r>
      <w:r>
        <w:rPr>
          <w:rFonts w:hint="eastAsia" w:ascii="仿宋" w:hAnsi="仿宋" w:eastAsia="仿宋" w:cs="Batang"/>
          <w:sz w:val="32"/>
          <w:szCs w:val="32"/>
        </w:rPr>
        <w:t>、花</w:t>
      </w:r>
      <w:r>
        <w:rPr>
          <w:rFonts w:hint="eastAsia" w:ascii="仿宋" w:hAnsi="仿宋" w:eastAsia="仿宋" w:cs="宋体"/>
          <w:sz w:val="32"/>
          <w:szCs w:val="32"/>
        </w:rPr>
        <w:t>带</w:t>
      </w:r>
      <w:r>
        <w:rPr>
          <w:rFonts w:hint="eastAsia" w:ascii="仿宋" w:hAnsi="仿宋" w:eastAsia="仿宋" w:cs="Batang"/>
          <w:sz w:val="32"/>
          <w:szCs w:val="32"/>
        </w:rPr>
        <w:t>、草坪的</w:t>
      </w:r>
      <w:r>
        <w:rPr>
          <w:rFonts w:hint="eastAsia" w:ascii="仿宋" w:hAnsi="仿宋" w:eastAsia="仿宋" w:cs="宋体"/>
          <w:sz w:val="32"/>
          <w:szCs w:val="32"/>
        </w:rPr>
        <w:t>审</w:t>
      </w:r>
      <w:r>
        <w:rPr>
          <w:rFonts w:hint="eastAsia" w:ascii="仿宋" w:hAnsi="仿宋" w:eastAsia="仿宋" w:cs="Batang"/>
          <w:sz w:val="32"/>
          <w:szCs w:val="32"/>
        </w:rPr>
        <w:t>批工作；</w:t>
      </w:r>
      <w:r>
        <w:rPr>
          <w:rFonts w:hint="eastAsia" w:ascii="仿宋" w:hAnsi="仿宋" w:eastAsia="仿宋" w:cs="宋体"/>
          <w:sz w:val="32"/>
          <w:szCs w:val="32"/>
        </w:rPr>
        <w:t>负责园</w:t>
      </w:r>
      <w:r>
        <w:rPr>
          <w:rFonts w:hint="eastAsia" w:ascii="仿宋" w:hAnsi="仿宋" w:eastAsia="仿宋" w:cs="Batang"/>
          <w:sz w:val="32"/>
          <w:szCs w:val="32"/>
        </w:rPr>
        <w:t>林</w:t>
      </w:r>
      <w:r>
        <w:rPr>
          <w:rFonts w:hint="eastAsia" w:ascii="仿宋" w:hAnsi="仿宋" w:eastAsia="仿宋" w:cs="宋体"/>
          <w:sz w:val="32"/>
          <w:szCs w:val="32"/>
        </w:rPr>
        <w:t>绿</w:t>
      </w:r>
      <w:r>
        <w:rPr>
          <w:rFonts w:hint="eastAsia" w:ascii="仿宋" w:hAnsi="仿宋" w:eastAsia="仿宋" w:cs="Batang"/>
          <w:sz w:val="32"/>
          <w:szCs w:val="32"/>
        </w:rPr>
        <w:t>化工程</w:t>
      </w:r>
      <w:r>
        <w:rPr>
          <w:rFonts w:hint="eastAsia" w:ascii="仿宋" w:hAnsi="仿宋" w:eastAsia="仿宋" w:cs="宋体"/>
          <w:sz w:val="32"/>
          <w:szCs w:val="32"/>
        </w:rPr>
        <w:t>规划</w:t>
      </w:r>
      <w:r>
        <w:rPr>
          <w:rFonts w:hint="eastAsia" w:ascii="仿宋" w:hAnsi="仿宋" w:eastAsia="仿宋" w:cs="Batang"/>
          <w:sz w:val="32"/>
          <w:szCs w:val="32"/>
        </w:rPr>
        <w:t>、</w:t>
      </w:r>
      <w:r>
        <w:rPr>
          <w:rFonts w:hint="eastAsia" w:ascii="仿宋" w:hAnsi="仿宋" w:eastAsia="仿宋" w:cs="宋体"/>
          <w:sz w:val="32"/>
          <w:szCs w:val="32"/>
        </w:rPr>
        <w:t>设计</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及竣工</w:t>
      </w:r>
      <w:r>
        <w:rPr>
          <w:rFonts w:hint="eastAsia" w:ascii="仿宋" w:hAnsi="仿宋" w:eastAsia="仿宋" w:cs="宋体"/>
          <w:sz w:val="32"/>
          <w:szCs w:val="32"/>
        </w:rPr>
        <w:t>验</w:t>
      </w:r>
      <w:r>
        <w:rPr>
          <w:rFonts w:hint="eastAsia" w:ascii="仿宋" w:hAnsi="仿宋" w:eastAsia="仿宋" w:cs="Batang"/>
          <w:sz w:val="32"/>
          <w:szCs w:val="32"/>
        </w:rPr>
        <w:t>收工作；</w:t>
      </w:r>
      <w:r>
        <w:rPr>
          <w:rFonts w:hint="eastAsia" w:ascii="仿宋" w:hAnsi="仿宋" w:eastAsia="仿宋" w:cs="宋体"/>
          <w:sz w:val="32"/>
          <w:szCs w:val="32"/>
        </w:rPr>
        <w:t>负责</w:t>
      </w:r>
      <w:r>
        <w:rPr>
          <w:rFonts w:hint="eastAsia" w:ascii="仿宋" w:hAnsi="仿宋" w:eastAsia="仿宋" w:cs="Batang"/>
          <w:sz w:val="32"/>
          <w:szCs w:val="32"/>
        </w:rPr>
        <w:t>城市</w:t>
      </w:r>
      <w:r>
        <w:rPr>
          <w:rFonts w:hint="eastAsia" w:ascii="仿宋" w:hAnsi="仿宋" w:eastAsia="仿宋" w:cs="宋体"/>
          <w:sz w:val="32"/>
          <w:szCs w:val="32"/>
        </w:rPr>
        <w:t>绿</w:t>
      </w:r>
      <w:r>
        <w:rPr>
          <w:rFonts w:ascii="仿宋" w:hAnsi="仿宋" w:eastAsia="仿宋"/>
          <w:sz w:val="32"/>
          <w:szCs w:val="32"/>
        </w:rPr>
        <w:t>化日常管理、</w:t>
      </w:r>
      <w:r>
        <w:rPr>
          <w:rFonts w:hint="eastAsia" w:ascii="仿宋" w:hAnsi="仿宋" w:eastAsia="仿宋" w:cs="宋体"/>
          <w:sz w:val="32"/>
          <w:szCs w:val="32"/>
        </w:rPr>
        <w:t>养护</w:t>
      </w:r>
      <w:r>
        <w:rPr>
          <w:rFonts w:hint="eastAsia" w:ascii="仿宋" w:hAnsi="仿宋" w:eastAsia="仿宋" w:cs="Batang"/>
          <w:sz w:val="32"/>
          <w:szCs w:val="32"/>
        </w:rPr>
        <w:t>工作；</w:t>
      </w:r>
      <w:r>
        <w:rPr>
          <w:rFonts w:hint="eastAsia" w:ascii="仿宋" w:hAnsi="仿宋" w:eastAsia="仿宋" w:cs="宋体"/>
          <w:sz w:val="32"/>
          <w:szCs w:val="32"/>
        </w:rPr>
        <w:t>负责</w:t>
      </w:r>
      <w:r>
        <w:rPr>
          <w:rFonts w:hint="eastAsia" w:ascii="仿宋" w:hAnsi="仿宋" w:eastAsia="仿宋" w:cs="Batang"/>
          <w:sz w:val="32"/>
          <w:szCs w:val="32"/>
        </w:rPr>
        <w:t>全</w:t>
      </w:r>
      <w:r>
        <w:rPr>
          <w:rFonts w:hint="eastAsia" w:ascii="仿宋" w:hAnsi="仿宋" w:eastAsia="仿宋" w:cs="宋体"/>
          <w:sz w:val="32"/>
          <w:szCs w:val="32"/>
        </w:rPr>
        <w:t>县园</w:t>
      </w:r>
      <w:r>
        <w:rPr>
          <w:rFonts w:hint="eastAsia" w:ascii="仿宋" w:hAnsi="仿宋" w:eastAsia="仿宋" w:cs="Batang"/>
          <w:sz w:val="32"/>
          <w:szCs w:val="32"/>
        </w:rPr>
        <w:t>林</w:t>
      </w:r>
      <w:r>
        <w:rPr>
          <w:rFonts w:hint="eastAsia" w:ascii="仿宋" w:hAnsi="仿宋" w:eastAsia="仿宋" w:cs="宋体"/>
          <w:sz w:val="32"/>
          <w:szCs w:val="32"/>
        </w:rPr>
        <w:t>绿</w:t>
      </w:r>
      <w:r>
        <w:rPr>
          <w:rFonts w:hint="eastAsia" w:ascii="仿宋" w:hAnsi="仿宋" w:eastAsia="仿宋" w:cs="Batang"/>
          <w:sz w:val="32"/>
          <w:szCs w:val="32"/>
        </w:rPr>
        <w:t>化技</w:t>
      </w:r>
      <w:r>
        <w:rPr>
          <w:rFonts w:hint="eastAsia" w:ascii="仿宋" w:hAnsi="仿宋" w:eastAsia="仿宋" w:cs="宋体"/>
          <w:sz w:val="32"/>
          <w:szCs w:val="32"/>
        </w:rPr>
        <w:t>术</w:t>
      </w:r>
      <w:r>
        <w:rPr>
          <w:rFonts w:hint="eastAsia" w:ascii="仿宋" w:hAnsi="仿宋" w:eastAsia="仿宋" w:cs="Batang"/>
          <w:sz w:val="32"/>
          <w:szCs w:val="32"/>
        </w:rPr>
        <w:t>指</w:t>
      </w:r>
      <w:r>
        <w:rPr>
          <w:rFonts w:hint="eastAsia" w:ascii="仿宋" w:hAnsi="仿宋" w:eastAsia="仿宋" w:cs="宋体"/>
          <w:sz w:val="32"/>
          <w:szCs w:val="32"/>
        </w:rPr>
        <w:t>导</w:t>
      </w:r>
      <w:r>
        <w:rPr>
          <w:rFonts w:hint="eastAsia" w:ascii="仿宋" w:hAnsi="仿宋" w:eastAsia="仿宋" w:cs="Batang"/>
          <w:sz w:val="32"/>
          <w:szCs w:val="32"/>
        </w:rPr>
        <w:t>工作。</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7、</w:t>
      </w:r>
      <w:r>
        <w:rPr>
          <w:rFonts w:ascii="仿宋" w:hAnsi="仿宋" w:eastAsia="仿宋"/>
          <w:b/>
          <w:sz w:val="32"/>
          <w:szCs w:val="32"/>
        </w:rPr>
        <w:t>建筑工程</w:t>
      </w:r>
      <w:r>
        <w:rPr>
          <w:rFonts w:hint="eastAsia" w:ascii="仿宋" w:hAnsi="仿宋" w:eastAsia="仿宋" w:cs="宋体"/>
          <w:b/>
          <w:sz w:val="32"/>
          <w:szCs w:val="32"/>
        </w:rPr>
        <w:t>质</w:t>
      </w:r>
      <w:r>
        <w:rPr>
          <w:rFonts w:hint="eastAsia" w:ascii="仿宋" w:hAnsi="仿宋" w:eastAsia="仿宋" w:cs="Batang"/>
          <w:b/>
          <w:sz w:val="32"/>
          <w:szCs w:val="32"/>
        </w:rPr>
        <w:t>量</w:t>
      </w:r>
      <w:r>
        <w:rPr>
          <w:rFonts w:hint="eastAsia" w:ascii="仿宋" w:hAnsi="仿宋" w:eastAsia="仿宋" w:cs="宋体"/>
          <w:b/>
          <w:sz w:val="32"/>
          <w:szCs w:val="32"/>
        </w:rPr>
        <w:t>监</w:t>
      </w:r>
      <w:r>
        <w:rPr>
          <w:rFonts w:hint="eastAsia" w:ascii="仿宋" w:hAnsi="仿宋" w:eastAsia="仿宋" w:cs="Batang"/>
          <w:b/>
          <w:sz w:val="32"/>
          <w:szCs w:val="32"/>
        </w:rPr>
        <w:t>督站</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负责对</w:t>
      </w:r>
      <w:r>
        <w:rPr>
          <w:rFonts w:hint="eastAsia" w:ascii="仿宋" w:hAnsi="仿宋" w:eastAsia="仿宋" w:cs="Batang"/>
          <w:sz w:val="32"/>
          <w:szCs w:val="32"/>
        </w:rPr>
        <w:t>新建、</w:t>
      </w:r>
      <w:r>
        <w:rPr>
          <w:rFonts w:hint="eastAsia" w:ascii="仿宋" w:hAnsi="仿宋" w:eastAsia="仿宋" w:cs="宋体"/>
          <w:sz w:val="32"/>
          <w:szCs w:val="32"/>
        </w:rPr>
        <w:t>扩</w:t>
      </w:r>
      <w:r>
        <w:rPr>
          <w:rFonts w:hint="eastAsia" w:ascii="仿宋" w:hAnsi="仿宋" w:eastAsia="仿宋" w:cs="Batang"/>
          <w:sz w:val="32"/>
          <w:szCs w:val="32"/>
        </w:rPr>
        <w:t>建、改建各</w:t>
      </w:r>
      <w:r>
        <w:rPr>
          <w:rFonts w:hint="eastAsia" w:ascii="仿宋" w:hAnsi="仿宋" w:eastAsia="仿宋" w:cs="宋体"/>
          <w:sz w:val="32"/>
          <w:szCs w:val="32"/>
        </w:rPr>
        <w:t>类</w:t>
      </w:r>
      <w:r>
        <w:rPr>
          <w:rFonts w:hint="eastAsia" w:ascii="仿宋" w:hAnsi="仿宋" w:eastAsia="仿宋" w:cs="Batang"/>
          <w:sz w:val="32"/>
          <w:szCs w:val="32"/>
        </w:rPr>
        <w:t>建筑工程</w:t>
      </w:r>
      <w:r>
        <w:rPr>
          <w:rFonts w:hint="eastAsia" w:ascii="仿宋" w:hAnsi="仿宋" w:eastAsia="仿宋" w:cs="宋体"/>
          <w:sz w:val="32"/>
          <w:szCs w:val="32"/>
        </w:rPr>
        <w:t>质</w:t>
      </w:r>
      <w:r>
        <w:rPr>
          <w:rFonts w:hint="eastAsia" w:ascii="仿宋" w:hAnsi="仿宋" w:eastAsia="仿宋" w:cs="Batang"/>
          <w:sz w:val="32"/>
          <w:szCs w:val="32"/>
        </w:rPr>
        <w:t>量</w:t>
      </w:r>
      <w:r>
        <w:rPr>
          <w:rFonts w:hint="eastAsia" w:ascii="仿宋" w:hAnsi="仿宋" w:eastAsia="仿宋" w:cs="宋体"/>
          <w:sz w:val="32"/>
          <w:szCs w:val="32"/>
        </w:rPr>
        <w:t>实</w:t>
      </w:r>
      <w:r>
        <w:rPr>
          <w:rFonts w:hint="eastAsia" w:ascii="仿宋" w:hAnsi="仿宋" w:eastAsia="仿宋" w:cs="Batang"/>
          <w:sz w:val="32"/>
          <w:szCs w:val="32"/>
        </w:rPr>
        <w:t>施</w:t>
      </w:r>
      <w:r>
        <w:rPr>
          <w:rFonts w:hint="eastAsia" w:ascii="仿宋" w:hAnsi="仿宋" w:eastAsia="仿宋" w:cs="宋体"/>
          <w:sz w:val="32"/>
          <w:szCs w:val="32"/>
        </w:rPr>
        <w:t>监</w:t>
      </w:r>
      <w:r>
        <w:rPr>
          <w:rFonts w:hint="eastAsia" w:ascii="仿宋" w:hAnsi="仿宋" w:eastAsia="仿宋" w:cs="Batang"/>
          <w:sz w:val="32"/>
          <w:szCs w:val="32"/>
        </w:rPr>
        <w:t>督；</w:t>
      </w:r>
      <w:r>
        <w:rPr>
          <w:rFonts w:hint="eastAsia" w:ascii="仿宋" w:hAnsi="仿宋" w:eastAsia="仿宋" w:cs="宋体"/>
          <w:sz w:val="32"/>
          <w:szCs w:val="32"/>
        </w:rPr>
        <w:t>对质</w:t>
      </w:r>
      <w:r>
        <w:rPr>
          <w:rFonts w:hint="eastAsia" w:ascii="仿宋" w:hAnsi="仿宋" w:eastAsia="仿宋" w:cs="Batang"/>
          <w:sz w:val="32"/>
          <w:szCs w:val="32"/>
        </w:rPr>
        <w:t>量安全保</w:t>
      </w:r>
      <w:r>
        <w:rPr>
          <w:rFonts w:hint="eastAsia" w:ascii="仿宋" w:hAnsi="仿宋" w:eastAsia="仿宋" w:cs="宋体"/>
          <w:sz w:val="32"/>
          <w:szCs w:val="32"/>
        </w:rPr>
        <w:t>证</w:t>
      </w:r>
      <w:r>
        <w:rPr>
          <w:rFonts w:hint="eastAsia" w:ascii="仿宋" w:hAnsi="仿宋" w:eastAsia="仿宋" w:cs="Batang"/>
          <w:sz w:val="32"/>
          <w:szCs w:val="32"/>
        </w:rPr>
        <w:t>体系和</w:t>
      </w:r>
      <w:r>
        <w:rPr>
          <w:rFonts w:hint="eastAsia" w:ascii="仿宋" w:hAnsi="仿宋" w:eastAsia="仿宋" w:cs="宋体"/>
          <w:sz w:val="32"/>
          <w:szCs w:val="32"/>
        </w:rPr>
        <w:t>质</w:t>
      </w:r>
      <w:r>
        <w:rPr>
          <w:rFonts w:hint="eastAsia" w:ascii="仿宋" w:hAnsi="仿宋" w:eastAsia="仿宋" w:cs="Batang"/>
          <w:sz w:val="32"/>
          <w:szCs w:val="32"/>
        </w:rPr>
        <w:t>量安全</w:t>
      </w:r>
      <w:r>
        <w:rPr>
          <w:rFonts w:hint="eastAsia" w:ascii="仿宋" w:hAnsi="仿宋" w:eastAsia="仿宋" w:cs="宋体"/>
          <w:sz w:val="32"/>
          <w:szCs w:val="32"/>
        </w:rPr>
        <w:t>责</w:t>
      </w:r>
      <w:r>
        <w:rPr>
          <w:rFonts w:hint="eastAsia" w:ascii="仿宋" w:hAnsi="仿宋" w:eastAsia="仿宋" w:cs="Batang"/>
          <w:sz w:val="32"/>
          <w:szCs w:val="32"/>
        </w:rPr>
        <w:t>任制落</w:t>
      </w:r>
      <w:r>
        <w:rPr>
          <w:rFonts w:hint="eastAsia" w:ascii="仿宋" w:hAnsi="仿宋" w:eastAsia="仿宋" w:cs="宋体"/>
          <w:sz w:val="32"/>
          <w:szCs w:val="32"/>
        </w:rPr>
        <w:t>实</w:t>
      </w:r>
      <w:r>
        <w:rPr>
          <w:rFonts w:hint="eastAsia" w:ascii="仿宋" w:hAnsi="仿宋" w:eastAsia="仿宋" w:cs="Batang"/>
          <w:sz w:val="32"/>
          <w:szCs w:val="32"/>
        </w:rPr>
        <w:t>情</w:t>
      </w:r>
      <w:r>
        <w:rPr>
          <w:rFonts w:hint="eastAsia" w:ascii="仿宋" w:hAnsi="仿宋" w:eastAsia="仿宋" w:cs="宋体"/>
          <w:sz w:val="32"/>
          <w:szCs w:val="32"/>
        </w:rPr>
        <w:t>况进</w:t>
      </w:r>
      <w:r>
        <w:rPr>
          <w:rFonts w:hint="eastAsia" w:ascii="仿宋" w:hAnsi="仿宋" w:eastAsia="仿宋" w:cs="Batang"/>
          <w:sz w:val="32"/>
          <w:szCs w:val="32"/>
        </w:rPr>
        <w:t>行核</w:t>
      </w:r>
      <w:r>
        <w:rPr>
          <w:rFonts w:hint="eastAsia" w:ascii="仿宋" w:hAnsi="仿宋" w:eastAsia="仿宋" w:cs="宋体"/>
          <w:sz w:val="32"/>
          <w:szCs w:val="32"/>
        </w:rPr>
        <w:t>查</w:t>
      </w:r>
      <w:r>
        <w:rPr>
          <w:rFonts w:hint="eastAsia" w:ascii="仿宋" w:hAnsi="仿宋" w:eastAsia="仿宋" w:cs="Batang"/>
          <w:sz w:val="32"/>
          <w:szCs w:val="32"/>
        </w:rPr>
        <w:t>；依据工程建</w:t>
      </w:r>
      <w:r>
        <w:rPr>
          <w:rFonts w:hint="eastAsia" w:ascii="仿宋" w:hAnsi="仿宋" w:eastAsia="仿宋" w:cs="宋体"/>
          <w:sz w:val="32"/>
          <w:szCs w:val="32"/>
        </w:rPr>
        <w:t>设</w:t>
      </w:r>
      <w:r>
        <w:rPr>
          <w:rFonts w:hint="eastAsia" w:ascii="仿宋" w:hAnsi="仿宋" w:eastAsia="仿宋" w:cs="Batang"/>
          <w:sz w:val="32"/>
          <w:szCs w:val="32"/>
        </w:rPr>
        <w:t>强制性</w:t>
      </w:r>
      <w:r>
        <w:rPr>
          <w:rFonts w:hint="eastAsia" w:ascii="仿宋" w:hAnsi="仿宋" w:eastAsia="仿宋" w:cs="宋体"/>
          <w:sz w:val="32"/>
          <w:szCs w:val="32"/>
        </w:rPr>
        <w:t>标</w:t>
      </w:r>
      <w:r>
        <w:rPr>
          <w:rFonts w:hint="eastAsia" w:ascii="仿宋" w:hAnsi="仿宋" w:eastAsia="仿宋" w:cs="Batang"/>
          <w:sz w:val="32"/>
          <w:szCs w:val="32"/>
        </w:rPr>
        <w:t>准，</w:t>
      </w:r>
      <w:r>
        <w:rPr>
          <w:rFonts w:hint="eastAsia" w:ascii="仿宋" w:hAnsi="仿宋" w:eastAsia="仿宋" w:cs="宋体"/>
          <w:sz w:val="32"/>
          <w:szCs w:val="32"/>
        </w:rPr>
        <w:t>对</w:t>
      </w:r>
      <w:r>
        <w:rPr>
          <w:rFonts w:hint="eastAsia" w:ascii="仿宋" w:hAnsi="仿宋" w:eastAsia="仿宋" w:cs="Batang"/>
          <w:sz w:val="32"/>
          <w:szCs w:val="32"/>
        </w:rPr>
        <w:t>建筑工程</w:t>
      </w:r>
      <w:r>
        <w:rPr>
          <w:rFonts w:hint="eastAsia" w:ascii="仿宋" w:hAnsi="仿宋" w:eastAsia="仿宋" w:cs="宋体"/>
          <w:sz w:val="32"/>
          <w:szCs w:val="32"/>
        </w:rPr>
        <w:t>关键</w:t>
      </w:r>
      <w:r>
        <w:rPr>
          <w:rFonts w:hint="eastAsia" w:ascii="仿宋" w:hAnsi="仿宋" w:eastAsia="仿宋" w:cs="Batang"/>
          <w:sz w:val="32"/>
          <w:szCs w:val="32"/>
        </w:rPr>
        <w:t>部位</w:t>
      </w:r>
      <w:r>
        <w:rPr>
          <w:rFonts w:hint="eastAsia" w:ascii="仿宋" w:hAnsi="仿宋" w:eastAsia="仿宋" w:cs="宋体"/>
          <w:sz w:val="32"/>
          <w:szCs w:val="32"/>
        </w:rPr>
        <w:t>进</w:t>
      </w:r>
      <w:r>
        <w:rPr>
          <w:rFonts w:hint="eastAsia" w:ascii="仿宋" w:hAnsi="仿宋" w:eastAsia="仿宋" w:cs="Batang"/>
          <w:sz w:val="32"/>
          <w:szCs w:val="32"/>
        </w:rPr>
        <w:t>行</w:t>
      </w:r>
      <w:r>
        <w:rPr>
          <w:rFonts w:hint="eastAsia" w:ascii="仿宋" w:hAnsi="仿宋" w:eastAsia="仿宋" w:cs="宋体"/>
          <w:sz w:val="32"/>
          <w:szCs w:val="32"/>
        </w:rPr>
        <w:t>实</w:t>
      </w:r>
      <w:r>
        <w:rPr>
          <w:rFonts w:hint="eastAsia" w:ascii="仿宋" w:hAnsi="仿宋" w:eastAsia="仿宋" w:cs="Batang"/>
          <w:sz w:val="32"/>
          <w:szCs w:val="32"/>
        </w:rPr>
        <w:t>体</w:t>
      </w:r>
      <w:r>
        <w:rPr>
          <w:rFonts w:hint="eastAsia" w:ascii="仿宋" w:hAnsi="仿宋" w:eastAsia="仿宋" w:cs="宋体"/>
          <w:sz w:val="32"/>
          <w:szCs w:val="32"/>
        </w:rPr>
        <w:t>质</w:t>
      </w:r>
      <w:r>
        <w:rPr>
          <w:rFonts w:hint="eastAsia" w:ascii="仿宋" w:hAnsi="仿宋" w:eastAsia="仿宋" w:cs="Batang"/>
          <w:sz w:val="32"/>
          <w:szCs w:val="32"/>
        </w:rPr>
        <w:t>量安全</w:t>
      </w:r>
      <w:r>
        <w:rPr>
          <w:rFonts w:hint="eastAsia" w:ascii="仿宋" w:hAnsi="仿宋" w:eastAsia="仿宋" w:cs="宋体"/>
          <w:sz w:val="32"/>
          <w:szCs w:val="32"/>
        </w:rPr>
        <w:t>检查</w:t>
      </w:r>
      <w:r>
        <w:rPr>
          <w:rFonts w:hint="eastAsia" w:ascii="仿宋" w:hAnsi="仿宋" w:eastAsia="仿宋" w:cs="Batang"/>
          <w:sz w:val="32"/>
          <w:szCs w:val="32"/>
        </w:rPr>
        <w:t>，</w:t>
      </w:r>
      <w:r>
        <w:rPr>
          <w:rFonts w:hint="eastAsia" w:ascii="仿宋" w:hAnsi="仿宋" w:eastAsia="仿宋" w:cs="宋体"/>
          <w:sz w:val="32"/>
          <w:szCs w:val="32"/>
        </w:rPr>
        <w:t>对</w:t>
      </w:r>
      <w:r>
        <w:rPr>
          <w:rFonts w:hint="eastAsia" w:ascii="仿宋" w:hAnsi="仿宋" w:eastAsia="仿宋" w:cs="Batang"/>
          <w:sz w:val="32"/>
          <w:szCs w:val="32"/>
        </w:rPr>
        <w:t>工程建筑材料、</w:t>
      </w:r>
      <w:r>
        <w:rPr>
          <w:rFonts w:hint="eastAsia" w:ascii="仿宋" w:hAnsi="仿宋" w:eastAsia="仿宋" w:cs="宋体"/>
          <w:sz w:val="32"/>
          <w:szCs w:val="32"/>
        </w:rPr>
        <w:t>构</w:t>
      </w:r>
      <w:r>
        <w:rPr>
          <w:rFonts w:hint="eastAsia" w:ascii="仿宋" w:hAnsi="仿宋" w:eastAsia="仿宋" w:cs="Batang"/>
          <w:sz w:val="32"/>
          <w:szCs w:val="32"/>
        </w:rPr>
        <w:t>配件</w:t>
      </w:r>
      <w:r>
        <w:rPr>
          <w:rFonts w:hint="eastAsia" w:ascii="仿宋" w:hAnsi="仿宋" w:eastAsia="仿宋" w:cs="宋体"/>
          <w:sz w:val="32"/>
          <w:szCs w:val="32"/>
        </w:rPr>
        <w:t>质</w:t>
      </w:r>
      <w:r>
        <w:rPr>
          <w:rFonts w:hint="eastAsia" w:ascii="仿宋" w:hAnsi="仿宋" w:eastAsia="仿宋" w:cs="Batang"/>
          <w:sz w:val="32"/>
          <w:szCs w:val="32"/>
        </w:rPr>
        <w:t>量</w:t>
      </w:r>
      <w:r>
        <w:rPr>
          <w:rFonts w:hint="eastAsia" w:ascii="仿宋" w:hAnsi="仿宋" w:eastAsia="仿宋" w:cs="宋体"/>
          <w:sz w:val="32"/>
          <w:szCs w:val="32"/>
        </w:rPr>
        <w:t>进</w:t>
      </w:r>
      <w:r>
        <w:rPr>
          <w:rFonts w:hint="eastAsia" w:ascii="仿宋" w:hAnsi="仿宋" w:eastAsia="仿宋" w:cs="Batang"/>
          <w:sz w:val="32"/>
          <w:szCs w:val="32"/>
        </w:rPr>
        <w:t>行抽</w:t>
      </w:r>
      <w:r>
        <w:rPr>
          <w:rFonts w:hint="eastAsia" w:ascii="仿宋" w:hAnsi="仿宋" w:eastAsia="仿宋" w:cs="宋体"/>
          <w:sz w:val="32"/>
          <w:szCs w:val="32"/>
        </w:rPr>
        <w:t>查</w:t>
      </w:r>
      <w:r>
        <w:rPr>
          <w:rFonts w:hint="eastAsia" w:ascii="仿宋" w:hAnsi="仿宋" w:eastAsia="仿宋" w:cs="Batang"/>
          <w:sz w:val="32"/>
          <w:szCs w:val="32"/>
        </w:rPr>
        <w:t>，</w:t>
      </w:r>
      <w:r>
        <w:rPr>
          <w:rFonts w:hint="eastAsia" w:ascii="仿宋" w:hAnsi="仿宋" w:eastAsia="仿宋" w:cs="宋体"/>
          <w:sz w:val="32"/>
          <w:szCs w:val="32"/>
        </w:rPr>
        <w:t>对</w:t>
      </w:r>
      <w:r>
        <w:rPr>
          <w:rFonts w:hint="eastAsia" w:ascii="仿宋" w:hAnsi="仿宋" w:eastAsia="仿宋" w:cs="Batang"/>
          <w:sz w:val="32"/>
          <w:szCs w:val="32"/>
        </w:rPr>
        <w:t>地基基</w:t>
      </w:r>
      <w:r>
        <w:rPr>
          <w:rFonts w:hint="eastAsia" w:ascii="仿宋" w:hAnsi="仿宋" w:eastAsia="仿宋" w:cs="宋体"/>
          <w:sz w:val="32"/>
          <w:szCs w:val="32"/>
        </w:rPr>
        <w:t>础</w:t>
      </w:r>
      <w:r>
        <w:rPr>
          <w:rFonts w:hint="eastAsia" w:ascii="仿宋" w:hAnsi="仿宋" w:eastAsia="仿宋" w:cs="Batang"/>
          <w:sz w:val="32"/>
          <w:szCs w:val="32"/>
        </w:rPr>
        <w:t>分部、主体</w:t>
      </w:r>
      <w:r>
        <w:rPr>
          <w:rFonts w:hint="eastAsia" w:ascii="仿宋" w:hAnsi="仿宋" w:eastAsia="仿宋" w:cs="宋体"/>
          <w:sz w:val="32"/>
          <w:szCs w:val="32"/>
        </w:rPr>
        <w:t>结构</w:t>
      </w:r>
      <w:r>
        <w:rPr>
          <w:rFonts w:hint="eastAsia" w:ascii="仿宋" w:hAnsi="仿宋" w:eastAsia="仿宋" w:cs="Batang"/>
          <w:sz w:val="32"/>
          <w:szCs w:val="32"/>
        </w:rPr>
        <w:t>分部工程和其他涉及</w:t>
      </w:r>
      <w:r>
        <w:rPr>
          <w:rFonts w:hint="eastAsia" w:ascii="仿宋" w:hAnsi="仿宋" w:eastAsia="仿宋" w:cs="宋体"/>
          <w:sz w:val="32"/>
          <w:szCs w:val="32"/>
        </w:rPr>
        <w:t>结构</w:t>
      </w:r>
      <w:r>
        <w:rPr>
          <w:rFonts w:hint="eastAsia" w:ascii="仿宋" w:hAnsi="仿宋" w:eastAsia="仿宋" w:cs="Batang"/>
          <w:sz w:val="32"/>
          <w:szCs w:val="32"/>
        </w:rPr>
        <w:t>安全部位的</w:t>
      </w:r>
      <w:r>
        <w:rPr>
          <w:rFonts w:hint="eastAsia" w:ascii="仿宋" w:hAnsi="仿宋" w:eastAsia="仿宋" w:cs="宋体"/>
          <w:sz w:val="32"/>
          <w:szCs w:val="32"/>
        </w:rPr>
        <w:t>质</w:t>
      </w:r>
      <w:r>
        <w:rPr>
          <w:rFonts w:hint="eastAsia" w:ascii="仿宋" w:hAnsi="仿宋" w:eastAsia="仿宋" w:cs="Batang"/>
          <w:sz w:val="32"/>
          <w:szCs w:val="32"/>
        </w:rPr>
        <w:t>量</w:t>
      </w:r>
      <w:r>
        <w:rPr>
          <w:rFonts w:hint="eastAsia" w:ascii="仿宋" w:hAnsi="仿宋" w:eastAsia="仿宋" w:cs="宋体"/>
          <w:sz w:val="32"/>
          <w:szCs w:val="32"/>
        </w:rPr>
        <w:t>验</w:t>
      </w:r>
      <w:r>
        <w:rPr>
          <w:rFonts w:hint="eastAsia" w:ascii="仿宋" w:hAnsi="仿宋" w:eastAsia="仿宋" w:cs="Batang"/>
          <w:sz w:val="32"/>
          <w:szCs w:val="32"/>
        </w:rPr>
        <w:t>收</w:t>
      </w:r>
      <w:r>
        <w:rPr>
          <w:rFonts w:hint="eastAsia" w:ascii="仿宋" w:hAnsi="仿宋" w:eastAsia="仿宋" w:cs="宋体"/>
          <w:sz w:val="32"/>
          <w:szCs w:val="32"/>
        </w:rPr>
        <w:t>进</w:t>
      </w:r>
      <w:r>
        <w:rPr>
          <w:rFonts w:hint="eastAsia" w:ascii="仿宋" w:hAnsi="仿宋" w:eastAsia="仿宋" w:cs="Batang"/>
          <w:sz w:val="32"/>
          <w:szCs w:val="32"/>
        </w:rPr>
        <w:t>行</w:t>
      </w:r>
      <w:r>
        <w:rPr>
          <w:rFonts w:hint="eastAsia" w:ascii="仿宋" w:hAnsi="仿宋" w:eastAsia="仿宋" w:cs="宋体"/>
          <w:sz w:val="32"/>
          <w:szCs w:val="32"/>
        </w:rPr>
        <w:t>监</w:t>
      </w:r>
      <w:r>
        <w:rPr>
          <w:rFonts w:hint="eastAsia" w:ascii="仿宋" w:hAnsi="仿宋" w:eastAsia="仿宋" w:cs="Batang"/>
          <w:sz w:val="32"/>
          <w:szCs w:val="32"/>
        </w:rPr>
        <w:t>督；</w:t>
      </w:r>
      <w:r>
        <w:rPr>
          <w:rFonts w:hint="eastAsia" w:ascii="仿宋" w:hAnsi="仿宋" w:eastAsia="仿宋" w:cs="宋体"/>
          <w:sz w:val="32"/>
          <w:szCs w:val="32"/>
        </w:rPr>
        <w:t>参与</w:t>
      </w:r>
      <w:r>
        <w:rPr>
          <w:rFonts w:hint="eastAsia" w:ascii="仿宋" w:hAnsi="仿宋" w:eastAsia="仿宋" w:cs="Batang"/>
          <w:sz w:val="32"/>
          <w:szCs w:val="32"/>
        </w:rPr>
        <w:t>工程竣工</w:t>
      </w:r>
      <w:r>
        <w:rPr>
          <w:rFonts w:hint="eastAsia" w:ascii="仿宋" w:hAnsi="仿宋" w:eastAsia="仿宋" w:cs="宋体"/>
          <w:sz w:val="32"/>
          <w:szCs w:val="32"/>
        </w:rPr>
        <w:t>验</w:t>
      </w:r>
      <w:r>
        <w:rPr>
          <w:rFonts w:hint="eastAsia" w:ascii="仿宋" w:hAnsi="仿宋" w:eastAsia="仿宋" w:cs="Batang"/>
          <w:sz w:val="32"/>
          <w:szCs w:val="32"/>
        </w:rPr>
        <w:t>收；受理全</w:t>
      </w:r>
      <w:r>
        <w:rPr>
          <w:rFonts w:hint="eastAsia" w:ascii="仿宋" w:hAnsi="仿宋" w:eastAsia="仿宋" w:cs="宋体"/>
          <w:sz w:val="32"/>
          <w:szCs w:val="32"/>
        </w:rPr>
        <w:t>县</w:t>
      </w:r>
      <w:r>
        <w:rPr>
          <w:rFonts w:hint="eastAsia" w:ascii="仿宋" w:hAnsi="仿宋" w:eastAsia="仿宋" w:cs="Batang"/>
          <w:sz w:val="32"/>
          <w:szCs w:val="32"/>
        </w:rPr>
        <w:t>建筑工程</w:t>
      </w:r>
      <w:r>
        <w:rPr>
          <w:rFonts w:hint="eastAsia" w:ascii="仿宋" w:hAnsi="仿宋" w:eastAsia="仿宋" w:cs="宋体"/>
          <w:sz w:val="32"/>
          <w:szCs w:val="32"/>
        </w:rPr>
        <w:t>质</w:t>
      </w:r>
      <w:r>
        <w:rPr>
          <w:rFonts w:hint="eastAsia" w:ascii="仿宋" w:hAnsi="仿宋" w:eastAsia="仿宋" w:cs="Batang"/>
          <w:sz w:val="32"/>
          <w:szCs w:val="32"/>
        </w:rPr>
        <w:t>量投</w:t>
      </w:r>
      <w:r>
        <w:rPr>
          <w:rFonts w:hint="eastAsia" w:ascii="仿宋" w:hAnsi="仿宋" w:eastAsia="仿宋" w:cs="宋体"/>
          <w:sz w:val="32"/>
          <w:szCs w:val="32"/>
        </w:rPr>
        <w:t>诉</w:t>
      </w:r>
      <w:r>
        <w:rPr>
          <w:rFonts w:hint="eastAsia" w:ascii="仿宋" w:hAnsi="仿宋" w:eastAsia="仿宋" w:cs="Batang"/>
          <w:sz w:val="32"/>
          <w:szCs w:val="32"/>
        </w:rPr>
        <w:t>，</w:t>
      </w:r>
      <w:r>
        <w:rPr>
          <w:rFonts w:hint="eastAsia" w:ascii="仿宋" w:hAnsi="仿宋" w:eastAsia="仿宋" w:cs="宋体"/>
          <w:sz w:val="32"/>
          <w:szCs w:val="32"/>
        </w:rPr>
        <w:t>并负责</w:t>
      </w:r>
      <w:r>
        <w:rPr>
          <w:rFonts w:hint="eastAsia" w:ascii="仿宋" w:hAnsi="仿宋" w:eastAsia="仿宋" w:cs="Batang"/>
          <w:sz w:val="32"/>
          <w:szCs w:val="32"/>
        </w:rPr>
        <w:t>投</w:t>
      </w:r>
      <w:r>
        <w:rPr>
          <w:rFonts w:hint="eastAsia" w:ascii="仿宋" w:hAnsi="仿宋" w:eastAsia="仿宋" w:cs="宋体"/>
          <w:sz w:val="32"/>
          <w:szCs w:val="32"/>
        </w:rPr>
        <w:t>诉处</w:t>
      </w:r>
      <w:r>
        <w:rPr>
          <w:rFonts w:hint="eastAsia" w:ascii="仿宋" w:hAnsi="仿宋" w:eastAsia="仿宋" w:cs="Batang"/>
          <w:sz w:val="32"/>
          <w:szCs w:val="32"/>
        </w:rPr>
        <w:t>理工作；掌握全</w:t>
      </w:r>
      <w:r>
        <w:rPr>
          <w:rFonts w:hint="eastAsia" w:ascii="仿宋" w:hAnsi="仿宋" w:eastAsia="仿宋" w:cs="宋体"/>
          <w:sz w:val="32"/>
          <w:szCs w:val="32"/>
        </w:rPr>
        <w:t>县</w:t>
      </w:r>
      <w:r>
        <w:rPr>
          <w:rFonts w:hint="eastAsia" w:ascii="仿宋" w:hAnsi="仿宋" w:eastAsia="仿宋" w:cs="Batang"/>
          <w:sz w:val="32"/>
          <w:szCs w:val="32"/>
        </w:rPr>
        <w:t>建筑工程</w:t>
      </w:r>
      <w:r>
        <w:rPr>
          <w:rFonts w:hint="eastAsia" w:ascii="仿宋" w:hAnsi="仿宋" w:eastAsia="仿宋" w:cs="宋体"/>
          <w:sz w:val="32"/>
          <w:szCs w:val="32"/>
        </w:rPr>
        <w:t>质</w:t>
      </w:r>
      <w:r>
        <w:rPr>
          <w:rFonts w:hint="eastAsia" w:ascii="仿宋" w:hAnsi="仿宋" w:eastAsia="仿宋" w:cs="Batang"/>
          <w:sz w:val="32"/>
          <w:szCs w:val="32"/>
        </w:rPr>
        <w:t>量安全</w:t>
      </w:r>
      <w:r>
        <w:rPr>
          <w:rFonts w:hint="eastAsia" w:ascii="仿宋" w:hAnsi="仿宋" w:eastAsia="仿宋" w:cs="宋体"/>
          <w:sz w:val="32"/>
          <w:szCs w:val="32"/>
        </w:rPr>
        <w:t>状况</w:t>
      </w:r>
      <w:r>
        <w:rPr>
          <w:rFonts w:hint="eastAsia" w:ascii="仿宋" w:hAnsi="仿宋" w:eastAsia="仿宋" w:cs="Batang"/>
          <w:sz w:val="32"/>
          <w:szCs w:val="32"/>
        </w:rPr>
        <w:t>，及</w:t>
      </w:r>
      <w:r>
        <w:rPr>
          <w:rFonts w:hint="eastAsia" w:ascii="仿宋" w:hAnsi="仿宋" w:eastAsia="仿宋" w:cs="宋体"/>
          <w:sz w:val="32"/>
          <w:szCs w:val="32"/>
        </w:rPr>
        <w:t>时总结</w:t>
      </w:r>
      <w:r>
        <w:rPr>
          <w:rFonts w:hint="eastAsia" w:ascii="仿宋" w:hAnsi="仿宋" w:eastAsia="仿宋" w:cs="Batang"/>
          <w:sz w:val="32"/>
          <w:szCs w:val="32"/>
        </w:rPr>
        <w:t>、推介工程</w:t>
      </w:r>
      <w:r>
        <w:rPr>
          <w:rFonts w:hint="eastAsia" w:ascii="仿宋" w:hAnsi="仿宋" w:eastAsia="仿宋" w:cs="宋体"/>
          <w:sz w:val="32"/>
          <w:szCs w:val="32"/>
        </w:rPr>
        <w:t>质</w:t>
      </w:r>
      <w:r>
        <w:rPr>
          <w:rFonts w:hint="eastAsia" w:ascii="仿宋" w:hAnsi="仿宋" w:eastAsia="仿宋" w:cs="Batang"/>
          <w:sz w:val="32"/>
          <w:szCs w:val="32"/>
        </w:rPr>
        <w:t>量安全管理</w:t>
      </w:r>
      <w:r>
        <w:rPr>
          <w:rFonts w:hint="eastAsia" w:ascii="仿宋" w:hAnsi="仿宋" w:eastAsia="仿宋" w:cs="宋体"/>
          <w:sz w:val="32"/>
          <w:szCs w:val="32"/>
        </w:rPr>
        <w:t>经验</w:t>
      </w:r>
      <w:r>
        <w:rPr>
          <w:rFonts w:hint="eastAsia" w:ascii="仿宋" w:hAnsi="仿宋" w:eastAsia="仿宋" w:cs="Batang"/>
          <w:sz w:val="32"/>
          <w:szCs w:val="32"/>
        </w:rPr>
        <w:t>，</w:t>
      </w:r>
      <w:r>
        <w:rPr>
          <w:rFonts w:hint="eastAsia" w:ascii="仿宋" w:hAnsi="仿宋" w:eastAsia="仿宋" w:cs="宋体"/>
          <w:sz w:val="32"/>
          <w:szCs w:val="32"/>
        </w:rPr>
        <w:t>参与</w:t>
      </w:r>
      <w:r>
        <w:rPr>
          <w:rFonts w:hint="eastAsia" w:ascii="仿宋" w:hAnsi="仿宋" w:eastAsia="仿宋" w:cs="Batang"/>
          <w:sz w:val="32"/>
          <w:szCs w:val="32"/>
        </w:rPr>
        <w:t>重大</w:t>
      </w:r>
      <w:r>
        <w:rPr>
          <w:rFonts w:hint="eastAsia" w:ascii="仿宋" w:hAnsi="仿宋" w:eastAsia="仿宋" w:cs="宋体"/>
          <w:sz w:val="32"/>
          <w:szCs w:val="32"/>
        </w:rPr>
        <w:t>质</w:t>
      </w:r>
      <w:r>
        <w:rPr>
          <w:rFonts w:hint="eastAsia" w:ascii="仿宋" w:hAnsi="仿宋" w:eastAsia="仿宋" w:cs="Batang"/>
          <w:sz w:val="32"/>
          <w:szCs w:val="32"/>
        </w:rPr>
        <w:t>量安全事故的</w:t>
      </w:r>
      <w:r>
        <w:rPr>
          <w:rFonts w:hint="eastAsia" w:ascii="仿宋" w:hAnsi="仿宋" w:eastAsia="仿宋" w:cs="宋体"/>
          <w:sz w:val="32"/>
          <w:szCs w:val="32"/>
        </w:rPr>
        <w:t>处</w:t>
      </w:r>
      <w:r>
        <w:rPr>
          <w:rFonts w:hint="eastAsia" w:ascii="仿宋" w:hAnsi="仿宋" w:eastAsia="仿宋" w:cs="Batang"/>
          <w:sz w:val="32"/>
          <w:szCs w:val="32"/>
        </w:rPr>
        <w:t>理。</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8、</w:t>
      </w:r>
      <w:r>
        <w:rPr>
          <w:rFonts w:ascii="仿宋" w:hAnsi="仿宋" w:eastAsia="仿宋"/>
          <w:b/>
          <w:sz w:val="32"/>
          <w:szCs w:val="32"/>
        </w:rPr>
        <w:t>建筑工程施工安全</w:t>
      </w:r>
      <w:r>
        <w:rPr>
          <w:rFonts w:hint="eastAsia" w:ascii="仿宋" w:hAnsi="仿宋" w:eastAsia="仿宋" w:cs="宋体"/>
          <w:b/>
          <w:sz w:val="32"/>
          <w:szCs w:val="32"/>
        </w:rPr>
        <w:t>监</w:t>
      </w:r>
      <w:r>
        <w:rPr>
          <w:rFonts w:hint="eastAsia" w:ascii="仿宋" w:hAnsi="仿宋" w:eastAsia="仿宋" w:cs="Batang"/>
          <w:b/>
          <w:sz w:val="32"/>
          <w:szCs w:val="32"/>
        </w:rPr>
        <w:t>督站</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工程安全生</w:t>
      </w:r>
      <w:r>
        <w:rPr>
          <w:rFonts w:hint="eastAsia" w:ascii="仿宋" w:hAnsi="仿宋" w:eastAsia="仿宋" w:cs="宋体"/>
          <w:sz w:val="32"/>
          <w:szCs w:val="32"/>
        </w:rPr>
        <w:t>产</w:t>
      </w:r>
      <w:r>
        <w:rPr>
          <w:rFonts w:hint="eastAsia" w:ascii="仿宋" w:hAnsi="仿宋" w:eastAsia="仿宋" w:cs="Batang"/>
          <w:sz w:val="32"/>
          <w:szCs w:val="32"/>
        </w:rPr>
        <w:t>法律、法</w:t>
      </w:r>
      <w:r>
        <w:rPr>
          <w:rFonts w:hint="eastAsia" w:ascii="仿宋" w:hAnsi="仿宋" w:eastAsia="仿宋" w:cs="宋体"/>
          <w:sz w:val="32"/>
          <w:szCs w:val="32"/>
        </w:rPr>
        <w:t>规</w:t>
      </w:r>
      <w:r>
        <w:rPr>
          <w:rFonts w:hint="eastAsia" w:ascii="仿宋" w:hAnsi="仿宋" w:eastAsia="仿宋" w:cs="Batang"/>
          <w:sz w:val="32"/>
          <w:szCs w:val="32"/>
        </w:rPr>
        <w:t>和技</w:t>
      </w:r>
      <w:r>
        <w:rPr>
          <w:rFonts w:hint="eastAsia" w:ascii="仿宋" w:hAnsi="仿宋" w:eastAsia="仿宋" w:cs="宋体"/>
          <w:sz w:val="32"/>
          <w:szCs w:val="32"/>
        </w:rPr>
        <w:t>术规</w:t>
      </w:r>
      <w:r>
        <w:rPr>
          <w:rFonts w:hint="eastAsia" w:ascii="仿宋" w:hAnsi="仿宋" w:eastAsia="仿宋" w:cs="Batang"/>
          <w:sz w:val="32"/>
          <w:szCs w:val="32"/>
        </w:rPr>
        <w:t>程的</w:t>
      </w:r>
      <w:r>
        <w:rPr>
          <w:rFonts w:hint="eastAsia" w:ascii="仿宋" w:hAnsi="仿宋" w:eastAsia="仿宋" w:cs="宋体"/>
          <w:sz w:val="32"/>
          <w:szCs w:val="32"/>
        </w:rPr>
        <w:t>贯彻</w:t>
      </w:r>
      <w:r>
        <w:rPr>
          <w:rFonts w:hint="eastAsia" w:ascii="仿宋" w:hAnsi="仿宋" w:eastAsia="仿宋" w:cs="Batang"/>
          <w:sz w:val="32"/>
          <w:szCs w:val="32"/>
        </w:rPr>
        <w:t>落</w:t>
      </w:r>
      <w:r>
        <w:rPr>
          <w:rFonts w:hint="eastAsia" w:ascii="仿宋" w:hAnsi="仿宋" w:eastAsia="仿宋" w:cs="宋体"/>
          <w:sz w:val="32"/>
          <w:szCs w:val="32"/>
        </w:rPr>
        <w:t>实</w:t>
      </w:r>
      <w:r>
        <w:rPr>
          <w:rFonts w:hint="eastAsia" w:ascii="仿宋" w:hAnsi="仿宋" w:eastAsia="仿宋" w:cs="Batang"/>
          <w:sz w:val="32"/>
          <w:szCs w:val="32"/>
        </w:rPr>
        <w:t>；</w:t>
      </w:r>
      <w:r>
        <w:rPr>
          <w:rFonts w:hint="eastAsia" w:ascii="仿宋" w:hAnsi="仿宋" w:eastAsia="仿宋" w:cs="宋体"/>
          <w:sz w:val="32"/>
          <w:szCs w:val="32"/>
        </w:rPr>
        <w:t>对</w:t>
      </w:r>
      <w:r>
        <w:rPr>
          <w:rFonts w:hint="eastAsia" w:ascii="仿宋" w:hAnsi="仿宋" w:eastAsia="仿宋" w:cs="Batang"/>
          <w:sz w:val="32"/>
          <w:szCs w:val="32"/>
        </w:rPr>
        <w:t>安全</w:t>
      </w:r>
      <w:r>
        <w:rPr>
          <w:rFonts w:hint="eastAsia" w:ascii="仿宋" w:hAnsi="仿宋" w:eastAsia="仿宋" w:cs="宋体"/>
          <w:sz w:val="32"/>
          <w:szCs w:val="32"/>
        </w:rPr>
        <w:t>备</w:t>
      </w:r>
      <w:r>
        <w:rPr>
          <w:rFonts w:hint="eastAsia" w:ascii="仿宋" w:hAnsi="仿宋" w:eastAsia="仿宋" w:cs="Batang"/>
          <w:sz w:val="32"/>
          <w:szCs w:val="32"/>
        </w:rPr>
        <w:t>案</w:t>
      </w:r>
      <w:r>
        <w:rPr>
          <w:rFonts w:hint="eastAsia" w:ascii="仿宋" w:hAnsi="仿宋" w:eastAsia="仿宋" w:cs="宋体"/>
          <w:sz w:val="32"/>
          <w:szCs w:val="32"/>
        </w:rPr>
        <w:t>并</w:t>
      </w:r>
      <w:r>
        <w:rPr>
          <w:rFonts w:hint="eastAsia" w:ascii="仿宋" w:hAnsi="仿宋" w:eastAsia="仿宋" w:cs="Batang"/>
          <w:sz w:val="32"/>
          <w:szCs w:val="32"/>
        </w:rPr>
        <w:t>取得施工</w:t>
      </w:r>
      <w:r>
        <w:rPr>
          <w:rFonts w:hint="eastAsia" w:ascii="仿宋" w:hAnsi="仿宋" w:eastAsia="仿宋" w:cs="宋体"/>
          <w:sz w:val="32"/>
          <w:szCs w:val="32"/>
        </w:rPr>
        <w:t>许</w:t>
      </w:r>
      <w:r>
        <w:rPr>
          <w:rFonts w:hint="eastAsia" w:ascii="仿宋" w:hAnsi="仿宋" w:eastAsia="仿宋" w:cs="Batang"/>
          <w:sz w:val="32"/>
          <w:szCs w:val="32"/>
        </w:rPr>
        <w:t>可的建</w:t>
      </w:r>
      <w:r>
        <w:rPr>
          <w:rFonts w:hint="eastAsia" w:ascii="仿宋" w:hAnsi="仿宋" w:eastAsia="仿宋" w:cs="宋体"/>
          <w:sz w:val="32"/>
          <w:szCs w:val="32"/>
        </w:rPr>
        <w:t>设</w:t>
      </w:r>
      <w:r>
        <w:rPr>
          <w:rFonts w:hint="eastAsia" w:ascii="仿宋" w:hAnsi="仿宋" w:eastAsia="仿宋" w:cs="Batang"/>
          <w:sz w:val="32"/>
          <w:szCs w:val="32"/>
        </w:rPr>
        <w:t>工程施工</w:t>
      </w:r>
      <w:r>
        <w:rPr>
          <w:rFonts w:hint="eastAsia" w:ascii="仿宋" w:hAnsi="仿宋" w:eastAsia="仿宋" w:cs="宋体"/>
          <w:sz w:val="32"/>
          <w:szCs w:val="32"/>
        </w:rPr>
        <w:t>现场</w:t>
      </w:r>
      <w:r>
        <w:rPr>
          <w:rFonts w:hint="eastAsia" w:ascii="仿宋" w:hAnsi="仿宋" w:eastAsia="仿宋" w:cs="Batang"/>
          <w:sz w:val="32"/>
          <w:szCs w:val="32"/>
        </w:rPr>
        <w:t>的安全生</w:t>
      </w:r>
      <w:r>
        <w:rPr>
          <w:rFonts w:hint="eastAsia" w:ascii="仿宋" w:hAnsi="仿宋" w:eastAsia="仿宋" w:cs="宋体"/>
          <w:sz w:val="32"/>
          <w:szCs w:val="32"/>
        </w:rPr>
        <w:t>产进</w:t>
      </w:r>
      <w:r>
        <w:rPr>
          <w:rFonts w:hint="eastAsia" w:ascii="仿宋" w:hAnsi="仿宋" w:eastAsia="仿宋" w:cs="Batang"/>
          <w:sz w:val="32"/>
          <w:szCs w:val="32"/>
        </w:rPr>
        <w:t>行</w:t>
      </w:r>
      <w:r>
        <w:rPr>
          <w:rFonts w:hint="eastAsia" w:ascii="仿宋" w:hAnsi="仿宋" w:eastAsia="仿宋" w:cs="宋体"/>
          <w:sz w:val="32"/>
          <w:szCs w:val="32"/>
        </w:rPr>
        <w:t>监</w:t>
      </w:r>
      <w:r>
        <w:rPr>
          <w:rFonts w:hint="eastAsia" w:ascii="仿宋" w:hAnsi="仿宋" w:eastAsia="仿宋" w:cs="Batang"/>
          <w:sz w:val="32"/>
          <w:szCs w:val="32"/>
        </w:rPr>
        <w:t>督，</w:t>
      </w:r>
      <w:r>
        <w:rPr>
          <w:rFonts w:hint="eastAsia" w:ascii="仿宋" w:hAnsi="仿宋" w:eastAsia="仿宋" w:cs="宋体"/>
          <w:sz w:val="32"/>
          <w:szCs w:val="32"/>
        </w:rPr>
        <w:t>规</w:t>
      </w:r>
      <w:r>
        <w:rPr>
          <w:rFonts w:hint="eastAsia" w:ascii="仿宋" w:hAnsi="仿宋" w:eastAsia="仿宋" w:cs="Batang"/>
          <w:sz w:val="32"/>
          <w:szCs w:val="32"/>
        </w:rPr>
        <w:t>范工程建</w:t>
      </w:r>
      <w:r>
        <w:rPr>
          <w:rFonts w:hint="eastAsia" w:ascii="仿宋" w:hAnsi="仿宋" w:eastAsia="仿宋" w:cs="宋体"/>
          <w:sz w:val="32"/>
          <w:szCs w:val="32"/>
        </w:rPr>
        <w:t>设</w:t>
      </w:r>
      <w:r>
        <w:rPr>
          <w:rFonts w:hint="eastAsia" w:ascii="仿宋" w:hAnsi="仿宋" w:eastAsia="仿宋" w:cs="Batang"/>
          <w:sz w:val="32"/>
          <w:szCs w:val="32"/>
        </w:rPr>
        <w:t>各方主体的安全行</w:t>
      </w:r>
      <w:r>
        <w:rPr>
          <w:rFonts w:hint="eastAsia" w:ascii="仿宋" w:hAnsi="仿宋" w:eastAsia="仿宋" w:cs="宋体"/>
          <w:sz w:val="32"/>
          <w:szCs w:val="32"/>
        </w:rPr>
        <w:t>为</w:t>
      </w:r>
      <w:r>
        <w:rPr>
          <w:rFonts w:hint="eastAsia" w:ascii="仿宋" w:hAnsi="仿宋" w:eastAsia="仿宋" w:cs="Batang"/>
          <w:sz w:val="32"/>
          <w:szCs w:val="32"/>
        </w:rPr>
        <w:t>；</w:t>
      </w:r>
      <w:r>
        <w:rPr>
          <w:rFonts w:hint="eastAsia" w:ascii="仿宋" w:hAnsi="仿宋" w:eastAsia="仿宋" w:cs="宋体"/>
          <w:sz w:val="32"/>
          <w:szCs w:val="32"/>
        </w:rPr>
        <w:t>负责审查</w:t>
      </w:r>
      <w:r>
        <w:rPr>
          <w:rFonts w:hint="eastAsia" w:ascii="仿宋" w:hAnsi="仿宋" w:eastAsia="仿宋" w:cs="Batang"/>
          <w:sz w:val="32"/>
          <w:szCs w:val="32"/>
        </w:rPr>
        <w:t>施工企</w:t>
      </w:r>
      <w:r>
        <w:rPr>
          <w:rFonts w:hint="eastAsia" w:ascii="仿宋" w:hAnsi="仿宋" w:eastAsia="仿宋" w:cs="宋体"/>
          <w:sz w:val="32"/>
          <w:szCs w:val="32"/>
        </w:rPr>
        <w:t>业</w:t>
      </w:r>
      <w:r>
        <w:rPr>
          <w:rFonts w:hint="eastAsia" w:ascii="仿宋" w:hAnsi="仿宋" w:eastAsia="仿宋" w:cs="Batang"/>
          <w:sz w:val="32"/>
          <w:szCs w:val="32"/>
        </w:rPr>
        <w:t>安全</w:t>
      </w:r>
      <w:r>
        <w:rPr>
          <w:rFonts w:hint="eastAsia" w:ascii="仿宋" w:hAnsi="仿宋" w:eastAsia="仿宋" w:cs="宋体"/>
          <w:sz w:val="32"/>
          <w:szCs w:val="32"/>
        </w:rPr>
        <w:t>资质</w:t>
      </w:r>
      <w:r>
        <w:rPr>
          <w:rFonts w:hint="eastAsia" w:ascii="仿宋" w:hAnsi="仿宋" w:eastAsia="仿宋" w:cs="Batang"/>
          <w:sz w:val="32"/>
          <w:szCs w:val="32"/>
        </w:rPr>
        <w:t>等</w:t>
      </w:r>
      <w:r>
        <w:rPr>
          <w:rFonts w:hint="eastAsia" w:ascii="仿宋" w:hAnsi="仿宋" w:eastAsia="仿宋" w:cs="宋体"/>
          <w:sz w:val="32"/>
          <w:szCs w:val="32"/>
        </w:rPr>
        <w:t>级</w:t>
      </w:r>
      <w:r>
        <w:rPr>
          <w:rFonts w:hint="eastAsia" w:ascii="仿宋" w:hAnsi="仿宋" w:eastAsia="仿宋" w:cs="Batang"/>
          <w:sz w:val="32"/>
          <w:szCs w:val="32"/>
        </w:rPr>
        <w:t>；</w:t>
      </w:r>
      <w:r>
        <w:rPr>
          <w:rFonts w:hint="eastAsia" w:ascii="仿宋" w:hAnsi="仿宋" w:eastAsia="仿宋" w:cs="宋体"/>
          <w:sz w:val="32"/>
          <w:szCs w:val="32"/>
        </w:rPr>
        <w:t>负责</w:t>
      </w:r>
      <w:r>
        <w:rPr>
          <w:rFonts w:hint="eastAsia" w:ascii="仿宋" w:hAnsi="仿宋" w:eastAsia="仿宋" w:cs="Batang"/>
          <w:sz w:val="32"/>
          <w:szCs w:val="32"/>
        </w:rPr>
        <w:t>建筑施工企</w:t>
      </w:r>
      <w:r>
        <w:rPr>
          <w:rFonts w:hint="eastAsia" w:ascii="仿宋" w:hAnsi="仿宋" w:eastAsia="仿宋" w:cs="宋体"/>
          <w:sz w:val="32"/>
          <w:szCs w:val="32"/>
        </w:rPr>
        <w:t>业</w:t>
      </w:r>
      <w:r>
        <w:rPr>
          <w:rFonts w:hint="eastAsia" w:ascii="仿宋" w:hAnsi="仿宋" w:eastAsia="仿宋" w:cs="Batang"/>
          <w:sz w:val="32"/>
          <w:szCs w:val="32"/>
        </w:rPr>
        <w:t>安全</w:t>
      </w:r>
      <w:r>
        <w:rPr>
          <w:rFonts w:hint="eastAsia" w:ascii="仿宋" w:hAnsi="仿宋" w:eastAsia="仿宋" w:cs="宋体"/>
          <w:sz w:val="32"/>
          <w:szCs w:val="32"/>
        </w:rPr>
        <w:t>许</w:t>
      </w:r>
      <w:r>
        <w:rPr>
          <w:rFonts w:hint="eastAsia" w:ascii="仿宋" w:hAnsi="仿宋" w:eastAsia="仿宋" w:cs="Batang"/>
          <w:sz w:val="32"/>
          <w:szCs w:val="32"/>
        </w:rPr>
        <w:t>可</w:t>
      </w:r>
      <w:r>
        <w:rPr>
          <w:rFonts w:hint="eastAsia" w:ascii="仿宋" w:hAnsi="仿宋" w:eastAsia="仿宋" w:cs="宋体"/>
          <w:sz w:val="32"/>
          <w:szCs w:val="32"/>
        </w:rPr>
        <w:t>监</w:t>
      </w:r>
      <w:r>
        <w:rPr>
          <w:rFonts w:hint="eastAsia" w:ascii="仿宋" w:hAnsi="仿宋" w:eastAsia="仿宋" w:cs="Batang"/>
          <w:sz w:val="32"/>
          <w:szCs w:val="32"/>
        </w:rPr>
        <w:t>管和</w:t>
      </w:r>
      <w:r>
        <w:rPr>
          <w:rFonts w:ascii="仿宋" w:hAnsi="仿宋" w:eastAsia="仿宋"/>
          <w:sz w:val="32"/>
          <w:szCs w:val="32"/>
        </w:rPr>
        <w:t>“三</w:t>
      </w:r>
      <w:r>
        <w:rPr>
          <w:rFonts w:hint="eastAsia" w:ascii="仿宋" w:hAnsi="仿宋" w:eastAsia="仿宋" w:cs="宋体"/>
          <w:sz w:val="32"/>
          <w:szCs w:val="32"/>
        </w:rPr>
        <w:t>类</w:t>
      </w:r>
      <w:r>
        <w:rPr>
          <w:rFonts w:hint="eastAsia" w:ascii="仿宋" w:hAnsi="仿宋" w:eastAsia="仿宋" w:cs="Batang"/>
          <w:sz w:val="32"/>
          <w:szCs w:val="32"/>
        </w:rPr>
        <w:t>人</w:t>
      </w:r>
      <w:r>
        <w:rPr>
          <w:rFonts w:hint="eastAsia" w:ascii="仿宋" w:hAnsi="仿宋" w:eastAsia="仿宋" w:cs="宋体"/>
          <w:sz w:val="32"/>
          <w:szCs w:val="32"/>
        </w:rPr>
        <w:t>员</w:t>
      </w:r>
      <w:r>
        <w:rPr>
          <w:rFonts w:ascii="仿宋" w:hAnsi="仿宋" w:eastAsia="仿宋"/>
          <w:sz w:val="32"/>
          <w:szCs w:val="32"/>
        </w:rPr>
        <w:t>”的培</w:t>
      </w:r>
      <w:r>
        <w:rPr>
          <w:rFonts w:hint="eastAsia" w:ascii="仿宋" w:hAnsi="仿宋" w:eastAsia="仿宋" w:cs="宋体"/>
          <w:sz w:val="32"/>
          <w:szCs w:val="32"/>
        </w:rPr>
        <w:t>训</w:t>
      </w:r>
      <w:r>
        <w:rPr>
          <w:rFonts w:hint="eastAsia" w:ascii="仿宋" w:hAnsi="仿宋" w:eastAsia="仿宋" w:cs="Batang"/>
          <w:sz w:val="32"/>
          <w:szCs w:val="32"/>
        </w:rPr>
        <w:t>管理；</w:t>
      </w:r>
      <w:r>
        <w:rPr>
          <w:rFonts w:hint="eastAsia" w:ascii="仿宋" w:hAnsi="仿宋" w:eastAsia="仿宋" w:cs="宋体"/>
          <w:sz w:val="32"/>
          <w:szCs w:val="32"/>
        </w:rPr>
        <w:t>监</w:t>
      </w:r>
      <w:r>
        <w:rPr>
          <w:rFonts w:hint="eastAsia" w:ascii="仿宋" w:hAnsi="仿宋" w:eastAsia="仿宋" w:cs="Batang"/>
          <w:sz w:val="32"/>
          <w:szCs w:val="32"/>
        </w:rPr>
        <w:t>督</w:t>
      </w:r>
      <w:r>
        <w:rPr>
          <w:rFonts w:hint="eastAsia" w:ascii="仿宋" w:hAnsi="仿宋" w:eastAsia="仿宋" w:cs="宋体"/>
          <w:sz w:val="32"/>
          <w:szCs w:val="32"/>
        </w:rPr>
        <w:t>检查</w:t>
      </w:r>
      <w:r>
        <w:rPr>
          <w:rFonts w:hint="eastAsia" w:ascii="仿宋" w:hAnsi="仿宋" w:eastAsia="仿宋" w:cs="Batang"/>
          <w:sz w:val="32"/>
          <w:szCs w:val="32"/>
        </w:rPr>
        <w:t>施工</w:t>
      </w:r>
      <w:r>
        <w:rPr>
          <w:rFonts w:hint="eastAsia" w:ascii="仿宋" w:hAnsi="仿宋" w:eastAsia="仿宋" w:cs="宋体"/>
          <w:sz w:val="32"/>
          <w:szCs w:val="32"/>
        </w:rPr>
        <w:t>现场</w:t>
      </w:r>
      <w:r>
        <w:rPr>
          <w:rFonts w:hint="eastAsia" w:ascii="仿宋" w:hAnsi="仿宋" w:eastAsia="仿宋" w:cs="Batang"/>
          <w:sz w:val="32"/>
          <w:szCs w:val="32"/>
        </w:rPr>
        <w:t>安全管理和防</w:t>
      </w:r>
      <w:r>
        <w:rPr>
          <w:rFonts w:hint="eastAsia" w:ascii="仿宋" w:hAnsi="仿宋" w:eastAsia="仿宋" w:cs="宋体"/>
          <w:sz w:val="32"/>
          <w:szCs w:val="32"/>
        </w:rPr>
        <w:t>护</w:t>
      </w:r>
      <w:r>
        <w:rPr>
          <w:rFonts w:hint="eastAsia" w:ascii="仿宋" w:hAnsi="仿宋" w:eastAsia="仿宋" w:cs="Batang"/>
          <w:sz w:val="32"/>
          <w:szCs w:val="32"/>
        </w:rPr>
        <w:t>措施，</w:t>
      </w:r>
      <w:r>
        <w:rPr>
          <w:rFonts w:hint="eastAsia" w:ascii="仿宋" w:hAnsi="仿宋" w:eastAsia="仿宋" w:cs="宋体"/>
          <w:sz w:val="32"/>
          <w:szCs w:val="32"/>
        </w:rPr>
        <w:t>参与</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工程生</w:t>
      </w:r>
      <w:r>
        <w:rPr>
          <w:rFonts w:hint="eastAsia" w:ascii="仿宋" w:hAnsi="仿宋" w:eastAsia="仿宋" w:cs="宋体"/>
          <w:sz w:val="32"/>
          <w:szCs w:val="32"/>
        </w:rPr>
        <w:t>产</w:t>
      </w:r>
      <w:r>
        <w:rPr>
          <w:rFonts w:hint="eastAsia" w:ascii="仿宋" w:hAnsi="仿宋" w:eastAsia="仿宋" w:cs="Batang"/>
          <w:sz w:val="32"/>
          <w:szCs w:val="32"/>
        </w:rPr>
        <w:t>安全事故的</w:t>
      </w:r>
      <w:r>
        <w:rPr>
          <w:rFonts w:hint="eastAsia" w:ascii="仿宋" w:hAnsi="仿宋" w:eastAsia="仿宋" w:cs="宋体"/>
          <w:sz w:val="32"/>
          <w:szCs w:val="32"/>
        </w:rPr>
        <w:t>调查处</w:t>
      </w:r>
      <w:r>
        <w:rPr>
          <w:rFonts w:hint="eastAsia" w:ascii="仿宋" w:hAnsi="仿宋" w:eastAsia="仿宋" w:cs="Batang"/>
          <w:sz w:val="32"/>
          <w:szCs w:val="32"/>
        </w:rPr>
        <w:t>理，</w:t>
      </w:r>
      <w:r>
        <w:rPr>
          <w:rFonts w:hint="eastAsia" w:ascii="仿宋" w:hAnsi="仿宋" w:eastAsia="仿宋" w:cs="宋体"/>
          <w:sz w:val="32"/>
          <w:szCs w:val="32"/>
        </w:rPr>
        <w:t>参与</w:t>
      </w:r>
      <w:r>
        <w:rPr>
          <w:rFonts w:hint="eastAsia" w:ascii="仿宋" w:hAnsi="仿宋" w:eastAsia="仿宋" w:cs="Batang"/>
          <w:sz w:val="32"/>
          <w:szCs w:val="32"/>
        </w:rPr>
        <w:t>房屋安全</w:t>
      </w:r>
      <w:r>
        <w:rPr>
          <w:rFonts w:hint="eastAsia" w:ascii="仿宋" w:hAnsi="仿宋" w:eastAsia="仿宋" w:cs="宋体"/>
          <w:sz w:val="32"/>
          <w:szCs w:val="32"/>
        </w:rPr>
        <w:t>鉴</w:t>
      </w:r>
      <w:r>
        <w:rPr>
          <w:rFonts w:hint="eastAsia" w:ascii="仿宋" w:hAnsi="仿宋" w:eastAsia="仿宋" w:cs="Batang"/>
          <w:sz w:val="32"/>
          <w:szCs w:val="32"/>
        </w:rPr>
        <w:t>定管理工作；</w:t>
      </w:r>
      <w:r>
        <w:rPr>
          <w:rFonts w:hint="eastAsia" w:ascii="仿宋" w:hAnsi="仿宋" w:eastAsia="仿宋" w:cs="宋体"/>
          <w:sz w:val="32"/>
          <w:szCs w:val="32"/>
        </w:rPr>
        <w:t>参与</w:t>
      </w:r>
      <w:r>
        <w:rPr>
          <w:rFonts w:hint="eastAsia" w:ascii="仿宋" w:hAnsi="仿宋" w:eastAsia="仿宋" w:cs="Batang"/>
          <w:sz w:val="32"/>
          <w:szCs w:val="32"/>
        </w:rPr>
        <w:t>建筑行</w:t>
      </w:r>
      <w:r>
        <w:rPr>
          <w:rFonts w:hint="eastAsia" w:ascii="仿宋" w:hAnsi="仿宋" w:eastAsia="仿宋" w:cs="宋体"/>
          <w:sz w:val="32"/>
          <w:szCs w:val="32"/>
        </w:rPr>
        <w:t>业伤</w:t>
      </w:r>
      <w:r>
        <w:rPr>
          <w:rFonts w:hint="eastAsia" w:ascii="仿宋" w:hAnsi="仿宋" w:eastAsia="仿宋" w:cs="Batang"/>
          <w:sz w:val="32"/>
          <w:szCs w:val="32"/>
        </w:rPr>
        <w:t>亡事故的</w:t>
      </w:r>
      <w:r>
        <w:rPr>
          <w:rFonts w:hint="eastAsia" w:ascii="仿宋" w:hAnsi="仿宋" w:eastAsia="仿宋" w:cs="宋体"/>
          <w:sz w:val="32"/>
          <w:szCs w:val="32"/>
        </w:rPr>
        <w:t>统计</w:t>
      </w:r>
      <w:r>
        <w:rPr>
          <w:rFonts w:hint="eastAsia" w:ascii="仿宋" w:hAnsi="仿宋" w:eastAsia="仿宋" w:cs="Batang"/>
          <w:sz w:val="32"/>
          <w:szCs w:val="32"/>
        </w:rPr>
        <w:t>上</w:t>
      </w:r>
      <w:r>
        <w:rPr>
          <w:rFonts w:hint="eastAsia" w:ascii="仿宋" w:hAnsi="仿宋" w:eastAsia="仿宋" w:cs="宋体"/>
          <w:sz w:val="32"/>
          <w:szCs w:val="32"/>
        </w:rPr>
        <w:t>报</w:t>
      </w:r>
      <w:r>
        <w:rPr>
          <w:rFonts w:hint="eastAsia" w:ascii="仿宋" w:hAnsi="仿宋" w:eastAsia="仿宋" w:cs="Batang"/>
          <w:sz w:val="32"/>
          <w:szCs w:val="32"/>
        </w:rPr>
        <w:t>和</w:t>
      </w:r>
      <w:r>
        <w:rPr>
          <w:rFonts w:hint="eastAsia" w:ascii="仿宋" w:hAnsi="仿宋" w:eastAsia="仿宋" w:cs="宋体"/>
          <w:sz w:val="32"/>
          <w:szCs w:val="32"/>
        </w:rPr>
        <w:t>对</w:t>
      </w:r>
      <w:r>
        <w:rPr>
          <w:rFonts w:hint="eastAsia" w:ascii="仿宋" w:hAnsi="仿宋" w:eastAsia="仿宋" w:cs="Batang"/>
          <w:sz w:val="32"/>
          <w:szCs w:val="32"/>
        </w:rPr>
        <w:t>重大</w:t>
      </w:r>
      <w:r>
        <w:rPr>
          <w:rFonts w:hint="eastAsia" w:ascii="仿宋" w:hAnsi="仿宋" w:eastAsia="仿宋" w:cs="宋体"/>
          <w:sz w:val="32"/>
          <w:szCs w:val="32"/>
        </w:rPr>
        <w:t>伤</w:t>
      </w:r>
      <w:r>
        <w:rPr>
          <w:rFonts w:hint="eastAsia" w:ascii="仿宋" w:hAnsi="仿宋" w:eastAsia="仿宋" w:cs="Batang"/>
          <w:sz w:val="32"/>
          <w:szCs w:val="32"/>
        </w:rPr>
        <w:t>亡事故的</w:t>
      </w:r>
      <w:r>
        <w:rPr>
          <w:rFonts w:hint="eastAsia" w:ascii="仿宋" w:hAnsi="仿宋" w:eastAsia="仿宋" w:cs="宋体"/>
          <w:sz w:val="32"/>
          <w:szCs w:val="32"/>
        </w:rPr>
        <w:t>调查处</w:t>
      </w:r>
      <w:r>
        <w:rPr>
          <w:rFonts w:hint="eastAsia" w:ascii="仿宋" w:hAnsi="仿宋" w:eastAsia="仿宋" w:cs="Batang"/>
          <w:sz w:val="32"/>
          <w:szCs w:val="32"/>
        </w:rPr>
        <w:t>理工作。</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9、</w:t>
      </w:r>
      <w:r>
        <w:rPr>
          <w:rFonts w:ascii="仿宋" w:hAnsi="仿宋" w:eastAsia="仿宋"/>
          <w:b/>
          <w:sz w:val="32"/>
          <w:szCs w:val="32"/>
        </w:rPr>
        <w:t>建筑市</w:t>
      </w:r>
      <w:r>
        <w:rPr>
          <w:rFonts w:hint="eastAsia" w:ascii="仿宋" w:hAnsi="仿宋" w:eastAsia="仿宋" w:cs="宋体"/>
          <w:b/>
          <w:sz w:val="32"/>
          <w:szCs w:val="32"/>
        </w:rPr>
        <w:t>场</w:t>
      </w:r>
      <w:r>
        <w:rPr>
          <w:rFonts w:hint="eastAsia" w:ascii="仿宋" w:hAnsi="仿宋" w:eastAsia="仿宋" w:cs="Batang"/>
          <w:b/>
          <w:sz w:val="32"/>
          <w:szCs w:val="32"/>
        </w:rPr>
        <w:t>稽</w:t>
      </w:r>
      <w:r>
        <w:rPr>
          <w:rFonts w:hint="eastAsia" w:ascii="仿宋" w:hAnsi="仿宋" w:eastAsia="仿宋" w:cs="宋体"/>
          <w:b/>
          <w:sz w:val="32"/>
          <w:szCs w:val="32"/>
        </w:rPr>
        <w:t>查</w:t>
      </w:r>
      <w:r>
        <w:rPr>
          <w:rFonts w:hint="eastAsia" w:ascii="仿宋" w:hAnsi="仿宋" w:eastAsia="仿宋" w:cs="Batang"/>
          <w:b/>
          <w:sz w:val="32"/>
          <w:szCs w:val="32"/>
        </w:rPr>
        <w:t>所</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w:t>
      </w:r>
      <w:r>
        <w:rPr>
          <w:rFonts w:hint="eastAsia" w:ascii="仿宋" w:hAnsi="仿宋" w:eastAsia="仿宋" w:cs="Batang"/>
          <w:sz w:val="32"/>
          <w:szCs w:val="32"/>
        </w:rPr>
        <w:t>住房和城</w:t>
      </w:r>
      <w:r>
        <w:rPr>
          <w:rFonts w:hint="eastAsia" w:ascii="仿宋" w:hAnsi="仿宋" w:eastAsia="仿宋" w:cs="宋体"/>
          <w:sz w:val="32"/>
          <w:szCs w:val="32"/>
        </w:rPr>
        <w:t>乡</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行政</w:t>
      </w:r>
      <w:r>
        <w:rPr>
          <w:rFonts w:hint="eastAsia" w:ascii="仿宋" w:hAnsi="仿宋" w:eastAsia="仿宋" w:cs="宋体"/>
          <w:sz w:val="32"/>
          <w:szCs w:val="32"/>
        </w:rPr>
        <w:t>执</w:t>
      </w:r>
      <w:r>
        <w:rPr>
          <w:rFonts w:hint="eastAsia" w:ascii="仿宋" w:hAnsi="仿宋" w:eastAsia="仿宋" w:cs="Batang"/>
          <w:sz w:val="32"/>
          <w:szCs w:val="32"/>
        </w:rPr>
        <w:t>法工作、法制宣</w:t>
      </w:r>
      <w:r>
        <w:rPr>
          <w:rFonts w:hint="eastAsia" w:ascii="仿宋" w:hAnsi="仿宋" w:eastAsia="仿宋" w:cs="宋体"/>
          <w:sz w:val="32"/>
          <w:szCs w:val="32"/>
        </w:rPr>
        <w:t>传教</w:t>
      </w:r>
      <w:r>
        <w:rPr>
          <w:rFonts w:hint="eastAsia" w:ascii="仿宋" w:hAnsi="仿宋" w:eastAsia="仿宋" w:cs="Batang"/>
          <w:sz w:val="32"/>
          <w:szCs w:val="32"/>
        </w:rPr>
        <w:t>育、法律服</w:t>
      </w:r>
      <w:r>
        <w:rPr>
          <w:rFonts w:hint="eastAsia" w:ascii="仿宋" w:hAnsi="仿宋" w:eastAsia="仿宋" w:cs="宋体"/>
          <w:sz w:val="32"/>
          <w:szCs w:val="32"/>
        </w:rPr>
        <w:t>务</w:t>
      </w:r>
      <w:r>
        <w:rPr>
          <w:rFonts w:hint="eastAsia" w:ascii="仿宋" w:hAnsi="仿宋" w:eastAsia="仿宋" w:cs="Batang"/>
          <w:sz w:val="32"/>
          <w:szCs w:val="32"/>
        </w:rPr>
        <w:t>；承</w:t>
      </w:r>
      <w:r>
        <w:rPr>
          <w:rFonts w:hint="eastAsia" w:ascii="仿宋" w:hAnsi="仿宋" w:eastAsia="仿宋" w:cs="宋体"/>
          <w:sz w:val="32"/>
          <w:szCs w:val="32"/>
        </w:rPr>
        <w:t>办</w:t>
      </w:r>
      <w:r>
        <w:rPr>
          <w:rFonts w:hint="eastAsia" w:ascii="仿宋" w:hAnsi="仿宋" w:eastAsia="仿宋" w:cs="Batang"/>
          <w:sz w:val="32"/>
          <w:szCs w:val="32"/>
        </w:rPr>
        <w:t>有</w:t>
      </w:r>
      <w:r>
        <w:rPr>
          <w:rFonts w:hint="eastAsia" w:ascii="仿宋" w:hAnsi="仿宋" w:eastAsia="仿宋" w:cs="宋体"/>
          <w:sz w:val="32"/>
          <w:szCs w:val="32"/>
        </w:rPr>
        <w:t>关</w:t>
      </w:r>
      <w:r>
        <w:rPr>
          <w:rFonts w:hint="eastAsia" w:ascii="仿宋" w:hAnsi="仿宋" w:eastAsia="仿宋" w:cs="Batang"/>
          <w:sz w:val="32"/>
          <w:szCs w:val="32"/>
        </w:rPr>
        <w:t>行政</w:t>
      </w:r>
      <w:r>
        <w:rPr>
          <w:rFonts w:hint="eastAsia" w:ascii="仿宋" w:hAnsi="仿宋" w:eastAsia="仿宋" w:cs="宋体"/>
          <w:sz w:val="32"/>
          <w:szCs w:val="32"/>
        </w:rPr>
        <w:t>复议</w:t>
      </w:r>
      <w:r>
        <w:rPr>
          <w:rFonts w:hint="eastAsia" w:ascii="仿宋" w:hAnsi="仿宋" w:eastAsia="仿宋" w:cs="Batang"/>
          <w:sz w:val="32"/>
          <w:szCs w:val="32"/>
        </w:rPr>
        <w:t>、行政</w:t>
      </w:r>
      <w:r>
        <w:rPr>
          <w:rFonts w:hint="eastAsia" w:ascii="仿宋" w:hAnsi="仿宋" w:eastAsia="仿宋" w:cs="宋体"/>
          <w:sz w:val="32"/>
          <w:szCs w:val="32"/>
        </w:rPr>
        <w:t>应诉</w:t>
      </w:r>
      <w:r>
        <w:rPr>
          <w:rFonts w:hint="eastAsia" w:ascii="仿宋" w:hAnsi="仿宋" w:eastAsia="仿宋" w:cs="Batang"/>
          <w:sz w:val="32"/>
          <w:szCs w:val="32"/>
        </w:rPr>
        <w:t>；</w:t>
      </w:r>
      <w:r>
        <w:rPr>
          <w:rFonts w:hint="eastAsia" w:ascii="仿宋" w:hAnsi="仿宋" w:eastAsia="仿宋" w:cs="宋体"/>
          <w:sz w:val="32"/>
          <w:szCs w:val="32"/>
        </w:rPr>
        <w:t>负责</w:t>
      </w:r>
      <w:r>
        <w:rPr>
          <w:rFonts w:hint="eastAsia" w:ascii="仿宋" w:hAnsi="仿宋" w:eastAsia="仿宋" w:cs="Batang"/>
          <w:sz w:val="32"/>
          <w:szCs w:val="32"/>
        </w:rPr>
        <w:t>野三坡</w:t>
      </w:r>
      <w:r>
        <w:rPr>
          <w:rFonts w:hint="eastAsia" w:ascii="仿宋" w:hAnsi="仿宋" w:eastAsia="仿宋" w:cs="宋体"/>
          <w:sz w:val="32"/>
          <w:szCs w:val="32"/>
        </w:rPr>
        <w:t>风</w:t>
      </w:r>
      <w:r>
        <w:rPr>
          <w:rFonts w:hint="eastAsia" w:ascii="仿宋" w:hAnsi="仿宋" w:eastAsia="仿宋" w:cs="Batang"/>
          <w:sz w:val="32"/>
          <w:szCs w:val="32"/>
        </w:rPr>
        <w:t>景名</w:t>
      </w:r>
      <w:r>
        <w:rPr>
          <w:rFonts w:hint="eastAsia" w:ascii="仿宋" w:hAnsi="仿宋" w:eastAsia="仿宋" w:cs="宋体"/>
          <w:sz w:val="32"/>
          <w:szCs w:val="32"/>
        </w:rPr>
        <w:t>胜区</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工程、建筑市</w:t>
      </w:r>
      <w:r>
        <w:rPr>
          <w:rFonts w:hint="eastAsia" w:ascii="仿宋" w:hAnsi="仿宋" w:eastAsia="仿宋" w:cs="宋体"/>
          <w:sz w:val="32"/>
          <w:szCs w:val="32"/>
        </w:rPr>
        <w:t>场</w:t>
      </w:r>
      <w:r>
        <w:rPr>
          <w:rFonts w:hint="eastAsia" w:ascii="仿宋" w:hAnsi="仿宋" w:eastAsia="仿宋" w:cs="Batang"/>
          <w:sz w:val="32"/>
          <w:szCs w:val="32"/>
        </w:rPr>
        <w:t>管理，配合三坡管委</w:t>
      </w:r>
      <w:r>
        <w:rPr>
          <w:rFonts w:hint="eastAsia" w:ascii="仿宋" w:hAnsi="仿宋" w:eastAsia="仿宋" w:cs="宋体"/>
          <w:sz w:val="32"/>
          <w:szCs w:val="32"/>
        </w:rPr>
        <w:t>会</w:t>
      </w:r>
      <w:r>
        <w:rPr>
          <w:rFonts w:hint="eastAsia" w:ascii="仿宋" w:hAnsi="仿宋" w:eastAsia="仿宋" w:cs="Batang"/>
          <w:sz w:val="32"/>
          <w:szCs w:val="32"/>
        </w:rPr>
        <w:t>工作。</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10、</w:t>
      </w:r>
      <w:r>
        <w:rPr>
          <w:rFonts w:hint="eastAsia" w:ascii="仿宋" w:hAnsi="仿宋" w:eastAsia="仿宋" w:cs="宋体"/>
          <w:b/>
          <w:sz w:val="32"/>
          <w:szCs w:val="32"/>
        </w:rPr>
        <w:t>节</w:t>
      </w:r>
      <w:r>
        <w:rPr>
          <w:rFonts w:hint="eastAsia" w:ascii="仿宋" w:hAnsi="仿宋" w:eastAsia="仿宋" w:cs="Batang"/>
          <w:b/>
          <w:sz w:val="32"/>
          <w:szCs w:val="32"/>
        </w:rPr>
        <w:t>能</w:t>
      </w:r>
      <w:r>
        <w:rPr>
          <w:rFonts w:hint="eastAsia" w:ascii="仿宋" w:hAnsi="仿宋" w:eastAsia="仿宋" w:cs="宋体"/>
          <w:b/>
          <w:sz w:val="32"/>
          <w:szCs w:val="32"/>
        </w:rPr>
        <w:t>墙</w:t>
      </w:r>
      <w:r>
        <w:rPr>
          <w:rFonts w:hint="eastAsia" w:ascii="仿宋" w:hAnsi="仿宋" w:eastAsia="仿宋" w:cs="Batang"/>
          <w:b/>
          <w:sz w:val="32"/>
          <w:szCs w:val="32"/>
        </w:rPr>
        <w:t>材改革管理站</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负责拟订</w:t>
      </w:r>
      <w:r>
        <w:rPr>
          <w:rFonts w:hint="eastAsia" w:ascii="仿宋" w:hAnsi="仿宋" w:eastAsia="仿宋" w:cs="Batang"/>
          <w:sz w:val="32"/>
          <w:szCs w:val="32"/>
        </w:rPr>
        <w:t>建筑</w:t>
      </w:r>
      <w:r>
        <w:rPr>
          <w:rFonts w:hint="eastAsia" w:ascii="仿宋" w:hAnsi="仿宋" w:eastAsia="仿宋" w:cs="宋体"/>
          <w:sz w:val="32"/>
          <w:szCs w:val="32"/>
        </w:rPr>
        <w:t>节</w:t>
      </w:r>
      <w:r>
        <w:rPr>
          <w:rFonts w:hint="eastAsia" w:ascii="仿宋" w:hAnsi="仿宋" w:eastAsia="仿宋" w:cs="Batang"/>
          <w:sz w:val="32"/>
          <w:szCs w:val="32"/>
        </w:rPr>
        <w:t>能的</w:t>
      </w:r>
      <w:r>
        <w:rPr>
          <w:rFonts w:hint="eastAsia" w:ascii="仿宋" w:hAnsi="仿宋" w:eastAsia="仿宋" w:cs="宋体"/>
          <w:sz w:val="32"/>
          <w:szCs w:val="32"/>
        </w:rPr>
        <w:t>发</w:t>
      </w:r>
      <w:r>
        <w:rPr>
          <w:rFonts w:hint="eastAsia" w:ascii="仿宋" w:hAnsi="仿宋" w:eastAsia="仿宋" w:cs="Batang"/>
          <w:sz w:val="32"/>
          <w:szCs w:val="32"/>
        </w:rPr>
        <w:t>展</w:t>
      </w:r>
      <w:r>
        <w:rPr>
          <w:rFonts w:hint="eastAsia" w:ascii="仿宋" w:hAnsi="仿宋" w:eastAsia="仿宋" w:cs="宋体"/>
          <w:sz w:val="32"/>
          <w:szCs w:val="32"/>
        </w:rPr>
        <w:t>规划并监</w:t>
      </w:r>
      <w:r>
        <w:rPr>
          <w:rFonts w:hint="eastAsia" w:ascii="仿宋" w:hAnsi="仿宋" w:eastAsia="仿宋" w:cs="Batang"/>
          <w:sz w:val="32"/>
          <w:szCs w:val="32"/>
        </w:rPr>
        <w:t>督</w:t>
      </w:r>
      <w:r>
        <w:rPr>
          <w:rFonts w:hint="eastAsia" w:ascii="仿宋" w:hAnsi="仿宋" w:eastAsia="仿宋" w:cs="宋体"/>
          <w:sz w:val="32"/>
          <w:szCs w:val="32"/>
        </w:rPr>
        <w:t>实</w:t>
      </w:r>
      <w:r>
        <w:rPr>
          <w:rFonts w:hint="eastAsia" w:ascii="仿宋" w:hAnsi="仿宋" w:eastAsia="仿宋" w:cs="Batang"/>
          <w:sz w:val="32"/>
          <w:szCs w:val="32"/>
        </w:rPr>
        <w:t>施；</w:t>
      </w:r>
      <w:r>
        <w:rPr>
          <w:rFonts w:hint="eastAsia" w:ascii="仿宋" w:hAnsi="仿宋" w:eastAsia="仿宋" w:cs="宋体"/>
          <w:sz w:val="32"/>
          <w:szCs w:val="32"/>
        </w:rPr>
        <w:t>组织实</w:t>
      </w:r>
      <w:r>
        <w:rPr>
          <w:rFonts w:hint="eastAsia" w:ascii="仿宋" w:hAnsi="仿宋" w:eastAsia="仿宋" w:cs="Batang"/>
          <w:sz w:val="32"/>
          <w:szCs w:val="32"/>
        </w:rPr>
        <w:t>施重大建筑</w:t>
      </w:r>
      <w:r>
        <w:rPr>
          <w:rFonts w:hint="eastAsia" w:ascii="仿宋" w:hAnsi="仿宋" w:eastAsia="仿宋" w:cs="宋体"/>
          <w:sz w:val="32"/>
          <w:szCs w:val="32"/>
        </w:rPr>
        <w:t>节</w:t>
      </w:r>
      <w:r>
        <w:rPr>
          <w:rFonts w:hint="eastAsia" w:ascii="仿宋" w:hAnsi="仿宋" w:eastAsia="仿宋" w:cs="Batang"/>
          <w:sz w:val="32"/>
          <w:szCs w:val="32"/>
        </w:rPr>
        <w:t>能</w:t>
      </w:r>
      <w:r>
        <w:rPr>
          <w:rFonts w:hint="eastAsia" w:ascii="仿宋" w:hAnsi="仿宋" w:eastAsia="仿宋" w:cs="宋体"/>
          <w:sz w:val="32"/>
          <w:szCs w:val="32"/>
        </w:rPr>
        <w:t>项</w:t>
      </w:r>
      <w:r>
        <w:rPr>
          <w:rFonts w:hint="eastAsia" w:ascii="仿宋" w:hAnsi="仿宋" w:eastAsia="仿宋" w:cs="Batang"/>
          <w:sz w:val="32"/>
          <w:szCs w:val="32"/>
        </w:rPr>
        <w:t>目</w:t>
      </w:r>
      <w:r>
        <w:rPr>
          <w:rFonts w:ascii="仿宋" w:hAnsi="仿宋" w:eastAsia="仿宋"/>
          <w:sz w:val="32"/>
          <w:szCs w:val="32"/>
        </w:rPr>
        <w:t>,</w:t>
      </w:r>
      <w:r>
        <w:rPr>
          <w:rFonts w:hint="eastAsia" w:ascii="仿宋" w:hAnsi="仿宋" w:eastAsia="仿宋" w:cs="宋体"/>
          <w:sz w:val="32"/>
          <w:szCs w:val="32"/>
        </w:rPr>
        <w:t>负责</w:t>
      </w:r>
      <w:r>
        <w:rPr>
          <w:rFonts w:hint="eastAsia" w:ascii="仿宋" w:hAnsi="仿宋" w:eastAsia="仿宋" w:cs="Batang"/>
          <w:sz w:val="32"/>
          <w:szCs w:val="32"/>
        </w:rPr>
        <w:t>建筑工程</w:t>
      </w:r>
      <w:r>
        <w:rPr>
          <w:rFonts w:hint="eastAsia" w:ascii="仿宋" w:hAnsi="仿宋" w:eastAsia="仿宋" w:cs="宋体"/>
          <w:sz w:val="32"/>
          <w:szCs w:val="32"/>
        </w:rPr>
        <w:t>节</w:t>
      </w:r>
      <w:r>
        <w:rPr>
          <w:rFonts w:hint="eastAsia" w:ascii="仿宋" w:hAnsi="仿宋" w:eastAsia="仿宋" w:cs="Batang"/>
          <w:sz w:val="32"/>
          <w:szCs w:val="32"/>
        </w:rPr>
        <w:t>能</w:t>
      </w:r>
      <w:r>
        <w:rPr>
          <w:rFonts w:hint="eastAsia" w:ascii="仿宋" w:hAnsi="仿宋" w:eastAsia="仿宋" w:cs="宋体"/>
          <w:sz w:val="32"/>
          <w:szCs w:val="32"/>
        </w:rPr>
        <w:t>验</w:t>
      </w:r>
      <w:r>
        <w:rPr>
          <w:rFonts w:hint="eastAsia" w:ascii="仿宋" w:hAnsi="仿宋" w:eastAsia="仿宋" w:cs="Batang"/>
          <w:sz w:val="32"/>
          <w:szCs w:val="32"/>
        </w:rPr>
        <w:t>收；</w:t>
      </w:r>
      <w:r>
        <w:rPr>
          <w:rFonts w:hint="eastAsia" w:ascii="仿宋" w:hAnsi="仿宋" w:eastAsia="仿宋" w:cs="宋体"/>
          <w:sz w:val="32"/>
          <w:szCs w:val="32"/>
        </w:rPr>
        <w:t>负责</w:t>
      </w:r>
      <w:r>
        <w:rPr>
          <w:rFonts w:hint="eastAsia" w:ascii="仿宋" w:hAnsi="仿宋" w:eastAsia="仿宋" w:cs="Batang"/>
          <w:sz w:val="32"/>
          <w:szCs w:val="32"/>
        </w:rPr>
        <w:t>住房和城</w:t>
      </w:r>
      <w:r>
        <w:rPr>
          <w:rFonts w:hint="eastAsia" w:ascii="仿宋" w:hAnsi="仿宋" w:eastAsia="仿宋" w:cs="宋体"/>
          <w:sz w:val="32"/>
          <w:szCs w:val="32"/>
        </w:rPr>
        <w:t>乡</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行</w:t>
      </w:r>
      <w:r>
        <w:rPr>
          <w:rFonts w:hint="eastAsia" w:ascii="仿宋" w:hAnsi="仿宋" w:eastAsia="仿宋" w:cs="宋体"/>
          <w:sz w:val="32"/>
          <w:szCs w:val="32"/>
        </w:rPr>
        <w:t>业</w:t>
      </w:r>
      <w:r>
        <w:rPr>
          <w:rFonts w:hint="eastAsia" w:ascii="仿宋" w:hAnsi="仿宋" w:eastAsia="仿宋" w:cs="Batang"/>
          <w:sz w:val="32"/>
          <w:szCs w:val="32"/>
        </w:rPr>
        <w:t>科技</w:t>
      </w:r>
      <w:r>
        <w:rPr>
          <w:rFonts w:hint="eastAsia" w:ascii="仿宋" w:hAnsi="仿宋" w:eastAsia="仿宋" w:cs="宋体"/>
          <w:sz w:val="32"/>
          <w:szCs w:val="32"/>
        </w:rPr>
        <w:t>发</w:t>
      </w:r>
      <w:r>
        <w:rPr>
          <w:rFonts w:hint="eastAsia" w:ascii="仿宋" w:hAnsi="仿宋" w:eastAsia="仿宋" w:cs="Batang"/>
          <w:sz w:val="32"/>
          <w:szCs w:val="32"/>
        </w:rPr>
        <w:t>展</w:t>
      </w:r>
      <w:r>
        <w:rPr>
          <w:rFonts w:hint="eastAsia" w:ascii="仿宋" w:hAnsi="仿宋" w:eastAsia="仿宋" w:cs="宋体"/>
          <w:sz w:val="32"/>
          <w:szCs w:val="32"/>
        </w:rPr>
        <w:t>规划</w:t>
      </w:r>
      <w:r>
        <w:rPr>
          <w:rFonts w:hint="eastAsia" w:ascii="仿宋" w:hAnsi="仿宋" w:eastAsia="仿宋" w:cs="Batang"/>
          <w:sz w:val="32"/>
          <w:szCs w:val="32"/>
        </w:rPr>
        <w:t>、年度</w:t>
      </w:r>
      <w:r>
        <w:rPr>
          <w:rFonts w:hint="eastAsia" w:ascii="仿宋" w:hAnsi="仿宋" w:eastAsia="仿宋" w:cs="宋体"/>
          <w:sz w:val="32"/>
          <w:szCs w:val="32"/>
        </w:rPr>
        <w:t>计划</w:t>
      </w:r>
      <w:r>
        <w:rPr>
          <w:rFonts w:hint="eastAsia" w:ascii="仿宋" w:hAnsi="仿宋" w:eastAsia="仿宋" w:cs="Batang"/>
          <w:sz w:val="32"/>
          <w:szCs w:val="32"/>
        </w:rPr>
        <w:t>的</w:t>
      </w:r>
      <w:r>
        <w:rPr>
          <w:rFonts w:hint="eastAsia" w:ascii="仿宋" w:hAnsi="仿宋" w:eastAsia="仿宋" w:cs="宋体"/>
          <w:sz w:val="32"/>
          <w:szCs w:val="32"/>
        </w:rPr>
        <w:t>编</w:t>
      </w:r>
      <w:r>
        <w:rPr>
          <w:rFonts w:hint="eastAsia" w:ascii="仿宋" w:hAnsi="仿宋" w:eastAsia="仿宋" w:cs="Batang"/>
          <w:sz w:val="32"/>
          <w:szCs w:val="32"/>
        </w:rPr>
        <w:t>制、</w:t>
      </w:r>
      <w:r>
        <w:rPr>
          <w:rFonts w:hint="eastAsia" w:ascii="仿宋" w:hAnsi="仿宋" w:eastAsia="仿宋" w:cs="宋体"/>
          <w:sz w:val="32"/>
          <w:szCs w:val="32"/>
        </w:rPr>
        <w:t>审查</w:t>
      </w:r>
      <w:r>
        <w:rPr>
          <w:rFonts w:hint="eastAsia" w:ascii="仿宋" w:hAnsi="仿宋" w:eastAsia="仿宋" w:cs="Batang"/>
          <w:sz w:val="32"/>
          <w:szCs w:val="32"/>
        </w:rPr>
        <w:t>和</w:t>
      </w:r>
      <w:r>
        <w:rPr>
          <w:rFonts w:hint="eastAsia" w:ascii="仿宋" w:hAnsi="仿宋" w:eastAsia="仿宋" w:cs="宋体"/>
          <w:sz w:val="32"/>
          <w:szCs w:val="32"/>
        </w:rPr>
        <w:t>实</w:t>
      </w:r>
      <w:r>
        <w:rPr>
          <w:rFonts w:hint="eastAsia" w:ascii="仿宋" w:hAnsi="仿宋" w:eastAsia="仿宋" w:cs="Batang"/>
          <w:sz w:val="32"/>
          <w:szCs w:val="32"/>
        </w:rPr>
        <w:t>施；</w:t>
      </w:r>
      <w:r>
        <w:rPr>
          <w:rFonts w:hint="eastAsia" w:ascii="仿宋" w:hAnsi="仿宋" w:eastAsia="仿宋" w:cs="宋体"/>
          <w:sz w:val="32"/>
          <w:szCs w:val="32"/>
        </w:rPr>
        <w:t>编</w:t>
      </w:r>
      <w:r>
        <w:rPr>
          <w:rFonts w:hint="eastAsia" w:ascii="仿宋" w:hAnsi="仿宋" w:eastAsia="仿宋" w:cs="Batang"/>
          <w:sz w:val="32"/>
          <w:szCs w:val="32"/>
        </w:rPr>
        <w:t>制重点科技</w:t>
      </w:r>
      <w:r>
        <w:rPr>
          <w:rFonts w:hint="eastAsia" w:ascii="仿宋" w:hAnsi="仿宋" w:eastAsia="仿宋" w:cs="宋体"/>
          <w:sz w:val="32"/>
          <w:szCs w:val="32"/>
        </w:rPr>
        <w:t>项</w:t>
      </w:r>
      <w:r>
        <w:rPr>
          <w:rFonts w:hint="eastAsia" w:ascii="仿宋" w:hAnsi="仿宋" w:eastAsia="仿宋" w:cs="Batang"/>
          <w:sz w:val="32"/>
          <w:szCs w:val="32"/>
        </w:rPr>
        <w:t>目</w:t>
      </w:r>
      <w:r>
        <w:rPr>
          <w:rFonts w:hint="eastAsia" w:ascii="仿宋" w:hAnsi="仿宋" w:eastAsia="仿宋" w:cs="宋体"/>
          <w:sz w:val="32"/>
          <w:szCs w:val="32"/>
        </w:rPr>
        <w:t>计划</w:t>
      </w:r>
      <w:r>
        <w:rPr>
          <w:rFonts w:hint="eastAsia" w:ascii="仿宋" w:hAnsi="仿宋" w:eastAsia="仿宋" w:cs="Batang"/>
          <w:sz w:val="32"/>
          <w:szCs w:val="32"/>
        </w:rPr>
        <w:t>，</w:t>
      </w:r>
      <w:r>
        <w:rPr>
          <w:rFonts w:hint="eastAsia" w:ascii="仿宋" w:hAnsi="仿宋" w:eastAsia="仿宋" w:cs="宋体"/>
          <w:sz w:val="32"/>
          <w:szCs w:val="32"/>
        </w:rPr>
        <w:t>会</w:t>
      </w:r>
      <w:r>
        <w:rPr>
          <w:rFonts w:hint="eastAsia" w:ascii="仿宋" w:hAnsi="仿宋" w:eastAsia="仿宋" w:cs="Batang"/>
          <w:sz w:val="32"/>
          <w:szCs w:val="32"/>
        </w:rPr>
        <w:t>同有</w:t>
      </w:r>
      <w:r>
        <w:rPr>
          <w:rFonts w:hint="eastAsia" w:ascii="仿宋" w:hAnsi="仿宋" w:eastAsia="仿宋" w:cs="宋体"/>
          <w:sz w:val="32"/>
          <w:szCs w:val="32"/>
        </w:rPr>
        <w:t>关</w:t>
      </w:r>
      <w:r>
        <w:rPr>
          <w:rFonts w:hint="eastAsia" w:ascii="仿宋" w:hAnsi="仿宋" w:eastAsia="仿宋" w:cs="Batang"/>
          <w:sz w:val="32"/>
          <w:szCs w:val="32"/>
        </w:rPr>
        <w:t>部</w:t>
      </w:r>
      <w:r>
        <w:rPr>
          <w:rFonts w:hint="eastAsia" w:ascii="仿宋" w:hAnsi="仿宋" w:eastAsia="仿宋" w:cs="宋体"/>
          <w:sz w:val="32"/>
          <w:szCs w:val="32"/>
        </w:rPr>
        <w:t>门组织</w:t>
      </w:r>
      <w:r>
        <w:rPr>
          <w:rFonts w:hint="eastAsia" w:ascii="仿宋" w:hAnsi="仿宋" w:eastAsia="仿宋" w:cs="Batang"/>
          <w:sz w:val="32"/>
          <w:szCs w:val="32"/>
        </w:rPr>
        <w:t>科技成果的</w:t>
      </w:r>
      <w:r>
        <w:rPr>
          <w:rFonts w:hint="eastAsia" w:ascii="仿宋" w:hAnsi="仿宋" w:eastAsia="仿宋" w:cs="宋体"/>
          <w:sz w:val="32"/>
          <w:szCs w:val="32"/>
        </w:rPr>
        <w:t>鉴</w:t>
      </w:r>
      <w:r>
        <w:rPr>
          <w:rFonts w:hint="eastAsia" w:ascii="仿宋" w:hAnsi="仿宋" w:eastAsia="仿宋" w:cs="Batang"/>
          <w:sz w:val="32"/>
          <w:szCs w:val="32"/>
        </w:rPr>
        <w:t>定和推广</w:t>
      </w:r>
      <w:r>
        <w:rPr>
          <w:rFonts w:hint="eastAsia" w:ascii="仿宋" w:hAnsi="仿宋" w:eastAsia="仿宋" w:cs="宋体"/>
          <w:sz w:val="32"/>
          <w:szCs w:val="32"/>
        </w:rPr>
        <w:t>应</w:t>
      </w:r>
      <w:r>
        <w:rPr>
          <w:rFonts w:hint="eastAsia" w:ascii="仿宋" w:hAnsi="仿宋" w:eastAsia="仿宋" w:cs="Batang"/>
          <w:sz w:val="32"/>
          <w:szCs w:val="32"/>
        </w:rPr>
        <w:t>用；</w:t>
      </w:r>
      <w:r>
        <w:rPr>
          <w:rFonts w:hint="eastAsia" w:ascii="仿宋" w:hAnsi="仿宋" w:eastAsia="仿宋" w:cs="宋体"/>
          <w:sz w:val="32"/>
          <w:szCs w:val="32"/>
        </w:rPr>
        <w:t>负责墙</w:t>
      </w:r>
      <w:r>
        <w:rPr>
          <w:rFonts w:hint="eastAsia" w:ascii="仿宋" w:hAnsi="仿宋" w:eastAsia="仿宋" w:cs="Batang"/>
          <w:sz w:val="32"/>
          <w:szCs w:val="32"/>
        </w:rPr>
        <w:t>体材料改革、粉煤灰</w:t>
      </w:r>
      <w:r>
        <w:rPr>
          <w:rFonts w:hint="eastAsia" w:ascii="仿宋" w:hAnsi="仿宋" w:eastAsia="仿宋" w:cs="宋体"/>
          <w:sz w:val="32"/>
          <w:szCs w:val="32"/>
        </w:rPr>
        <w:t>综</w:t>
      </w:r>
      <w:r>
        <w:rPr>
          <w:rFonts w:hint="eastAsia" w:ascii="仿宋" w:hAnsi="仿宋" w:eastAsia="仿宋" w:cs="Batang"/>
          <w:sz w:val="32"/>
          <w:szCs w:val="32"/>
        </w:rPr>
        <w:t>合利用；</w:t>
      </w:r>
      <w:r>
        <w:rPr>
          <w:rFonts w:hint="eastAsia" w:ascii="仿宋" w:hAnsi="仿宋" w:eastAsia="仿宋" w:cs="宋体"/>
          <w:sz w:val="32"/>
          <w:szCs w:val="32"/>
        </w:rPr>
        <w:t>负责</w:t>
      </w:r>
      <w:r>
        <w:rPr>
          <w:rFonts w:hint="eastAsia" w:ascii="仿宋" w:hAnsi="仿宋" w:eastAsia="仿宋" w:cs="Batang"/>
          <w:sz w:val="32"/>
          <w:szCs w:val="32"/>
        </w:rPr>
        <w:t>制定本</w:t>
      </w:r>
      <w:r>
        <w:rPr>
          <w:rFonts w:hint="eastAsia" w:ascii="仿宋" w:hAnsi="仿宋" w:eastAsia="仿宋" w:cs="宋体"/>
          <w:sz w:val="32"/>
          <w:szCs w:val="32"/>
        </w:rPr>
        <w:t>县</w:t>
      </w:r>
      <w:r>
        <w:rPr>
          <w:rFonts w:hint="eastAsia" w:ascii="仿宋" w:hAnsi="仿宋" w:eastAsia="仿宋" w:cs="Batang"/>
          <w:sz w:val="32"/>
          <w:szCs w:val="32"/>
        </w:rPr>
        <w:t>建筑材料、</w:t>
      </w:r>
      <w:r>
        <w:rPr>
          <w:rFonts w:hint="eastAsia" w:ascii="仿宋" w:hAnsi="仿宋" w:eastAsia="仿宋" w:cs="宋体"/>
          <w:sz w:val="32"/>
          <w:szCs w:val="32"/>
        </w:rPr>
        <w:t>设备</w:t>
      </w:r>
      <w:r>
        <w:rPr>
          <w:rFonts w:hint="eastAsia" w:ascii="仿宋" w:hAnsi="仿宋" w:eastAsia="仿宋" w:cs="Batang"/>
          <w:sz w:val="32"/>
          <w:szCs w:val="32"/>
        </w:rPr>
        <w:t>行</w:t>
      </w:r>
      <w:r>
        <w:rPr>
          <w:rFonts w:hint="eastAsia" w:ascii="仿宋" w:hAnsi="仿宋" w:eastAsia="仿宋" w:cs="宋体"/>
          <w:sz w:val="32"/>
          <w:szCs w:val="32"/>
        </w:rPr>
        <w:t>业发</w:t>
      </w:r>
      <w:r>
        <w:rPr>
          <w:rFonts w:hint="eastAsia" w:ascii="仿宋" w:hAnsi="仿宋" w:eastAsia="仿宋" w:cs="Batang"/>
          <w:sz w:val="32"/>
          <w:szCs w:val="32"/>
        </w:rPr>
        <w:t>展中</w:t>
      </w:r>
      <w:r>
        <w:rPr>
          <w:rFonts w:hint="eastAsia" w:ascii="仿宋" w:hAnsi="仿宋" w:eastAsia="仿宋" w:cs="宋体"/>
          <w:sz w:val="32"/>
          <w:szCs w:val="32"/>
        </w:rPr>
        <w:t>长</w:t>
      </w:r>
      <w:r>
        <w:rPr>
          <w:rFonts w:hint="eastAsia" w:ascii="仿宋" w:hAnsi="仿宋" w:eastAsia="仿宋" w:cs="Batang"/>
          <w:sz w:val="32"/>
          <w:szCs w:val="32"/>
        </w:rPr>
        <w:t>期</w:t>
      </w:r>
      <w:r>
        <w:rPr>
          <w:rFonts w:hint="eastAsia" w:ascii="仿宋" w:hAnsi="仿宋" w:eastAsia="仿宋" w:cs="宋体"/>
          <w:sz w:val="32"/>
          <w:szCs w:val="32"/>
        </w:rPr>
        <w:t>规划</w:t>
      </w:r>
      <w:r>
        <w:rPr>
          <w:rFonts w:hint="eastAsia" w:ascii="仿宋" w:hAnsi="仿宋" w:eastAsia="仿宋" w:cs="Batang"/>
          <w:sz w:val="32"/>
          <w:szCs w:val="32"/>
        </w:rPr>
        <w:t>、年度</w:t>
      </w:r>
      <w:r>
        <w:rPr>
          <w:rFonts w:hint="eastAsia" w:ascii="仿宋" w:hAnsi="仿宋" w:eastAsia="仿宋" w:cs="宋体"/>
          <w:sz w:val="32"/>
          <w:szCs w:val="32"/>
        </w:rPr>
        <w:t>计划并监</w:t>
      </w:r>
      <w:r>
        <w:rPr>
          <w:rFonts w:hint="eastAsia" w:ascii="仿宋" w:hAnsi="仿宋" w:eastAsia="仿宋" w:cs="Batang"/>
          <w:sz w:val="32"/>
          <w:szCs w:val="32"/>
        </w:rPr>
        <w:t>督</w:t>
      </w:r>
      <w:r>
        <w:rPr>
          <w:rFonts w:hint="eastAsia" w:ascii="仿宋" w:hAnsi="仿宋" w:eastAsia="仿宋" w:cs="宋体"/>
          <w:sz w:val="32"/>
          <w:szCs w:val="32"/>
        </w:rPr>
        <w:t>实</w:t>
      </w:r>
      <w:r>
        <w:rPr>
          <w:rFonts w:hint="eastAsia" w:ascii="仿宋" w:hAnsi="仿宋" w:eastAsia="仿宋" w:cs="Batang"/>
          <w:sz w:val="32"/>
          <w:szCs w:val="32"/>
        </w:rPr>
        <w:t>施；</w:t>
      </w:r>
      <w:r>
        <w:rPr>
          <w:rFonts w:hint="eastAsia" w:ascii="仿宋" w:hAnsi="仿宋" w:eastAsia="仿宋" w:cs="宋体"/>
          <w:sz w:val="32"/>
          <w:szCs w:val="32"/>
        </w:rPr>
        <w:t>负责</w:t>
      </w:r>
      <w:r>
        <w:rPr>
          <w:rFonts w:hint="eastAsia" w:ascii="仿宋" w:hAnsi="仿宋" w:eastAsia="仿宋" w:cs="Batang"/>
          <w:sz w:val="32"/>
          <w:szCs w:val="32"/>
        </w:rPr>
        <w:t>商品混凝土行</w:t>
      </w:r>
      <w:r>
        <w:rPr>
          <w:rFonts w:hint="eastAsia" w:ascii="仿宋" w:hAnsi="仿宋" w:eastAsia="仿宋" w:cs="宋体"/>
          <w:sz w:val="32"/>
          <w:szCs w:val="32"/>
        </w:rPr>
        <w:t>业</w:t>
      </w:r>
      <w:r>
        <w:rPr>
          <w:rFonts w:hint="eastAsia" w:ascii="仿宋" w:hAnsi="仿宋" w:eastAsia="仿宋" w:cs="Batang"/>
          <w:sz w:val="32"/>
          <w:szCs w:val="32"/>
        </w:rPr>
        <w:t>的</w:t>
      </w:r>
      <w:r>
        <w:rPr>
          <w:rFonts w:hint="eastAsia" w:ascii="仿宋" w:hAnsi="仿宋" w:eastAsia="仿宋" w:cs="宋体"/>
          <w:sz w:val="32"/>
          <w:szCs w:val="32"/>
        </w:rPr>
        <w:t>监</w:t>
      </w:r>
      <w:r>
        <w:rPr>
          <w:rFonts w:hint="eastAsia" w:ascii="仿宋" w:hAnsi="仿宋" w:eastAsia="仿宋" w:cs="Batang"/>
          <w:sz w:val="32"/>
          <w:szCs w:val="32"/>
        </w:rPr>
        <w:t>督管理；管理全</w:t>
      </w:r>
      <w:r>
        <w:rPr>
          <w:rFonts w:hint="eastAsia" w:ascii="仿宋" w:hAnsi="仿宋" w:eastAsia="仿宋" w:cs="宋体"/>
          <w:sz w:val="32"/>
          <w:szCs w:val="32"/>
        </w:rPr>
        <w:t>县</w:t>
      </w:r>
      <w:r>
        <w:rPr>
          <w:rFonts w:hint="eastAsia" w:ascii="仿宋" w:hAnsi="仿宋" w:eastAsia="仿宋" w:cs="Batang"/>
          <w:sz w:val="32"/>
          <w:szCs w:val="32"/>
        </w:rPr>
        <w:t>建筑材料、</w:t>
      </w:r>
      <w:r>
        <w:rPr>
          <w:rFonts w:hint="eastAsia" w:ascii="仿宋" w:hAnsi="仿宋" w:eastAsia="仿宋" w:cs="宋体"/>
          <w:sz w:val="32"/>
          <w:szCs w:val="32"/>
        </w:rPr>
        <w:t>设备</w:t>
      </w:r>
      <w:r>
        <w:rPr>
          <w:rFonts w:hint="eastAsia" w:ascii="仿宋" w:hAnsi="仿宋" w:eastAsia="仿宋" w:cs="Batang"/>
          <w:sz w:val="32"/>
          <w:szCs w:val="32"/>
        </w:rPr>
        <w:t>行</w:t>
      </w:r>
      <w:r>
        <w:rPr>
          <w:rFonts w:hint="eastAsia" w:ascii="仿宋" w:hAnsi="仿宋" w:eastAsia="仿宋" w:cs="宋体"/>
          <w:sz w:val="32"/>
          <w:szCs w:val="32"/>
        </w:rPr>
        <w:t>业资质</w:t>
      </w:r>
      <w:r>
        <w:rPr>
          <w:rFonts w:hint="eastAsia" w:ascii="仿宋" w:hAnsi="仿宋" w:eastAsia="仿宋" w:cs="Batang"/>
          <w:sz w:val="32"/>
          <w:szCs w:val="32"/>
        </w:rPr>
        <w:t>上</w:t>
      </w:r>
      <w:r>
        <w:rPr>
          <w:rFonts w:hint="eastAsia" w:ascii="仿宋" w:hAnsi="仿宋" w:eastAsia="仿宋" w:cs="宋体"/>
          <w:sz w:val="32"/>
          <w:szCs w:val="32"/>
        </w:rPr>
        <w:t>报</w:t>
      </w:r>
      <w:r>
        <w:rPr>
          <w:rFonts w:hint="eastAsia" w:ascii="仿宋" w:hAnsi="仿宋" w:eastAsia="仿宋" w:cs="Batang"/>
          <w:sz w:val="32"/>
          <w:szCs w:val="32"/>
        </w:rPr>
        <w:t>和</w:t>
      </w:r>
      <w:r>
        <w:rPr>
          <w:rFonts w:hint="eastAsia" w:ascii="仿宋" w:hAnsi="仿宋" w:eastAsia="仿宋" w:cs="宋体"/>
          <w:sz w:val="32"/>
          <w:szCs w:val="32"/>
        </w:rPr>
        <w:t>产</w:t>
      </w:r>
      <w:r>
        <w:rPr>
          <w:rFonts w:hint="eastAsia" w:ascii="仿宋" w:hAnsi="仿宋" w:eastAsia="仿宋" w:cs="Batang"/>
          <w:sz w:val="32"/>
          <w:szCs w:val="32"/>
        </w:rPr>
        <w:t>品</w:t>
      </w:r>
      <w:r>
        <w:rPr>
          <w:rFonts w:hint="eastAsia" w:ascii="仿宋" w:hAnsi="仿宋" w:eastAsia="仿宋" w:cs="宋体"/>
          <w:sz w:val="32"/>
          <w:szCs w:val="32"/>
        </w:rPr>
        <w:t>产</w:t>
      </w:r>
      <w:r>
        <w:rPr>
          <w:rFonts w:hint="eastAsia" w:ascii="仿宋" w:hAnsi="仿宋" w:eastAsia="仿宋" w:cs="Batang"/>
          <w:sz w:val="32"/>
          <w:szCs w:val="32"/>
        </w:rPr>
        <w:t>量；</w:t>
      </w:r>
      <w:r>
        <w:rPr>
          <w:rFonts w:hint="eastAsia" w:ascii="仿宋" w:hAnsi="仿宋" w:eastAsia="仿宋" w:cs="宋体"/>
          <w:sz w:val="32"/>
          <w:szCs w:val="32"/>
        </w:rPr>
        <w:t>负责</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机械技</w:t>
      </w:r>
      <w:r>
        <w:rPr>
          <w:rFonts w:hint="eastAsia" w:ascii="仿宋" w:hAnsi="仿宋" w:eastAsia="仿宋" w:cs="宋体"/>
          <w:sz w:val="32"/>
          <w:szCs w:val="32"/>
        </w:rPr>
        <w:t>术</w:t>
      </w:r>
      <w:r>
        <w:rPr>
          <w:rFonts w:ascii="仿宋" w:hAnsi="仿宋" w:eastAsia="仿宋"/>
          <w:sz w:val="32"/>
          <w:szCs w:val="32"/>
        </w:rPr>
        <w:t>装</w:t>
      </w:r>
      <w:r>
        <w:rPr>
          <w:rFonts w:hint="eastAsia" w:ascii="仿宋" w:hAnsi="仿宋" w:eastAsia="仿宋" w:cs="宋体"/>
          <w:sz w:val="32"/>
          <w:szCs w:val="32"/>
        </w:rPr>
        <w:t>备</w:t>
      </w:r>
      <w:r>
        <w:rPr>
          <w:rFonts w:hint="eastAsia" w:ascii="仿宋" w:hAnsi="仿宋" w:eastAsia="仿宋" w:cs="Batang"/>
          <w:sz w:val="32"/>
          <w:szCs w:val="32"/>
        </w:rPr>
        <w:t>、建筑材料</w:t>
      </w:r>
      <w:r>
        <w:rPr>
          <w:rFonts w:hint="eastAsia" w:ascii="仿宋" w:hAnsi="仿宋" w:eastAsia="仿宋" w:cs="宋体"/>
          <w:sz w:val="32"/>
          <w:szCs w:val="32"/>
        </w:rPr>
        <w:t>进</w:t>
      </w:r>
      <w:r>
        <w:rPr>
          <w:rFonts w:hint="eastAsia" w:ascii="仿宋" w:hAnsi="仿宋" w:eastAsia="仿宋" w:cs="Batang"/>
          <w:sz w:val="32"/>
          <w:szCs w:val="32"/>
        </w:rPr>
        <w:t>入施工</w:t>
      </w:r>
      <w:r>
        <w:rPr>
          <w:rFonts w:hint="eastAsia" w:ascii="仿宋" w:hAnsi="仿宋" w:eastAsia="仿宋" w:cs="宋体"/>
          <w:sz w:val="32"/>
          <w:szCs w:val="32"/>
        </w:rPr>
        <w:t>现场</w:t>
      </w:r>
      <w:r>
        <w:rPr>
          <w:rFonts w:hint="eastAsia" w:ascii="仿宋" w:hAnsi="仿宋" w:eastAsia="仿宋" w:cs="Batang"/>
          <w:sz w:val="32"/>
          <w:szCs w:val="32"/>
        </w:rPr>
        <w:t>的管理；</w:t>
      </w:r>
      <w:r>
        <w:rPr>
          <w:rFonts w:hint="eastAsia" w:ascii="仿宋" w:hAnsi="仿宋" w:eastAsia="仿宋" w:cs="宋体"/>
          <w:sz w:val="32"/>
          <w:szCs w:val="32"/>
        </w:rPr>
        <w:t>负责</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机械材料</w:t>
      </w:r>
      <w:r>
        <w:rPr>
          <w:rFonts w:hint="eastAsia" w:ascii="仿宋" w:hAnsi="仿宋" w:eastAsia="仿宋" w:cs="宋体"/>
          <w:sz w:val="32"/>
          <w:szCs w:val="32"/>
        </w:rPr>
        <w:t>设备</w:t>
      </w:r>
      <w:r>
        <w:rPr>
          <w:rFonts w:hint="eastAsia" w:ascii="仿宋" w:hAnsi="仿宋" w:eastAsia="仿宋" w:cs="Batang"/>
          <w:sz w:val="32"/>
          <w:szCs w:val="32"/>
        </w:rPr>
        <w:t>淘汰、限制使用和推广</w:t>
      </w:r>
      <w:r>
        <w:rPr>
          <w:rFonts w:hint="eastAsia" w:ascii="仿宋" w:hAnsi="仿宋" w:eastAsia="仿宋" w:cs="宋体"/>
          <w:sz w:val="32"/>
          <w:szCs w:val="32"/>
        </w:rPr>
        <w:t>应</w:t>
      </w:r>
      <w:r>
        <w:rPr>
          <w:rFonts w:hint="eastAsia" w:ascii="仿宋" w:hAnsi="仿宋" w:eastAsia="仿宋" w:cs="Batang"/>
          <w:sz w:val="32"/>
          <w:szCs w:val="32"/>
        </w:rPr>
        <w:t>用。</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11、</w:t>
      </w:r>
      <w:r>
        <w:rPr>
          <w:rFonts w:ascii="仿宋" w:hAnsi="仿宋" w:eastAsia="仿宋"/>
          <w:b/>
          <w:sz w:val="32"/>
          <w:szCs w:val="32"/>
        </w:rPr>
        <w:t>征收中心</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w:t>
      </w:r>
      <w:r>
        <w:rPr>
          <w:rFonts w:hint="eastAsia" w:ascii="仿宋" w:hAnsi="仿宋" w:eastAsia="仿宋" w:cs="Batang"/>
          <w:sz w:val="32"/>
          <w:szCs w:val="32"/>
        </w:rPr>
        <w:t>履行本</w:t>
      </w:r>
      <w:r>
        <w:rPr>
          <w:rFonts w:hint="eastAsia" w:ascii="仿宋" w:hAnsi="仿宋" w:eastAsia="仿宋" w:cs="宋体"/>
          <w:sz w:val="32"/>
          <w:szCs w:val="32"/>
        </w:rPr>
        <w:t>县规划区</w:t>
      </w:r>
      <w:r>
        <w:rPr>
          <w:rFonts w:hint="eastAsia" w:ascii="仿宋" w:hAnsi="仿宋" w:eastAsia="仿宋" w:cs="Batang"/>
          <w:sz w:val="32"/>
          <w:szCs w:val="32"/>
        </w:rPr>
        <w:t>范</w:t>
      </w:r>
      <w:r>
        <w:rPr>
          <w:rFonts w:hint="eastAsia" w:ascii="仿宋" w:hAnsi="仿宋" w:eastAsia="仿宋" w:cs="宋体"/>
          <w:sz w:val="32"/>
          <w:szCs w:val="32"/>
        </w:rPr>
        <w:t>围内</w:t>
      </w:r>
      <w:r>
        <w:rPr>
          <w:rFonts w:hint="eastAsia" w:ascii="仿宋" w:hAnsi="仿宋" w:eastAsia="仿宋" w:cs="Batang"/>
          <w:sz w:val="32"/>
          <w:szCs w:val="32"/>
        </w:rPr>
        <w:t>房屋征收程序。</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12、</w:t>
      </w:r>
      <w:r>
        <w:rPr>
          <w:rFonts w:ascii="仿宋" w:hAnsi="仿宋" w:eastAsia="仿宋"/>
          <w:b/>
          <w:sz w:val="32"/>
          <w:szCs w:val="32"/>
        </w:rPr>
        <w:t>建筑</w:t>
      </w:r>
      <w:r>
        <w:rPr>
          <w:rFonts w:hint="eastAsia" w:ascii="仿宋" w:hAnsi="仿宋" w:eastAsia="仿宋" w:cs="宋体"/>
          <w:b/>
          <w:sz w:val="32"/>
          <w:szCs w:val="32"/>
        </w:rPr>
        <w:t>设计</w:t>
      </w:r>
      <w:r>
        <w:rPr>
          <w:rFonts w:hint="eastAsia" w:ascii="仿宋" w:hAnsi="仿宋" w:eastAsia="仿宋" w:cs="Batang"/>
          <w:b/>
          <w:sz w:val="32"/>
          <w:szCs w:val="32"/>
        </w:rPr>
        <w:t>室</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严</w:t>
      </w:r>
      <w:r>
        <w:rPr>
          <w:rFonts w:hint="eastAsia" w:ascii="仿宋" w:hAnsi="仿宋" w:eastAsia="仿宋" w:cs="Batang"/>
          <w:sz w:val="32"/>
          <w:szCs w:val="32"/>
        </w:rPr>
        <w:t>格遵守</w:t>
      </w:r>
      <w:r>
        <w:rPr>
          <w:rFonts w:hint="eastAsia" w:ascii="仿宋" w:hAnsi="仿宋" w:eastAsia="仿宋" w:cs="宋体"/>
          <w:sz w:val="32"/>
          <w:szCs w:val="32"/>
        </w:rPr>
        <w:t>国</w:t>
      </w:r>
      <w:r>
        <w:rPr>
          <w:rFonts w:hint="eastAsia" w:ascii="仿宋" w:hAnsi="仿宋" w:eastAsia="仿宋" w:cs="Batang"/>
          <w:sz w:val="32"/>
          <w:szCs w:val="32"/>
        </w:rPr>
        <w:t>家工程建</w:t>
      </w:r>
      <w:r>
        <w:rPr>
          <w:rFonts w:hint="eastAsia" w:ascii="仿宋" w:hAnsi="仿宋" w:eastAsia="仿宋" w:cs="宋体"/>
          <w:sz w:val="32"/>
          <w:szCs w:val="32"/>
        </w:rPr>
        <w:t>设</w:t>
      </w:r>
      <w:r>
        <w:rPr>
          <w:rFonts w:hint="eastAsia" w:ascii="仿宋" w:hAnsi="仿宋" w:eastAsia="仿宋" w:cs="Batang"/>
          <w:sz w:val="32"/>
          <w:szCs w:val="32"/>
        </w:rPr>
        <w:t>和勘察</w:t>
      </w:r>
      <w:r>
        <w:rPr>
          <w:rFonts w:hint="eastAsia" w:ascii="仿宋" w:hAnsi="仿宋" w:eastAsia="仿宋" w:cs="宋体"/>
          <w:sz w:val="32"/>
          <w:szCs w:val="32"/>
        </w:rPr>
        <w:t>设计</w:t>
      </w:r>
      <w:r>
        <w:rPr>
          <w:rFonts w:hint="eastAsia" w:ascii="仿宋" w:hAnsi="仿宋" w:eastAsia="仿宋" w:cs="Batang"/>
          <w:sz w:val="32"/>
          <w:szCs w:val="32"/>
        </w:rPr>
        <w:t>的有</w:t>
      </w:r>
      <w:r>
        <w:rPr>
          <w:rFonts w:hint="eastAsia" w:ascii="仿宋" w:hAnsi="仿宋" w:eastAsia="仿宋" w:cs="宋体"/>
          <w:sz w:val="32"/>
          <w:szCs w:val="32"/>
        </w:rPr>
        <w:t>关</w:t>
      </w:r>
      <w:r>
        <w:rPr>
          <w:rFonts w:hint="eastAsia" w:ascii="仿宋" w:hAnsi="仿宋" w:eastAsia="仿宋" w:cs="Batang"/>
          <w:sz w:val="32"/>
          <w:szCs w:val="32"/>
        </w:rPr>
        <w:t>法</w:t>
      </w:r>
      <w:r>
        <w:rPr>
          <w:rFonts w:hint="eastAsia" w:ascii="仿宋" w:hAnsi="仿宋" w:eastAsia="仿宋" w:cs="宋体"/>
          <w:sz w:val="32"/>
          <w:szCs w:val="32"/>
        </w:rPr>
        <w:t>规</w:t>
      </w:r>
      <w:r>
        <w:rPr>
          <w:rFonts w:hint="eastAsia" w:ascii="仿宋" w:hAnsi="仿宋" w:eastAsia="仿宋" w:cs="Batang"/>
          <w:sz w:val="32"/>
          <w:szCs w:val="32"/>
        </w:rPr>
        <w:t>，</w:t>
      </w:r>
      <w:r>
        <w:rPr>
          <w:rFonts w:hint="eastAsia" w:ascii="仿宋" w:hAnsi="仿宋" w:eastAsia="仿宋" w:cs="宋体"/>
          <w:sz w:val="32"/>
          <w:szCs w:val="32"/>
        </w:rPr>
        <w:t>执</w:t>
      </w:r>
      <w:r>
        <w:rPr>
          <w:rFonts w:hint="eastAsia" w:ascii="仿宋" w:hAnsi="仿宋" w:eastAsia="仿宋" w:cs="Batang"/>
          <w:sz w:val="32"/>
          <w:szCs w:val="32"/>
        </w:rPr>
        <w:t>行</w:t>
      </w:r>
      <w:r>
        <w:rPr>
          <w:rFonts w:hint="eastAsia" w:ascii="仿宋" w:hAnsi="仿宋" w:eastAsia="仿宋" w:cs="宋体"/>
          <w:sz w:val="32"/>
          <w:szCs w:val="32"/>
        </w:rPr>
        <w:t>国</w:t>
      </w:r>
      <w:r>
        <w:rPr>
          <w:rFonts w:hint="eastAsia" w:ascii="仿宋" w:hAnsi="仿宋" w:eastAsia="仿宋" w:cs="Batang"/>
          <w:sz w:val="32"/>
          <w:szCs w:val="32"/>
        </w:rPr>
        <w:t>家、省、市</w:t>
      </w:r>
      <w:r>
        <w:rPr>
          <w:rFonts w:hint="eastAsia" w:ascii="仿宋" w:hAnsi="仿宋" w:eastAsia="仿宋" w:cs="宋体"/>
          <w:sz w:val="32"/>
          <w:szCs w:val="32"/>
        </w:rPr>
        <w:t>颁</w:t>
      </w:r>
      <w:r>
        <w:rPr>
          <w:rFonts w:hint="eastAsia" w:ascii="仿宋" w:hAnsi="仿宋" w:eastAsia="仿宋" w:cs="Batang"/>
          <w:sz w:val="32"/>
          <w:szCs w:val="32"/>
        </w:rPr>
        <w:t>布的建</w:t>
      </w:r>
      <w:r>
        <w:rPr>
          <w:rFonts w:hint="eastAsia" w:ascii="仿宋" w:hAnsi="仿宋" w:eastAsia="仿宋" w:cs="宋体"/>
          <w:sz w:val="32"/>
          <w:szCs w:val="32"/>
        </w:rPr>
        <w:t>设</w:t>
      </w:r>
      <w:r>
        <w:rPr>
          <w:rFonts w:hint="eastAsia" w:ascii="仿宋" w:hAnsi="仿宋" w:eastAsia="仿宋" w:cs="Batang"/>
          <w:sz w:val="32"/>
          <w:szCs w:val="32"/>
        </w:rPr>
        <w:t>工程</w:t>
      </w:r>
      <w:r>
        <w:rPr>
          <w:rFonts w:hint="eastAsia" w:ascii="仿宋" w:hAnsi="仿宋" w:eastAsia="仿宋" w:cs="宋体"/>
          <w:sz w:val="32"/>
          <w:szCs w:val="32"/>
        </w:rPr>
        <w:t>设计标</w:t>
      </w:r>
      <w:r>
        <w:rPr>
          <w:rFonts w:hint="eastAsia" w:ascii="仿宋" w:hAnsi="仿宋" w:eastAsia="仿宋" w:cs="Batang"/>
          <w:sz w:val="32"/>
          <w:szCs w:val="32"/>
        </w:rPr>
        <w:t>准和</w:t>
      </w:r>
      <w:r>
        <w:rPr>
          <w:rFonts w:hint="eastAsia" w:ascii="仿宋" w:hAnsi="仿宋" w:eastAsia="仿宋" w:cs="宋体"/>
          <w:sz w:val="32"/>
          <w:szCs w:val="32"/>
        </w:rPr>
        <w:t>规</w:t>
      </w:r>
      <w:r>
        <w:rPr>
          <w:rFonts w:hint="eastAsia" w:ascii="仿宋" w:hAnsi="仿宋" w:eastAsia="仿宋" w:cs="Batang"/>
          <w:sz w:val="32"/>
          <w:szCs w:val="32"/>
        </w:rPr>
        <w:t>范；</w:t>
      </w:r>
      <w:r>
        <w:rPr>
          <w:rFonts w:hint="eastAsia" w:ascii="仿宋" w:hAnsi="仿宋" w:eastAsia="仿宋" w:cs="宋体"/>
          <w:sz w:val="32"/>
          <w:szCs w:val="32"/>
        </w:rPr>
        <w:t>负责</w:t>
      </w:r>
      <w:r>
        <w:rPr>
          <w:rFonts w:hint="eastAsia" w:ascii="仿宋" w:hAnsi="仿宋" w:eastAsia="仿宋" w:cs="Batang"/>
          <w:sz w:val="32"/>
          <w:szCs w:val="32"/>
        </w:rPr>
        <w:t>建筑工程的</w:t>
      </w:r>
      <w:r>
        <w:rPr>
          <w:rFonts w:hint="eastAsia" w:ascii="仿宋" w:hAnsi="仿宋" w:eastAsia="仿宋" w:cs="宋体"/>
          <w:sz w:val="32"/>
          <w:szCs w:val="32"/>
        </w:rPr>
        <w:t>设计</w:t>
      </w:r>
      <w:r>
        <w:rPr>
          <w:rFonts w:hint="eastAsia" w:ascii="仿宋" w:hAnsi="仿宋" w:eastAsia="仿宋" w:cs="Batang"/>
          <w:sz w:val="32"/>
          <w:szCs w:val="32"/>
        </w:rPr>
        <w:t>工作，</w:t>
      </w:r>
      <w:r>
        <w:rPr>
          <w:rFonts w:hint="eastAsia" w:ascii="仿宋" w:hAnsi="仿宋" w:eastAsia="仿宋" w:cs="宋体"/>
          <w:sz w:val="32"/>
          <w:szCs w:val="32"/>
        </w:rPr>
        <w:t>坚</w:t>
      </w:r>
      <w:r>
        <w:rPr>
          <w:rFonts w:hint="eastAsia" w:ascii="仿宋" w:hAnsi="仿宋" w:eastAsia="仿宋" w:cs="Batang"/>
          <w:sz w:val="32"/>
          <w:szCs w:val="32"/>
        </w:rPr>
        <w:t>持技</w:t>
      </w:r>
      <w:r>
        <w:rPr>
          <w:rFonts w:hint="eastAsia" w:ascii="仿宋" w:hAnsi="仿宋" w:eastAsia="仿宋" w:cs="宋体"/>
          <w:sz w:val="32"/>
          <w:szCs w:val="32"/>
        </w:rPr>
        <w:t>术创</w:t>
      </w:r>
      <w:r>
        <w:rPr>
          <w:rFonts w:hint="eastAsia" w:ascii="仿宋" w:hAnsi="仿宋" w:eastAsia="仿宋" w:cs="Batang"/>
          <w:sz w:val="32"/>
          <w:szCs w:val="32"/>
        </w:rPr>
        <w:t>新，推广高新技</w:t>
      </w:r>
      <w:r>
        <w:rPr>
          <w:rFonts w:hint="eastAsia" w:ascii="仿宋" w:hAnsi="仿宋" w:eastAsia="仿宋" w:cs="宋体"/>
          <w:sz w:val="32"/>
          <w:szCs w:val="32"/>
        </w:rPr>
        <w:t>术</w:t>
      </w:r>
      <w:r>
        <w:rPr>
          <w:rFonts w:hint="eastAsia" w:ascii="仿宋" w:hAnsi="仿宋" w:eastAsia="仿宋" w:cs="Batang"/>
          <w:sz w:val="32"/>
          <w:szCs w:val="32"/>
        </w:rPr>
        <w:t>，提高</w:t>
      </w:r>
      <w:r>
        <w:rPr>
          <w:rFonts w:hint="eastAsia" w:ascii="仿宋" w:hAnsi="仿宋" w:eastAsia="仿宋" w:cs="宋体"/>
          <w:sz w:val="32"/>
          <w:szCs w:val="32"/>
        </w:rPr>
        <w:t>设计</w:t>
      </w:r>
      <w:r>
        <w:rPr>
          <w:rFonts w:hint="eastAsia" w:ascii="仿宋" w:hAnsi="仿宋" w:eastAsia="仿宋" w:cs="Batang"/>
          <w:sz w:val="32"/>
          <w:szCs w:val="32"/>
        </w:rPr>
        <w:t>水平，保</w:t>
      </w:r>
      <w:r>
        <w:rPr>
          <w:rFonts w:hint="eastAsia" w:ascii="仿宋" w:hAnsi="仿宋" w:eastAsia="仿宋" w:cs="宋体"/>
          <w:sz w:val="32"/>
          <w:szCs w:val="32"/>
        </w:rPr>
        <w:t>证设计</w:t>
      </w:r>
      <w:r>
        <w:rPr>
          <w:rFonts w:hint="eastAsia" w:ascii="仿宋" w:hAnsi="仿宋" w:eastAsia="仿宋" w:cs="Batang"/>
          <w:sz w:val="32"/>
          <w:szCs w:val="32"/>
        </w:rPr>
        <w:t>成果的合理性、先</w:t>
      </w:r>
      <w:r>
        <w:rPr>
          <w:rFonts w:hint="eastAsia" w:ascii="仿宋" w:hAnsi="仿宋" w:eastAsia="仿宋" w:cs="宋体"/>
          <w:sz w:val="32"/>
          <w:szCs w:val="32"/>
        </w:rPr>
        <w:t>进</w:t>
      </w:r>
      <w:r>
        <w:rPr>
          <w:rFonts w:hint="eastAsia" w:ascii="仿宋" w:hAnsi="仿宋" w:eastAsia="仿宋" w:cs="Batang"/>
          <w:sz w:val="32"/>
          <w:szCs w:val="32"/>
        </w:rPr>
        <w:t>性；</w:t>
      </w:r>
      <w:r>
        <w:rPr>
          <w:rFonts w:hint="eastAsia" w:ascii="仿宋" w:hAnsi="仿宋" w:eastAsia="仿宋" w:cs="宋体"/>
          <w:sz w:val="32"/>
          <w:szCs w:val="32"/>
        </w:rPr>
        <w:t>负责</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工程造价管理和工程</w:t>
      </w:r>
      <w:r>
        <w:rPr>
          <w:rFonts w:hint="eastAsia" w:ascii="仿宋" w:hAnsi="仿宋" w:eastAsia="仿宋" w:cs="宋体"/>
          <w:sz w:val="32"/>
          <w:szCs w:val="32"/>
        </w:rPr>
        <w:t>概</w:t>
      </w:r>
      <w:r>
        <w:rPr>
          <w:rFonts w:hint="eastAsia" w:ascii="仿宋" w:hAnsi="仿宋" w:eastAsia="仿宋" w:cs="Batang"/>
          <w:sz w:val="32"/>
          <w:szCs w:val="32"/>
        </w:rPr>
        <w:t>算、</w:t>
      </w:r>
      <w:r>
        <w:rPr>
          <w:rFonts w:hint="eastAsia" w:ascii="仿宋" w:hAnsi="仿宋" w:eastAsia="仿宋" w:cs="宋体"/>
          <w:sz w:val="32"/>
          <w:szCs w:val="32"/>
        </w:rPr>
        <w:t>预</w:t>
      </w:r>
      <w:r>
        <w:rPr>
          <w:rFonts w:hint="eastAsia" w:ascii="仿宋" w:hAnsi="仿宋" w:eastAsia="仿宋" w:cs="Batang"/>
          <w:sz w:val="32"/>
          <w:szCs w:val="32"/>
        </w:rPr>
        <w:t>算、</w:t>
      </w:r>
      <w:r>
        <w:rPr>
          <w:rFonts w:hint="eastAsia" w:ascii="仿宋" w:hAnsi="仿宋" w:eastAsia="仿宋" w:cs="宋体"/>
          <w:sz w:val="32"/>
          <w:szCs w:val="32"/>
        </w:rPr>
        <w:t>结</w:t>
      </w:r>
      <w:r>
        <w:rPr>
          <w:rFonts w:hint="eastAsia" w:ascii="仿宋" w:hAnsi="仿宋" w:eastAsia="仿宋" w:cs="Batang"/>
          <w:sz w:val="32"/>
          <w:szCs w:val="32"/>
        </w:rPr>
        <w:t>算、最高限价</w:t>
      </w:r>
      <w:r>
        <w:rPr>
          <w:rFonts w:hint="eastAsia" w:ascii="仿宋" w:hAnsi="仿宋" w:eastAsia="仿宋" w:cs="宋体"/>
          <w:sz w:val="32"/>
          <w:szCs w:val="32"/>
        </w:rPr>
        <w:t>备</w:t>
      </w:r>
      <w:r>
        <w:rPr>
          <w:rFonts w:hint="eastAsia" w:ascii="仿宋" w:hAnsi="仿宋" w:eastAsia="仿宋" w:cs="Batang"/>
          <w:sz w:val="32"/>
          <w:szCs w:val="32"/>
        </w:rPr>
        <w:t>案及</w:t>
      </w:r>
      <w:r>
        <w:rPr>
          <w:rFonts w:hint="eastAsia" w:ascii="仿宋" w:hAnsi="仿宋" w:eastAsia="仿宋" w:cs="宋体"/>
          <w:sz w:val="32"/>
          <w:szCs w:val="32"/>
        </w:rPr>
        <w:t>结</w:t>
      </w:r>
      <w:r>
        <w:rPr>
          <w:rFonts w:hint="eastAsia" w:ascii="仿宋" w:hAnsi="仿宋" w:eastAsia="仿宋" w:cs="Batang"/>
          <w:sz w:val="32"/>
          <w:szCs w:val="32"/>
        </w:rPr>
        <w:t>算</w:t>
      </w:r>
      <w:r>
        <w:rPr>
          <w:rFonts w:hint="eastAsia" w:ascii="仿宋" w:hAnsi="仿宋" w:eastAsia="仿宋" w:cs="宋体"/>
          <w:sz w:val="32"/>
          <w:szCs w:val="32"/>
        </w:rPr>
        <w:t>备</w:t>
      </w:r>
      <w:r>
        <w:rPr>
          <w:rFonts w:hint="eastAsia" w:ascii="仿宋" w:hAnsi="仿宋" w:eastAsia="仿宋" w:cs="Batang"/>
          <w:sz w:val="32"/>
          <w:szCs w:val="32"/>
        </w:rPr>
        <w:t>案，以及</w:t>
      </w:r>
      <w:r>
        <w:rPr>
          <w:rFonts w:hint="eastAsia" w:ascii="仿宋" w:hAnsi="仿宋" w:eastAsia="仿宋" w:cs="宋体"/>
          <w:sz w:val="32"/>
          <w:szCs w:val="32"/>
        </w:rPr>
        <w:t>图纸审</w:t>
      </w:r>
      <w:r>
        <w:rPr>
          <w:rFonts w:hint="eastAsia" w:ascii="仿宋" w:hAnsi="仿宋" w:eastAsia="仿宋" w:cs="Batang"/>
          <w:sz w:val="32"/>
          <w:szCs w:val="32"/>
        </w:rPr>
        <w:t>核工作。</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13、</w:t>
      </w:r>
      <w:r>
        <w:rPr>
          <w:rFonts w:ascii="仿宋" w:hAnsi="仿宋" w:eastAsia="仿宋"/>
          <w:b/>
          <w:sz w:val="32"/>
          <w:szCs w:val="32"/>
        </w:rPr>
        <w:t>建筑工程</w:t>
      </w:r>
      <w:r>
        <w:rPr>
          <w:rFonts w:hint="eastAsia" w:ascii="仿宋" w:hAnsi="仿宋" w:eastAsia="仿宋" w:cs="宋体"/>
          <w:b/>
          <w:sz w:val="32"/>
          <w:szCs w:val="32"/>
        </w:rPr>
        <w:t>质</w:t>
      </w:r>
      <w:r>
        <w:rPr>
          <w:rFonts w:hint="eastAsia" w:ascii="仿宋" w:hAnsi="仿宋" w:eastAsia="仿宋" w:cs="Batang"/>
          <w:b/>
          <w:sz w:val="32"/>
          <w:szCs w:val="32"/>
        </w:rPr>
        <w:t>量</w:t>
      </w:r>
      <w:r>
        <w:rPr>
          <w:rFonts w:hint="eastAsia" w:ascii="仿宋" w:hAnsi="仿宋" w:eastAsia="仿宋" w:cs="宋体"/>
          <w:b/>
          <w:sz w:val="32"/>
          <w:szCs w:val="32"/>
        </w:rPr>
        <w:t>检测</w:t>
      </w:r>
      <w:r>
        <w:rPr>
          <w:rFonts w:hint="eastAsia" w:ascii="仿宋" w:hAnsi="仿宋" w:eastAsia="仿宋" w:cs="Batang"/>
          <w:b/>
          <w:sz w:val="32"/>
          <w:szCs w:val="32"/>
        </w:rPr>
        <w:t>站</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w:t>
      </w:r>
      <w:r>
        <w:rPr>
          <w:rFonts w:hint="eastAsia" w:ascii="仿宋" w:hAnsi="仿宋" w:eastAsia="仿宋" w:cs="Batang"/>
          <w:sz w:val="32"/>
          <w:szCs w:val="32"/>
        </w:rPr>
        <w:t>建筑材料的</w:t>
      </w:r>
      <w:r>
        <w:rPr>
          <w:rFonts w:hint="eastAsia" w:ascii="仿宋" w:hAnsi="仿宋" w:eastAsia="仿宋" w:cs="宋体"/>
          <w:sz w:val="32"/>
          <w:szCs w:val="32"/>
        </w:rPr>
        <w:t>检测</w:t>
      </w:r>
      <w:r>
        <w:rPr>
          <w:rFonts w:hint="eastAsia" w:ascii="仿宋" w:hAnsi="仿宋" w:eastAsia="仿宋" w:cs="Batang"/>
          <w:sz w:val="32"/>
          <w:szCs w:val="32"/>
        </w:rPr>
        <w:t>。</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14、</w:t>
      </w:r>
      <w:r>
        <w:rPr>
          <w:rFonts w:hint="eastAsia" w:ascii="仿宋" w:hAnsi="仿宋" w:eastAsia="仿宋" w:cs="宋体"/>
          <w:b/>
          <w:sz w:val="32"/>
          <w:szCs w:val="32"/>
        </w:rPr>
        <w:t>临时</w:t>
      </w:r>
      <w:r>
        <w:rPr>
          <w:rFonts w:hint="eastAsia" w:ascii="仿宋" w:hAnsi="仿宋" w:eastAsia="仿宋" w:cs="Batang"/>
          <w:b/>
          <w:sz w:val="32"/>
          <w:szCs w:val="32"/>
        </w:rPr>
        <w:t>（自</w:t>
      </w:r>
      <w:r>
        <w:rPr>
          <w:rFonts w:hint="eastAsia" w:ascii="仿宋" w:hAnsi="仿宋" w:eastAsia="仿宋" w:cs="宋体"/>
          <w:b/>
          <w:sz w:val="32"/>
          <w:szCs w:val="32"/>
        </w:rPr>
        <w:t>设</w:t>
      </w:r>
      <w:r>
        <w:rPr>
          <w:rFonts w:hint="eastAsia" w:ascii="仿宋" w:hAnsi="仿宋" w:eastAsia="仿宋" w:cs="Batang"/>
          <w:b/>
          <w:sz w:val="32"/>
          <w:szCs w:val="32"/>
        </w:rPr>
        <w:t>）机</w:t>
      </w:r>
      <w:r>
        <w:rPr>
          <w:rFonts w:hint="eastAsia" w:ascii="仿宋" w:hAnsi="仿宋" w:eastAsia="仿宋" w:cs="宋体"/>
          <w:b/>
          <w:sz w:val="32"/>
          <w:szCs w:val="32"/>
        </w:rPr>
        <w:t>构</w:t>
      </w:r>
      <w:r>
        <w:rPr>
          <w:rFonts w:hint="eastAsia" w:ascii="仿宋" w:hAnsi="仿宋" w:eastAsia="仿宋" w:cs="Batang"/>
          <w:b/>
          <w:sz w:val="32"/>
          <w:szCs w:val="32"/>
        </w:rPr>
        <w:t>（</w:t>
      </w:r>
      <w:r>
        <w:rPr>
          <w:rFonts w:ascii="仿宋" w:hAnsi="仿宋" w:eastAsia="仿宋"/>
          <w:b/>
          <w:sz w:val="32"/>
          <w:szCs w:val="32"/>
        </w:rPr>
        <w:t>6</w:t>
      </w:r>
      <w:r>
        <w:rPr>
          <w:rFonts w:hint="eastAsia" w:ascii="仿宋" w:hAnsi="仿宋" w:eastAsia="仿宋" w:cs="宋体"/>
          <w:b/>
          <w:sz w:val="32"/>
          <w:szCs w:val="32"/>
        </w:rPr>
        <w:t>个</w:t>
      </w:r>
      <w:r>
        <w:rPr>
          <w:rFonts w:hint="eastAsia" w:ascii="仿宋" w:hAnsi="仿宋" w:eastAsia="仿宋" w:cs="Batang"/>
          <w:b/>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燃</w:t>
      </w:r>
      <w:r>
        <w:rPr>
          <w:rFonts w:hint="eastAsia" w:ascii="仿宋" w:hAnsi="仿宋" w:eastAsia="仿宋" w:cs="宋体"/>
          <w:sz w:val="32"/>
          <w:szCs w:val="32"/>
        </w:rPr>
        <w:t>气</w:t>
      </w:r>
      <w:r>
        <w:rPr>
          <w:rFonts w:hint="eastAsia" w:ascii="仿宋" w:hAnsi="仿宋" w:eastAsia="仿宋" w:cs="Batang"/>
          <w:sz w:val="32"/>
          <w:szCs w:val="32"/>
        </w:rPr>
        <w:t>管理</w:t>
      </w:r>
      <w:r>
        <w:rPr>
          <w:rFonts w:hint="eastAsia" w:ascii="仿宋" w:hAnsi="仿宋" w:eastAsia="仿宋" w:cs="宋体"/>
          <w:sz w:val="32"/>
          <w:szCs w:val="32"/>
        </w:rPr>
        <w:t>办</w:t>
      </w:r>
      <w:r>
        <w:rPr>
          <w:rFonts w:hint="eastAsia" w:ascii="仿宋" w:hAnsi="仿宋" w:eastAsia="仿宋" w:cs="Batang"/>
          <w:sz w:val="32"/>
          <w:szCs w:val="32"/>
        </w:rPr>
        <w:t>公室</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负责对农</w:t>
      </w:r>
      <w:r>
        <w:rPr>
          <w:rFonts w:hint="eastAsia" w:ascii="仿宋" w:hAnsi="仿宋" w:eastAsia="仿宋" w:cs="Batang"/>
          <w:sz w:val="32"/>
          <w:szCs w:val="32"/>
        </w:rPr>
        <w:t>村</w:t>
      </w:r>
      <w:r>
        <w:rPr>
          <w:rFonts w:ascii="仿宋" w:hAnsi="仿宋" w:eastAsia="仿宋"/>
          <w:sz w:val="32"/>
          <w:szCs w:val="32"/>
        </w:rPr>
        <w:t>“</w:t>
      </w:r>
      <w:r>
        <w:rPr>
          <w:rFonts w:hint="eastAsia" w:ascii="仿宋" w:hAnsi="仿宋" w:eastAsia="仿宋" w:cs="宋体"/>
          <w:sz w:val="32"/>
          <w:szCs w:val="32"/>
        </w:rPr>
        <w:t>气</w:t>
      </w:r>
      <w:r>
        <w:rPr>
          <w:rFonts w:hint="eastAsia" w:ascii="仿宋" w:hAnsi="仿宋" w:eastAsia="仿宋" w:cs="Batang"/>
          <w:sz w:val="32"/>
          <w:szCs w:val="32"/>
        </w:rPr>
        <w:t>代煤</w:t>
      </w:r>
      <w:r>
        <w:rPr>
          <w:rFonts w:ascii="仿宋" w:hAnsi="仿宋" w:eastAsia="仿宋"/>
          <w:sz w:val="32"/>
          <w:szCs w:val="32"/>
        </w:rPr>
        <w:t>”工程</w:t>
      </w:r>
      <w:r>
        <w:rPr>
          <w:rFonts w:hint="eastAsia" w:ascii="仿宋" w:hAnsi="仿宋" w:eastAsia="仿宋" w:cs="宋体"/>
          <w:sz w:val="32"/>
          <w:szCs w:val="32"/>
        </w:rPr>
        <w:t>进</w:t>
      </w:r>
      <w:r>
        <w:rPr>
          <w:rFonts w:hint="eastAsia" w:ascii="仿宋" w:hAnsi="仿宋" w:eastAsia="仿宋" w:cs="Batang"/>
          <w:sz w:val="32"/>
          <w:szCs w:val="32"/>
        </w:rPr>
        <w:t>行安全</w:t>
      </w:r>
      <w:r>
        <w:rPr>
          <w:rFonts w:hint="eastAsia" w:ascii="仿宋" w:hAnsi="仿宋" w:eastAsia="仿宋" w:cs="宋体"/>
          <w:sz w:val="32"/>
          <w:szCs w:val="32"/>
        </w:rPr>
        <w:t>监</w:t>
      </w:r>
      <w:r>
        <w:rPr>
          <w:rFonts w:hint="eastAsia" w:ascii="仿宋" w:hAnsi="仿宋" w:eastAsia="仿宋" w:cs="Batang"/>
          <w:sz w:val="32"/>
          <w:szCs w:val="32"/>
        </w:rPr>
        <w:t>管；</w:t>
      </w:r>
      <w:r>
        <w:rPr>
          <w:rFonts w:hint="eastAsia" w:ascii="仿宋" w:hAnsi="仿宋" w:eastAsia="仿宋" w:cs="宋体"/>
          <w:sz w:val="32"/>
          <w:szCs w:val="32"/>
        </w:rPr>
        <w:t>负责</w:t>
      </w:r>
      <w:r>
        <w:rPr>
          <w:rFonts w:hint="eastAsia" w:ascii="仿宋" w:hAnsi="仿宋" w:eastAsia="仿宋" w:cs="Batang"/>
          <w:sz w:val="32"/>
          <w:szCs w:val="32"/>
        </w:rPr>
        <w:t>燃</w:t>
      </w:r>
      <w:r>
        <w:rPr>
          <w:rFonts w:hint="eastAsia" w:ascii="仿宋" w:hAnsi="仿宋" w:eastAsia="仿宋" w:cs="宋体"/>
          <w:sz w:val="32"/>
          <w:szCs w:val="32"/>
        </w:rPr>
        <w:t>气</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工程管理，做好施工</w:t>
      </w:r>
      <w:r>
        <w:rPr>
          <w:rFonts w:hint="eastAsia" w:ascii="仿宋" w:hAnsi="仿宋" w:eastAsia="仿宋" w:cs="宋体"/>
          <w:sz w:val="32"/>
          <w:szCs w:val="32"/>
        </w:rPr>
        <w:t>过</w:t>
      </w:r>
      <w:r>
        <w:rPr>
          <w:rFonts w:hint="eastAsia" w:ascii="仿宋" w:hAnsi="仿宋" w:eastAsia="仿宋" w:cs="Batang"/>
          <w:sz w:val="32"/>
          <w:szCs w:val="32"/>
        </w:rPr>
        <w:t>程中的</w:t>
      </w:r>
      <w:r>
        <w:rPr>
          <w:rFonts w:hint="eastAsia" w:ascii="仿宋" w:hAnsi="仿宋" w:eastAsia="仿宋" w:cs="宋体"/>
          <w:sz w:val="32"/>
          <w:szCs w:val="32"/>
        </w:rPr>
        <w:t>质</w:t>
      </w:r>
      <w:r>
        <w:rPr>
          <w:rFonts w:hint="eastAsia" w:ascii="仿宋" w:hAnsi="仿宋" w:eastAsia="仿宋" w:cs="Batang"/>
          <w:sz w:val="32"/>
          <w:szCs w:val="32"/>
        </w:rPr>
        <w:t>量安全</w:t>
      </w:r>
      <w:r>
        <w:rPr>
          <w:rFonts w:hint="eastAsia" w:ascii="仿宋" w:hAnsi="仿宋" w:eastAsia="仿宋" w:cs="宋体"/>
          <w:sz w:val="32"/>
          <w:szCs w:val="32"/>
        </w:rPr>
        <w:t>监</w:t>
      </w:r>
      <w:r>
        <w:rPr>
          <w:rFonts w:hint="eastAsia" w:ascii="仿宋" w:hAnsi="仿宋" w:eastAsia="仿宋" w:cs="Batang"/>
          <w:sz w:val="32"/>
          <w:szCs w:val="32"/>
        </w:rPr>
        <w:t>督，</w:t>
      </w:r>
      <w:r>
        <w:rPr>
          <w:rFonts w:hint="eastAsia" w:ascii="仿宋" w:hAnsi="仿宋" w:eastAsia="仿宋" w:cs="宋体"/>
          <w:sz w:val="32"/>
          <w:szCs w:val="32"/>
        </w:rPr>
        <w:t>对</w:t>
      </w:r>
      <w:r>
        <w:rPr>
          <w:rFonts w:hint="eastAsia" w:ascii="仿宋" w:hAnsi="仿宋" w:eastAsia="仿宋" w:cs="Batang"/>
          <w:sz w:val="32"/>
          <w:szCs w:val="32"/>
        </w:rPr>
        <w:t>燃</w:t>
      </w:r>
      <w:r>
        <w:rPr>
          <w:rFonts w:hint="eastAsia" w:ascii="仿宋" w:hAnsi="仿宋" w:eastAsia="仿宋" w:cs="宋体"/>
          <w:sz w:val="32"/>
          <w:szCs w:val="32"/>
        </w:rPr>
        <w:t>气</w:t>
      </w:r>
      <w:r>
        <w:rPr>
          <w:rFonts w:hint="eastAsia" w:ascii="仿宋" w:hAnsi="仿宋" w:eastAsia="仿宋" w:cs="Batang"/>
          <w:sz w:val="32"/>
          <w:szCs w:val="32"/>
        </w:rPr>
        <w:t>竣工</w:t>
      </w:r>
      <w:r>
        <w:rPr>
          <w:rFonts w:hint="eastAsia" w:ascii="仿宋" w:hAnsi="仿宋" w:eastAsia="仿宋" w:cs="宋体"/>
          <w:sz w:val="32"/>
          <w:szCs w:val="32"/>
        </w:rPr>
        <w:t>验</w:t>
      </w:r>
      <w:r>
        <w:rPr>
          <w:rFonts w:hint="eastAsia" w:ascii="仿宋" w:hAnsi="仿宋" w:eastAsia="仿宋" w:cs="Batang"/>
          <w:sz w:val="32"/>
          <w:szCs w:val="32"/>
        </w:rPr>
        <w:t>收情</w:t>
      </w:r>
      <w:r>
        <w:rPr>
          <w:rFonts w:hint="eastAsia" w:ascii="仿宋" w:hAnsi="仿宋" w:eastAsia="仿宋" w:cs="宋体"/>
          <w:sz w:val="32"/>
          <w:szCs w:val="32"/>
        </w:rPr>
        <w:t>况进</w:t>
      </w:r>
      <w:r>
        <w:rPr>
          <w:rFonts w:hint="eastAsia" w:ascii="仿宋" w:hAnsi="仿宋" w:eastAsia="仿宋" w:cs="Batang"/>
          <w:sz w:val="32"/>
          <w:szCs w:val="32"/>
        </w:rPr>
        <w:t>行</w:t>
      </w:r>
      <w:r>
        <w:rPr>
          <w:rFonts w:hint="eastAsia" w:ascii="仿宋" w:hAnsi="仿宋" w:eastAsia="仿宋" w:cs="宋体"/>
          <w:sz w:val="32"/>
          <w:szCs w:val="32"/>
        </w:rPr>
        <w:t>备</w:t>
      </w:r>
      <w:r>
        <w:rPr>
          <w:rFonts w:hint="eastAsia" w:ascii="仿宋" w:hAnsi="仿宋" w:eastAsia="仿宋" w:cs="Batang"/>
          <w:sz w:val="32"/>
          <w:szCs w:val="32"/>
        </w:rPr>
        <w:t>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村</w:t>
      </w:r>
      <w:r>
        <w:rPr>
          <w:rFonts w:hint="eastAsia" w:ascii="仿宋" w:hAnsi="仿宋" w:eastAsia="仿宋" w:cs="宋体"/>
          <w:sz w:val="32"/>
          <w:szCs w:val="32"/>
        </w:rPr>
        <w:t>镇</w:t>
      </w:r>
      <w:r>
        <w:rPr>
          <w:rFonts w:hint="eastAsia" w:ascii="仿宋" w:hAnsi="仿宋" w:eastAsia="仿宋" w:cs="Batang"/>
          <w:sz w:val="32"/>
          <w:szCs w:val="32"/>
        </w:rPr>
        <w:t>股（危改</w:t>
      </w:r>
      <w:r>
        <w:rPr>
          <w:rFonts w:hint="eastAsia" w:ascii="仿宋" w:hAnsi="仿宋" w:eastAsia="仿宋" w:cs="宋体"/>
          <w:sz w:val="32"/>
          <w:szCs w:val="32"/>
        </w:rPr>
        <w:t>办</w:t>
      </w:r>
      <w:r>
        <w:rPr>
          <w:rFonts w:hint="eastAsia" w:ascii="仿宋" w:hAnsi="仿宋" w:eastAsia="仿宋" w:cs="Batang"/>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负责</w:t>
      </w:r>
      <w:r>
        <w:rPr>
          <w:rFonts w:hint="eastAsia" w:ascii="仿宋" w:hAnsi="仿宋" w:eastAsia="仿宋" w:cs="Batang"/>
          <w:sz w:val="32"/>
          <w:szCs w:val="32"/>
        </w:rPr>
        <w:t>村</w:t>
      </w:r>
      <w:r>
        <w:rPr>
          <w:rFonts w:hint="eastAsia" w:ascii="仿宋" w:hAnsi="仿宋" w:eastAsia="仿宋" w:cs="宋体"/>
          <w:sz w:val="32"/>
          <w:szCs w:val="32"/>
        </w:rPr>
        <w:t>镇</w:t>
      </w:r>
      <w:r>
        <w:rPr>
          <w:rFonts w:hint="eastAsia" w:ascii="仿宋" w:hAnsi="仿宋" w:eastAsia="仿宋" w:cs="Batang"/>
          <w:sz w:val="32"/>
          <w:szCs w:val="32"/>
        </w:rPr>
        <w:t>建</w:t>
      </w:r>
      <w:r>
        <w:rPr>
          <w:rFonts w:hint="eastAsia" w:ascii="仿宋" w:hAnsi="仿宋" w:eastAsia="仿宋" w:cs="宋体"/>
          <w:sz w:val="32"/>
          <w:szCs w:val="32"/>
        </w:rPr>
        <w:t>设</w:t>
      </w:r>
      <w:r>
        <w:rPr>
          <w:rFonts w:hint="eastAsia" w:ascii="仿宋" w:hAnsi="仿宋" w:eastAsia="仿宋" w:cs="Batang"/>
          <w:sz w:val="32"/>
          <w:szCs w:val="32"/>
        </w:rPr>
        <w:t>、管理；</w:t>
      </w:r>
      <w:r>
        <w:rPr>
          <w:rFonts w:hint="eastAsia" w:ascii="仿宋" w:hAnsi="仿宋" w:eastAsia="仿宋" w:cs="宋体"/>
          <w:sz w:val="32"/>
          <w:szCs w:val="32"/>
        </w:rPr>
        <w:t>负责农</w:t>
      </w:r>
      <w:r>
        <w:rPr>
          <w:rFonts w:hint="eastAsia" w:ascii="仿宋" w:hAnsi="仿宋" w:eastAsia="仿宋" w:cs="Batang"/>
          <w:sz w:val="32"/>
          <w:szCs w:val="32"/>
        </w:rPr>
        <w:t>村危房改造工作，</w:t>
      </w:r>
      <w:r>
        <w:rPr>
          <w:rFonts w:hint="eastAsia" w:ascii="仿宋" w:hAnsi="仿宋" w:eastAsia="仿宋" w:cs="宋体"/>
          <w:sz w:val="32"/>
          <w:szCs w:val="32"/>
        </w:rPr>
        <w:t>传达</w:t>
      </w:r>
      <w:r>
        <w:rPr>
          <w:rFonts w:hint="eastAsia" w:ascii="仿宋" w:hAnsi="仿宋" w:eastAsia="仿宋" w:cs="Batang"/>
          <w:sz w:val="32"/>
          <w:szCs w:val="32"/>
        </w:rPr>
        <w:t>上</w:t>
      </w:r>
      <w:r>
        <w:rPr>
          <w:rFonts w:hint="eastAsia" w:ascii="仿宋" w:hAnsi="仿宋" w:eastAsia="仿宋" w:cs="宋体"/>
          <w:sz w:val="32"/>
          <w:szCs w:val="32"/>
        </w:rPr>
        <w:t>级</w:t>
      </w:r>
      <w:r>
        <w:rPr>
          <w:rFonts w:hint="eastAsia" w:ascii="仿宋" w:hAnsi="仿宋" w:eastAsia="仿宋" w:cs="Batang"/>
          <w:sz w:val="32"/>
          <w:szCs w:val="32"/>
        </w:rPr>
        <w:t>有</w:t>
      </w:r>
      <w:r>
        <w:rPr>
          <w:rFonts w:hint="eastAsia" w:ascii="仿宋" w:hAnsi="仿宋" w:eastAsia="仿宋" w:cs="宋体"/>
          <w:sz w:val="32"/>
          <w:szCs w:val="32"/>
        </w:rPr>
        <w:t>关</w:t>
      </w:r>
      <w:r>
        <w:rPr>
          <w:rFonts w:hint="eastAsia" w:ascii="仿宋" w:hAnsi="仿宋" w:eastAsia="仿宋" w:cs="Batang"/>
          <w:sz w:val="32"/>
          <w:szCs w:val="32"/>
        </w:rPr>
        <w:t>政策，加强工作指</w:t>
      </w:r>
      <w:r>
        <w:rPr>
          <w:rFonts w:hint="eastAsia" w:ascii="仿宋" w:hAnsi="仿宋" w:eastAsia="仿宋" w:cs="宋体"/>
          <w:sz w:val="32"/>
          <w:szCs w:val="32"/>
        </w:rPr>
        <w:t>导</w:t>
      </w:r>
      <w:r>
        <w:rPr>
          <w:rFonts w:hint="eastAsia" w:ascii="仿宋" w:hAnsi="仿宋" w:eastAsia="仿宋" w:cs="Batang"/>
          <w:sz w:val="32"/>
          <w:szCs w:val="32"/>
        </w:rPr>
        <w:t>，做好技</w:t>
      </w:r>
      <w:r>
        <w:rPr>
          <w:rFonts w:hint="eastAsia" w:ascii="仿宋" w:hAnsi="仿宋" w:eastAsia="仿宋" w:cs="宋体"/>
          <w:sz w:val="32"/>
          <w:szCs w:val="32"/>
        </w:rPr>
        <w:t>术</w:t>
      </w:r>
      <w:r>
        <w:rPr>
          <w:rFonts w:hint="eastAsia" w:ascii="仿宋" w:hAnsi="仿宋" w:eastAsia="仿宋" w:cs="Batang"/>
          <w:sz w:val="32"/>
          <w:szCs w:val="32"/>
        </w:rPr>
        <w:t>服</w:t>
      </w:r>
      <w:r>
        <w:rPr>
          <w:rFonts w:hint="eastAsia" w:ascii="仿宋" w:hAnsi="仿宋" w:eastAsia="仿宋" w:cs="宋体"/>
          <w:sz w:val="32"/>
          <w:szCs w:val="32"/>
        </w:rPr>
        <w:t>务</w:t>
      </w:r>
      <w:r>
        <w:rPr>
          <w:rFonts w:hint="eastAsia" w:ascii="仿宋" w:hAnsi="仿宋" w:eastAsia="仿宋" w:cs="Batang"/>
          <w:sz w:val="32"/>
          <w:szCs w:val="32"/>
        </w:rPr>
        <w:t>；</w:t>
      </w:r>
      <w:r>
        <w:rPr>
          <w:rFonts w:hint="eastAsia" w:ascii="仿宋" w:hAnsi="仿宋" w:eastAsia="仿宋" w:cs="宋体"/>
          <w:sz w:val="32"/>
          <w:szCs w:val="32"/>
        </w:rPr>
        <w:t>负责农</w:t>
      </w:r>
      <w:r>
        <w:rPr>
          <w:rFonts w:hint="eastAsia" w:ascii="仿宋" w:hAnsi="仿宋" w:eastAsia="仿宋" w:cs="Batang"/>
          <w:sz w:val="32"/>
          <w:szCs w:val="32"/>
        </w:rPr>
        <w:t>村生活</w:t>
      </w:r>
      <w:r>
        <w:rPr>
          <w:rFonts w:hint="eastAsia" w:ascii="仿宋" w:hAnsi="仿宋" w:eastAsia="仿宋" w:cs="宋体"/>
          <w:sz w:val="32"/>
          <w:szCs w:val="32"/>
        </w:rPr>
        <w:t>垃</w:t>
      </w:r>
      <w:r>
        <w:rPr>
          <w:rFonts w:hint="eastAsia" w:ascii="仿宋" w:hAnsi="仿宋" w:eastAsia="仿宋" w:cs="Batang"/>
          <w:sz w:val="32"/>
          <w:szCs w:val="32"/>
        </w:rPr>
        <w:t>圾治理。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路灯管理办公室（办公地点滨河公园）</w:t>
      </w:r>
    </w:p>
    <w:p>
      <w:pPr>
        <w:spacing w:line="560" w:lineRule="exact"/>
        <w:ind w:firstLine="640" w:firstLineChars="200"/>
        <w:rPr>
          <w:rFonts w:ascii="仿宋" w:hAnsi="仿宋" w:eastAsia="仿宋"/>
          <w:sz w:val="32"/>
          <w:szCs w:val="32"/>
        </w:rPr>
      </w:pPr>
      <w:r>
        <w:rPr>
          <w:rFonts w:ascii="仿宋" w:hAnsi="仿宋" w:eastAsia="仿宋"/>
          <w:sz w:val="32"/>
          <w:szCs w:val="32"/>
        </w:rPr>
        <w:t>负责县城区的城市照明设施日常维护管理工作；负责编制管辖范围内的路灯维修计划并实施；按时、优质完成城市照明工程的安装施工任务；认真贯彻执行《城市道路照明设施管理规定》；负责因交通事故或自然灾害造成的城市照明设施损坏抢修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项目办</w:t>
      </w:r>
    </w:p>
    <w:p>
      <w:pPr>
        <w:spacing w:line="560" w:lineRule="exact"/>
        <w:ind w:firstLine="640" w:firstLineChars="200"/>
        <w:rPr>
          <w:rFonts w:ascii="仿宋" w:hAnsi="仿宋" w:eastAsia="仿宋"/>
          <w:sz w:val="32"/>
          <w:szCs w:val="32"/>
        </w:rPr>
      </w:pPr>
      <w:r>
        <w:rPr>
          <w:rFonts w:ascii="仿宋" w:hAnsi="仿宋" w:eastAsia="仿宋"/>
          <w:sz w:val="32"/>
          <w:szCs w:val="32"/>
        </w:rPr>
        <w:t>负责城建、园林、路灯等公共设施项目前期手续的办理。负责县城建设及文明县城创建工作。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档案室</w:t>
      </w:r>
    </w:p>
    <w:p>
      <w:pPr>
        <w:spacing w:line="560" w:lineRule="exact"/>
        <w:ind w:firstLine="640" w:firstLineChars="200"/>
        <w:rPr>
          <w:rFonts w:ascii="仿宋" w:hAnsi="仿宋" w:eastAsia="仿宋"/>
          <w:sz w:val="32"/>
          <w:szCs w:val="32"/>
        </w:rPr>
      </w:pPr>
      <w:r>
        <w:rPr>
          <w:rFonts w:ascii="仿宋" w:hAnsi="仿宋" w:eastAsia="仿宋"/>
          <w:sz w:val="32"/>
          <w:szCs w:val="32"/>
        </w:rPr>
        <w:t xml:space="preserve"> 负责全局档案的保存和管理工作。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党委办</w:t>
      </w:r>
    </w:p>
    <w:p>
      <w:pPr>
        <w:spacing w:line="560" w:lineRule="exact"/>
        <w:ind w:firstLine="640" w:firstLineChars="200"/>
        <w:rPr>
          <w:rFonts w:ascii="仿宋" w:hAnsi="仿宋" w:eastAsia="仿宋"/>
          <w:sz w:val="32"/>
          <w:szCs w:val="32"/>
        </w:rPr>
      </w:pPr>
      <w:r>
        <w:rPr>
          <w:rFonts w:ascii="仿宋" w:hAnsi="仿宋" w:eastAsia="仿宋"/>
          <w:sz w:val="32"/>
          <w:szCs w:val="32"/>
        </w:rPr>
        <w:t>负责机关和所属单位的党建和群众工作；负责机关退休干部工作；负责机关、所属单位的机关编制、人事管理工作；负责局管干部、职工调配工作；负责承办专业技术职称评聘工作；负责局机关和局属单位工作人员的年度考核工作；负责纪检监察、信访稳定、政法、宗教、工会、妇联、共青团、计划生育及精神文明工作；负责组织开展各项政治中心活动。</w:t>
      </w:r>
    </w:p>
    <w:p>
      <w:pPr>
        <w:spacing w:line="560" w:lineRule="exact"/>
        <w:ind w:left="640"/>
        <w:rPr>
          <w:rFonts w:ascii="楷体" w:hAnsi="楷体" w:eastAsia="楷体" w:cs="仿宋"/>
          <w:sz w:val="32"/>
          <w:szCs w:val="32"/>
        </w:rPr>
      </w:pPr>
      <w:r>
        <w:rPr>
          <w:rFonts w:hint="eastAsia" w:ascii="楷体" w:hAnsi="楷体" w:eastAsia="楷体" w:cs="仿宋"/>
          <w:sz w:val="32"/>
          <w:szCs w:val="32"/>
        </w:rPr>
        <w:t>（二）机构设置</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我局内设机构四个：综合办公室、计财股、</w:t>
      </w:r>
      <w:r>
        <w:rPr>
          <w:rFonts w:hint="eastAsia" w:ascii="仿宋" w:hAnsi="仿宋" w:eastAsia="仿宋"/>
          <w:sz w:val="32"/>
          <w:szCs w:val="32"/>
        </w:rPr>
        <w:t>城乡建设股、建筑市场监管股（原工程股）；事业单位九个：住房保障和房产管理中心、园林绿化管理站、建筑工程质量监督站、建筑工程施工安全监督站、建筑市场稽查所、节能墙材改革管理站、征收中心、建筑设计室、建筑工程质量检测站</w:t>
      </w:r>
      <w:r>
        <w:rPr>
          <w:rFonts w:hint="eastAsia" w:ascii="仿宋" w:hAnsi="仿宋" w:eastAsia="仿宋" w:cs="仿宋"/>
          <w:sz w:val="32"/>
          <w:szCs w:val="32"/>
        </w:rPr>
        <w:t>；</w:t>
      </w:r>
      <w:r>
        <w:rPr>
          <w:rFonts w:hint="eastAsia" w:ascii="仿宋" w:hAnsi="仿宋" w:eastAsia="仿宋"/>
          <w:sz w:val="32"/>
          <w:szCs w:val="32"/>
        </w:rPr>
        <w:t>临时（自设）机构六个：燃气管理办公室、村镇股（危改办）、路灯管理办公室、项目办、档案室、党委办。</w:t>
      </w:r>
    </w:p>
    <w:p>
      <w:pPr>
        <w:spacing w:line="560" w:lineRule="exact"/>
        <w:ind w:firstLine="640" w:firstLineChars="200"/>
        <w:rPr>
          <w:rFonts w:ascii="仿宋" w:hAnsi="仿宋" w:eastAsia="仿宋" w:cs="仿宋"/>
          <w:sz w:val="32"/>
          <w:szCs w:val="32"/>
        </w:rPr>
      </w:pPr>
    </w:p>
    <w:p>
      <w:pPr>
        <w:spacing w:line="560" w:lineRule="exact"/>
        <w:rPr>
          <w:rFonts w:ascii="仿宋" w:hAnsi="仿宋" w:eastAsia="仿宋" w:cs="仿宋"/>
          <w:b/>
          <w:color w:val="000000"/>
          <w:sz w:val="32"/>
          <w:szCs w:val="32"/>
        </w:rPr>
      </w:pPr>
      <w:r>
        <w:rPr>
          <w:rFonts w:hint="eastAsia" w:ascii="仿宋" w:hAnsi="仿宋" w:eastAsia="仿宋" w:cs="仿宋"/>
          <w:b/>
          <w:color w:val="000000"/>
          <w:sz w:val="32"/>
          <w:szCs w:val="32"/>
        </w:rPr>
        <w:t>部门机构设置情况</w:t>
      </w:r>
    </w:p>
    <w:tbl>
      <w:tblPr>
        <w:tblStyle w:val="11"/>
        <w:tblW w:w="0" w:type="auto"/>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3828"/>
        <w:gridCol w:w="1842"/>
        <w:gridCol w:w="2268"/>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75"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序号</w:t>
            </w:r>
          </w:p>
        </w:tc>
        <w:tc>
          <w:tcPr>
            <w:tcW w:w="3828"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单位名称</w:t>
            </w:r>
          </w:p>
        </w:tc>
        <w:tc>
          <w:tcPr>
            <w:tcW w:w="1842"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单位性质</w:t>
            </w:r>
          </w:p>
        </w:tc>
        <w:tc>
          <w:tcPr>
            <w:tcW w:w="2268"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单位规格</w:t>
            </w:r>
          </w:p>
        </w:tc>
        <w:tc>
          <w:tcPr>
            <w:tcW w:w="4253"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275"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1</w:t>
            </w:r>
          </w:p>
        </w:tc>
        <w:tc>
          <w:tcPr>
            <w:tcW w:w="3828"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涞水县住房和城乡建设局</w:t>
            </w:r>
          </w:p>
        </w:tc>
        <w:tc>
          <w:tcPr>
            <w:tcW w:w="1842"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行政</w:t>
            </w:r>
          </w:p>
        </w:tc>
        <w:tc>
          <w:tcPr>
            <w:tcW w:w="2268"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正科级</w:t>
            </w:r>
          </w:p>
        </w:tc>
        <w:tc>
          <w:tcPr>
            <w:tcW w:w="4253"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275"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2</w:t>
            </w:r>
          </w:p>
        </w:tc>
        <w:tc>
          <w:tcPr>
            <w:tcW w:w="3828"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涞水县</w:t>
            </w:r>
            <w:r>
              <w:rPr>
                <w:rFonts w:hint="eastAsia" w:ascii="仿宋" w:hAnsi="仿宋" w:eastAsia="仿宋"/>
                <w:sz w:val="32"/>
                <w:szCs w:val="32"/>
              </w:rPr>
              <w:t>住房保障和房产管理中心</w:t>
            </w:r>
          </w:p>
        </w:tc>
        <w:tc>
          <w:tcPr>
            <w:tcW w:w="1842"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事业</w:t>
            </w:r>
          </w:p>
        </w:tc>
        <w:tc>
          <w:tcPr>
            <w:tcW w:w="2268"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股级</w:t>
            </w:r>
          </w:p>
        </w:tc>
        <w:tc>
          <w:tcPr>
            <w:tcW w:w="4253"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财政拨款基本保证</w:t>
            </w:r>
          </w:p>
        </w:tc>
      </w:tr>
    </w:tbl>
    <w:p>
      <w:pPr>
        <w:spacing w:line="560" w:lineRule="exact"/>
        <w:rPr>
          <w:rFonts w:ascii="仿宋" w:hAnsi="仿宋" w:eastAsia="仿宋" w:cs="仿宋"/>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二、部门预算安排总体情况</w:t>
      </w:r>
    </w:p>
    <w:p>
      <w:pPr>
        <w:spacing w:line="560" w:lineRule="exact"/>
        <w:ind w:left="640"/>
        <w:rPr>
          <w:rFonts w:ascii="仿宋" w:hAnsi="仿宋" w:eastAsia="仿宋" w:cs="仿宋"/>
          <w:b/>
          <w:bCs/>
          <w:sz w:val="32"/>
          <w:szCs w:val="32"/>
        </w:rPr>
      </w:pPr>
      <w:r>
        <w:rPr>
          <w:rFonts w:hint="eastAsia" w:ascii="仿宋" w:hAnsi="仿宋" w:eastAsia="仿宋" w:cs="仿宋"/>
          <w:b/>
          <w:bCs/>
          <w:sz w:val="32"/>
          <w:szCs w:val="32"/>
        </w:rPr>
        <w:t>1、收入说明</w:t>
      </w:r>
    </w:p>
    <w:p>
      <w:pPr>
        <w:spacing w:line="560" w:lineRule="exact"/>
        <w:ind w:firstLine="480" w:firstLineChars="150"/>
        <w:rPr>
          <w:rFonts w:ascii="仿宋" w:hAnsi="仿宋" w:eastAsia="仿宋" w:cs="仿宋"/>
          <w:sz w:val="32"/>
          <w:szCs w:val="32"/>
          <w:lang w:val="uk-UA" w:eastAsia="zh-CN"/>
        </w:rPr>
      </w:pPr>
      <w:r>
        <w:rPr>
          <w:rFonts w:hint="eastAsia" w:ascii="仿宋" w:hAnsi="仿宋" w:eastAsia="仿宋" w:cs="仿宋"/>
          <w:sz w:val="32"/>
          <w:szCs w:val="32"/>
        </w:rPr>
        <w:t>反映本部门当年全部收入。2022年预算收入7455.98万元，其中：一般公共预算拨款2562.17万元（一般财力2018.17万元，上级一般公共预算安排转移支付544万元），基金预算拨款3850万元，上年财政拨款结转1043.81万元（一般公共预算拨款261.08万元，基金预算拨款782.73万元）。</w:t>
      </w:r>
    </w:p>
    <w:p>
      <w:pPr>
        <w:spacing w:line="560" w:lineRule="exact"/>
        <w:ind w:left="640"/>
        <w:rPr>
          <w:rFonts w:ascii="仿宋" w:hAnsi="仿宋" w:eastAsia="仿宋" w:cs="仿宋"/>
          <w:b/>
          <w:bCs/>
          <w:sz w:val="32"/>
          <w:szCs w:val="32"/>
        </w:rPr>
      </w:pPr>
      <w:r>
        <w:rPr>
          <w:rFonts w:hint="eastAsia" w:ascii="仿宋" w:hAnsi="仿宋" w:eastAsia="仿宋" w:cs="仿宋"/>
          <w:b/>
          <w:bCs/>
          <w:sz w:val="32"/>
          <w:szCs w:val="32"/>
        </w:rPr>
        <w:t>2、支出说明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收支预算总表支出栏、基本支出表、项目支出表按经济分类和支出功能分类科目编制，反映我部门预算中支出预算的总体情况。2022年预算支出7455.98万元，其中：基本支出1176.81万元（人员经费1049.75万元，日常公用经费127.06万元），项目支出6279.17万元，主要为2020年污泥干化断档期、2021年第八批政府债券资金（城区排水管网项目）冀财债[2021]57号、2021年省级财政农村危房改造补助资金（冀财社[2020]208号）、2021年中央财政农村危房改造补助资金（冀财社[2020]196号）、2021年省级财政农村危房改造补助资金（冀财社[2021]75号）、2021年中央财政农村危房改造补助资金（冀财社[2021]50号）、2021年中央财政危房改造补助资金（冀财社[2021]63号）、2022年保障性住房维修资金、2022年公租房智能化建设资金、2022年省级老旧小区改造奖励资金（冀财建[2021]232号）、朝阳路路面升级改造项目、京昆高速涞水西连接线道路景观绿化工程（第一标段）、南水北调引江水费、申通加油站经营损失费、涞水滨河公园新建公厕项目、涞水县拒马河城区段绿化养护项目、涞水县污水处理厂委托运营费、涞水县污水处理厂污泥干化项目、涞水县涞阳南路分车带绿化养护项目、涞水县城区雨污分流改造工程（二期）勘察、设计费、涞水县路灯亮化日常维护维修项目、2022年涞水县城东、城西污水</w:t>
      </w:r>
      <w:r>
        <w:rPr>
          <w:rFonts w:hint="eastAsia" w:ascii="仿宋" w:hAnsi="仿宋" w:eastAsia="仿宋" w:cs="仿宋"/>
          <w:sz w:val="32"/>
          <w:szCs w:val="32"/>
          <w:lang w:eastAsia="zh-CN"/>
        </w:rPr>
        <w:t>处理</w:t>
      </w:r>
      <w:r>
        <w:rPr>
          <w:rFonts w:hint="eastAsia" w:ascii="仿宋" w:hAnsi="仿宋" w:eastAsia="仿宋" w:cs="仿宋"/>
          <w:sz w:val="32"/>
          <w:szCs w:val="32"/>
        </w:rPr>
        <w:t>厂土地使用税、2022年城区路灯电费、2022年度“气代煤”村级安全监管员工资等49个项目。</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3、比上年增减情况</w:t>
      </w:r>
    </w:p>
    <w:p>
      <w:pPr>
        <w:spacing w:line="560" w:lineRule="exact"/>
        <w:rPr>
          <w:rFonts w:ascii="仿宋_GB2312" w:hAnsi="仿宋" w:eastAsia="仿宋_GB2312"/>
          <w:sz w:val="32"/>
          <w:szCs w:val="32"/>
        </w:rPr>
      </w:pPr>
      <w:r>
        <w:rPr>
          <w:rFonts w:hint="eastAsia" w:ascii="仿宋" w:hAnsi="仿宋" w:eastAsia="仿宋" w:cs="仿宋"/>
          <w:sz w:val="32"/>
          <w:szCs w:val="32"/>
        </w:rPr>
        <w:t xml:space="preserve">    本年度预算收支安排7455.98万元，较上年减少102.07万元，其中：基本支出增加3.91万元，主要是职工的工资待遇调增，缴纳的各类保险增加，人员经费增加；项目支出减少105.98万元，主要是一般公共预算财政拨款安排的项目支出减少。</w:t>
      </w:r>
    </w:p>
    <w:p>
      <w:pPr>
        <w:spacing w:line="560" w:lineRule="exact"/>
        <w:ind w:left="-80"/>
        <w:rPr>
          <w:rFonts w:ascii="黑体" w:hAnsi="黑体" w:eastAsia="黑体" w:cs="仿宋"/>
          <w:color w:val="000000"/>
          <w:sz w:val="32"/>
          <w:szCs w:val="32"/>
        </w:rPr>
      </w:pPr>
      <w:r>
        <w:rPr>
          <w:rFonts w:hint="eastAsia" w:ascii="黑体" w:hAnsi="黑体" w:eastAsia="黑体" w:cs="仿宋"/>
          <w:color w:val="000000"/>
          <w:sz w:val="32"/>
          <w:szCs w:val="32"/>
        </w:rPr>
        <w:t xml:space="preserve"> 三、机关运行经费安排情况</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2022年，本部门共计安排机关运行经费127.06万元,其中：办公费30.18万元，邮电费0.36万元，办公用房取暖费10.01万元，差旅费14.40万元，公务接待费1.5万元，公务用车运行维护费4万元，其他交通费用6.18万元，工会经费8.67万元，职工福利费17.95万元，劳务费33.25万元，其他商品和服务支出0.56万元。</w:t>
      </w:r>
    </w:p>
    <w:p>
      <w:pPr>
        <w:spacing w:line="560" w:lineRule="exact"/>
        <w:ind w:firstLine="630"/>
        <w:rPr>
          <w:rFonts w:ascii="黑体" w:hAnsi="黑体" w:eastAsia="黑体" w:cs="仿宋"/>
          <w:color w:val="000000"/>
          <w:sz w:val="32"/>
          <w:szCs w:val="32"/>
        </w:rPr>
      </w:pPr>
      <w:r>
        <w:rPr>
          <w:rFonts w:hint="eastAsia" w:ascii="黑体" w:hAnsi="黑体" w:eastAsia="黑体" w:cs="仿宋"/>
          <w:color w:val="000000"/>
          <w:sz w:val="32"/>
          <w:szCs w:val="32"/>
        </w:rPr>
        <w:t>四、财政拨款“三公”经费预算情况</w:t>
      </w:r>
    </w:p>
    <w:p>
      <w:pPr>
        <w:spacing w:line="560" w:lineRule="exact"/>
        <w:ind w:firstLine="630"/>
        <w:rPr>
          <w:rFonts w:ascii="仿宋" w:hAnsi="仿宋" w:eastAsia="仿宋" w:cs="仿宋"/>
          <w:color w:val="000000"/>
          <w:sz w:val="32"/>
          <w:szCs w:val="32"/>
        </w:rPr>
      </w:pPr>
      <w:r>
        <w:rPr>
          <w:rFonts w:hint="eastAsia" w:ascii="仿宋" w:hAnsi="仿宋" w:eastAsia="仿宋" w:cs="仿宋"/>
          <w:color w:val="000000"/>
          <w:sz w:val="32"/>
          <w:szCs w:val="32"/>
        </w:rPr>
        <w:t>2022年，本部门共计安排一般公共预算拨款“三公”经费5.5万元，其中：公务用车购置及运行维护费4万元，公务接待费1.50万元。</w:t>
      </w:r>
    </w:p>
    <w:p>
      <w:pPr>
        <w:spacing w:line="560" w:lineRule="exact"/>
        <w:ind w:firstLine="630"/>
        <w:rPr>
          <w:rFonts w:ascii="仿宋" w:hAnsi="仿宋" w:eastAsia="仿宋" w:cs="仿宋"/>
          <w:color w:val="000000"/>
          <w:sz w:val="32"/>
          <w:szCs w:val="32"/>
        </w:rPr>
      </w:pPr>
      <w:r>
        <w:rPr>
          <w:rFonts w:hint="eastAsia" w:ascii="仿宋" w:hAnsi="仿宋" w:eastAsia="仿宋" w:cs="仿宋"/>
          <w:color w:val="000000"/>
          <w:sz w:val="32"/>
          <w:szCs w:val="32"/>
        </w:rPr>
        <w:t>本部门2021年安排“三公”经费25万元，其中：公务用车运行维护费23.5万元，公务接待费1.50万元。</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与上年度相比，公务用车购置及运行维护费减少19.50万元，主要原因是本年度没有公务用车购置费支出，公车运行维护费因机构改革，费用减少；公务接待费预算安排没有发生变化。</w:t>
      </w:r>
    </w:p>
    <w:p>
      <w:pPr>
        <w:spacing w:line="560" w:lineRule="exact"/>
        <w:ind w:firstLine="2570" w:firstLineChars="800"/>
        <w:rPr>
          <w:rFonts w:ascii="仿宋" w:hAnsi="仿宋" w:eastAsia="仿宋" w:cs="仿宋"/>
          <w:b/>
          <w:sz w:val="32"/>
          <w:szCs w:val="32"/>
          <w:lang w:eastAsia="zh-CN"/>
        </w:rPr>
      </w:pPr>
    </w:p>
    <w:p>
      <w:pPr>
        <w:spacing w:line="560" w:lineRule="exact"/>
        <w:ind w:firstLine="3694" w:firstLineChars="1150"/>
        <w:rPr>
          <w:rFonts w:ascii="仿宋" w:hAnsi="仿宋" w:eastAsia="仿宋" w:cs="仿宋"/>
          <w:b/>
          <w:sz w:val="32"/>
          <w:szCs w:val="32"/>
        </w:rPr>
      </w:pPr>
      <w:r>
        <w:rPr>
          <w:rFonts w:hint="eastAsia" w:ascii="仿宋" w:hAnsi="仿宋" w:eastAsia="仿宋" w:cs="仿宋"/>
          <w:b/>
          <w:sz w:val="32"/>
          <w:szCs w:val="32"/>
        </w:rPr>
        <w:t>“三公”经费预算情况及增减变化原因</w:t>
      </w:r>
    </w:p>
    <w:p>
      <w:pPr>
        <w:spacing w:line="560" w:lineRule="exact"/>
        <w:ind w:firstLine="630"/>
        <w:rPr>
          <w:rFonts w:ascii="仿宋" w:hAnsi="仿宋" w:eastAsia="仿宋" w:cs="仿宋"/>
          <w:b/>
          <w:sz w:val="32"/>
          <w:szCs w:val="32"/>
        </w:rPr>
      </w:pPr>
      <w:r>
        <w:rPr>
          <w:rFonts w:hint="eastAsia" w:ascii="仿宋" w:hAnsi="仿宋" w:eastAsia="仿宋" w:cs="仿宋"/>
          <w:b/>
          <w:sz w:val="32"/>
          <w:szCs w:val="32"/>
        </w:rPr>
        <w:t xml:space="preserve"> 单位：万元</w:t>
      </w:r>
    </w:p>
    <w:p>
      <w:pPr>
        <w:spacing w:line="560" w:lineRule="exact"/>
        <w:ind w:firstLine="630"/>
        <w:rPr>
          <w:rFonts w:ascii="仿宋" w:hAnsi="仿宋" w:eastAsia="仿宋" w:cs="仿宋"/>
          <w:sz w:val="32"/>
          <w:szCs w:val="32"/>
        </w:rPr>
      </w:pP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2268"/>
        <w:gridCol w:w="2268"/>
        <w:gridCol w:w="1985"/>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560" w:lineRule="exact"/>
              <w:rPr>
                <w:rFonts w:ascii="仿宋" w:hAnsi="仿宋" w:eastAsia="仿宋" w:cs="仿宋"/>
                <w:sz w:val="28"/>
                <w:szCs w:val="28"/>
              </w:rPr>
            </w:pPr>
            <w:r>
              <w:rPr>
                <w:rFonts w:hint="eastAsia" w:ascii="仿宋" w:hAnsi="仿宋" w:eastAsia="仿宋" w:cs="仿宋"/>
                <w:sz w:val="28"/>
                <w:szCs w:val="28"/>
              </w:rPr>
              <w:t>项目名称</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2022年度预算</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2021年度预算</w:t>
            </w:r>
          </w:p>
        </w:tc>
        <w:tc>
          <w:tcPr>
            <w:tcW w:w="1985" w:type="dxa"/>
          </w:tcPr>
          <w:p>
            <w:pPr>
              <w:spacing w:line="560" w:lineRule="exact"/>
              <w:rPr>
                <w:rFonts w:ascii="仿宋" w:hAnsi="仿宋" w:eastAsia="仿宋" w:cs="仿宋"/>
                <w:sz w:val="28"/>
                <w:szCs w:val="28"/>
              </w:rPr>
            </w:pPr>
            <w:r>
              <w:rPr>
                <w:rFonts w:hint="eastAsia" w:ascii="仿宋" w:hAnsi="仿宋" w:eastAsia="仿宋" w:cs="仿宋"/>
                <w:sz w:val="28"/>
                <w:szCs w:val="28"/>
              </w:rPr>
              <w:t>增减金额</w:t>
            </w:r>
          </w:p>
        </w:tc>
        <w:tc>
          <w:tcPr>
            <w:tcW w:w="3685" w:type="dxa"/>
          </w:tcPr>
          <w:p>
            <w:pPr>
              <w:spacing w:line="560" w:lineRule="exact"/>
              <w:rPr>
                <w:rFonts w:ascii="仿宋" w:hAnsi="仿宋" w:eastAsia="仿宋" w:cs="仿宋"/>
                <w:sz w:val="28"/>
                <w:szCs w:val="28"/>
              </w:rPr>
            </w:pPr>
            <w:r>
              <w:rPr>
                <w:rFonts w:hint="eastAsia" w:ascii="仿宋" w:hAnsi="仿宋" w:eastAsia="仿宋" w:cs="仿宋"/>
                <w:sz w:val="28"/>
                <w:szCs w:val="28"/>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560" w:lineRule="exact"/>
              <w:rPr>
                <w:rFonts w:ascii="仿宋" w:hAnsi="仿宋" w:eastAsia="仿宋" w:cs="仿宋"/>
                <w:sz w:val="28"/>
                <w:szCs w:val="28"/>
              </w:rPr>
            </w:pPr>
            <w:r>
              <w:rPr>
                <w:rFonts w:hint="eastAsia" w:ascii="仿宋" w:hAnsi="仿宋" w:eastAsia="仿宋" w:cs="仿宋"/>
                <w:sz w:val="28"/>
                <w:szCs w:val="28"/>
              </w:rPr>
              <w:t>因公出国经费</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0</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0</w:t>
            </w:r>
          </w:p>
        </w:tc>
        <w:tc>
          <w:tcPr>
            <w:tcW w:w="1985" w:type="dxa"/>
          </w:tcPr>
          <w:p>
            <w:pPr>
              <w:spacing w:line="560" w:lineRule="exact"/>
              <w:rPr>
                <w:rFonts w:ascii="仿宋" w:hAnsi="仿宋" w:eastAsia="仿宋" w:cs="仿宋"/>
                <w:sz w:val="28"/>
                <w:szCs w:val="28"/>
              </w:rPr>
            </w:pPr>
            <w:r>
              <w:rPr>
                <w:rFonts w:hint="eastAsia" w:ascii="仿宋" w:hAnsi="仿宋" w:eastAsia="仿宋" w:cs="仿宋"/>
                <w:sz w:val="28"/>
                <w:szCs w:val="28"/>
              </w:rPr>
              <w:t>0</w:t>
            </w:r>
          </w:p>
        </w:tc>
        <w:tc>
          <w:tcPr>
            <w:tcW w:w="3685" w:type="dxa"/>
          </w:tcPr>
          <w:p>
            <w:pPr>
              <w:spacing w:line="560" w:lineRule="exact"/>
              <w:rPr>
                <w:rFonts w:ascii="仿宋" w:hAnsi="仿宋" w:eastAsia="仿宋" w:cs="仿宋"/>
              </w:rPr>
            </w:pPr>
            <w:r>
              <w:rPr>
                <w:rFonts w:hint="eastAsia" w:ascii="仿宋" w:hAnsi="仿宋" w:eastAsia="仿宋" w:cs="仿宋"/>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560" w:lineRule="exact"/>
              <w:rPr>
                <w:rFonts w:ascii="仿宋" w:hAnsi="仿宋" w:eastAsia="仿宋" w:cs="仿宋"/>
                <w:sz w:val="28"/>
                <w:szCs w:val="28"/>
              </w:rPr>
            </w:pPr>
            <w:r>
              <w:rPr>
                <w:rFonts w:hint="eastAsia" w:ascii="仿宋" w:hAnsi="仿宋" w:eastAsia="仿宋" w:cs="仿宋"/>
                <w:sz w:val="28"/>
                <w:szCs w:val="28"/>
              </w:rPr>
              <w:t>公务用车购置经费</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0</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12.00</w:t>
            </w:r>
          </w:p>
        </w:tc>
        <w:tc>
          <w:tcPr>
            <w:tcW w:w="1985" w:type="dxa"/>
          </w:tcPr>
          <w:p>
            <w:pPr>
              <w:spacing w:line="560" w:lineRule="exact"/>
              <w:rPr>
                <w:rFonts w:ascii="仿宋" w:hAnsi="仿宋" w:eastAsia="仿宋" w:cs="仿宋"/>
                <w:sz w:val="28"/>
                <w:szCs w:val="28"/>
              </w:rPr>
            </w:pPr>
            <w:r>
              <w:rPr>
                <w:rFonts w:hint="eastAsia" w:ascii="仿宋" w:hAnsi="仿宋" w:eastAsia="仿宋" w:cs="仿宋"/>
                <w:sz w:val="28"/>
                <w:szCs w:val="28"/>
              </w:rPr>
              <w:t>12.00</w:t>
            </w:r>
          </w:p>
        </w:tc>
        <w:tc>
          <w:tcPr>
            <w:tcW w:w="3685" w:type="dxa"/>
          </w:tcPr>
          <w:p>
            <w:pPr>
              <w:spacing w:line="560" w:lineRule="exact"/>
              <w:rPr>
                <w:rFonts w:ascii="仿宋" w:hAnsi="仿宋" w:eastAsia="仿宋" w:cs="仿宋"/>
              </w:rPr>
            </w:pPr>
            <w:r>
              <w:rPr>
                <w:rFonts w:hint="eastAsia" w:ascii="仿宋" w:hAnsi="仿宋" w:eastAsia="仿宋" w:cs="仿宋"/>
              </w:rPr>
              <w:t>本年度无公车购置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560" w:lineRule="exact"/>
              <w:rPr>
                <w:rFonts w:ascii="仿宋" w:hAnsi="仿宋" w:eastAsia="仿宋" w:cs="仿宋"/>
                <w:sz w:val="28"/>
                <w:szCs w:val="28"/>
              </w:rPr>
            </w:pPr>
            <w:r>
              <w:rPr>
                <w:rFonts w:hint="eastAsia" w:ascii="仿宋" w:hAnsi="仿宋" w:eastAsia="仿宋" w:cs="仿宋"/>
                <w:sz w:val="28"/>
                <w:szCs w:val="28"/>
              </w:rPr>
              <w:t>公务用车运行经费</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4.00</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11.50</w:t>
            </w:r>
          </w:p>
        </w:tc>
        <w:tc>
          <w:tcPr>
            <w:tcW w:w="1985" w:type="dxa"/>
          </w:tcPr>
          <w:p>
            <w:pPr>
              <w:spacing w:line="560" w:lineRule="exact"/>
              <w:rPr>
                <w:rFonts w:ascii="仿宋" w:hAnsi="仿宋" w:eastAsia="仿宋" w:cs="仿宋"/>
                <w:sz w:val="28"/>
                <w:szCs w:val="28"/>
              </w:rPr>
            </w:pPr>
            <w:r>
              <w:rPr>
                <w:rFonts w:hint="eastAsia" w:ascii="仿宋" w:hAnsi="仿宋" w:eastAsia="仿宋" w:cs="仿宋"/>
                <w:sz w:val="28"/>
                <w:szCs w:val="28"/>
              </w:rPr>
              <w:t>7.50</w:t>
            </w:r>
          </w:p>
        </w:tc>
        <w:tc>
          <w:tcPr>
            <w:tcW w:w="3685" w:type="dxa"/>
          </w:tcPr>
          <w:p>
            <w:pPr>
              <w:spacing w:line="560" w:lineRule="exact"/>
              <w:rPr>
                <w:rFonts w:ascii="仿宋" w:hAnsi="仿宋" w:eastAsia="仿宋" w:cs="仿宋"/>
                <w:szCs w:val="21"/>
              </w:rPr>
            </w:pPr>
            <w:r>
              <w:rPr>
                <w:rFonts w:hint="eastAsia" w:ascii="仿宋" w:hAnsi="仿宋" w:eastAsia="仿宋" w:cs="仿宋"/>
              </w:rPr>
              <w:t>机构改革，经费减少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560" w:lineRule="exact"/>
              <w:rPr>
                <w:rFonts w:ascii="仿宋" w:hAnsi="仿宋" w:eastAsia="仿宋" w:cs="仿宋"/>
                <w:sz w:val="28"/>
                <w:szCs w:val="28"/>
              </w:rPr>
            </w:pPr>
            <w:r>
              <w:rPr>
                <w:rFonts w:hint="eastAsia" w:ascii="仿宋" w:hAnsi="仿宋" w:eastAsia="仿宋" w:cs="仿宋"/>
                <w:sz w:val="28"/>
                <w:szCs w:val="28"/>
              </w:rPr>
              <w:t>公务接待费支出</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1.50</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1.50</w:t>
            </w:r>
          </w:p>
        </w:tc>
        <w:tc>
          <w:tcPr>
            <w:tcW w:w="1985" w:type="dxa"/>
          </w:tcPr>
          <w:p>
            <w:pPr>
              <w:spacing w:line="560" w:lineRule="exact"/>
              <w:rPr>
                <w:rFonts w:ascii="仿宋" w:hAnsi="仿宋" w:eastAsia="仿宋" w:cs="仿宋"/>
                <w:sz w:val="28"/>
                <w:szCs w:val="28"/>
              </w:rPr>
            </w:pPr>
            <w:r>
              <w:rPr>
                <w:rFonts w:hint="eastAsia" w:ascii="仿宋" w:hAnsi="仿宋" w:eastAsia="仿宋" w:cs="仿宋"/>
                <w:sz w:val="28"/>
                <w:szCs w:val="28"/>
              </w:rPr>
              <w:t>0</w:t>
            </w:r>
          </w:p>
        </w:tc>
        <w:tc>
          <w:tcPr>
            <w:tcW w:w="3685" w:type="dxa"/>
          </w:tcPr>
          <w:p>
            <w:pPr>
              <w:spacing w:line="560" w:lineRule="exact"/>
              <w:rPr>
                <w:rFonts w:ascii="仿宋" w:hAnsi="仿宋" w:eastAsia="仿宋" w:cs="仿宋"/>
                <w:sz w:val="28"/>
                <w:szCs w:val="28"/>
              </w:rPr>
            </w:pPr>
            <w:r>
              <w:rPr>
                <w:rFonts w:hint="eastAsia" w:ascii="仿宋" w:hAnsi="仿宋" w:eastAsia="仿宋" w:cs="仿宋"/>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spacing w:line="560" w:lineRule="exact"/>
              <w:rPr>
                <w:rFonts w:ascii="仿宋" w:hAnsi="仿宋" w:eastAsia="仿宋" w:cs="仿宋"/>
                <w:sz w:val="28"/>
                <w:szCs w:val="28"/>
              </w:rPr>
            </w:pPr>
            <w:r>
              <w:rPr>
                <w:rFonts w:hint="eastAsia" w:ascii="仿宋" w:hAnsi="仿宋" w:eastAsia="仿宋" w:cs="仿宋"/>
                <w:sz w:val="28"/>
                <w:szCs w:val="28"/>
              </w:rPr>
              <w:t>合计</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5.50</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25.00</w:t>
            </w:r>
          </w:p>
        </w:tc>
        <w:tc>
          <w:tcPr>
            <w:tcW w:w="1985" w:type="dxa"/>
          </w:tcPr>
          <w:p>
            <w:pPr>
              <w:spacing w:line="560" w:lineRule="exact"/>
              <w:rPr>
                <w:rFonts w:ascii="仿宋" w:hAnsi="仿宋" w:eastAsia="仿宋" w:cs="仿宋"/>
                <w:sz w:val="28"/>
                <w:szCs w:val="28"/>
              </w:rPr>
            </w:pPr>
            <w:r>
              <w:rPr>
                <w:rFonts w:hint="eastAsia" w:ascii="仿宋" w:hAnsi="仿宋" w:eastAsia="仿宋" w:cs="仿宋"/>
                <w:sz w:val="28"/>
                <w:szCs w:val="28"/>
              </w:rPr>
              <w:t>19.50</w:t>
            </w:r>
          </w:p>
        </w:tc>
        <w:tc>
          <w:tcPr>
            <w:tcW w:w="3685" w:type="dxa"/>
          </w:tcPr>
          <w:p>
            <w:pPr>
              <w:spacing w:line="560" w:lineRule="exact"/>
              <w:rPr>
                <w:rFonts w:ascii="仿宋" w:hAnsi="仿宋" w:eastAsia="仿宋" w:cs="仿宋"/>
                <w:sz w:val="28"/>
                <w:szCs w:val="28"/>
              </w:rPr>
            </w:pPr>
            <w:r>
              <w:rPr>
                <w:rFonts w:hint="eastAsia" w:ascii="仿宋" w:hAnsi="仿宋" w:eastAsia="仿宋" w:cs="仿宋"/>
              </w:rPr>
              <w:t>我局申请2021年购置公车一辆</w:t>
            </w:r>
          </w:p>
        </w:tc>
      </w:tr>
    </w:tbl>
    <w:p>
      <w:pPr>
        <w:spacing w:line="560" w:lineRule="exact"/>
        <w:rPr>
          <w:rFonts w:ascii="仿宋" w:hAnsi="仿宋" w:eastAsia="仿宋" w:cs="仿宋"/>
          <w:sz w:val="32"/>
          <w:szCs w:val="32"/>
        </w:rPr>
      </w:pPr>
    </w:p>
    <w:p>
      <w:pPr>
        <w:widowControl w:val="0"/>
        <w:numPr>
          <w:ilvl w:val="0"/>
          <w:numId w:val="1"/>
        </w:numPr>
        <w:spacing w:line="560" w:lineRule="exact"/>
        <w:ind w:firstLine="630"/>
        <w:jc w:val="both"/>
        <w:rPr>
          <w:rFonts w:ascii="黑体" w:hAnsi="黑体" w:eastAsia="黑体" w:cs="仿宋"/>
          <w:color w:val="000000"/>
          <w:sz w:val="32"/>
          <w:szCs w:val="32"/>
        </w:rPr>
      </w:pPr>
      <w:r>
        <w:rPr>
          <w:rFonts w:hint="eastAsia" w:ascii="黑体" w:hAnsi="黑体" w:eastAsia="黑体" w:cs="仿宋"/>
          <w:color w:val="000000"/>
          <w:sz w:val="32"/>
          <w:szCs w:val="32"/>
        </w:rPr>
        <w:t>绩效预算信息情况</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第一部分：部门整体绩效目标</w:t>
      </w:r>
    </w:p>
    <w:p>
      <w:pPr>
        <w:spacing w:before="10" w:after="10"/>
        <w:ind w:firstLine="560"/>
        <w:outlineLvl w:val="1"/>
        <w:rPr>
          <w:rFonts w:ascii="仿宋" w:hAnsi="仿宋" w:eastAsia="仿宋"/>
          <w:sz w:val="32"/>
          <w:szCs w:val="32"/>
        </w:rPr>
      </w:pPr>
      <w:bookmarkStart w:id="6" w:name="_Toc_2_2_0000000001"/>
      <w:r>
        <w:rPr>
          <w:rFonts w:ascii="仿宋" w:hAnsi="仿宋" w:eastAsia="仿宋" w:cs="方正黑体_GBK"/>
          <w:color w:val="000000"/>
          <w:sz w:val="32"/>
          <w:szCs w:val="32"/>
        </w:rPr>
        <w:t>一、总体绩效目标</w:t>
      </w:r>
      <w:bookmarkEnd w:id="6"/>
    </w:p>
    <w:p>
      <w:pPr>
        <w:pStyle w:val="32"/>
        <w:rPr>
          <w:rFonts w:ascii="仿宋" w:hAnsi="仿宋" w:eastAsia="仿宋"/>
          <w:sz w:val="32"/>
          <w:szCs w:val="32"/>
        </w:rPr>
      </w:pPr>
      <w:bookmarkStart w:id="7" w:name="_Toc_2_2_0000000002"/>
      <w:r>
        <w:rPr>
          <w:rFonts w:ascii="仿宋" w:hAnsi="仿宋" w:eastAsia="仿宋"/>
          <w:sz w:val="32"/>
          <w:szCs w:val="32"/>
        </w:rPr>
        <w:t xml:space="preserve">坚持以习近平新时代中国特色社会主义思想为指导，全面贯彻党的十九大和十九届二中、三中、四中全会精神。落实《中共河北省委河北省人民政府关于全面实施预算绩效管理的意见》（冀发[2018]54号）文件，为贯彻落实县委、县政府对县城建设发展要求，聚焦全面建成小康社会收官住建领域工作重点，以高质量发展为导向，以制度建设为支撑，牢固树立创新、协调、绿色、开放、共享的发展理念，加快推进县城基础设施建设，进一步完善城区功能，加强行业监管和服务，有效促进全县城乡建设领域健康发展。行动计划和城市品质提升行动为抓手，持续抓好民心工程，大力提高城市建设水平和治理能力，提升城乡环境容貌，促进房地产业、建筑业健康发展，防范化解行业风险，不断深化改革创新，全面推动住房城乡建设事业迈上更高台阶。 </w:t>
      </w:r>
    </w:p>
    <w:p>
      <w:pPr>
        <w:pStyle w:val="32"/>
        <w:rPr>
          <w:rFonts w:ascii="仿宋" w:hAnsi="仿宋" w:eastAsia="仿宋"/>
          <w:sz w:val="32"/>
          <w:szCs w:val="32"/>
        </w:rPr>
      </w:pPr>
      <w:r>
        <w:rPr>
          <w:rFonts w:ascii="仿宋" w:hAnsi="仿宋" w:eastAsia="仿宋"/>
          <w:sz w:val="32"/>
          <w:szCs w:val="32"/>
        </w:rPr>
        <w:t>2022年我局非税收入共计4450万元，其中：城市基础配套费基金收入3500万元，其他一般罚没收入480万元，公共租赁租金收入120万元，污水处理费收入350万元。项目预算支出资金共计6279.166万元。</w:t>
      </w:r>
    </w:p>
    <w:p>
      <w:pPr>
        <w:pStyle w:val="32"/>
        <w:rPr>
          <w:rFonts w:ascii="仿宋" w:hAnsi="仿宋" w:eastAsia="仿宋"/>
          <w:sz w:val="32"/>
          <w:szCs w:val="32"/>
        </w:rPr>
      </w:pPr>
      <w:r>
        <w:rPr>
          <w:rFonts w:ascii="仿宋" w:hAnsi="仿宋" w:eastAsia="仿宋"/>
          <w:sz w:val="32"/>
          <w:szCs w:val="32"/>
        </w:rPr>
        <w:t>2022年共谋划了49个项目。其中：城市基础设施基金支出项目30个，预算资金总额3500万元；一般公共预算资金支出项目12个，预算资金总额1385.36万元。污水处理费支出项目1个，预算资金总额350万元。另外，上年结转专款项目6个，其中：危房改造项目5个，预算资金总额261.08万元；债券项目1个，预算资金总额782.726万元。</w:t>
      </w:r>
    </w:p>
    <w:p>
      <w:pPr>
        <w:pStyle w:val="32"/>
        <w:rPr>
          <w:rFonts w:ascii="仿宋" w:hAnsi="仿宋" w:eastAsia="仿宋"/>
          <w:sz w:val="32"/>
          <w:szCs w:val="32"/>
        </w:rPr>
      </w:pPr>
      <w:r>
        <w:rPr>
          <w:rFonts w:ascii="仿宋" w:hAnsi="仿宋" w:eastAsia="仿宋"/>
          <w:sz w:val="32"/>
          <w:szCs w:val="32"/>
        </w:rPr>
        <w:t>以上49个项目，按预算资金性质分类：</w:t>
      </w:r>
    </w:p>
    <w:p>
      <w:pPr>
        <w:pStyle w:val="32"/>
        <w:rPr>
          <w:rFonts w:ascii="仿宋" w:hAnsi="仿宋" w:eastAsia="仿宋"/>
          <w:sz w:val="32"/>
          <w:szCs w:val="32"/>
        </w:rPr>
      </w:pPr>
      <w:r>
        <w:rPr>
          <w:rFonts w:ascii="仿宋" w:hAnsi="仿宋" w:eastAsia="仿宋"/>
          <w:sz w:val="32"/>
          <w:szCs w:val="32"/>
        </w:rPr>
        <w:t xml:space="preserve">1、一般公共预算安排支出的项目17个，预算资金共计1385.36万元。    </w:t>
      </w:r>
    </w:p>
    <w:p>
      <w:pPr>
        <w:pStyle w:val="32"/>
        <w:rPr>
          <w:rFonts w:ascii="仿宋" w:hAnsi="仿宋" w:eastAsia="仿宋"/>
          <w:sz w:val="32"/>
          <w:szCs w:val="32"/>
        </w:rPr>
      </w:pPr>
      <w:r>
        <w:rPr>
          <w:rFonts w:ascii="仿宋" w:hAnsi="仿宋" w:eastAsia="仿宋"/>
          <w:sz w:val="32"/>
          <w:szCs w:val="32"/>
        </w:rPr>
        <w:t xml:space="preserve">2、基金预算安排支出的项目32个，预算资金共计4632.73万元 。   </w:t>
      </w:r>
    </w:p>
    <w:p>
      <w:pPr>
        <w:pStyle w:val="32"/>
        <w:rPr>
          <w:rFonts w:ascii="仿宋" w:hAnsi="仿宋" w:eastAsia="仿宋"/>
          <w:sz w:val="32"/>
          <w:szCs w:val="32"/>
        </w:rPr>
      </w:pPr>
      <w:r>
        <w:rPr>
          <w:rFonts w:ascii="仿宋" w:hAnsi="仿宋" w:eastAsia="仿宋"/>
          <w:sz w:val="32"/>
          <w:szCs w:val="32"/>
        </w:rPr>
        <w:t>以上49个项目，按项目功能分类：</w:t>
      </w:r>
    </w:p>
    <w:p>
      <w:pPr>
        <w:pStyle w:val="32"/>
        <w:rPr>
          <w:rFonts w:ascii="仿宋" w:hAnsi="仿宋" w:eastAsia="仿宋"/>
          <w:sz w:val="32"/>
          <w:szCs w:val="32"/>
        </w:rPr>
      </w:pPr>
      <w:r>
        <w:rPr>
          <w:rFonts w:ascii="仿宋" w:hAnsi="仿宋" w:eastAsia="仿宋"/>
          <w:sz w:val="32"/>
          <w:szCs w:val="32"/>
        </w:rPr>
        <w:t>园林绿化项目4个；城市建设、基础设施、污水处理项目20个；勘察、设计、造价、监理等前期项目3个；老旧小区改造项目2个；保障房项目2个；委托运营服务6个；气代煤人员工资和加装安全装置项目2个；危房改造项目5个；网络、监控、税金、引江水费等项目5个。</w:t>
      </w:r>
    </w:p>
    <w:p>
      <w:pPr>
        <w:pStyle w:val="32"/>
        <w:rPr>
          <w:rFonts w:ascii="仿宋" w:hAnsi="仿宋" w:eastAsia="仿宋"/>
          <w:sz w:val="32"/>
          <w:szCs w:val="32"/>
        </w:rPr>
      </w:pPr>
      <w:r>
        <w:rPr>
          <w:rFonts w:ascii="仿宋" w:hAnsi="仿宋" w:eastAsia="仿宋"/>
          <w:sz w:val="32"/>
          <w:szCs w:val="32"/>
        </w:rPr>
        <w:t>其中43个项目可以按绩效目标、依据合同约定，项目按进度合理拨付年度预算资金，项目完成率和资金使用率达到90%以上。</w:t>
      </w:r>
    </w:p>
    <w:p>
      <w:pPr>
        <w:pStyle w:val="32"/>
        <w:rPr>
          <w:rFonts w:ascii="仿宋" w:hAnsi="仿宋" w:eastAsia="仿宋"/>
          <w:sz w:val="32"/>
          <w:szCs w:val="32"/>
        </w:rPr>
      </w:pPr>
      <w:r>
        <w:rPr>
          <w:rFonts w:ascii="仿宋" w:hAnsi="仿宋" w:eastAsia="仿宋"/>
          <w:sz w:val="32"/>
          <w:szCs w:val="32"/>
        </w:rPr>
        <w:t>6个项目：1、老旧小区改造，考虑项目推进中涉及征求居民意见、业主改造积极性等客观因素，完成绩效目标有一定难度，我局将积极协调各有关部门，落实上述项目，努力保障完成项目年初既定的实现目标；2、城西污水处理厂扩建未竣工，下一步督促企业价款施工进度，进行结算审计，加快预算资金支付进度；3、京昆高速涞水西连接线道路景观绿化项目。因受征地等因素，不能按合同全部完成。已完成阶段验收，需对项目进行审计。下一步督促审计单位加快出具审核结果；4、城区雨污分流（一期）改造工程。因城隍庙涉及征地，合同内施工部分不能完成。下一步督促其进行阶段性验收，对完成部分进行审计。5、城区既有管道燃气用户加装安全装置。此项目需各燃气公司积极推进项目实施，下一步积极推动项目实施，加快进度，按一户100元的标准补贴到位；6、城区雨污分流（二期）改造工程。因该项目进行了概算调整，合同价款有所增加，因此需要进行结算审核。项目涉及资金较大，审核周期较长。下一步选择实力的审计单位加快审核进度。</w:t>
      </w:r>
    </w:p>
    <w:p>
      <w:pPr>
        <w:spacing w:before="10" w:after="10"/>
        <w:ind w:firstLine="560"/>
        <w:outlineLvl w:val="1"/>
        <w:rPr>
          <w:rFonts w:ascii="仿宋" w:hAnsi="仿宋" w:eastAsia="仿宋"/>
          <w:sz w:val="32"/>
          <w:szCs w:val="32"/>
        </w:rPr>
      </w:pPr>
      <w:r>
        <w:rPr>
          <w:rFonts w:ascii="仿宋" w:hAnsi="仿宋" w:eastAsia="仿宋" w:cs="方正黑体_GBK"/>
          <w:color w:val="000000"/>
          <w:sz w:val="32"/>
          <w:szCs w:val="32"/>
        </w:rPr>
        <w:t>二、分项绩效目标</w:t>
      </w:r>
      <w:bookmarkEnd w:id="7"/>
    </w:p>
    <w:p>
      <w:pPr>
        <w:pStyle w:val="33"/>
        <w:rPr>
          <w:rFonts w:ascii="仿宋" w:hAnsi="仿宋" w:eastAsia="仿宋"/>
          <w:sz w:val="32"/>
          <w:szCs w:val="32"/>
        </w:rPr>
      </w:pPr>
      <w:r>
        <w:rPr>
          <w:rFonts w:ascii="仿宋" w:hAnsi="仿宋" w:eastAsia="仿宋"/>
          <w:sz w:val="32"/>
          <w:szCs w:val="32"/>
        </w:rPr>
        <w:t>1.改善城镇群众居住条件</w:t>
      </w:r>
    </w:p>
    <w:p>
      <w:pPr>
        <w:pStyle w:val="33"/>
        <w:rPr>
          <w:rFonts w:ascii="仿宋" w:hAnsi="仿宋" w:eastAsia="仿宋"/>
          <w:sz w:val="32"/>
          <w:szCs w:val="32"/>
        </w:rPr>
      </w:pPr>
      <w:r>
        <w:rPr>
          <w:rFonts w:ascii="仿宋" w:hAnsi="仿宋" w:eastAsia="仿宋"/>
          <w:sz w:val="32"/>
          <w:szCs w:val="32"/>
        </w:rPr>
        <w:t>绩效目标：促进房地产市场平稳健康发展，持续推进老旧小区改造，让广大居民的生活环境得到切实改善。特别是2022年老旧小区改造，在2021年老旧小区改造的经验上，更加高效推进，持续提高居民的幸福感和获得感。</w:t>
      </w:r>
    </w:p>
    <w:p>
      <w:pPr>
        <w:pStyle w:val="33"/>
        <w:rPr>
          <w:rFonts w:ascii="仿宋" w:hAnsi="仿宋" w:eastAsia="仿宋"/>
          <w:sz w:val="32"/>
          <w:szCs w:val="32"/>
        </w:rPr>
      </w:pPr>
      <w:r>
        <w:rPr>
          <w:rFonts w:ascii="仿宋" w:hAnsi="仿宋" w:eastAsia="仿宋"/>
          <w:sz w:val="32"/>
          <w:szCs w:val="32"/>
        </w:rPr>
        <w:t>绩效指标：落实老旧小区改造计划。开工率达到100%、年内全部完工，完工率100%。</w:t>
      </w:r>
    </w:p>
    <w:p>
      <w:pPr>
        <w:pStyle w:val="33"/>
        <w:rPr>
          <w:rFonts w:ascii="仿宋" w:hAnsi="仿宋" w:eastAsia="仿宋"/>
          <w:sz w:val="32"/>
          <w:szCs w:val="32"/>
        </w:rPr>
      </w:pPr>
      <w:r>
        <w:rPr>
          <w:rFonts w:ascii="仿宋" w:hAnsi="仿宋" w:eastAsia="仿宋"/>
          <w:sz w:val="32"/>
          <w:szCs w:val="32"/>
        </w:rPr>
        <w:t>2.实施城市品质提升行动</w:t>
      </w:r>
    </w:p>
    <w:p>
      <w:pPr>
        <w:pStyle w:val="33"/>
        <w:rPr>
          <w:rFonts w:ascii="仿宋" w:hAnsi="仿宋" w:eastAsia="仿宋"/>
          <w:sz w:val="32"/>
          <w:szCs w:val="32"/>
        </w:rPr>
      </w:pPr>
      <w:r>
        <w:rPr>
          <w:rFonts w:ascii="仿宋" w:hAnsi="仿宋" w:eastAsia="仿宋"/>
          <w:sz w:val="32"/>
          <w:szCs w:val="32"/>
        </w:rPr>
        <w:t>绩效目标：城市基础设施水平明显提升，综合功能更加完善，承载能力明显增强，城市品质全面提升。</w:t>
      </w:r>
    </w:p>
    <w:p>
      <w:pPr>
        <w:pStyle w:val="33"/>
        <w:rPr>
          <w:rFonts w:ascii="仿宋" w:hAnsi="仿宋" w:eastAsia="仿宋"/>
          <w:sz w:val="32"/>
          <w:szCs w:val="32"/>
        </w:rPr>
      </w:pPr>
      <w:r>
        <w:rPr>
          <w:rFonts w:ascii="仿宋" w:hAnsi="仿宋" w:eastAsia="仿宋"/>
          <w:sz w:val="32"/>
          <w:szCs w:val="32"/>
        </w:rPr>
        <w:t>绩效指标：完成城区雨污分流二期工程，主体施工完成率100%，管网延伸工程雨季前完成验收并交付使用；彻底解决城区雨、污水分流。东、西污水处理厂提标工程完成率100%。积极谋划城东污水处理二次提标改造工程；加强市政基础设施的维护、维修率100%。加快城西污水处理厂扩建工程收尾，提高城市污水处理能力达到100%。朝阳路、西大街升级改造已全部完工，下一步谋划城市道路优化工程，对城区道路进行高质量优化，提高城市通行能力，提升城市品质；完成黑灯街道的亮化工程，方便背街小巷居民出行，提升获得感和幸福感。</w:t>
      </w:r>
    </w:p>
    <w:p>
      <w:pPr>
        <w:pStyle w:val="33"/>
        <w:rPr>
          <w:rFonts w:ascii="仿宋" w:hAnsi="仿宋" w:eastAsia="仿宋"/>
          <w:sz w:val="32"/>
          <w:szCs w:val="32"/>
        </w:rPr>
      </w:pPr>
      <w:r>
        <w:rPr>
          <w:rFonts w:ascii="仿宋" w:hAnsi="仿宋" w:eastAsia="仿宋"/>
          <w:sz w:val="32"/>
          <w:szCs w:val="32"/>
        </w:rPr>
        <w:t>3.抓好城乡环境容貌提升</w:t>
      </w:r>
    </w:p>
    <w:p>
      <w:pPr>
        <w:pStyle w:val="33"/>
        <w:rPr>
          <w:rFonts w:ascii="仿宋" w:hAnsi="仿宋" w:eastAsia="仿宋"/>
          <w:sz w:val="32"/>
          <w:szCs w:val="32"/>
        </w:rPr>
      </w:pPr>
      <w:r>
        <w:rPr>
          <w:rFonts w:ascii="仿宋" w:hAnsi="仿宋" w:eastAsia="仿宋"/>
          <w:sz w:val="32"/>
          <w:szCs w:val="32"/>
        </w:rPr>
        <w:t>绩效目标：着力推进城市精细化管理、园林绿化高质量发展、公共厕所建设改造等城市环境改善工作。加强村镇建设工作指导，提高村镇建设水平。</w:t>
      </w:r>
    </w:p>
    <w:p>
      <w:pPr>
        <w:pStyle w:val="33"/>
        <w:rPr>
          <w:rFonts w:ascii="仿宋" w:hAnsi="仿宋" w:eastAsia="仿宋"/>
          <w:sz w:val="32"/>
          <w:szCs w:val="32"/>
        </w:rPr>
      </w:pPr>
      <w:r>
        <w:rPr>
          <w:rFonts w:ascii="仿宋" w:hAnsi="仿宋" w:eastAsia="仿宋"/>
          <w:sz w:val="32"/>
          <w:szCs w:val="32"/>
        </w:rPr>
        <w:t>绩效指标：根据市核任务，2022年完成城区新建1座公厕，改建2座任务，完成率100%。保证城区绿化养护工作，保证省级园林县城的标准不降低，养护维护率100%；保证城区路灯照明维护维修率95%以上，路灯亮灯率达到100%，为创建文明县城做出基础性保障。提高人民群众对美化生活的获得感和满意度。</w:t>
      </w:r>
    </w:p>
    <w:p>
      <w:pPr>
        <w:pStyle w:val="33"/>
        <w:rPr>
          <w:rFonts w:ascii="仿宋" w:hAnsi="仿宋" w:eastAsia="仿宋"/>
          <w:sz w:val="32"/>
          <w:szCs w:val="32"/>
        </w:rPr>
      </w:pPr>
      <w:r>
        <w:rPr>
          <w:rFonts w:ascii="仿宋" w:hAnsi="仿宋" w:eastAsia="仿宋"/>
          <w:sz w:val="32"/>
          <w:szCs w:val="32"/>
        </w:rPr>
        <w:t>4.对建筑行业加强管理</w:t>
      </w:r>
    </w:p>
    <w:p>
      <w:pPr>
        <w:pStyle w:val="33"/>
        <w:rPr>
          <w:rFonts w:ascii="仿宋" w:hAnsi="仿宋" w:eastAsia="仿宋"/>
          <w:sz w:val="32"/>
          <w:szCs w:val="32"/>
        </w:rPr>
      </w:pPr>
      <w:r>
        <w:rPr>
          <w:rFonts w:ascii="仿宋" w:hAnsi="仿宋" w:eastAsia="仿宋"/>
          <w:sz w:val="32"/>
          <w:szCs w:val="32"/>
        </w:rPr>
        <w:t>绩效目标：加强建筑市场的监督，对建筑工程的安全、质量定期巡查率达到95%，并开展专项督导。保障农民工权利，对拖欠农民工工资的行为进行坚决打击。</w:t>
      </w:r>
    </w:p>
    <w:p>
      <w:pPr>
        <w:pStyle w:val="33"/>
        <w:rPr>
          <w:rFonts w:ascii="仿宋" w:hAnsi="仿宋" w:eastAsia="仿宋"/>
          <w:sz w:val="32"/>
          <w:szCs w:val="32"/>
        </w:rPr>
      </w:pPr>
      <w:r>
        <w:rPr>
          <w:rFonts w:ascii="仿宋" w:hAnsi="仿宋" w:eastAsia="仿宋"/>
          <w:sz w:val="32"/>
          <w:szCs w:val="32"/>
        </w:rPr>
        <w:t>绩效指标：规范建筑市场，加大对涞水县主要的20个建设项目巡查率达到100%，从源头对建设工程各方责任主体进行严格管理。从企业资质、人员配备、方案、资金保障和现场执行情况进行督导核查。打击违法工程，依法依规收缴农民工工资预储金和保证金率100%，定期核查工资发放情况，及时消除拖欠隐患。</w:t>
      </w:r>
    </w:p>
    <w:p>
      <w:pPr>
        <w:pStyle w:val="33"/>
        <w:rPr>
          <w:rFonts w:ascii="仿宋" w:hAnsi="仿宋" w:eastAsia="仿宋"/>
          <w:sz w:val="32"/>
          <w:szCs w:val="32"/>
        </w:rPr>
      </w:pPr>
      <w:r>
        <w:rPr>
          <w:rFonts w:ascii="仿宋" w:hAnsi="仿宋" w:eastAsia="仿宋"/>
          <w:sz w:val="32"/>
          <w:szCs w:val="32"/>
        </w:rPr>
        <w:t>5.继续推进扶贫、燃气、扬尘治理等专项工作</w:t>
      </w:r>
    </w:p>
    <w:p>
      <w:pPr>
        <w:pStyle w:val="33"/>
        <w:rPr>
          <w:rFonts w:ascii="仿宋" w:hAnsi="仿宋" w:eastAsia="仿宋"/>
          <w:sz w:val="32"/>
          <w:szCs w:val="32"/>
        </w:rPr>
      </w:pPr>
      <w:r>
        <w:rPr>
          <w:rFonts w:ascii="仿宋" w:hAnsi="仿宋" w:eastAsia="仿宋"/>
          <w:sz w:val="32"/>
          <w:szCs w:val="32"/>
        </w:rPr>
        <w:t>绩效目标：为打好蓝天保卫战，控制建筑施工扬尘六个百分百全面落实、覆盖，保证空气质量做出住建人的贡献。对所包扶贫村、贫困户积极帮扶，解决困难。加强城乡燃气安全监督检查，确保燃气安全运行。</w:t>
      </w:r>
    </w:p>
    <w:p>
      <w:pPr>
        <w:pStyle w:val="33"/>
        <w:rPr>
          <w:rFonts w:ascii="仿宋" w:hAnsi="仿宋" w:eastAsia="仿宋"/>
          <w:sz w:val="32"/>
          <w:szCs w:val="32"/>
          <w:lang w:eastAsia="zh-CN"/>
        </w:rPr>
      </w:pPr>
      <w:r>
        <w:rPr>
          <w:rFonts w:ascii="仿宋" w:hAnsi="仿宋" w:eastAsia="仿宋"/>
          <w:sz w:val="32"/>
          <w:szCs w:val="32"/>
        </w:rPr>
        <w:t>绩效指标：持续做好建筑施工扬尘治理工作，督促各地落实“六个百分之百”“两个全覆盖”要求。对所有施工现场进行在线监控，发现空气质量不达标，立即停工整改，谋划了建设工程现场视频联网。按上级要求定期到贫困户走访慰问，保证局分包村的人员和经费。对全县7个乡镇、1社区燃气安全监管员293人，定期进行培训2次，并配备燃气安全检测仪203台，保证办公经费。切实保证农村气代煤安全运行。</w:t>
      </w:r>
    </w:p>
    <w:p>
      <w:pPr>
        <w:spacing w:before="10" w:after="10"/>
        <w:ind w:firstLine="560"/>
        <w:outlineLvl w:val="1"/>
        <w:rPr>
          <w:rFonts w:ascii="仿宋" w:hAnsi="仿宋" w:eastAsia="仿宋"/>
          <w:sz w:val="32"/>
          <w:szCs w:val="32"/>
        </w:rPr>
      </w:pPr>
      <w:r>
        <w:rPr>
          <w:rFonts w:ascii="仿宋" w:hAnsi="仿宋" w:eastAsia="仿宋" w:cs="方正黑体_GBK"/>
          <w:color w:val="000000"/>
          <w:sz w:val="32"/>
          <w:szCs w:val="32"/>
        </w:rPr>
        <w:t>三、工作保障措施</w:t>
      </w:r>
    </w:p>
    <w:p>
      <w:pPr>
        <w:pStyle w:val="34"/>
        <w:rPr>
          <w:rFonts w:ascii="仿宋" w:hAnsi="仿宋" w:eastAsia="仿宋"/>
          <w:sz w:val="32"/>
          <w:szCs w:val="32"/>
        </w:rPr>
      </w:pPr>
      <w:r>
        <w:rPr>
          <w:rFonts w:ascii="仿宋" w:hAnsi="仿宋" w:eastAsia="仿宋"/>
          <w:sz w:val="32"/>
          <w:szCs w:val="32"/>
        </w:rPr>
        <w:t>加强组织领导。成立由局领导任组长的预算绩效管理领导小组，建立统筹协调、分工协作、密切配合、合力推进的工作体系。将绩效目标和指标评价，有效融入预算管理的全过程环节，建立健全绩效管理的长效机制。</w:t>
      </w:r>
    </w:p>
    <w:p>
      <w:pPr>
        <w:pStyle w:val="34"/>
        <w:rPr>
          <w:rFonts w:ascii="仿宋" w:hAnsi="仿宋" w:eastAsia="仿宋"/>
          <w:sz w:val="32"/>
          <w:szCs w:val="32"/>
        </w:rPr>
      </w:pPr>
      <w:r>
        <w:rPr>
          <w:rFonts w:ascii="仿宋" w:hAnsi="仿宋" w:eastAsia="仿宋"/>
          <w:sz w:val="32"/>
          <w:szCs w:val="32"/>
        </w:rPr>
        <w:t>完善制度建设。围绕年度总体绩效目标和分项绩效目标，细化工作方案，制定资金管理办法，落实进度要求，为全年预算绩效目标的实现奠定制度基础。</w:t>
      </w:r>
    </w:p>
    <w:p>
      <w:pPr>
        <w:pStyle w:val="34"/>
        <w:rPr>
          <w:rFonts w:ascii="仿宋" w:hAnsi="仿宋" w:eastAsia="仿宋"/>
          <w:sz w:val="32"/>
          <w:szCs w:val="32"/>
        </w:rPr>
      </w:pPr>
      <w:r>
        <w:rPr>
          <w:rFonts w:ascii="仿宋" w:hAnsi="仿宋" w:eastAsia="仿宋"/>
          <w:sz w:val="32"/>
          <w:szCs w:val="32"/>
        </w:rPr>
        <w:t>加强执行管理。强化项目承担单位作为预算执行主体的责任。严格落实资金分配和支付计划，认真履行政府采购程序和资金拨付手续，完善财务管理制度，严格审批程序，确保手续规范、支出合规、进度合理。在保障资金安全的基础上，加快预算执行进度，提高财政资金运行的效率和效益。</w:t>
      </w:r>
    </w:p>
    <w:p>
      <w:pPr>
        <w:pStyle w:val="34"/>
        <w:rPr>
          <w:rFonts w:ascii="仿宋" w:hAnsi="仿宋" w:eastAsia="仿宋"/>
          <w:sz w:val="32"/>
          <w:szCs w:val="32"/>
        </w:rPr>
      </w:pPr>
      <w:r>
        <w:rPr>
          <w:rFonts w:ascii="仿宋" w:hAnsi="仿宋" w:eastAsia="仿宋"/>
          <w:sz w:val="32"/>
          <w:szCs w:val="32"/>
        </w:rPr>
        <w:t>加强运行监控。加强对绩效目标实现程度、预算执行情况、重大支出决策、资产处置等事项的监管和督导工作。加强部门、单位内部审计，并配合做好审计、财政监督等外部监督工作，确保财政资金安全有效。</w:t>
      </w:r>
    </w:p>
    <w:p>
      <w:pPr>
        <w:pStyle w:val="34"/>
        <w:rPr>
          <w:rFonts w:ascii="仿宋" w:hAnsi="仿宋" w:eastAsia="仿宋"/>
          <w:sz w:val="32"/>
          <w:szCs w:val="32"/>
        </w:rPr>
      </w:pPr>
      <w:r>
        <w:rPr>
          <w:rFonts w:ascii="仿宋" w:hAnsi="仿宋" w:eastAsia="仿宋"/>
          <w:sz w:val="32"/>
          <w:szCs w:val="32"/>
        </w:rPr>
        <w:t>健全评价机制。按要求开展上年度部门预算绩效评价和新增重大项目（政策）事前绩效评估。委托第三方机构参与绩效自评和重点评价工作，发现问题及时调整，优化支出结构，提高财政资金使用效益。</w:t>
      </w:r>
    </w:p>
    <w:p>
      <w:pPr>
        <w:pStyle w:val="34"/>
        <w:rPr>
          <w:rFonts w:ascii="仿宋" w:hAnsi="仿宋" w:eastAsia="仿宋"/>
          <w:sz w:val="32"/>
          <w:szCs w:val="32"/>
        </w:rPr>
      </w:pPr>
      <w:r>
        <w:rPr>
          <w:rFonts w:ascii="仿宋" w:hAnsi="仿宋" w:eastAsia="仿宋"/>
          <w:sz w:val="32"/>
          <w:szCs w:val="32"/>
        </w:rPr>
        <w:t>加强宣传培训调研。加强人员培训，提高本部门业务骨干预算编制、绩效目标设定、项目监管的业务素质；加强调研，提出优化财政资金配置、提高资金使用效益的意见建议；加大宣传力度，强化预算绩效管理意识，促进预算绩效管理水平进一步提升。</w:t>
      </w:r>
    </w:p>
    <w:p>
      <w:pPr>
        <w:outlineLvl w:val="0"/>
        <w:rPr>
          <w:rFonts w:ascii="楷体" w:hAnsi="楷体" w:eastAsia="楷体"/>
          <w:sz w:val="32"/>
          <w:szCs w:val="32"/>
        </w:rPr>
      </w:pPr>
    </w:p>
    <w:p>
      <w:pPr>
        <w:outlineLvl w:val="0"/>
        <w:rPr>
          <w:rFonts w:ascii="楷体" w:hAnsi="楷体" w:eastAsia="楷体"/>
          <w:sz w:val="32"/>
          <w:szCs w:val="32"/>
        </w:rPr>
      </w:pPr>
    </w:p>
    <w:p>
      <w:pPr>
        <w:outlineLvl w:val="0"/>
        <w:rPr>
          <w:rFonts w:ascii="楷体" w:hAnsi="楷体" w:eastAsia="楷体"/>
          <w:sz w:val="32"/>
          <w:szCs w:val="32"/>
        </w:rPr>
      </w:pPr>
    </w:p>
    <w:p>
      <w:pPr>
        <w:outlineLvl w:val="0"/>
        <w:rPr>
          <w:rFonts w:ascii="楷体" w:hAnsi="楷体" w:eastAsia="楷体"/>
          <w:sz w:val="32"/>
          <w:szCs w:val="32"/>
        </w:rPr>
      </w:pPr>
    </w:p>
    <w:p>
      <w:pPr>
        <w:outlineLvl w:val="0"/>
        <w:rPr>
          <w:rFonts w:ascii="楷体" w:hAnsi="楷体" w:eastAsia="楷体"/>
          <w:sz w:val="32"/>
          <w:szCs w:val="32"/>
        </w:rPr>
      </w:pPr>
    </w:p>
    <w:p>
      <w:pPr>
        <w:outlineLvl w:val="0"/>
        <w:rPr>
          <w:rFonts w:ascii="楷体" w:hAnsi="楷体" w:eastAsia="楷体"/>
          <w:sz w:val="32"/>
          <w:szCs w:val="32"/>
        </w:rPr>
      </w:pPr>
    </w:p>
    <w:p>
      <w:pPr>
        <w:outlineLvl w:val="0"/>
        <w:rPr>
          <w:rFonts w:ascii="楷体" w:hAnsi="楷体" w:eastAsia="楷体"/>
          <w:sz w:val="32"/>
          <w:szCs w:val="32"/>
        </w:rPr>
      </w:pPr>
    </w:p>
    <w:p>
      <w:pPr>
        <w:outlineLvl w:val="0"/>
        <w:rPr>
          <w:rFonts w:ascii="楷体" w:hAnsi="楷体" w:eastAsia="楷体"/>
          <w:sz w:val="32"/>
          <w:szCs w:val="32"/>
        </w:rPr>
      </w:pPr>
    </w:p>
    <w:p>
      <w:pPr>
        <w:outlineLvl w:val="0"/>
        <w:rPr>
          <w:rFonts w:ascii="楷体" w:hAnsi="楷体" w:eastAsia="楷体"/>
          <w:sz w:val="32"/>
          <w:szCs w:val="32"/>
        </w:rPr>
      </w:pPr>
    </w:p>
    <w:p>
      <w:pPr>
        <w:outlineLvl w:val="0"/>
        <w:rPr>
          <w:rFonts w:ascii="楷体" w:hAnsi="楷体" w:eastAsia="楷体"/>
          <w:sz w:val="32"/>
          <w:szCs w:val="32"/>
        </w:rPr>
      </w:pPr>
    </w:p>
    <w:p>
      <w:pPr>
        <w:outlineLvl w:val="0"/>
        <w:rPr>
          <w:rFonts w:ascii="楷体" w:hAnsi="楷体" w:eastAsia="楷体"/>
          <w:sz w:val="32"/>
          <w:szCs w:val="32"/>
        </w:rPr>
      </w:pPr>
    </w:p>
    <w:p>
      <w:pPr>
        <w:ind w:firstLine="560"/>
        <w:outlineLvl w:val="3"/>
      </w:pPr>
      <w:bookmarkStart w:id="8" w:name="_Toc_4_4_0000000004"/>
      <w:r>
        <w:rPr>
          <w:rFonts w:ascii="方正仿宋_GBK" w:hAnsi="方正仿宋_GBK" w:eastAsia="方正仿宋_GBK" w:cs="方正仿宋_GBK"/>
          <w:color w:val="000000"/>
          <w:sz w:val="28"/>
        </w:rPr>
        <w:t>1.2020年污泥干化断档期绩效目标表</w:t>
      </w:r>
      <w:bookmarkEnd w:id="8"/>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13062322P00819610001T</w:t>
            </w:r>
          </w:p>
        </w:tc>
        <w:tc>
          <w:tcPr>
            <w:tcW w:w="1587" w:type="dxa"/>
            <w:vAlign w:val="center"/>
          </w:tcPr>
          <w:p>
            <w:pPr>
              <w:pStyle w:val="21"/>
            </w:pPr>
            <w:r>
              <w:t>项目名称</w:t>
            </w:r>
          </w:p>
        </w:tc>
        <w:tc>
          <w:tcPr>
            <w:tcW w:w="4422" w:type="dxa"/>
            <w:gridSpan w:val="3"/>
            <w:vAlign w:val="center"/>
          </w:tcPr>
          <w:p>
            <w:pPr>
              <w:pStyle w:val="23"/>
            </w:pPr>
            <w:r>
              <w:t>2020年污泥干化断档期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18.24</w:t>
            </w:r>
          </w:p>
        </w:tc>
        <w:tc>
          <w:tcPr>
            <w:tcW w:w="1587" w:type="dxa"/>
            <w:vAlign w:val="center"/>
          </w:tcPr>
          <w:p>
            <w:pPr>
              <w:pStyle w:val="21"/>
            </w:pPr>
            <w:r>
              <w:t>其中：财政    资金</w:t>
            </w:r>
          </w:p>
        </w:tc>
        <w:tc>
          <w:tcPr>
            <w:tcW w:w="1304" w:type="dxa"/>
            <w:vAlign w:val="center"/>
          </w:tcPr>
          <w:p>
            <w:pPr>
              <w:pStyle w:val="23"/>
            </w:pPr>
            <w:r>
              <w:t>18.24</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用于支付2020年污泥干化断档期费用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50%</w:t>
            </w:r>
          </w:p>
        </w:tc>
        <w:tc>
          <w:tcPr>
            <w:tcW w:w="1587" w:type="dxa"/>
            <w:vAlign w:val="center"/>
          </w:tcPr>
          <w:p>
            <w:pPr>
              <w:pStyle w:val="24"/>
            </w:pPr>
            <w:r>
              <w:t>100%</w:t>
            </w:r>
          </w:p>
        </w:tc>
        <w:tc>
          <w:tcPr>
            <w:tcW w:w="1304" w:type="dxa"/>
            <w:vAlign w:val="center"/>
          </w:tcPr>
          <w:p>
            <w:pPr>
              <w:pStyle w:val="24"/>
            </w:pPr>
          </w:p>
        </w:tc>
        <w:tc>
          <w:tcPr>
            <w:tcW w:w="3118" w:type="dxa"/>
            <w:gridSpan w:val="2"/>
            <w:vAlign w:val="center"/>
          </w:tcPr>
          <w:p>
            <w:pPr>
              <w:pStyle w:val="2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1.为保证涞水县污水处理厂污泥得到安全处置和有效利用，能实现污泥无害化、减量化、稳定化和资源化</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日处理污泥量</w:t>
            </w:r>
          </w:p>
        </w:tc>
        <w:tc>
          <w:tcPr>
            <w:tcW w:w="2891" w:type="dxa"/>
            <w:vAlign w:val="center"/>
          </w:tcPr>
          <w:p>
            <w:pPr>
              <w:pStyle w:val="23"/>
            </w:pPr>
            <w:r>
              <w:t>日处理污泥量</w:t>
            </w:r>
          </w:p>
        </w:tc>
        <w:tc>
          <w:tcPr>
            <w:tcW w:w="1276" w:type="dxa"/>
            <w:vAlign w:val="center"/>
          </w:tcPr>
          <w:p>
            <w:pPr>
              <w:pStyle w:val="23"/>
            </w:pPr>
            <w:r>
              <w:t>≥2万吨</w:t>
            </w:r>
          </w:p>
        </w:tc>
        <w:tc>
          <w:tcPr>
            <w:tcW w:w="1843" w:type="dxa"/>
            <w:vAlign w:val="center"/>
          </w:tcPr>
          <w:p>
            <w:pPr>
              <w:pStyle w:val="23"/>
            </w:pPr>
            <w:r>
              <w:t>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完成率</w:t>
            </w:r>
          </w:p>
        </w:tc>
        <w:tc>
          <w:tcPr>
            <w:tcW w:w="2891" w:type="dxa"/>
            <w:vAlign w:val="center"/>
          </w:tcPr>
          <w:p>
            <w:pPr>
              <w:pStyle w:val="23"/>
            </w:pPr>
            <w:r>
              <w:t>完成率</w:t>
            </w:r>
          </w:p>
        </w:tc>
        <w:tc>
          <w:tcPr>
            <w:tcW w:w="1276" w:type="dxa"/>
            <w:vAlign w:val="center"/>
          </w:tcPr>
          <w:p>
            <w:pPr>
              <w:pStyle w:val="23"/>
            </w:pPr>
            <w:r>
              <w:t>100百分比</w:t>
            </w:r>
          </w:p>
        </w:tc>
        <w:tc>
          <w:tcPr>
            <w:tcW w:w="1843" w:type="dxa"/>
            <w:vAlign w:val="center"/>
          </w:tcPr>
          <w:p>
            <w:pPr>
              <w:pStyle w:val="23"/>
            </w:pPr>
            <w:r>
              <w:t>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完成及时率</w:t>
            </w:r>
          </w:p>
        </w:tc>
        <w:tc>
          <w:tcPr>
            <w:tcW w:w="2891" w:type="dxa"/>
            <w:vAlign w:val="center"/>
          </w:tcPr>
          <w:p>
            <w:pPr>
              <w:pStyle w:val="23"/>
            </w:pPr>
            <w:r>
              <w:t>完成及时率</w:t>
            </w:r>
          </w:p>
        </w:tc>
        <w:tc>
          <w:tcPr>
            <w:tcW w:w="1276" w:type="dxa"/>
            <w:vAlign w:val="center"/>
          </w:tcPr>
          <w:p>
            <w:pPr>
              <w:pStyle w:val="23"/>
            </w:pPr>
            <w:r>
              <w:t>≥95百分比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资金成本</w:t>
            </w:r>
          </w:p>
        </w:tc>
        <w:tc>
          <w:tcPr>
            <w:tcW w:w="2891" w:type="dxa"/>
            <w:vAlign w:val="center"/>
          </w:tcPr>
          <w:p>
            <w:pPr>
              <w:pStyle w:val="23"/>
            </w:pPr>
            <w:r>
              <w:t>资金成本</w:t>
            </w:r>
          </w:p>
        </w:tc>
        <w:tc>
          <w:tcPr>
            <w:tcW w:w="1276" w:type="dxa"/>
            <w:vAlign w:val="center"/>
          </w:tcPr>
          <w:p>
            <w:pPr>
              <w:pStyle w:val="23"/>
            </w:pPr>
            <w:r>
              <w:t>18.24万元</w:t>
            </w:r>
          </w:p>
        </w:tc>
        <w:tc>
          <w:tcPr>
            <w:tcW w:w="1843" w:type="dxa"/>
            <w:vAlign w:val="center"/>
          </w:tcPr>
          <w:p>
            <w:pPr>
              <w:pStyle w:val="23"/>
            </w:pPr>
            <w:r>
              <w:t>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资金的使用效率</w:t>
            </w:r>
          </w:p>
        </w:tc>
        <w:tc>
          <w:tcPr>
            <w:tcW w:w="2891" w:type="dxa"/>
            <w:vAlign w:val="center"/>
          </w:tcPr>
          <w:p>
            <w:pPr>
              <w:pStyle w:val="23"/>
            </w:pPr>
            <w:r>
              <w:t>资金的使用效率</w:t>
            </w:r>
          </w:p>
        </w:tc>
        <w:tc>
          <w:tcPr>
            <w:tcW w:w="1276" w:type="dxa"/>
            <w:vAlign w:val="center"/>
          </w:tcPr>
          <w:p>
            <w:pPr>
              <w:pStyle w:val="23"/>
            </w:pPr>
            <w:r>
              <w:t>100百分比</w:t>
            </w:r>
          </w:p>
        </w:tc>
        <w:tc>
          <w:tcPr>
            <w:tcW w:w="1843" w:type="dxa"/>
            <w:vAlign w:val="center"/>
          </w:tcPr>
          <w:p>
            <w:pPr>
              <w:pStyle w:val="23"/>
            </w:pPr>
            <w:r>
              <w:t>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≥85百分比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9" w:name="_Toc_4_4_0000000005"/>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2.2021年第八批政府债券资金（城区排水管网项目） 冀财债[2021]57号绩效目标表</w:t>
      </w:r>
      <w:bookmarkEnd w:id="9"/>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13062322P007378100028</w:t>
            </w:r>
          </w:p>
        </w:tc>
        <w:tc>
          <w:tcPr>
            <w:tcW w:w="1587" w:type="dxa"/>
            <w:vAlign w:val="center"/>
          </w:tcPr>
          <w:p>
            <w:pPr>
              <w:pStyle w:val="21"/>
            </w:pPr>
            <w:r>
              <w:t>项目名称</w:t>
            </w:r>
          </w:p>
        </w:tc>
        <w:tc>
          <w:tcPr>
            <w:tcW w:w="4422" w:type="dxa"/>
            <w:gridSpan w:val="3"/>
            <w:vAlign w:val="center"/>
          </w:tcPr>
          <w:p>
            <w:pPr>
              <w:pStyle w:val="23"/>
            </w:pPr>
            <w:r>
              <w:t>2021年第八批政府债券资金（城区排水管网项目） 冀财债[2021]57号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782.73</w:t>
            </w:r>
          </w:p>
        </w:tc>
        <w:tc>
          <w:tcPr>
            <w:tcW w:w="1587" w:type="dxa"/>
            <w:vAlign w:val="center"/>
          </w:tcPr>
          <w:p>
            <w:pPr>
              <w:pStyle w:val="21"/>
            </w:pPr>
            <w:r>
              <w:t>其中：财政    资金</w:t>
            </w:r>
          </w:p>
        </w:tc>
        <w:tc>
          <w:tcPr>
            <w:tcW w:w="1304" w:type="dxa"/>
            <w:vAlign w:val="center"/>
          </w:tcPr>
          <w:p>
            <w:pPr>
              <w:pStyle w:val="23"/>
            </w:pPr>
            <w:r>
              <w:t>782.73</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资金用于支付城区排水（雨、污）管网延伸项目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1.新建新兴路雨水管网778米，新建狐狸沟200米雨水排水管网。</w:t>
            </w:r>
          </w:p>
          <w:p>
            <w:pPr>
              <w:pStyle w:val="23"/>
            </w:pPr>
            <w:r>
              <w:t>2.新建涞定路雨水排水管网778米，污水管道1546米；新建污水切换泵站一座。</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排水管道里程</w:t>
            </w:r>
          </w:p>
        </w:tc>
        <w:tc>
          <w:tcPr>
            <w:tcW w:w="2891" w:type="dxa"/>
            <w:vAlign w:val="center"/>
          </w:tcPr>
          <w:p>
            <w:pPr>
              <w:pStyle w:val="23"/>
            </w:pPr>
            <w:r>
              <w:t>排水管道里程</w:t>
            </w:r>
          </w:p>
        </w:tc>
        <w:tc>
          <w:tcPr>
            <w:tcW w:w="1276" w:type="dxa"/>
            <w:vAlign w:val="center"/>
          </w:tcPr>
          <w:p>
            <w:pPr>
              <w:pStyle w:val="23"/>
            </w:pPr>
            <w:r>
              <w:t>≥2.6公里</w:t>
            </w:r>
          </w:p>
        </w:tc>
        <w:tc>
          <w:tcPr>
            <w:tcW w:w="1843" w:type="dxa"/>
            <w:vAlign w:val="center"/>
          </w:tcPr>
          <w:p>
            <w:pPr>
              <w:pStyle w:val="23"/>
            </w:pPr>
            <w:r>
              <w:t>涞财债（2021）7号文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项目验收合格率</w:t>
            </w:r>
          </w:p>
        </w:tc>
        <w:tc>
          <w:tcPr>
            <w:tcW w:w="2891" w:type="dxa"/>
            <w:vAlign w:val="center"/>
          </w:tcPr>
          <w:p>
            <w:pPr>
              <w:pStyle w:val="23"/>
            </w:pPr>
            <w:r>
              <w:t>项目验收合格率</w:t>
            </w:r>
          </w:p>
        </w:tc>
        <w:tc>
          <w:tcPr>
            <w:tcW w:w="1276" w:type="dxa"/>
            <w:vAlign w:val="center"/>
          </w:tcPr>
          <w:p>
            <w:pPr>
              <w:pStyle w:val="23"/>
            </w:pPr>
            <w:r>
              <w:t>≥96百分比</w:t>
            </w:r>
          </w:p>
        </w:tc>
        <w:tc>
          <w:tcPr>
            <w:tcW w:w="1843" w:type="dxa"/>
            <w:vAlign w:val="center"/>
          </w:tcPr>
          <w:p>
            <w:pPr>
              <w:pStyle w:val="23"/>
            </w:pPr>
            <w:r>
              <w:t>涞财债（2021）7号文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资金拨付及时率</w:t>
            </w:r>
          </w:p>
        </w:tc>
        <w:tc>
          <w:tcPr>
            <w:tcW w:w="2891" w:type="dxa"/>
            <w:vAlign w:val="center"/>
          </w:tcPr>
          <w:p>
            <w:pPr>
              <w:pStyle w:val="23"/>
            </w:pPr>
            <w:r>
              <w:t>资金拨付及时率</w:t>
            </w:r>
          </w:p>
        </w:tc>
        <w:tc>
          <w:tcPr>
            <w:tcW w:w="1276" w:type="dxa"/>
            <w:vAlign w:val="center"/>
          </w:tcPr>
          <w:p>
            <w:pPr>
              <w:pStyle w:val="23"/>
            </w:pPr>
            <w:r>
              <w:t>≥90百分比</w:t>
            </w:r>
          </w:p>
        </w:tc>
        <w:tc>
          <w:tcPr>
            <w:tcW w:w="1843" w:type="dxa"/>
            <w:vAlign w:val="center"/>
          </w:tcPr>
          <w:p>
            <w:pPr>
              <w:pStyle w:val="23"/>
            </w:pPr>
            <w:r>
              <w:t>涞财债（2021）7号文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预算资金</w:t>
            </w:r>
          </w:p>
        </w:tc>
        <w:tc>
          <w:tcPr>
            <w:tcW w:w="2891" w:type="dxa"/>
            <w:vAlign w:val="center"/>
          </w:tcPr>
          <w:p>
            <w:pPr>
              <w:pStyle w:val="23"/>
            </w:pPr>
            <w:r>
              <w:t>预算资金</w:t>
            </w:r>
          </w:p>
        </w:tc>
        <w:tc>
          <w:tcPr>
            <w:tcW w:w="1276" w:type="dxa"/>
            <w:vAlign w:val="center"/>
          </w:tcPr>
          <w:p>
            <w:pPr>
              <w:pStyle w:val="23"/>
            </w:pPr>
            <w:r>
              <w:t>≤782.73万元</w:t>
            </w:r>
          </w:p>
        </w:tc>
        <w:tc>
          <w:tcPr>
            <w:tcW w:w="1843" w:type="dxa"/>
            <w:vAlign w:val="center"/>
          </w:tcPr>
          <w:p>
            <w:pPr>
              <w:pStyle w:val="23"/>
            </w:pPr>
            <w:r>
              <w:t>涞财债（2021）7号文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项目工程完成情况</w:t>
            </w:r>
          </w:p>
        </w:tc>
        <w:tc>
          <w:tcPr>
            <w:tcW w:w="2891" w:type="dxa"/>
            <w:vAlign w:val="center"/>
          </w:tcPr>
          <w:p>
            <w:pPr>
              <w:pStyle w:val="23"/>
            </w:pPr>
            <w:r>
              <w:t>项目工程完成情况</w:t>
            </w:r>
          </w:p>
        </w:tc>
        <w:tc>
          <w:tcPr>
            <w:tcW w:w="1276" w:type="dxa"/>
            <w:vAlign w:val="center"/>
          </w:tcPr>
          <w:p>
            <w:pPr>
              <w:pStyle w:val="23"/>
            </w:pPr>
            <w:r>
              <w:t>根据合同约定</w:t>
            </w:r>
          </w:p>
        </w:tc>
        <w:tc>
          <w:tcPr>
            <w:tcW w:w="1843" w:type="dxa"/>
            <w:vAlign w:val="center"/>
          </w:tcPr>
          <w:p>
            <w:pPr>
              <w:pStyle w:val="23"/>
            </w:pPr>
            <w:r>
              <w:t>涞财债（2021）7号文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服务对象满意度</w:t>
            </w:r>
          </w:p>
        </w:tc>
        <w:tc>
          <w:tcPr>
            <w:tcW w:w="1276" w:type="dxa"/>
            <w:vAlign w:val="center"/>
          </w:tcPr>
          <w:p>
            <w:pPr>
              <w:pStyle w:val="23"/>
            </w:pPr>
            <w:r>
              <w:t>≥95百分比</w:t>
            </w:r>
          </w:p>
        </w:tc>
        <w:tc>
          <w:tcPr>
            <w:tcW w:w="1843" w:type="dxa"/>
            <w:vAlign w:val="center"/>
          </w:tcPr>
          <w:p>
            <w:pPr>
              <w:pStyle w:val="23"/>
            </w:pPr>
            <w:r>
              <w:t>涞财债（2021）7号文</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10" w:name="_Toc_4_4_0000000006"/>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3.2021年省级财政农村危房改造补助资金（冀财社[2020]208号）绩效目标表</w:t>
      </w:r>
      <w:bookmarkEnd w:id="10"/>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13062321AGW4MWCGQ13MK</w:t>
            </w:r>
          </w:p>
        </w:tc>
        <w:tc>
          <w:tcPr>
            <w:tcW w:w="1587" w:type="dxa"/>
            <w:vAlign w:val="center"/>
          </w:tcPr>
          <w:p>
            <w:pPr>
              <w:pStyle w:val="21"/>
            </w:pPr>
            <w:r>
              <w:t>项目名称</w:t>
            </w:r>
          </w:p>
        </w:tc>
        <w:tc>
          <w:tcPr>
            <w:tcW w:w="4422" w:type="dxa"/>
            <w:gridSpan w:val="3"/>
            <w:vAlign w:val="center"/>
          </w:tcPr>
          <w:p>
            <w:pPr>
              <w:pStyle w:val="23"/>
            </w:pPr>
            <w:r>
              <w:t>2021年省级财政农村危房改造补助资金（冀财社[2020]208号）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60.00</w:t>
            </w:r>
          </w:p>
        </w:tc>
        <w:tc>
          <w:tcPr>
            <w:tcW w:w="1587" w:type="dxa"/>
            <w:vAlign w:val="center"/>
          </w:tcPr>
          <w:p>
            <w:pPr>
              <w:pStyle w:val="21"/>
            </w:pPr>
            <w:r>
              <w:t>其中：财政    资金</w:t>
            </w:r>
          </w:p>
        </w:tc>
        <w:tc>
          <w:tcPr>
            <w:tcW w:w="1304" w:type="dxa"/>
            <w:vAlign w:val="center"/>
          </w:tcPr>
          <w:p>
            <w:pPr>
              <w:pStyle w:val="23"/>
            </w:pPr>
            <w:r>
              <w:t>60.00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用于支付2021年省级财政农村危房改造补助支出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1.支持符合条件的农村低收入群体实施农村危房改造和农房抗震改造。</w:t>
            </w:r>
          </w:p>
          <w:p>
            <w:pPr>
              <w:pStyle w:val="23"/>
            </w:pPr>
            <w:r>
              <w:t>2.支持地震高烈度设防地区符合条件的其他群体实施农房抗震改造。</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符合条件的危房改造率</w:t>
            </w:r>
          </w:p>
        </w:tc>
        <w:tc>
          <w:tcPr>
            <w:tcW w:w="2891" w:type="dxa"/>
            <w:vAlign w:val="center"/>
          </w:tcPr>
          <w:p>
            <w:pPr>
              <w:pStyle w:val="23"/>
            </w:pPr>
            <w:r>
              <w:t>符合条件的危房改造率</w:t>
            </w:r>
          </w:p>
        </w:tc>
        <w:tc>
          <w:tcPr>
            <w:tcW w:w="1276" w:type="dxa"/>
            <w:vAlign w:val="center"/>
          </w:tcPr>
          <w:p>
            <w:pPr>
              <w:pStyle w:val="23"/>
            </w:pPr>
            <w:r>
              <w:t>≥98百分比</w:t>
            </w:r>
          </w:p>
        </w:tc>
        <w:tc>
          <w:tcPr>
            <w:tcW w:w="1843" w:type="dxa"/>
            <w:vAlign w:val="center"/>
          </w:tcPr>
          <w:p>
            <w:pPr>
              <w:pStyle w:val="23"/>
            </w:pPr>
            <w:r>
              <w:t>冀财社（2020）208号文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农房设计</w:t>
            </w:r>
          </w:p>
        </w:tc>
        <w:tc>
          <w:tcPr>
            <w:tcW w:w="2891" w:type="dxa"/>
            <w:vAlign w:val="center"/>
          </w:tcPr>
          <w:p>
            <w:pPr>
              <w:pStyle w:val="23"/>
            </w:pPr>
            <w:r>
              <w:t>农房设计</w:t>
            </w:r>
          </w:p>
        </w:tc>
        <w:tc>
          <w:tcPr>
            <w:tcW w:w="1276" w:type="dxa"/>
            <w:vAlign w:val="center"/>
          </w:tcPr>
          <w:p>
            <w:pPr>
              <w:pStyle w:val="23"/>
            </w:pPr>
            <w:r>
              <w:t>有基本设计</w:t>
            </w:r>
          </w:p>
        </w:tc>
        <w:tc>
          <w:tcPr>
            <w:tcW w:w="1843" w:type="dxa"/>
            <w:vAlign w:val="center"/>
          </w:tcPr>
          <w:p>
            <w:pPr>
              <w:pStyle w:val="23"/>
            </w:pPr>
            <w:r>
              <w:t>冀财社（2020）208号文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改造危房当年开工率</w:t>
            </w:r>
          </w:p>
        </w:tc>
        <w:tc>
          <w:tcPr>
            <w:tcW w:w="2891" w:type="dxa"/>
            <w:vAlign w:val="center"/>
          </w:tcPr>
          <w:p>
            <w:pPr>
              <w:pStyle w:val="23"/>
            </w:pPr>
            <w:r>
              <w:t>改造危房当年开工率</w:t>
            </w:r>
          </w:p>
        </w:tc>
        <w:tc>
          <w:tcPr>
            <w:tcW w:w="1276" w:type="dxa"/>
            <w:vAlign w:val="center"/>
          </w:tcPr>
          <w:p>
            <w:pPr>
              <w:pStyle w:val="23"/>
            </w:pPr>
            <w:r>
              <w:t>≥95百分比</w:t>
            </w:r>
          </w:p>
        </w:tc>
        <w:tc>
          <w:tcPr>
            <w:tcW w:w="1843" w:type="dxa"/>
            <w:vAlign w:val="center"/>
          </w:tcPr>
          <w:p>
            <w:pPr>
              <w:pStyle w:val="23"/>
            </w:pPr>
            <w:r>
              <w:t>冀财社（2020）208号文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预算资金</w:t>
            </w:r>
          </w:p>
        </w:tc>
        <w:tc>
          <w:tcPr>
            <w:tcW w:w="2891" w:type="dxa"/>
            <w:vAlign w:val="center"/>
          </w:tcPr>
          <w:p>
            <w:pPr>
              <w:pStyle w:val="23"/>
            </w:pPr>
            <w:r>
              <w:t>预算资金</w:t>
            </w:r>
          </w:p>
        </w:tc>
        <w:tc>
          <w:tcPr>
            <w:tcW w:w="1276" w:type="dxa"/>
            <w:vAlign w:val="center"/>
          </w:tcPr>
          <w:p>
            <w:pPr>
              <w:pStyle w:val="23"/>
            </w:pPr>
            <w:r>
              <w:t>60万元</w:t>
            </w:r>
          </w:p>
        </w:tc>
        <w:tc>
          <w:tcPr>
            <w:tcW w:w="1843" w:type="dxa"/>
            <w:vAlign w:val="center"/>
          </w:tcPr>
          <w:p>
            <w:pPr>
              <w:pStyle w:val="23"/>
            </w:pPr>
            <w:r>
              <w:t>冀财社（2020）208号文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北方地区建筑节能改造</w:t>
            </w:r>
          </w:p>
        </w:tc>
        <w:tc>
          <w:tcPr>
            <w:tcW w:w="2891" w:type="dxa"/>
            <w:vAlign w:val="center"/>
          </w:tcPr>
          <w:p>
            <w:pPr>
              <w:pStyle w:val="23"/>
            </w:pPr>
            <w:r>
              <w:t>北方地区建筑节能改造</w:t>
            </w:r>
          </w:p>
        </w:tc>
        <w:tc>
          <w:tcPr>
            <w:tcW w:w="1276" w:type="dxa"/>
            <w:vAlign w:val="center"/>
          </w:tcPr>
          <w:p>
            <w:pPr>
              <w:pStyle w:val="23"/>
            </w:pPr>
            <w:r>
              <w:t>根据实际推广</w:t>
            </w:r>
          </w:p>
        </w:tc>
        <w:tc>
          <w:tcPr>
            <w:tcW w:w="1843" w:type="dxa"/>
            <w:vAlign w:val="center"/>
          </w:tcPr>
          <w:p>
            <w:pPr>
              <w:pStyle w:val="23"/>
            </w:pPr>
            <w:r>
              <w:t>冀财社（2020）208号文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服务对象满意度</w:t>
            </w:r>
          </w:p>
        </w:tc>
        <w:tc>
          <w:tcPr>
            <w:tcW w:w="1276" w:type="dxa"/>
            <w:vAlign w:val="center"/>
          </w:tcPr>
          <w:p>
            <w:pPr>
              <w:pStyle w:val="23"/>
            </w:pPr>
            <w:r>
              <w:t>≥95百分比</w:t>
            </w:r>
          </w:p>
        </w:tc>
        <w:tc>
          <w:tcPr>
            <w:tcW w:w="1843" w:type="dxa"/>
            <w:vAlign w:val="center"/>
          </w:tcPr>
          <w:p>
            <w:pPr>
              <w:pStyle w:val="23"/>
            </w:pPr>
            <w:r>
              <w:t>冀财社（2020）208号文</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11" w:name="_Toc_4_4_0000000007"/>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4.2021年省级财政农村危房改造补助资金（冀财社【2021】75号）绩效目标表</w:t>
      </w:r>
      <w:bookmarkEnd w:id="11"/>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13062321I9MUBHEAASZDQ</w:t>
            </w:r>
          </w:p>
        </w:tc>
        <w:tc>
          <w:tcPr>
            <w:tcW w:w="1587" w:type="dxa"/>
            <w:vAlign w:val="center"/>
          </w:tcPr>
          <w:p>
            <w:pPr>
              <w:pStyle w:val="21"/>
            </w:pPr>
            <w:r>
              <w:t>项目名称</w:t>
            </w:r>
          </w:p>
        </w:tc>
        <w:tc>
          <w:tcPr>
            <w:tcW w:w="4422" w:type="dxa"/>
            <w:gridSpan w:val="3"/>
            <w:vAlign w:val="center"/>
          </w:tcPr>
          <w:p>
            <w:pPr>
              <w:pStyle w:val="23"/>
            </w:pPr>
            <w:r>
              <w:t>2021年省级财政农村危房改造补助资金（冀财社【2021】75号）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9.00</w:t>
            </w:r>
          </w:p>
        </w:tc>
        <w:tc>
          <w:tcPr>
            <w:tcW w:w="1587" w:type="dxa"/>
            <w:vAlign w:val="center"/>
          </w:tcPr>
          <w:p>
            <w:pPr>
              <w:pStyle w:val="21"/>
            </w:pPr>
            <w:r>
              <w:t>其中：财政    资金</w:t>
            </w:r>
          </w:p>
        </w:tc>
        <w:tc>
          <w:tcPr>
            <w:tcW w:w="1304" w:type="dxa"/>
            <w:vAlign w:val="center"/>
          </w:tcPr>
          <w:p>
            <w:pPr>
              <w:pStyle w:val="23"/>
            </w:pPr>
            <w:r>
              <w:t>9.00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用于支付2021年省级财政农村危房改造补助支出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1.支持符合条件的农村低收入群体实施农村危房改造和农房抗震改造。</w:t>
            </w:r>
          </w:p>
          <w:p>
            <w:pPr>
              <w:pStyle w:val="23"/>
            </w:pPr>
            <w:r>
              <w:t>2.支持地震高烈度设防地区符合条件的其他群体实施农房抗震改造。</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符合条件的危房改造率</w:t>
            </w:r>
          </w:p>
        </w:tc>
        <w:tc>
          <w:tcPr>
            <w:tcW w:w="2891" w:type="dxa"/>
            <w:vAlign w:val="center"/>
          </w:tcPr>
          <w:p>
            <w:pPr>
              <w:pStyle w:val="23"/>
            </w:pPr>
            <w:r>
              <w:t>符合条件的危房改造率</w:t>
            </w:r>
          </w:p>
        </w:tc>
        <w:tc>
          <w:tcPr>
            <w:tcW w:w="1276" w:type="dxa"/>
            <w:vAlign w:val="center"/>
          </w:tcPr>
          <w:p>
            <w:pPr>
              <w:pStyle w:val="23"/>
            </w:pPr>
            <w:r>
              <w:t>≤100百分比</w:t>
            </w:r>
          </w:p>
        </w:tc>
        <w:tc>
          <w:tcPr>
            <w:tcW w:w="1843" w:type="dxa"/>
            <w:vAlign w:val="center"/>
          </w:tcPr>
          <w:p>
            <w:pPr>
              <w:pStyle w:val="23"/>
            </w:pPr>
            <w:r>
              <w:t>冀财社（2021）75号文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农房设计</w:t>
            </w:r>
          </w:p>
        </w:tc>
        <w:tc>
          <w:tcPr>
            <w:tcW w:w="2891" w:type="dxa"/>
            <w:vAlign w:val="center"/>
          </w:tcPr>
          <w:p>
            <w:pPr>
              <w:pStyle w:val="23"/>
            </w:pPr>
            <w:r>
              <w:t>农房设计</w:t>
            </w:r>
          </w:p>
        </w:tc>
        <w:tc>
          <w:tcPr>
            <w:tcW w:w="1276" w:type="dxa"/>
            <w:vAlign w:val="center"/>
          </w:tcPr>
          <w:p>
            <w:pPr>
              <w:pStyle w:val="23"/>
            </w:pPr>
            <w:r>
              <w:t>有基本设计</w:t>
            </w:r>
          </w:p>
        </w:tc>
        <w:tc>
          <w:tcPr>
            <w:tcW w:w="1843" w:type="dxa"/>
            <w:vAlign w:val="center"/>
          </w:tcPr>
          <w:p>
            <w:pPr>
              <w:pStyle w:val="23"/>
            </w:pPr>
            <w:r>
              <w:t>冀财社（2021）75号文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改造危房当年开工率</w:t>
            </w:r>
          </w:p>
        </w:tc>
        <w:tc>
          <w:tcPr>
            <w:tcW w:w="2891" w:type="dxa"/>
            <w:vAlign w:val="center"/>
          </w:tcPr>
          <w:p>
            <w:pPr>
              <w:pStyle w:val="23"/>
            </w:pPr>
            <w:r>
              <w:t>改造危房当年开工率</w:t>
            </w:r>
          </w:p>
        </w:tc>
        <w:tc>
          <w:tcPr>
            <w:tcW w:w="1276" w:type="dxa"/>
            <w:vAlign w:val="center"/>
          </w:tcPr>
          <w:p>
            <w:pPr>
              <w:pStyle w:val="23"/>
            </w:pPr>
            <w:r>
              <w:t>≤100百分比</w:t>
            </w:r>
          </w:p>
        </w:tc>
        <w:tc>
          <w:tcPr>
            <w:tcW w:w="1843" w:type="dxa"/>
            <w:vAlign w:val="center"/>
          </w:tcPr>
          <w:p>
            <w:pPr>
              <w:pStyle w:val="23"/>
            </w:pPr>
            <w:r>
              <w:t>冀财社（2021）75号文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≤9万元</w:t>
            </w:r>
          </w:p>
        </w:tc>
        <w:tc>
          <w:tcPr>
            <w:tcW w:w="1843" w:type="dxa"/>
            <w:vAlign w:val="center"/>
          </w:tcPr>
          <w:p>
            <w:pPr>
              <w:pStyle w:val="23"/>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北方地区建筑节能改造</w:t>
            </w:r>
          </w:p>
        </w:tc>
        <w:tc>
          <w:tcPr>
            <w:tcW w:w="2891" w:type="dxa"/>
            <w:vAlign w:val="center"/>
          </w:tcPr>
          <w:p>
            <w:pPr>
              <w:pStyle w:val="23"/>
            </w:pPr>
            <w:r>
              <w:t>北方地区建筑节能改造</w:t>
            </w:r>
          </w:p>
        </w:tc>
        <w:tc>
          <w:tcPr>
            <w:tcW w:w="1276" w:type="dxa"/>
            <w:vAlign w:val="center"/>
          </w:tcPr>
          <w:p>
            <w:pPr>
              <w:pStyle w:val="23"/>
            </w:pPr>
            <w:r>
              <w:t>根据实际推广</w:t>
            </w:r>
          </w:p>
        </w:tc>
        <w:tc>
          <w:tcPr>
            <w:tcW w:w="1843" w:type="dxa"/>
            <w:vAlign w:val="center"/>
          </w:tcPr>
          <w:p>
            <w:pPr>
              <w:pStyle w:val="23"/>
            </w:pPr>
            <w:r>
              <w:t>冀财社（2021）75号文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服务对象满意度</w:t>
            </w:r>
          </w:p>
        </w:tc>
        <w:tc>
          <w:tcPr>
            <w:tcW w:w="1276" w:type="dxa"/>
            <w:vAlign w:val="center"/>
          </w:tcPr>
          <w:p>
            <w:pPr>
              <w:pStyle w:val="23"/>
            </w:pPr>
            <w:r>
              <w:t>≥90百分比</w:t>
            </w:r>
          </w:p>
        </w:tc>
        <w:tc>
          <w:tcPr>
            <w:tcW w:w="1843" w:type="dxa"/>
            <w:vAlign w:val="center"/>
          </w:tcPr>
          <w:p>
            <w:pPr>
              <w:pStyle w:val="23"/>
            </w:pPr>
            <w:r>
              <w:t>冀财社（2021）75号文</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12" w:name="_Toc_4_4_0000000008"/>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5.2021年中央财政农村危房改造补助资金（冀财社[2020]196号）绩效目标表</w:t>
      </w:r>
      <w:bookmarkEnd w:id="12"/>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13062321AC4YY1KMEVNRK</w:t>
            </w:r>
          </w:p>
        </w:tc>
        <w:tc>
          <w:tcPr>
            <w:tcW w:w="1587" w:type="dxa"/>
            <w:vAlign w:val="center"/>
          </w:tcPr>
          <w:p>
            <w:pPr>
              <w:pStyle w:val="21"/>
            </w:pPr>
            <w:r>
              <w:t>项目名称</w:t>
            </w:r>
          </w:p>
        </w:tc>
        <w:tc>
          <w:tcPr>
            <w:tcW w:w="4422" w:type="dxa"/>
            <w:gridSpan w:val="3"/>
            <w:vAlign w:val="center"/>
          </w:tcPr>
          <w:p>
            <w:pPr>
              <w:pStyle w:val="23"/>
            </w:pPr>
            <w:r>
              <w:t>2021年中央财政农村危房改造补助资金（冀财社[2020]196号）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125.08</w:t>
            </w:r>
          </w:p>
        </w:tc>
        <w:tc>
          <w:tcPr>
            <w:tcW w:w="1587" w:type="dxa"/>
            <w:vAlign w:val="center"/>
          </w:tcPr>
          <w:p>
            <w:pPr>
              <w:pStyle w:val="21"/>
            </w:pPr>
            <w:r>
              <w:t>其中：财政    资金</w:t>
            </w:r>
          </w:p>
        </w:tc>
        <w:tc>
          <w:tcPr>
            <w:tcW w:w="1304" w:type="dxa"/>
            <w:vAlign w:val="center"/>
          </w:tcPr>
          <w:p>
            <w:pPr>
              <w:pStyle w:val="23"/>
            </w:pPr>
            <w:r>
              <w:t>125.08</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用于支付2021年中央财政农村危房改造补助支出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1.支持符合条件的农村低收入群体实施农村危房改造和农房抗震改造。</w:t>
            </w:r>
          </w:p>
          <w:p>
            <w:pPr>
              <w:pStyle w:val="23"/>
            </w:pPr>
            <w:r>
              <w:t>2.支持地震高烈度设防地区符合条件的其他群体实施农房抗震改造。</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符合条件的危房改造率</w:t>
            </w:r>
          </w:p>
        </w:tc>
        <w:tc>
          <w:tcPr>
            <w:tcW w:w="2891" w:type="dxa"/>
            <w:vAlign w:val="center"/>
          </w:tcPr>
          <w:p>
            <w:pPr>
              <w:pStyle w:val="23"/>
            </w:pPr>
            <w:r>
              <w:t>符合条件的危房改造率</w:t>
            </w:r>
          </w:p>
        </w:tc>
        <w:tc>
          <w:tcPr>
            <w:tcW w:w="1276" w:type="dxa"/>
            <w:vAlign w:val="center"/>
          </w:tcPr>
          <w:p>
            <w:pPr>
              <w:pStyle w:val="23"/>
            </w:pPr>
            <w:r>
              <w:t>≥100百分比</w:t>
            </w:r>
          </w:p>
        </w:tc>
        <w:tc>
          <w:tcPr>
            <w:tcW w:w="1843" w:type="dxa"/>
            <w:vAlign w:val="center"/>
          </w:tcPr>
          <w:p>
            <w:pPr>
              <w:pStyle w:val="23"/>
            </w:pPr>
            <w:r>
              <w:t>冀财社（2020）196号文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农房设计</w:t>
            </w:r>
          </w:p>
        </w:tc>
        <w:tc>
          <w:tcPr>
            <w:tcW w:w="2891" w:type="dxa"/>
            <w:vAlign w:val="center"/>
          </w:tcPr>
          <w:p>
            <w:pPr>
              <w:pStyle w:val="23"/>
            </w:pPr>
            <w:r>
              <w:t>农房设计</w:t>
            </w:r>
          </w:p>
        </w:tc>
        <w:tc>
          <w:tcPr>
            <w:tcW w:w="1276" w:type="dxa"/>
            <w:vAlign w:val="center"/>
          </w:tcPr>
          <w:p>
            <w:pPr>
              <w:pStyle w:val="23"/>
            </w:pPr>
            <w:r>
              <w:t>有基本设计</w:t>
            </w:r>
          </w:p>
        </w:tc>
        <w:tc>
          <w:tcPr>
            <w:tcW w:w="1843" w:type="dxa"/>
            <w:vAlign w:val="center"/>
          </w:tcPr>
          <w:p>
            <w:pPr>
              <w:pStyle w:val="23"/>
            </w:pPr>
            <w:r>
              <w:t>冀财社（2020）196号文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改造危房当年开工率</w:t>
            </w:r>
          </w:p>
        </w:tc>
        <w:tc>
          <w:tcPr>
            <w:tcW w:w="2891" w:type="dxa"/>
            <w:vAlign w:val="center"/>
          </w:tcPr>
          <w:p>
            <w:pPr>
              <w:pStyle w:val="23"/>
            </w:pPr>
            <w:r>
              <w:t>改造危房当年开工率</w:t>
            </w:r>
          </w:p>
        </w:tc>
        <w:tc>
          <w:tcPr>
            <w:tcW w:w="1276" w:type="dxa"/>
            <w:vAlign w:val="center"/>
          </w:tcPr>
          <w:p>
            <w:pPr>
              <w:pStyle w:val="23"/>
            </w:pPr>
            <w:r>
              <w:t>≥95百分比</w:t>
            </w:r>
          </w:p>
        </w:tc>
        <w:tc>
          <w:tcPr>
            <w:tcW w:w="1843" w:type="dxa"/>
            <w:vAlign w:val="center"/>
          </w:tcPr>
          <w:p>
            <w:pPr>
              <w:pStyle w:val="23"/>
            </w:pPr>
            <w:r>
              <w:t>冀财社（2020）196号文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预算资金</w:t>
            </w:r>
          </w:p>
        </w:tc>
        <w:tc>
          <w:tcPr>
            <w:tcW w:w="2891" w:type="dxa"/>
            <w:vAlign w:val="center"/>
          </w:tcPr>
          <w:p>
            <w:pPr>
              <w:pStyle w:val="23"/>
            </w:pPr>
            <w:r>
              <w:t>预算资金</w:t>
            </w:r>
          </w:p>
        </w:tc>
        <w:tc>
          <w:tcPr>
            <w:tcW w:w="1276" w:type="dxa"/>
            <w:vAlign w:val="center"/>
          </w:tcPr>
          <w:p>
            <w:pPr>
              <w:pStyle w:val="23"/>
            </w:pPr>
            <w:r>
              <w:t>125.08万元</w:t>
            </w:r>
          </w:p>
        </w:tc>
        <w:tc>
          <w:tcPr>
            <w:tcW w:w="1843" w:type="dxa"/>
            <w:vAlign w:val="center"/>
          </w:tcPr>
          <w:p>
            <w:pPr>
              <w:pStyle w:val="23"/>
            </w:pPr>
            <w:r>
              <w:t>冀财社（2020）196号文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北方地区建筑节能改造</w:t>
            </w:r>
          </w:p>
        </w:tc>
        <w:tc>
          <w:tcPr>
            <w:tcW w:w="2891" w:type="dxa"/>
            <w:vAlign w:val="center"/>
          </w:tcPr>
          <w:p>
            <w:pPr>
              <w:pStyle w:val="23"/>
            </w:pPr>
            <w:r>
              <w:t>北方地区建筑节能改造</w:t>
            </w:r>
          </w:p>
        </w:tc>
        <w:tc>
          <w:tcPr>
            <w:tcW w:w="1276" w:type="dxa"/>
            <w:vAlign w:val="center"/>
          </w:tcPr>
          <w:p>
            <w:pPr>
              <w:pStyle w:val="23"/>
            </w:pPr>
            <w:r>
              <w:t>实际情况推广</w:t>
            </w:r>
          </w:p>
        </w:tc>
        <w:tc>
          <w:tcPr>
            <w:tcW w:w="1843" w:type="dxa"/>
            <w:vAlign w:val="center"/>
          </w:tcPr>
          <w:p>
            <w:pPr>
              <w:pStyle w:val="23"/>
            </w:pPr>
            <w:r>
              <w:t>冀财社（2020）196号文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服务对象满意度</w:t>
            </w:r>
          </w:p>
        </w:tc>
        <w:tc>
          <w:tcPr>
            <w:tcW w:w="1276" w:type="dxa"/>
            <w:vAlign w:val="center"/>
          </w:tcPr>
          <w:p>
            <w:pPr>
              <w:pStyle w:val="23"/>
            </w:pPr>
            <w:r>
              <w:t>≥95百分比</w:t>
            </w:r>
          </w:p>
        </w:tc>
        <w:tc>
          <w:tcPr>
            <w:tcW w:w="1843" w:type="dxa"/>
            <w:vAlign w:val="center"/>
          </w:tcPr>
          <w:p>
            <w:pPr>
              <w:pStyle w:val="23"/>
            </w:pPr>
            <w:r>
              <w:t>冀财社（2020）196号文</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13" w:name="_Toc_4_4_0000000009"/>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6.2021年中央财政农村危房改造补助资金（冀财社【2021】50号）绩效目标表</w:t>
      </w:r>
      <w:bookmarkEnd w:id="13"/>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130623215XMFGG2HH5218</w:t>
            </w:r>
          </w:p>
        </w:tc>
        <w:tc>
          <w:tcPr>
            <w:tcW w:w="1587" w:type="dxa"/>
            <w:vAlign w:val="center"/>
          </w:tcPr>
          <w:p>
            <w:pPr>
              <w:pStyle w:val="21"/>
            </w:pPr>
            <w:r>
              <w:t>项目名称</w:t>
            </w:r>
          </w:p>
        </w:tc>
        <w:tc>
          <w:tcPr>
            <w:tcW w:w="4422" w:type="dxa"/>
            <w:gridSpan w:val="3"/>
            <w:vAlign w:val="center"/>
          </w:tcPr>
          <w:p>
            <w:pPr>
              <w:pStyle w:val="23"/>
            </w:pPr>
            <w:r>
              <w:t>2021年中央财政农村危房改造补助资金（冀财社【2021】50号）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50.00</w:t>
            </w:r>
          </w:p>
        </w:tc>
        <w:tc>
          <w:tcPr>
            <w:tcW w:w="1587" w:type="dxa"/>
            <w:vAlign w:val="center"/>
          </w:tcPr>
          <w:p>
            <w:pPr>
              <w:pStyle w:val="21"/>
            </w:pPr>
            <w:r>
              <w:t>其中：财政    资金</w:t>
            </w:r>
          </w:p>
        </w:tc>
        <w:tc>
          <w:tcPr>
            <w:tcW w:w="1304" w:type="dxa"/>
            <w:vAlign w:val="center"/>
          </w:tcPr>
          <w:p>
            <w:pPr>
              <w:pStyle w:val="23"/>
            </w:pPr>
            <w:r>
              <w:t>50.00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用于支付2021年中央财政农村危房改造补助支出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1.支持符合条件的农村低收入群体实施农村危房改造和农房抗震改造。</w:t>
            </w:r>
          </w:p>
          <w:p>
            <w:pPr>
              <w:pStyle w:val="23"/>
            </w:pPr>
            <w:r>
              <w:t>2.支持地震高烈度设防地区符合条件的其他群体实施农房抗震改造。</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符合条件的危房改造率</w:t>
            </w:r>
          </w:p>
        </w:tc>
        <w:tc>
          <w:tcPr>
            <w:tcW w:w="2891" w:type="dxa"/>
            <w:vAlign w:val="center"/>
          </w:tcPr>
          <w:p>
            <w:pPr>
              <w:pStyle w:val="23"/>
            </w:pPr>
            <w:r>
              <w:t>符合条件的危房改造率</w:t>
            </w:r>
          </w:p>
        </w:tc>
        <w:tc>
          <w:tcPr>
            <w:tcW w:w="1276" w:type="dxa"/>
            <w:vAlign w:val="center"/>
          </w:tcPr>
          <w:p>
            <w:pPr>
              <w:pStyle w:val="23"/>
            </w:pPr>
            <w:r>
              <w:t>≥98百分比</w:t>
            </w:r>
          </w:p>
        </w:tc>
        <w:tc>
          <w:tcPr>
            <w:tcW w:w="1843" w:type="dxa"/>
            <w:vAlign w:val="center"/>
          </w:tcPr>
          <w:p>
            <w:pPr>
              <w:pStyle w:val="23"/>
            </w:pPr>
            <w:r>
              <w:t>冀财社（2021）50号文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农房设计</w:t>
            </w:r>
          </w:p>
        </w:tc>
        <w:tc>
          <w:tcPr>
            <w:tcW w:w="2891" w:type="dxa"/>
            <w:vAlign w:val="center"/>
          </w:tcPr>
          <w:p>
            <w:pPr>
              <w:pStyle w:val="23"/>
            </w:pPr>
            <w:r>
              <w:t>农房设计</w:t>
            </w:r>
          </w:p>
        </w:tc>
        <w:tc>
          <w:tcPr>
            <w:tcW w:w="1276" w:type="dxa"/>
            <w:vAlign w:val="center"/>
          </w:tcPr>
          <w:p>
            <w:pPr>
              <w:pStyle w:val="23"/>
            </w:pPr>
            <w:r>
              <w:t>有基本设计</w:t>
            </w:r>
          </w:p>
        </w:tc>
        <w:tc>
          <w:tcPr>
            <w:tcW w:w="1843" w:type="dxa"/>
            <w:vAlign w:val="center"/>
          </w:tcPr>
          <w:p>
            <w:pPr>
              <w:pStyle w:val="23"/>
            </w:pPr>
            <w:r>
              <w:t>冀财社（2021）50号文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改造危房当年开工率</w:t>
            </w:r>
          </w:p>
        </w:tc>
        <w:tc>
          <w:tcPr>
            <w:tcW w:w="2891" w:type="dxa"/>
            <w:vAlign w:val="center"/>
          </w:tcPr>
          <w:p>
            <w:pPr>
              <w:pStyle w:val="23"/>
            </w:pPr>
            <w:r>
              <w:t>改造危房当年开工率</w:t>
            </w:r>
          </w:p>
        </w:tc>
        <w:tc>
          <w:tcPr>
            <w:tcW w:w="1276" w:type="dxa"/>
            <w:vAlign w:val="center"/>
          </w:tcPr>
          <w:p>
            <w:pPr>
              <w:pStyle w:val="23"/>
            </w:pPr>
            <w:r>
              <w:t>≥95百分比</w:t>
            </w:r>
          </w:p>
        </w:tc>
        <w:tc>
          <w:tcPr>
            <w:tcW w:w="1843" w:type="dxa"/>
            <w:vAlign w:val="center"/>
          </w:tcPr>
          <w:p>
            <w:pPr>
              <w:pStyle w:val="23"/>
            </w:pPr>
            <w:r>
              <w:t>冀财社（2021）50号文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预算资金</w:t>
            </w:r>
          </w:p>
        </w:tc>
        <w:tc>
          <w:tcPr>
            <w:tcW w:w="2891" w:type="dxa"/>
            <w:vAlign w:val="center"/>
          </w:tcPr>
          <w:p>
            <w:pPr>
              <w:pStyle w:val="23"/>
            </w:pPr>
            <w:r>
              <w:t>预算资金</w:t>
            </w:r>
          </w:p>
        </w:tc>
        <w:tc>
          <w:tcPr>
            <w:tcW w:w="1276" w:type="dxa"/>
            <w:vAlign w:val="center"/>
          </w:tcPr>
          <w:p>
            <w:pPr>
              <w:pStyle w:val="23"/>
            </w:pPr>
            <w:r>
              <w:t>50万元</w:t>
            </w:r>
          </w:p>
        </w:tc>
        <w:tc>
          <w:tcPr>
            <w:tcW w:w="1843" w:type="dxa"/>
            <w:vAlign w:val="center"/>
          </w:tcPr>
          <w:p>
            <w:pPr>
              <w:pStyle w:val="23"/>
            </w:pPr>
            <w:r>
              <w:t>冀财社（2021）50号文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北方地区建筑节能改造</w:t>
            </w:r>
          </w:p>
        </w:tc>
        <w:tc>
          <w:tcPr>
            <w:tcW w:w="2891" w:type="dxa"/>
            <w:vAlign w:val="center"/>
          </w:tcPr>
          <w:p>
            <w:pPr>
              <w:pStyle w:val="23"/>
            </w:pPr>
            <w:r>
              <w:t>北方地区建筑节能改造</w:t>
            </w:r>
          </w:p>
        </w:tc>
        <w:tc>
          <w:tcPr>
            <w:tcW w:w="1276" w:type="dxa"/>
            <w:vAlign w:val="center"/>
          </w:tcPr>
          <w:p>
            <w:pPr>
              <w:pStyle w:val="23"/>
            </w:pPr>
            <w:r>
              <w:t>根据实际推广</w:t>
            </w:r>
          </w:p>
        </w:tc>
        <w:tc>
          <w:tcPr>
            <w:tcW w:w="1843" w:type="dxa"/>
            <w:vAlign w:val="center"/>
          </w:tcPr>
          <w:p>
            <w:pPr>
              <w:pStyle w:val="23"/>
            </w:pPr>
            <w:r>
              <w:t>冀财社（2021）50号文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服务对象满意度</w:t>
            </w:r>
          </w:p>
        </w:tc>
        <w:tc>
          <w:tcPr>
            <w:tcW w:w="1276" w:type="dxa"/>
            <w:vAlign w:val="center"/>
          </w:tcPr>
          <w:p>
            <w:pPr>
              <w:pStyle w:val="23"/>
            </w:pPr>
            <w:r>
              <w:t>≥95百分比</w:t>
            </w:r>
          </w:p>
        </w:tc>
        <w:tc>
          <w:tcPr>
            <w:tcW w:w="1843" w:type="dxa"/>
            <w:vAlign w:val="center"/>
          </w:tcPr>
          <w:p>
            <w:pPr>
              <w:pStyle w:val="23"/>
            </w:pPr>
            <w:r>
              <w:t>冀财社（2021）50号文</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14" w:name="_Toc_4_4_0000000010"/>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7.2021年中央财政危房改造补助资金（冀财社【2021】63号）绩效目标表</w:t>
      </w:r>
      <w:bookmarkEnd w:id="14"/>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13062321TBG6VBOXQXCVW</w:t>
            </w:r>
          </w:p>
        </w:tc>
        <w:tc>
          <w:tcPr>
            <w:tcW w:w="1587" w:type="dxa"/>
            <w:vAlign w:val="center"/>
          </w:tcPr>
          <w:p>
            <w:pPr>
              <w:pStyle w:val="21"/>
            </w:pPr>
            <w:r>
              <w:t>项目名称</w:t>
            </w:r>
          </w:p>
        </w:tc>
        <w:tc>
          <w:tcPr>
            <w:tcW w:w="4422" w:type="dxa"/>
            <w:gridSpan w:val="3"/>
            <w:vAlign w:val="center"/>
          </w:tcPr>
          <w:p>
            <w:pPr>
              <w:pStyle w:val="23"/>
            </w:pPr>
            <w:r>
              <w:t>2021年中央财政危房改造补助资金（冀财社【2021】63号）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17.00</w:t>
            </w:r>
          </w:p>
        </w:tc>
        <w:tc>
          <w:tcPr>
            <w:tcW w:w="1587" w:type="dxa"/>
            <w:vAlign w:val="center"/>
          </w:tcPr>
          <w:p>
            <w:pPr>
              <w:pStyle w:val="21"/>
            </w:pPr>
            <w:r>
              <w:t>其中：财政    资金</w:t>
            </w:r>
          </w:p>
        </w:tc>
        <w:tc>
          <w:tcPr>
            <w:tcW w:w="1304" w:type="dxa"/>
            <w:vAlign w:val="center"/>
          </w:tcPr>
          <w:p>
            <w:pPr>
              <w:pStyle w:val="23"/>
            </w:pPr>
            <w:r>
              <w:t>17.00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用于支付2021年中央财政农村危房改造补助支出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1.支持符合条件的农村低收入群体实施农村危房改造和农房抗震改造。</w:t>
            </w:r>
          </w:p>
          <w:p>
            <w:pPr>
              <w:pStyle w:val="23"/>
            </w:pPr>
            <w:r>
              <w:t>2.支持地震高烈度设防地区符合条件的其他群体实施农房抗震改造。</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符合条件的危房改造率</w:t>
            </w:r>
          </w:p>
        </w:tc>
        <w:tc>
          <w:tcPr>
            <w:tcW w:w="2891" w:type="dxa"/>
            <w:vAlign w:val="center"/>
          </w:tcPr>
          <w:p>
            <w:pPr>
              <w:pStyle w:val="23"/>
            </w:pPr>
            <w:r>
              <w:t>符合条件的危房改造率</w:t>
            </w:r>
          </w:p>
        </w:tc>
        <w:tc>
          <w:tcPr>
            <w:tcW w:w="1276" w:type="dxa"/>
            <w:vAlign w:val="center"/>
          </w:tcPr>
          <w:p>
            <w:pPr>
              <w:pStyle w:val="23"/>
            </w:pPr>
            <w:r>
              <w:t>≥98百分比</w:t>
            </w:r>
          </w:p>
        </w:tc>
        <w:tc>
          <w:tcPr>
            <w:tcW w:w="1843" w:type="dxa"/>
            <w:vAlign w:val="center"/>
          </w:tcPr>
          <w:p>
            <w:pPr>
              <w:pStyle w:val="23"/>
            </w:pPr>
            <w:r>
              <w:t>冀财社（2021）63号文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农房设计</w:t>
            </w:r>
          </w:p>
        </w:tc>
        <w:tc>
          <w:tcPr>
            <w:tcW w:w="2891" w:type="dxa"/>
            <w:vAlign w:val="center"/>
          </w:tcPr>
          <w:p>
            <w:pPr>
              <w:pStyle w:val="23"/>
            </w:pPr>
            <w:r>
              <w:t>农房设计</w:t>
            </w:r>
          </w:p>
        </w:tc>
        <w:tc>
          <w:tcPr>
            <w:tcW w:w="1276" w:type="dxa"/>
            <w:vAlign w:val="center"/>
          </w:tcPr>
          <w:p>
            <w:pPr>
              <w:pStyle w:val="23"/>
            </w:pPr>
            <w:r>
              <w:t>有基本设计</w:t>
            </w:r>
          </w:p>
        </w:tc>
        <w:tc>
          <w:tcPr>
            <w:tcW w:w="1843" w:type="dxa"/>
            <w:vAlign w:val="center"/>
          </w:tcPr>
          <w:p>
            <w:pPr>
              <w:pStyle w:val="23"/>
            </w:pPr>
            <w:r>
              <w:t>冀财社（2021）63号文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改造危房当年开工率</w:t>
            </w:r>
          </w:p>
        </w:tc>
        <w:tc>
          <w:tcPr>
            <w:tcW w:w="2891" w:type="dxa"/>
            <w:vAlign w:val="center"/>
          </w:tcPr>
          <w:p>
            <w:pPr>
              <w:pStyle w:val="23"/>
            </w:pPr>
            <w:r>
              <w:t>改造危房当年开工率</w:t>
            </w:r>
          </w:p>
        </w:tc>
        <w:tc>
          <w:tcPr>
            <w:tcW w:w="1276" w:type="dxa"/>
            <w:vAlign w:val="center"/>
          </w:tcPr>
          <w:p>
            <w:pPr>
              <w:pStyle w:val="23"/>
            </w:pPr>
            <w:r>
              <w:t>≥95百分比</w:t>
            </w:r>
          </w:p>
        </w:tc>
        <w:tc>
          <w:tcPr>
            <w:tcW w:w="1843" w:type="dxa"/>
            <w:vAlign w:val="center"/>
          </w:tcPr>
          <w:p>
            <w:pPr>
              <w:pStyle w:val="23"/>
            </w:pPr>
            <w:r>
              <w:t>冀财社（2021）63号文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预算资金</w:t>
            </w:r>
          </w:p>
        </w:tc>
        <w:tc>
          <w:tcPr>
            <w:tcW w:w="2891" w:type="dxa"/>
            <w:vAlign w:val="center"/>
          </w:tcPr>
          <w:p>
            <w:pPr>
              <w:pStyle w:val="23"/>
            </w:pPr>
            <w:r>
              <w:t>预算资金</w:t>
            </w:r>
          </w:p>
        </w:tc>
        <w:tc>
          <w:tcPr>
            <w:tcW w:w="1276" w:type="dxa"/>
            <w:vAlign w:val="center"/>
          </w:tcPr>
          <w:p>
            <w:pPr>
              <w:pStyle w:val="23"/>
            </w:pPr>
            <w:r>
              <w:t>17万元</w:t>
            </w:r>
          </w:p>
        </w:tc>
        <w:tc>
          <w:tcPr>
            <w:tcW w:w="1843" w:type="dxa"/>
            <w:vAlign w:val="center"/>
          </w:tcPr>
          <w:p>
            <w:pPr>
              <w:pStyle w:val="23"/>
            </w:pPr>
            <w:r>
              <w:t>冀财社（2021）63号文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北方地区建筑节能改造</w:t>
            </w:r>
          </w:p>
        </w:tc>
        <w:tc>
          <w:tcPr>
            <w:tcW w:w="2891" w:type="dxa"/>
            <w:vAlign w:val="center"/>
          </w:tcPr>
          <w:p>
            <w:pPr>
              <w:pStyle w:val="23"/>
            </w:pPr>
            <w:r>
              <w:t>北方地区建筑节能改造</w:t>
            </w:r>
          </w:p>
        </w:tc>
        <w:tc>
          <w:tcPr>
            <w:tcW w:w="1276" w:type="dxa"/>
            <w:vAlign w:val="center"/>
          </w:tcPr>
          <w:p>
            <w:pPr>
              <w:pStyle w:val="23"/>
            </w:pPr>
            <w:r>
              <w:t>根据实际推广</w:t>
            </w:r>
          </w:p>
        </w:tc>
        <w:tc>
          <w:tcPr>
            <w:tcW w:w="1843" w:type="dxa"/>
            <w:vAlign w:val="center"/>
          </w:tcPr>
          <w:p>
            <w:pPr>
              <w:pStyle w:val="23"/>
            </w:pPr>
            <w:r>
              <w:t>冀财社（2021）63号文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服务对象满意度</w:t>
            </w:r>
          </w:p>
        </w:tc>
        <w:tc>
          <w:tcPr>
            <w:tcW w:w="1276" w:type="dxa"/>
            <w:vAlign w:val="center"/>
          </w:tcPr>
          <w:p>
            <w:pPr>
              <w:pStyle w:val="23"/>
            </w:pPr>
            <w:r>
              <w:t>≥95百分比</w:t>
            </w:r>
          </w:p>
        </w:tc>
        <w:tc>
          <w:tcPr>
            <w:tcW w:w="1843" w:type="dxa"/>
            <w:vAlign w:val="center"/>
          </w:tcPr>
          <w:p>
            <w:pPr>
              <w:pStyle w:val="23"/>
            </w:pPr>
            <w:r>
              <w:t>冀财社（2021）63号文</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15" w:name="_Toc_4_4_0000000011"/>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8.2022年保障性住房维修资金（县级配套）绩效目标表</w:t>
      </w:r>
      <w:bookmarkEnd w:id="15"/>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13062322P00848610001T</w:t>
            </w:r>
          </w:p>
        </w:tc>
        <w:tc>
          <w:tcPr>
            <w:tcW w:w="1587" w:type="dxa"/>
            <w:vAlign w:val="center"/>
          </w:tcPr>
          <w:p>
            <w:pPr>
              <w:pStyle w:val="21"/>
            </w:pPr>
            <w:r>
              <w:t>项目名称</w:t>
            </w:r>
          </w:p>
        </w:tc>
        <w:tc>
          <w:tcPr>
            <w:tcW w:w="4422" w:type="dxa"/>
            <w:gridSpan w:val="3"/>
            <w:vAlign w:val="center"/>
          </w:tcPr>
          <w:p>
            <w:pPr>
              <w:pStyle w:val="23"/>
            </w:pPr>
            <w:r>
              <w:t>2022年保障性住房维修资金（县级配套）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20.00</w:t>
            </w:r>
          </w:p>
        </w:tc>
        <w:tc>
          <w:tcPr>
            <w:tcW w:w="1587" w:type="dxa"/>
            <w:vAlign w:val="center"/>
          </w:tcPr>
          <w:p>
            <w:pPr>
              <w:pStyle w:val="21"/>
            </w:pPr>
            <w:r>
              <w:t>其中：财政    资金</w:t>
            </w:r>
          </w:p>
        </w:tc>
        <w:tc>
          <w:tcPr>
            <w:tcW w:w="1304" w:type="dxa"/>
            <w:vAlign w:val="center"/>
          </w:tcPr>
          <w:p>
            <w:pPr>
              <w:pStyle w:val="23"/>
            </w:pPr>
            <w:r>
              <w:t>20.00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2022年保障性住房维修资金用于维修房顶、下水管道、门窗、外墙保温等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1.2022年保障性住房维修资金用于维修房顶、下水管道、门窗、外墙保温等</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现有公租房数量</w:t>
            </w:r>
          </w:p>
        </w:tc>
        <w:tc>
          <w:tcPr>
            <w:tcW w:w="2891" w:type="dxa"/>
            <w:vAlign w:val="center"/>
          </w:tcPr>
          <w:p>
            <w:pPr>
              <w:pStyle w:val="23"/>
            </w:pPr>
            <w:r>
              <w:t>现有公租房数量</w:t>
            </w:r>
          </w:p>
        </w:tc>
        <w:tc>
          <w:tcPr>
            <w:tcW w:w="1276" w:type="dxa"/>
            <w:vAlign w:val="center"/>
          </w:tcPr>
          <w:p>
            <w:pPr>
              <w:pStyle w:val="23"/>
            </w:pPr>
            <w:r>
              <w:t>824套</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维修合格率(%)</w:t>
            </w:r>
          </w:p>
        </w:tc>
        <w:tc>
          <w:tcPr>
            <w:tcW w:w="2891" w:type="dxa"/>
            <w:vAlign w:val="center"/>
          </w:tcPr>
          <w:p>
            <w:pPr>
              <w:pStyle w:val="23"/>
            </w:pPr>
            <w:r>
              <w:t>维修合格率(%)</w:t>
            </w:r>
          </w:p>
        </w:tc>
        <w:tc>
          <w:tcPr>
            <w:tcW w:w="1276" w:type="dxa"/>
            <w:vAlign w:val="center"/>
          </w:tcPr>
          <w:p>
            <w:pPr>
              <w:pStyle w:val="23"/>
            </w:pPr>
            <w:r>
              <w:t>≥90百分比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房屋维修维护时间</w:t>
            </w:r>
          </w:p>
        </w:tc>
        <w:tc>
          <w:tcPr>
            <w:tcW w:w="2891" w:type="dxa"/>
            <w:vAlign w:val="center"/>
          </w:tcPr>
          <w:p>
            <w:pPr>
              <w:pStyle w:val="23"/>
            </w:pPr>
            <w:r>
              <w:t>房屋维修维护时间</w:t>
            </w:r>
          </w:p>
        </w:tc>
        <w:tc>
          <w:tcPr>
            <w:tcW w:w="1276" w:type="dxa"/>
            <w:vAlign w:val="center"/>
          </w:tcPr>
          <w:p>
            <w:pPr>
              <w:pStyle w:val="23"/>
            </w:pPr>
            <w:r>
              <w:t>≥5工作日</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年度预算金额</w:t>
            </w:r>
          </w:p>
        </w:tc>
        <w:tc>
          <w:tcPr>
            <w:tcW w:w="2891" w:type="dxa"/>
            <w:vAlign w:val="center"/>
          </w:tcPr>
          <w:p>
            <w:pPr>
              <w:pStyle w:val="23"/>
            </w:pPr>
            <w:r>
              <w:t>年度预算金额</w:t>
            </w:r>
          </w:p>
        </w:tc>
        <w:tc>
          <w:tcPr>
            <w:tcW w:w="1276" w:type="dxa"/>
            <w:vAlign w:val="center"/>
          </w:tcPr>
          <w:p>
            <w:pPr>
              <w:pStyle w:val="23"/>
            </w:pPr>
            <w:r>
              <w:t>20万元</w:t>
            </w:r>
          </w:p>
        </w:tc>
        <w:tc>
          <w:tcPr>
            <w:tcW w:w="1843" w:type="dxa"/>
            <w:vAlign w:val="center"/>
          </w:tcPr>
          <w:p>
            <w:pPr>
              <w:pStyle w:val="23"/>
            </w:pPr>
            <w:r>
              <w:t>年度预算表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资金的使用效率</w:t>
            </w:r>
          </w:p>
        </w:tc>
        <w:tc>
          <w:tcPr>
            <w:tcW w:w="2891" w:type="dxa"/>
            <w:vAlign w:val="center"/>
          </w:tcPr>
          <w:p>
            <w:pPr>
              <w:pStyle w:val="23"/>
            </w:pPr>
            <w:r>
              <w:t>资金的使用效率</w:t>
            </w:r>
          </w:p>
        </w:tc>
        <w:tc>
          <w:tcPr>
            <w:tcW w:w="1276" w:type="dxa"/>
            <w:vAlign w:val="center"/>
          </w:tcPr>
          <w:p>
            <w:pPr>
              <w:pStyle w:val="23"/>
            </w:pPr>
            <w:r>
              <w:t>20万元</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≥90百分比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16" w:name="_Toc_4_4_0000000012"/>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9.2022年城区路灯电费绩效目标表</w:t>
      </w:r>
      <w:bookmarkEnd w:id="16"/>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13062322P00810910001T</w:t>
            </w:r>
          </w:p>
        </w:tc>
        <w:tc>
          <w:tcPr>
            <w:tcW w:w="1587" w:type="dxa"/>
            <w:vAlign w:val="center"/>
          </w:tcPr>
          <w:p>
            <w:pPr>
              <w:pStyle w:val="21"/>
            </w:pPr>
            <w:r>
              <w:t>项目名称</w:t>
            </w:r>
          </w:p>
        </w:tc>
        <w:tc>
          <w:tcPr>
            <w:tcW w:w="4422" w:type="dxa"/>
            <w:gridSpan w:val="3"/>
            <w:vAlign w:val="center"/>
          </w:tcPr>
          <w:p>
            <w:pPr>
              <w:pStyle w:val="23"/>
            </w:pPr>
            <w:r>
              <w:t>2022年城区路灯电费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99.50</w:t>
            </w:r>
          </w:p>
        </w:tc>
        <w:tc>
          <w:tcPr>
            <w:tcW w:w="1587" w:type="dxa"/>
            <w:vAlign w:val="center"/>
          </w:tcPr>
          <w:p>
            <w:pPr>
              <w:pStyle w:val="21"/>
            </w:pPr>
            <w:r>
              <w:t>其中：财政    资金</w:t>
            </w:r>
          </w:p>
        </w:tc>
        <w:tc>
          <w:tcPr>
            <w:tcW w:w="1304" w:type="dxa"/>
            <w:vAlign w:val="center"/>
          </w:tcPr>
          <w:p>
            <w:pPr>
              <w:pStyle w:val="23"/>
            </w:pPr>
            <w:r>
              <w:t>99.50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为保障城区路灯正常工作，现申请拨付2022年县城路灯和城区亮化电费。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1.目标内容1为保障城区路灯正常工作，现申请拨付2022年县城路灯和城区亮化电费。</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路灯数量</w:t>
            </w:r>
          </w:p>
        </w:tc>
        <w:tc>
          <w:tcPr>
            <w:tcW w:w="2891" w:type="dxa"/>
            <w:vAlign w:val="center"/>
          </w:tcPr>
          <w:p>
            <w:pPr>
              <w:pStyle w:val="23"/>
            </w:pPr>
            <w:r>
              <w:t>路灯数量</w:t>
            </w:r>
          </w:p>
        </w:tc>
        <w:tc>
          <w:tcPr>
            <w:tcW w:w="1276" w:type="dxa"/>
            <w:vAlign w:val="center"/>
          </w:tcPr>
          <w:p>
            <w:pPr>
              <w:pStyle w:val="23"/>
            </w:pPr>
            <w:r>
              <w:t>≥1000盏</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亮灯率</w:t>
            </w:r>
          </w:p>
        </w:tc>
        <w:tc>
          <w:tcPr>
            <w:tcW w:w="2891" w:type="dxa"/>
            <w:vAlign w:val="center"/>
          </w:tcPr>
          <w:p>
            <w:pPr>
              <w:pStyle w:val="23"/>
            </w:pPr>
            <w:r>
              <w:t>亮灯率</w:t>
            </w:r>
          </w:p>
        </w:tc>
        <w:tc>
          <w:tcPr>
            <w:tcW w:w="1276" w:type="dxa"/>
            <w:vAlign w:val="center"/>
          </w:tcPr>
          <w:p>
            <w:pPr>
              <w:pStyle w:val="23"/>
            </w:pPr>
            <w:r>
              <w:t>≥75百分比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大面积灭灯修复率</w:t>
            </w:r>
          </w:p>
        </w:tc>
        <w:tc>
          <w:tcPr>
            <w:tcW w:w="2891" w:type="dxa"/>
            <w:vAlign w:val="center"/>
          </w:tcPr>
          <w:p>
            <w:pPr>
              <w:pStyle w:val="23"/>
            </w:pPr>
            <w:r>
              <w:t>大面积灭灯修复率</w:t>
            </w:r>
          </w:p>
        </w:tc>
        <w:tc>
          <w:tcPr>
            <w:tcW w:w="1276" w:type="dxa"/>
            <w:vAlign w:val="center"/>
          </w:tcPr>
          <w:p>
            <w:pPr>
              <w:pStyle w:val="23"/>
            </w:pPr>
            <w:r>
              <w:t>≤10百分比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w:t>
            </w:r>
          </w:p>
        </w:tc>
        <w:tc>
          <w:tcPr>
            <w:tcW w:w="2891" w:type="dxa"/>
            <w:vAlign w:val="center"/>
          </w:tcPr>
          <w:p>
            <w:pPr>
              <w:pStyle w:val="23"/>
            </w:pPr>
            <w:r>
              <w:t>年度预算</w:t>
            </w:r>
          </w:p>
        </w:tc>
        <w:tc>
          <w:tcPr>
            <w:tcW w:w="1276" w:type="dxa"/>
            <w:vAlign w:val="center"/>
          </w:tcPr>
          <w:p>
            <w:pPr>
              <w:pStyle w:val="23"/>
            </w:pPr>
            <w:r>
              <w:t>99.5万元</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保障了城区用电</w:t>
            </w:r>
          </w:p>
        </w:tc>
        <w:tc>
          <w:tcPr>
            <w:tcW w:w="2891" w:type="dxa"/>
            <w:vAlign w:val="center"/>
          </w:tcPr>
          <w:p>
            <w:pPr>
              <w:pStyle w:val="23"/>
            </w:pPr>
            <w:r>
              <w:t>保障了城区用电</w:t>
            </w:r>
          </w:p>
        </w:tc>
        <w:tc>
          <w:tcPr>
            <w:tcW w:w="1276" w:type="dxa"/>
            <w:vAlign w:val="center"/>
          </w:tcPr>
          <w:p>
            <w:pPr>
              <w:pStyle w:val="23"/>
            </w:pPr>
            <w:r>
              <w:t>群众满意</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≥95百分比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17" w:name="_Toc_4_4_0000000013"/>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10.2022年度涞水县城东、城西污水</w:t>
      </w:r>
      <w:r>
        <w:rPr>
          <w:rFonts w:hint="eastAsia" w:ascii="方正仿宋_GBK" w:hAnsi="方正仿宋_GBK" w:eastAsia="方正仿宋_GBK" w:cs="方正仿宋_GBK"/>
          <w:color w:val="000000"/>
          <w:sz w:val="28"/>
          <w:lang w:eastAsia="zh-CN"/>
        </w:rPr>
        <w:t>处理</w:t>
      </w:r>
      <w:r>
        <w:rPr>
          <w:rFonts w:ascii="方正仿宋_GBK" w:hAnsi="方正仿宋_GBK" w:eastAsia="方正仿宋_GBK" w:cs="方正仿宋_GBK"/>
          <w:color w:val="000000"/>
          <w:sz w:val="28"/>
        </w:rPr>
        <w:t>厂土地使用税绩效目标表</w:t>
      </w:r>
      <w:bookmarkEnd w:id="17"/>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13062322P008108100015</w:t>
            </w:r>
          </w:p>
        </w:tc>
        <w:tc>
          <w:tcPr>
            <w:tcW w:w="1587" w:type="dxa"/>
            <w:vAlign w:val="center"/>
          </w:tcPr>
          <w:p>
            <w:pPr>
              <w:pStyle w:val="21"/>
            </w:pPr>
            <w:r>
              <w:t>项目名称</w:t>
            </w:r>
          </w:p>
        </w:tc>
        <w:tc>
          <w:tcPr>
            <w:tcW w:w="4422" w:type="dxa"/>
            <w:gridSpan w:val="3"/>
            <w:vAlign w:val="center"/>
          </w:tcPr>
          <w:p>
            <w:pPr>
              <w:pStyle w:val="23"/>
            </w:pPr>
            <w:r>
              <w:t>2022年度涞水县城东、城西污水</w:t>
            </w:r>
            <w:r>
              <w:rPr>
                <w:rFonts w:hint="eastAsia" w:eastAsiaTheme="minorEastAsia"/>
                <w:lang w:eastAsia="zh-CN"/>
              </w:rPr>
              <w:t>处理</w:t>
            </w:r>
            <w:r>
              <w:t>厂土地使用税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6.72</w:t>
            </w:r>
          </w:p>
        </w:tc>
        <w:tc>
          <w:tcPr>
            <w:tcW w:w="1587" w:type="dxa"/>
            <w:vAlign w:val="center"/>
          </w:tcPr>
          <w:p>
            <w:pPr>
              <w:pStyle w:val="21"/>
            </w:pPr>
            <w:r>
              <w:t>其中：财政    资金</w:t>
            </w:r>
          </w:p>
        </w:tc>
        <w:tc>
          <w:tcPr>
            <w:tcW w:w="1304" w:type="dxa"/>
            <w:vAlign w:val="center"/>
          </w:tcPr>
          <w:p>
            <w:pPr>
              <w:pStyle w:val="23"/>
            </w:pPr>
            <w:r>
              <w:t>6.72</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用于支付2022年城东、城西污水</w:t>
            </w:r>
            <w:r>
              <w:rPr>
                <w:rFonts w:hint="eastAsia" w:eastAsiaTheme="minorEastAsia"/>
                <w:lang w:eastAsia="zh-CN"/>
              </w:rPr>
              <w:t>处理</w:t>
            </w:r>
            <w:r>
              <w:t>厂土地使用税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100%</w:t>
            </w:r>
          </w:p>
        </w:tc>
        <w:tc>
          <w:tcPr>
            <w:tcW w:w="1587" w:type="dxa"/>
            <w:vAlign w:val="center"/>
          </w:tcPr>
          <w:p>
            <w:pPr>
              <w:pStyle w:val="24"/>
            </w:pPr>
          </w:p>
        </w:tc>
        <w:tc>
          <w:tcPr>
            <w:tcW w:w="1304" w:type="dxa"/>
            <w:vAlign w:val="center"/>
          </w:tcPr>
          <w:p>
            <w:pPr>
              <w:pStyle w:val="24"/>
            </w:pPr>
          </w:p>
        </w:tc>
        <w:tc>
          <w:tcPr>
            <w:tcW w:w="3118" w:type="dxa"/>
            <w:gridSpan w:val="2"/>
            <w:vAlign w:val="center"/>
          </w:tcPr>
          <w:p>
            <w:pPr>
              <w:pStyle w:val="2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1.通过拨付2022年度涞水县城东、城西污水</w:t>
            </w:r>
            <w:r>
              <w:rPr>
                <w:rFonts w:hint="eastAsia" w:eastAsiaTheme="minorEastAsia"/>
                <w:lang w:eastAsia="zh-CN"/>
              </w:rPr>
              <w:t>处理</w:t>
            </w:r>
            <w:r>
              <w:t>厂土地使用税，及时上缴税款，充实财政收入。</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土地使用税数量</w:t>
            </w:r>
          </w:p>
        </w:tc>
        <w:tc>
          <w:tcPr>
            <w:tcW w:w="2891" w:type="dxa"/>
            <w:vAlign w:val="center"/>
          </w:tcPr>
          <w:p>
            <w:pPr>
              <w:pStyle w:val="23"/>
            </w:pPr>
            <w:r>
              <w:t>土地使用税数量</w:t>
            </w:r>
          </w:p>
        </w:tc>
        <w:tc>
          <w:tcPr>
            <w:tcW w:w="1276" w:type="dxa"/>
            <w:vAlign w:val="center"/>
          </w:tcPr>
          <w:p>
            <w:pPr>
              <w:pStyle w:val="23"/>
            </w:pPr>
            <w:r>
              <w:t>2个</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资金正常使用率</w:t>
            </w:r>
          </w:p>
        </w:tc>
        <w:tc>
          <w:tcPr>
            <w:tcW w:w="2891" w:type="dxa"/>
            <w:vAlign w:val="center"/>
          </w:tcPr>
          <w:p>
            <w:pPr>
              <w:pStyle w:val="23"/>
            </w:pPr>
            <w:r>
              <w:t>正常使用率</w:t>
            </w:r>
          </w:p>
        </w:tc>
        <w:tc>
          <w:tcPr>
            <w:tcW w:w="1276" w:type="dxa"/>
            <w:vAlign w:val="center"/>
          </w:tcPr>
          <w:p>
            <w:pPr>
              <w:pStyle w:val="23"/>
            </w:pPr>
            <w:r>
              <w:t>≥95百分比</w:t>
            </w:r>
          </w:p>
        </w:tc>
        <w:tc>
          <w:tcPr>
            <w:tcW w:w="1843" w:type="dxa"/>
            <w:vAlign w:val="center"/>
          </w:tcPr>
          <w:p>
            <w:pPr>
              <w:pStyle w:val="23"/>
            </w:pPr>
            <w:r>
              <w:t>资金是否正确使用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资金及时拨付率</w:t>
            </w:r>
          </w:p>
        </w:tc>
        <w:tc>
          <w:tcPr>
            <w:tcW w:w="2891" w:type="dxa"/>
            <w:vAlign w:val="center"/>
          </w:tcPr>
          <w:p>
            <w:pPr>
              <w:pStyle w:val="23"/>
            </w:pPr>
            <w:r>
              <w:t>资金及时拨付率</w:t>
            </w:r>
          </w:p>
        </w:tc>
        <w:tc>
          <w:tcPr>
            <w:tcW w:w="1276" w:type="dxa"/>
            <w:vAlign w:val="center"/>
          </w:tcPr>
          <w:p>
            <w:pPr>
              <w:pStyle w:val="23"/>
            </w:pPr>
            <w:r>
              <w:t>100百分比</w:t>
            </w:r>
          </w:p>
        </w:tc>
        <w:tc>
          <w:tcPr>
            <w:tcW w:w="1843" w:type="dxa"/>
            <w:vAlign w:val="center"/>
          </w:tcPr>
          <w:p>
            <w:pPr>
              <w:pStyle w:val="23"/>
            </w:pPr>
            <w:r>
              <w:t>资金是否及时拨付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≤6.72万元</w:t>
            </w:r>
          </w:p>
        </w:tc>
        <w:tc>
          <w:tcPr>
            <w:tcW w:w="1843" w:type="dxa"/>
            <w:vAlign w:val="center"/>
          </w:tcPr>
          <w:p>
            <w:pPr>
              <w:pStyle w:val="23"/>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可持续影响指标</w:t>
            </w:r>
          </w:p>
        </w:tc>
        <w:tc>
          <w:tcPr>
            <w:tcW w:w="1332" w:type="dxa"/>
            <w:vAlign w:val="center"/>
          </w:tcPr>
          <w:p>
            <w:pPr>
              <w:pStyle w:val="23"/>
            </w:pPr>
            <w:r>
              <w:t>及时上缴税款，充实财政收入</w:t>
            </w:r>
          </w:p>
        </w:tc>
        <w:tc>
          <w:tcPr>
            <w:tcW w:w="2891" w:type="dxa"/>
            <w:vAlign w:val="center"/>
          </w:tcPr>
          <w:p>
            <w:pPr>
              <w:pStyle w:val="23"/>
            </w:pPr>
            <w:r>
              <w:t>及时上缴税款，充实财政收入</w:t>
            </w:r>
          </w:p>
        </w:tc>
        <w:tc>
          <w:tcPr>
            <w:tcW w:w="1276" w:type="dxa"/>
            <w:vAlign w:val="center"/>
          </w:tcPr>
          <w:p>
            <w:pPr>
              <w:pStyle w:val="23"/>
            </w:pPr>
            <w:r>
              <w:t>及时上缴</w:t>
            </w:r>
          </w:p>
        </w:tc>
        <w:tc>
          <w:tcPr>
            <w:tcW w:w="1843" w:type="dxa"/>
            <w:vAlign w:val="center"/>
          </w:tcPr>
          <w:p>
            <w:pPr>
              <w:pStyle w:val="23"/>
            </w:pPr>
            <w:r>
              <w:t>及时上缴税款，充实财政收入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服务对象满意度</w:t>
            </w:r>
          </w:p>
        </w:tc>
        <w:tc>
          <w:tcPr>
            <w:tcW w:w="1276" w:type="dxa"/>
            <w:vAlign w:val="center"/>
          </w:tcPr>
          <w:p>
            <w:pPr>
              <w:pStyle w:val="23"/>
            </w:pPr>
            <w:r>
              <w:t>≥95百分比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18" w:name="_Toc_4_4_0000000014"/>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11.2022年公租房智能化建设资金（县级配套）绩效目标表</w:t>
      </w:r>
      <w:bookmarkEnd w:id="18"/>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13062322P008485100015</w:t>
            </w:r>
          </w:p>
        </w:tc>
        <w:tc>
          <w:tcPr>
            <w:tcW w:w="1587" w:type="dxa"/>
            <w:vAlign w:val="center"/>
          </w:tcPr>
          <w:p>
            <w:pPr>
              <w:pStyle w:val="21"/>
            </w:pPr>
            <w:r>
              <w:t>项目名称</w:t>
            </w:r>
          </w:p>
        </w:tc>
        <w:tc>
          <w:tcPr>
            <w:tcW w:w="4422" w:type="dxa"/>
            <w:gridSpan w:val="3"/>
            <w:vAlign w:val="center"/>
          </w:tcPr>
          <w:p>
            <w:pPr>
              <w:pStyle w:val="23"/>
            </w:pPr>
            <w:r>
              <w:t>2022年公租房智能化建设资金（县级配套）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290.00</w:t>
            </w:r>
          </w:p>
        </w:tc>
        <w:tc>
          <w:tcPr>
            <w:tcW w:w="1587" w:type="dxa"/>
            <w:vAlign w:val="center"/>
          </w:tcPr>
          <w:p>
            <w:pPr>
              <w:pStyle w:val="21"/>
            </w:pPr>
            <w:r>
              <w:t>其中：财政    资金</w:t>
            </w:r>
          </w:p>
        </w:tc>
        <w:tc>
          <w:tcPr>
            <w:tcW w:w="1304" w:type="dxa"/>
            <w:vAlign w:val="center"/>
          </w:tcPr>
          <w:p>
            <w:pPr>
              <w:pStyle w:val="23"/>
            </w:pPr>
            <w:r>
              <w:t>290.00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智慧公租房模式，采取人脸识别加系统报警的方案，彻底解决房源转租、转借、长期闲置等问题。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1.智慧公租房模式，采取人脸识别加系统报警的方案，彻底解决房源转租、转借、长期闲置等问题。</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现有公租房数量</w:t>
            </w:r>
          </w:p>
        </w:tc>
        <w:tc>
          <w:tcPr>
            <w:tcW w:w="2891" w:type="dxa"/>
            <w:vAlign w:val="center"/>
          </w:tcPr>
          <w:p>
            <w:pPr>
              <w:pStyle w:val="23"/>
            </w:pPr>
            <w:r>
              <w:t>现有公租房数量</w:t>
            </w:r>
          </w:p>
        </w:tc>
        <w:tc>
          <w:tcPr>
            <w:tcW w:w="1276" w:type="dxa"/>
            <w:vAlign w:val="center"/>
          </w:tcPr>
          <w:p>
            <w:pPr>
              <w:pStyle w:val="23"/>
            </w:pPr>
            <w:r>
              <w:t>284套</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维修合格率(%)</w:t>
            </w:r>
          </w:p>
        </w:tc>
        <w:tc>
          <w:tcPr>
            <w:tcW w:w="2891" w:type="dxa"/>
            <w:vAlign w:val="center"/>
          </w:tcPr>
          <w:p>
            <w:pPr>
              <w:pStyle w:val="23"/>
            </w:pPr>
            <w:r>
              <w:t>维修合格率(%)</w:t>
            </w:r>
          </w:p>
        </w:tc>
        <w:tc>
          <w:tcPr>
            <w:tcW w:w="1276" w:type="dxa"/>
            <w:vAlign w:val="center"/>
          </w:tcPr>
          <w:p>
            <w:pPr>
              <w:pStyle w:val="23"/>
            </w:pPr>
            <w:r>
              <w:t>≥95百分比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房屋维修维护时间</w:t>
            </w:r>
          </w:p>
        </w:tc>
        <w:tc>
          <w:tcPr>
            <w:tcW w:w="2891" w:type="dxa"/>
            <w:vAlign w:val="center"/>
          </w:tcPr>
          <w:p>
            <w:pPr>
              <w:pStyle w:val="23"/>
            </w:pPr>
            <w:r>
              <w:t>房屋维修维护时间</w:t>
            </w:r>
          </w:p>
        </w:tc>
        <w:tc>
          <w:tcPr>
            <w:tcW w:w="1276" w:type="dxa"/>
            <w:vAlign w:val="center"/>
          </w:tcPr>
          <w:p>
            <w:pPr>
              <w:pStyle w:val="23"/>
            </w:pPr>
            <w:r>
              <w:t>≥5工作日</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年度预算金额</w:t>
            </w:r>
          </w:p>
        </w:tc>
        <w:tc>
          <w:tcPr>
            <w:tcW w:w="2891" w:type="dxa"/>
            <w:vAlign w:val="center"/>
          </w:tcPr>
          <w:p>
            <w:pPr>
              <w:pStyle w:val="23"/>
            </w:pPr>
            <w:r>
              <w:t>年度预算金额</w:t>
            </w:r>
          </w:p>
        </w:tc>
        <w:tc>
          <w:tcPr>
            <w:tcW w:w="1276" w:type="dxa"/>
            <w:vAlign w:val="center"/>
          </w:tcPr>
          <w:p>
            <w:pPr>
              <w:pStyle w:val="23"/>
            </w:pPr>
            <w:r>
              <w:t>290万元</w:t>
            </w:r>
          </w:p>
        </w:tc>
        <w:tc>
          <w:tcPr>
            <w:tcW w:w="1843" w:type="dxa"/>
            <w:vAlign w:val="center"/>
          </w:tcPr>
          <w:p>
            <w:pPr>
              <w:pStyle w:val="23"/>
            </w:pPr>
            <w:r>
              <w:t>年度预算表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资金的使用效率</w:t>
            </w:r>
          </w:p>
        </w:tc>
        <w:tc>
          <w:tcPr>
            <w:tcW w:w="2891" w:type="dxa"/>
            <w:vAlign w:val="center"/>
          </w:tcPr>
          <w:p>
            <w:pPr>
              <w:pStyle w:val="23"/>
            </w:pPr>
            <w:r>
              <w:t>资金的使用效率</w:t>
            </w:r>
          </w:p>
        </w:tc>
        <w:tc>
          <w:tcPr>
            <w:tcW w:w="1276" w:type="dxa"/>
            <w:vAlign w:val="center"/>
          </w:tcPr>
          <w:p>
            <w:pPr>
              <w:pStyle w:val="23"/>
            </w:pPr>
            <w:r>
              <w:t>100百分比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≥90百分比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19" w:name="_Toc_4_4_0000000015"/>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12.2022年省级老旧小区改造奖励资金 （冀财建[2021]232号）绩效目标表</w:t>
      </w:r>
      <w:bookmarkEnd w:id="19"/>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13062322P008813100016</w:t>
            </w:r>
          </w:p>
        </w:tc>
        <w:tc>
          <w:tcPr>
            <w:tcW w:w="1587" w:type="dxa"/>
            <w:vAlign w:val="center"/>
          </w:tcPr>
          <w:p>
            <w:pPr>
              <w:pStyle w:val="21"/>
            </w:pPr>
            <w:r>
              <w:t>项目名称</w:t>
            </w:r>
          </w:p>
        </w:tc>
        <w:tc>
          <w:tcPr>
            <w:tcW w:w="4422" w:type="dxa"/>
            <w:gridSpan w:val="3"/>
            <w:vAlign w:val="center"/>
          </w:tcPr>
          <w:p>
            <w:pPr>
              <w:pStyle w:val="23"/>
            </w:pPr>
            <w:r>
              <w:t>2022年省级老旧小区改造奖励资金 （冀财建[2021]232号）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198.00</w:t>
            </w:r>
          </w:p>
        </w:tc>
        <w:tc>
          <w:tcPr>
            <w:tcW w:w="1587" w:type="dxa"/>
            <w:vAlign w:val="center"/>
          </w:tcPr>
          <w:p>
            <w:pPr>
              <w:pStyle w:val="21"/>
            </w:pPr>
            <w:r>
              <w:t>其中：财政    资金</w:t>
            </w:r>
          </w:p>
        </w:tc>
        <w:tc>
          <w:tcPr>
            <w:tcW w:w="1304" w:type="dxa"/>
            <w:vAlign w:val="center"/>
          </w:tcPr>
          <w:p>
            <w:pPr>
              <w:pStyle w:val="23"/>
            </w:pPr>
            <w:r>
              <w:t>198.00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2022年保障性住房维修资金用于维修房顶、下水管道、门窗、外墙保温等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1.专项用于老旧小区改造项目</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奖励资金支持的老旧小区改造数量</w:t>
            </w:r>
          </w:p>
        </w:tc>
        <w:tc>
          <w:tcPr>
            <w:tcW w:w="2891" w:type="dxa"/>
            <w:vAlign w:val="center"/>
          </w:tcPr>
          <w:p>
            <w:pPr>
              <w:pStyle w:val="23"/>
            </w:pPr>
            <w:r>
              <w:t>保定市</w:t>
            </w:r>
          </w:p>
        </w:tc>
        <w:tc>
          <w:tcPr>
            <w:tcW w:w="1276" w:type="dxa"/>
            <w:vAlign w:val="center"/>
          </w:tcPr>
          <w:p>
            <w:pPr>
              <w:pStyle w:val="23"/>
            </w:pPr>
            <w:r>
              <w:t>5个</w:t>
            </w:r>
          </w:p>
        </w:tc>
        <w:tc>
          <w:tcPr>
            <w:tcW w:w="1843" w:type="dxa"/>
            <w:vAlign w:val="center"/>
          </w:tcPr>
          <w:p>
            <w:pPr>
              <w:pStyle w:val="23"/>
            </w:pPr>
            <w:r>
              <w:t>（冀财建[2021]232号）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改造完成项目占资金支持项目的比例</w:t>
            </w:r>
          </w:p>
        </w:tc>
        <w:tc>
          <w:tcPr>
            <w:tcW w:w="2891" w:type="dxa"/>
            <w:vAlign w:val="center"/>
          </w:tcPr>
          <w:p>
            <w:pPr>
              <w:pStyle w:val="23"/>
            </w:pPr>
            <w:r>
              <w:t>资金支持市县</w:t>
            </w:r>
          </w:p>
        </w:tc>
        <w:tc>
          <w:tcPr>
            <w:tcW w:w="1276" w:type="dxa"/>
            <w:vAlign w:val="center"/>
          </w:tcPr>
          <w:p>
            <w:pPr>
              <w:pStyle w:val="23"/>
            </w:pPr>
            <w:r>
              <w:t>100百分比</w:t>
            </w:r>
          </w:p>
        </w:tc>
        <w:tc>
          <w:tcPr>
            <w:tcW w:w="1843" w:type="dxa"/>
            <w:vAlign w:val="center"/>
          </w:tcPr>
          <w:p>
            <w:pPr>
              <w:pStyle w:val="23"/>
            </w:pPr>
            <w:r>
              <w:t>（冀财建[2021]232号）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改造项目完成时限</w:t>
            </w:r>
          </w:p>
        </w:tc>
        <w:tc>
          <w:tcPr>
            <w:tcW w:w="2891" w:type="dxa"/>
            <w:vAlign w:val="center"/>
          </w:tcPr>
          <w:p>
            <w:pPr>
              <w:pStyle w:val="23"/>
            </w:pPr>
            <w:r>
              <w:t>资金支持市县</w:t>
            </w:r>
          </w:p>
        </w:tc>
        <w:tc>
          <w:tcPr>
            <w:tcW w:w="1276" w:type="dxa"/>
            <w:vAlign w:val="center"/>
          </w:tcPr>
          <w:p>
            <w:pPr>
              <w:pStyle w:val="23"/>
            </w:pPr>
            <w:r>
              <w:t>2022年6月底前开工，12月底前按照合同约定执行</w:t>
            </w:r>
          </w:p>
        </w:tc>
        <w:tc>
          <w:tcPr>
            <w:tcW w:w="1843" w:type="dxa"/>
            <w:vAlign w:val="center"/>
          </w:tcPr>
          <w:p>
            <w:pPr>
              <w:pStyle w:val="23"/>
            </w:pPr>
            <w:r>
              <w:t>（冀财建[2021]232号）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改造成本</w:t>
            </w:r>
          </w:p>
        </w:tc>
        <w:tc>
          <w:tcPr>
            <w:tcW w:w="2891" w:type="dxa"/>
            <w:vAlign w:val="center"/>
          </w:tcPr>
          <w:p>
            <w:pPr>
              <w:pStyle w:val="23"/>
            </w:pPr>
            <w:r>
              <w:t>资金支持市县</w:t>
            </w:r>
          </w:p>
        </w:tc>
        <w:tc>
          <w:tcPr>
            <w:tcW w:w="1276" w:type="dxa"/>
            <w:vAlign w:val="center"/>
          </w:tcPr>
          <w:p>
            <w:pPr>
              <w:pStyle w:val="23"/>
            </w:pPr>
            <w:r>
              <w:t>按合同约定执行</w:t>
            </w:r>
          </w:p>
        </w:tc>
        <w:tc>
          <w:tcPr>
            <w:tcW w:w="1843" w:type="dxa"/>
            <w:vAlign w:val="center"/>
          </w:tcPr>
          <w:p>
            <w:pPr>
              <w:pStyle w:val="23"/>
            </w:pPr>
            <w:r>
              <w:t>（冀财建[2021]232号）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群众居住条件得到改善</w:t>
            </w:r>
          </w:p>
        </w:tc>
        <w:tc>
          <w:tcPr>
            <w:tcW w:w="2891" w:type="dxa"/>
            <w:vAlign w:val="center"/>
          </w:tcPr>
          <w:p>
            <w:pPr>
              <w:pStyle w:val="23"/>
            </w:pPr>
            <w:r>
              <w:t>资金支持市县</w:t>
            </w:r>
          </w:p>
        </w:tc>
        <w:tc>
          <w:tcPr>
            <w:tcW w:w="1276" w:type="dxa"/>
            <w:vAlign w:val="center"/>
          </w:tcPr>
          <w:p>
            <w:pPr>
              <w:pStyle w:val="23"/>
            </w:pPr>
            <w:r>
              <w:t>得到改善</w:t>
            </w:r>
          </w:p>
        </w:tc>
        <w:tc>
          <w:tcPr>
            <w:tcW w:w="1843" w:type="dxa"/>
            <w:vAlign w:val="center"/>
          </w:tcPr>
          <w:p>
            <w:pPr>
              <w:pStyle w:val="23"/>
            </w:pPr>
            <w:r>
              <w:t>（冀财建[2021]232号）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老旧小区改造项目居民满意度</w:t>
            </w:r>
          </w:p>
        </w:tc>
        <w:tc>
          <w:tcPr>
            <w:tcW w:w="2891" w:type="dxa"/>
            <w:vAlign w:val="center"/>
          </w:tcPr>
          <w:p>
            <w:pPr>
              <w:pStyle w:val="23"/>
            </w:pPr>
            <w:r>
              <w:t>资金支持市县</w:t>
            </w:r>
          </w:p>
        </w:tc>
        <w:tc>
          <w:tcPr>
            <w:tcW w:w="1276" w:type="dxa"/>
            <w:vAlign w:val="center"/>
          </w:tcPr>
          <w:p>
            <w:pPr>
              <w:pStyle w:val="23"/>
            </w:pPr>
            <w:r>
              <w:t>≥85百分比</w:t>
            </w:r>
          </w:p>
        </w:tc>
        <w:tc>
          <w:tcPr>
            <w:tcW w:w="1843" w:type="dxa"/>
            <w:vAlign w:val="center"/>
          </w:tcPr>
          <w:p>
            <w:pPr>
              <w:pStyle w:val="23"/>
            </w:pPr>
            <w:r>
              <w:t>（冀财建[2021]232号）</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pPr>
      <w:bookmarkStart w:id="20" w:name="_Toc_4_4_0000000016"/>
      <w:r>
        <w:rPr>
          <w:rFonts w:ascii="方正仿宋_GBK" w:hAnsi="方正仿宋_GBK" w:eastAsia="方正仿宋_GBK" w:cs="方正仿宋_GBK"/>
          <w:color w:val="000000"/>
          <w:sz w:val="28"/>
        </w:rPr>
        <w:t>13.”气代煤“村级安全监管员工资（2022年度）绩效目标表</w:t>
      </w:r>
      <w:bookmarkEnd w:id="20"/>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13062322P00739010001M</w:t>
            </w:r>
          </w:p>
        </w:tc>
        <w:tc>
          <w:tcPr>
            <w:tcW w:w="1587" w:type="dxa"/>
            <w:vAlign w:val="center"/>
          </w:tcPr>
          <w:p>
            <w:pPr>
              <w:pStyle w:val="21"/>
            </w:pPr>
            <w:r>
              <w:t>项目名称</w:t>
            </w:r>
          </w:p>
        </w:tc>
        <w:tc>
          <w:tcPr>
            <w:tcW w:w="4422" w:type="dxa"/>
            <w:gridSpan w:val="3"/>
            <w:vAlign w:val="center"/>
          </w:tcPr>
          <w:p>
            <w:pPr>
              <w:pStyle w:val="23"/>
            </w:pPr>
            <w:r>
              <w:t>”气代煤“村级安全监管员工资（2022年度）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170.40</w:t>
            </w:r>
          </w:p>
        </w:tc>
        <w:tc>
          <w:tcPr>
            <w:tcW w:w="1587" w:type="dxa"/>
            <w:vAlign w:val="center"/>
          </w:tcPr>
          <w:p>
            <w:pPr>
              <w:pStyle w:val="21"/>
            </w:pPr>
            <w:r>
              <w:t>其中：财政    资金</w:t>
            </w:r>
          </w:p>
        </w:tc>
        <w:tc>
          <w:tcPr>
            <w:tcW w:w="1304" w:type="dxa"/>
            <w:vAlign w:val="center"/>
          </w:tcPr>
          <w:p>
            <w:pPr>
              <w:pStyle w:val="23"/>
            </w:pPr>
            <w:r>
              <w:t>170.40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用于支付2022年度气代煤村级安全监管员工资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p>
        </w:tc>
        <w:tc>
          <w:tcPr>
            <w:tcW w:w="1587" w:type="dxa"/>
            <w:vAlign w:val="center"/>
          </w:tcPr>
          <w:p>
            <w:pPr>
              <w:pStyle w:val="24"/>
            </w:pPr>
            <w:r>
              <w:t>50%</w:t>
            </w:r>
          </w:p>
        </w:tc>
        <w:tc>
          <w:tcPr>
            <w:tcW w:w="1304" w:type="dxa"/>
            <w:vAlign w:val="center"/>
          </w:tcPr>
          <w:p>
            <w:pPr>
              <w:pStyle w:val="24"/>
            </w:pP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1.为农村气代煤安全运营提供保障，及时发现并解决燃气安全隐患。</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全县现有村级燃气安全监管员数量</w:t>
            </w:r>
          </w:p>
        </w:tc>
        <w:tc>
          <w:tcPr>
            <w:tcW w:w="2891" w:type="dxa"/>
            <w:vAlign w:val="center"/>
          </w:tcPr>
          <w:p>
            <w:pPr>
              <w:pStyle w:val="23"/>
            </w:pPr>
            <w:r>
              <w:t>全县现有村级燃气安全监管员数量</w:t>
            </w:r>
          </w:p>
        </w:tc>
        <w:tc>
          <w:tcPr>
            <w:tcW w:w="1276" w:type="dxa"/>
            <w:vAlign w:val="center"/>
          </w:tcPr>
          <w:p>
            <w:pPr>
              <w:pStyle w:val="23"/>
            </w:pPr>
            <w:r>
              <w:t>284名</w:t>
            </w:r>
          </w:p>
        </w:tc>
        <w:tc>
          <w:tcPr>
            <w:tcW w:w="1843" w:type="dxa"/>
            <w:vAlign w:val="center"/>
          </w:tcPr>
          <w:p>
            <w:pPr>
              <w:pStyle w:val="23"/>
            </w:pPr>
            <w:r>
              <w:t>（涞政字〔2017〕80号）文件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月巡查率</w:t>
            </w:r>
          </w:p>
        </w:tc>
        <w:tc>
          <w:tcPr>
            <w:tcW w:w="2891" w:type="dxa"/>
            <w:vAlign w:val="center"/>
          </w:tcPr>
          <w:p>
            <w:pPr>
              <w:pStyle w:val="23"/>
            </w:pPr>
            <w:r>
              <w:t>月巡查率</w:t>
            </w:r>
          </w:p>
        </w:tc>
        <w:tc>
          <w:tcPr>
            <w:tcW w:w="1276" w:type="dxa"/>
            <w:vAlign w:val="center"/>
          </w:tcPr>
          <w:p>
            <w:pPr>
              <w:pStyle w:val="23"/>
            </w:pPr>
            <w:r>
              <w:t>≥87百分比</w:t>
            </w:r>
          </w:p>
        </w:tc>
        <w:tc>
          <w:tcPr>
            <w:tcW w:w="1843" w:type="dxa"/>
            <w:vAlign w:val="center"/>
          </w:tcPr>
          <w:p>
            <w:pPr>
              <w:pStyle w:val="23"/>
            </w:pPr>
            <w:r>
              <w:t>（涞政字〔2017〕80号）文件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日常巡查维修及时率</w:t>
            </w:r>
          </w:p>
        </w:tc>
        <w:tc>
          <w:tcPr>
            <w:tcW w:w="2891" w:type="dxa"/>
            <w:vAlign w:val="center"/>
          </w:tcPr>
          <w:p>
            <w:pPr>
              <w:pStyle w:val="23"/>
            </w:pPr>
            <w:r>
              <w:t>日常巡查维修及时率</w:t>
            </w:r>
          </w:p>
        </w:tc>
        <w:tc>
          <w:tcPr>
            <w:tcW w:w="1276" w:type="dxa"/>
            <w:vAlign w:val="center"/>
          </w:tcPr>
          <w:p>
            <w:pPr>
              <w:pStyle w:val="23"/>
            </w:pPr>
            <w:r>
              <w:t>≥95百分比</w:t>
            </w:r>
          </w:p>
        </w:tc>
        <w:tc>
          <w:tcPr>
            <w:tcW w:w="1843" w:type="dxa"/>
            <w:vAlign w:val="center"/>
          </w:tcPr>
          <w:p>
            <w:pPr>
              <w:pStyle w:val="23"/>
            </w:pPr>
            <w:r>
              <w:t>（涞政字〔2017〕80号）文件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当年预算</w:t>
            </w:r>
          </w:p>
        </w:tc>
        <w:tc>
          <w:tcPr>
            <w:tcW w:w="2891" w:type="dxa"/>
            <w:vAlign w:val="center"/>
          </w:tcPr>
          <w:p>
            <w:pPr>
              <w:pStyle w:val="23"/>
            </w:pPr>
            <w:r>
              <w:t>当年预算</w:t>
            </w:r>
          </w:p>
        </w:tc>
        <w:tc>
          <w:tcPr>
            <w:tcW w:w="1276" w:type="dxa"/>
            <w:vAlign w:val="center"/>
          </w:tcPr>
          <w:p>
            <w:pPr>
              <w:pStyle w:val="23"/>
            </w:pPr>
            <w:r>
              <w:t>170.4万元</w:t>
            </w:r>
          </w:p>
        </w:tc>
        <w:tc>
          <w:tcPr>
            <w:tcW w:w="1843" w:type="dxa"/>
            <w:vAlign w:val="center"/>
          </w:tcPr>
          <w:p>
            <w:pPr>
              <w:pStyle w:val="23"/>
            </w:pPr>
            <w:r>
              <w:t>（涞政字〔2017〕80号）文件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生态效益指标</w:t>
            </w:r>
          </w:p>
        </w:tc>
        <w:tc>
          <w:tcPr>
            <w:tcW w:w="1332" w:type="dxa"/>
            <w:vAlign w:val="center"/>
          </w:tcPr>
          <w:p>
            <w:pPr>
              <w:pStyle w:val="23"/>
            </w:pPr>
            <w:r>
              <w:t>有利于当地生态环境的改善</w:t>
            </w:r>
          </w:p>
        </w:tc>
        <w:tc>
          <w:tcPr>
            <w:tcW w:w="2891" w:type="dxa"/>
            <w:vAlign w:val="center"/>
          </w:tcPr>
          <w:p>
            <w:pPr>
              <w:pStyle w:val="23"/>
            </w:pPr>
            <w:r>
              <w:t>有利于当地生态环境的改善</w:t>
            </w:r>
          </w:p>
        </w:tc>
        <w:tc>
          <w:tcPr>
            <w:tcW w:w="1276" w:type="dxa"/>
            <w:vAlign w:val="center"/>
          </w:tcPr>
          <w:p>
            <w:pPr>
              <w:pStyle w:val="23"/>
            </w:pPr>
            <w:r>
              <w:t>≥93百分比</w:t>
            </w:r>
          </w:p>
        </w:tc>
        <w:tc>
          <w:tcPr>
            <w:tcW w:w="1843" w:type="dxa"/>
            <w:vAlign w:val="center"/>
          </w:tcPr>
          <w:p>
            <w:pPr>
              <w:pStyle w:val="23"/>
            </w:pPr>
            <w:r>
              <w:t>（涞政字〔2017〕80号）文件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≥90百分比</w:t>
            </w:r>
          </w:p>
        </w:tc>
        <w:tc>
          <w:tcPr>
            <w:tcW w:w="1843" w:type="dxa"/>
            <w:vAlign w:val="center"/>
          </w:tcPr>
          <w:p>
            <w:pPr>
              <w:pStyle w:val="23"/>
            </w:pPr>
            <w:r>
              <w:t>（涞政字〔2017〕80号）文件</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pPr>
      <w:bookmarkStart w:id="21" w:name="_Toc_4_4_0000000017"/>
      <w:r>
        <w:rPr>
          <w:rFonts w:ascii="方正仿宋_GBK" w:hAnsi="方正仿宋_GBK" w:eastAsia="方正仿宋_GBK" w:cs="方正仿宋_GBK"/>
          <w:color w:val="000000"/>
          <w:sz w:val="28"/>
        </w:rPr>
        <w:t>14.《涞水县海绵城市专项规划》编制项目绩效目标表</w:t>
      </w:r>
      <w:bookmarkEnd w:id="21"/>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13062322P00812410001W</w:t>
            </w:r>
          </w:p>
        </w:tc>
        <w:tc>
          <w:tcPr>
            <w:tcW w:w="1587" w:type="dxa"/>
            <w:vAlign w:val="center"/>
          </w:tcPr>
          <w:p>
            <w:pPr>
              <w:pStyle w:val="21"/>
            </w:pPr>
            <w:r>
              <w:t>项目名称</w:t>
            </w:r>
          </w:p>
        </w:tc>
        <w:tc>
          <w:tcPr>
            <w:tcW w:w="4422" w:type="dxa"/>
            <w:gridSpan w:val="3"/>
            <w:vAlign w:val="center"/>
          </w:tcPr>
          <w:p>
            <w:pPr>
              <w:pStyle w:val="23"/>
            </w:pPr>
            <w:r>
              <w:t>《涞水县海绵城市专项规划》编制项目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24.59</w:t>
            </w:r>
          </w:p>
        </w:tc>
        <w:tc>
          <w:tcPr>
            <w:tcW w:w="1587" w:type="dxa"/>
            <w:vAlign w:val="center"/>
          </w:tcPr>
          <w:p>
            <w:pPr>
              <w:pStyle w:val="21"/>
            </w:pPr>
            <w:r>
              <w:t>其中：财政    资金</w:t>
            </w:r>
          </w:p>
        </w:tc>
        <w:tc>
          <w:tcPr>
            <w:tcW w:w="1304" w:type="dxa"/>
            <w:vAlign w:val="center"/>
          </w:tcPr>
          <w:p>
            <w:pPr>
              <w:pStyle w:val="23"/>
            </w:pPr>
            <w:r>
              <w:t>24.59</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用于支付编制费用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50%</w:t>
            </w:r>
          </w:p>
        </w:tc>
        <w:tc>
          <w:tcPr>
            <w:tcW w:w="1587" w:type="dxa"/>
            <w:vAlign w:val="center"/>
          </w:tcPr>
          <w:p>
            <w:pPr>
              <w:pStyle w:val="24"/>
            </w:pPr>
            <w:r>
              <w:t>100%</w:t>
            </w:r>
          </w:p>
        </w:tc>
        <w:tc>
          <w:tcPr>
            <w:tcW w:w="1304" w:type="dxa"/>
            <w:vAlign w:val="center"/>
          </w:tcPr>
          <w:p>
            <w:pPr>
              <w:pStyle w:val="24"/>
            </w:pPr>
          </w:p>
        </w:tc>
        <w:tc>
          <w:tcPr>
            <w:tcW w:w="3118" w:type="dxa"/>
            <w:gridSpan w:val="2"/>
            <w:vAlign w:val="center"/>
          </w:tcPr>
          <w:p>
            <w:pPr>
              <w:pStyle w:val="2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1.按照市执法局《关于调整2021年度解决重点民生问题量化考核指标》的通知要求，需编制我县《海绵城市专项规划》， 2021年度解决重点民生问题量化考核指标，由市执法局每月进行实地考核，列入县（区）委书记动态考核月点评，为补齐短板，确保月点评得高分。</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海绵城市专项规划</w:t>
            </w:r>
          </w:p>
        </w:tc>
        <w:tc>
          <w:tcPr>
            <w:tcW w:w="2891" w:type="dxa"/>
            <w:vAlign w:val="center"/>
          </w:tcPr>
          <w:p>
            <w:pPr>
              <w:pStyle w:val="23"/>
            </w:pPr>
            <w:r>
              <w:t>海绵城市专项规划</w:t>
            </w:r>
          </w:p>
        </w:tc>
        <w:tc>
          <w:tcPr>
            <w:tcW w:w="1276" w:type="dxa"/>
            <w:vAlign w:val="center"/>
          </w:tcPr>
          <w:p>
            <w:pPr>
              <w:pStyle w:val="23"/>
            </w:pPr>
            <w:r>
              <w:t>1项</w:t>
            </w:r>
          </w:p>
        </w:tc>
        <w:tc>
          <w:tcPr>
            <w:tcW w:w="1843" w:type="dxa"/>
            <w:vAlign w:val="center"/>
          </w:tcPr>
          <w:p>
            <w:pPr>
              <w:pStyle w:val="23"/>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规划编制完成率（%）</w:t>
            </w:r>
          </w:p>
        </w:tc>
        <w:tc>
          <w:tcPr>
            <w:tcW w:w="2891" w:type="dxa"/>
            <w:vAlign w:val="center"/>
          </w:tcPr>
          <w:p>
            <w:pPr>
              <w:pStyle w:val="23"/>
            </w:pPr>
            <w:r>
              <w:t>规划编制完成率（%）</w:t>
            </w:r>
          </w:p>
        </w:tc>
        <w:tc>
          <w:tcPr>
            <w:tcW w:w="1276" w:type="dxa"/>
            <w:vAlign w:val="center"/>
          </w:tcPr>
          <w:p>
            <w:pPr>
              <w:pStyle w:val="23"/>
            </w:pPr>
            <w:r>
              <w:t>≥95百分比</w:t>
            </w:r>
          </w:p>
        </w:tc>
        <w:tc>
          <w:tcPr>
            <w:tcW w:w="1843" w:type="dxa"/>
            <w:vAlign w:val="center"/>
          </w:tcPr>
          <w:p>
            <w:pPr>
              <w:pStyle w:val="23"/>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按时完成编制规划任务</w:t>
            </w:r>
          </w:p>
        </w:tc>
        <w:tc>
          <w:tcPr>
            <w:tcW w:w="2891" w:type="dxa"/>
            <w:vAlign w:val="center"/>
          </w:tcPr>
          <w:p>
            <w:pPr>
              <w:pStyle w:val="23"/>
            </w:pPr>
            <w:r>
              <w:t>2022年底完成编制任务</w:t>
            </w:r>
          </w:p>
        </w:tc>
        <w:tc>
          <w:tcPr>
            <w:tcW w:w="1276" w:type="dxa"/>
            <w:vAlign w:val="center"/>
          </w:tcPr>
          <w:p>
            <w:pPr>
              <w:pStyle w:val="23"/>
            </w:pPr>
            <w:r>
              <w:t>根据相关要求，需在2022年底前完成此项规划编制</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年度预算金额</w:t>
            </w:r>
          </w:p>
        </w:tc>
        <w:tc>
          <w:tcPr>
            <w:tcW w:w="2891" w:type="dxa"/>
            <w:vAlign w:val="center"/>
          </w:tcPr>
          <w:p>
            <w:pPr>
              <w:pStyle w:val="23"/>
            </w:pPr>
            <w:r>
              <w:t>年度预算金额</w:t>
            </w:r>
          </w:p>
        </w:tc>
        <w:tc>
          <w:tcPr>
            <w:tcW w:w="1276" w:type="dxa"/>
            <w:vAlign w:val="center"/>
          </w:tcPr>
          <w:p>
            <w:pPr>
              <w:pStyle w:val="23"/>
            </w:pPr>
            <w:r>
              <w:t>24.59万元</w:t>
            </w:r>
          </w:p>
        </w:tc>
        <w:tc>
          <w:tcPr>
            <w:tcW w:w="1843" w:type="dxa"/>
            <w:vAlign w:val="center"/>
          </w:tcPr>
          <w:p>
            <w:pPr>
              <w:pStyle w:val="23"/>
            </w:pPr>
            <w:r>
              <w:t>年度预算表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推动规划编制工作完成</w:t>
            </w:r>
          </w:p>
        </w:tc>
        <w:tc>
          <w:tcPr>
            <w:tcW w:w="2891" w:type="dxa"/>
            <w:vAlign w:val="center"/>
          </w:tcPr>
          <w:p>
            <w:pPr>
              <w:pStyle w:val="23"/>
            </w:pPr>
            <w:r>
              <w:t>推动规划编制工作完成</w:t>
            </w:r>
          </w:p>
        </w:tc>
        <w:tc>
          <w:tcPr>
            <w:tcW w:w="1276" w:type="dxa"/>
            <w:vAlign w:val="center"/>
          </w:tcPr>
          <w:p>
            <w:pPr>
              <w:pStyle w:val="23"/>
            </w:pPr>
            <w:r>
              <w:t>督促企业按期完成专项规划的编制</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≥85百分比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pPr>
      <w:bookmarkStart w:id="22" w:name="_Toc_4_4_0000000018"/>
      <w:r>
        <w:rPr>
          <w:rFonts w:ascii="方正仿宋_GBK" w:hAnsi="方正仿宋_GBK" w:eastAsia="方正仿宋_GBK" w:cs="方正仿宋_GBK"/>
          <w:color w:val="000000"/>
          <w:sz w:val="28"/>
        </w:rPr>
        <w:t>15.滨河公园基础设施完善、维修施工绩效目标表</w:t>
      </w:r>
      <w:bookmarkEnd w:id="22"/>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13062322P00818810001Y</w:t>
            </w:r>
          </w:p>
        </w:tc>
        <w:tc>
          <w:tcPr>
            <w:tcW w:w="1587" w:type="dxa"/>
            <w:vAlign w:val="center"/>
          </w:tcPr>
          <w:p>
            <w:pPr>
              <w:pStyle w:val="21"/>
            </w:pPr>
            <w:r>
              <w:t>项目名称</w:t>
            </w:r>
          </w:p>
        </w:tc>
        <w:tc>
          <w:tcPr>
            <w:tcW w:w="4422" w:type="dxa"/>
            <w:gridSpan w:val="3"/>
            <w:vAlign w:val="center"/>
          </w:tcPr>
          <w:p>
            <w:pPr>
              <w:pStyle w:val="23"/>
            </w:pPr>
            <w:r>
              <w:t>滨河公园基础设施完善、维修施工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16.43</w:t>
            </w:r>
          </w:p>
        </w:tc>
        <w:tc>
          <w:tcPr>
            <w:tcW w:w="1587" w:type="dxa"/>
            <w:vAlign w:val="center"/>
          </w:tcPr>
          <w:p>
            <w:pPr>
              <w:pStyle w:val="21"/>
            </w:pPr>
            <w:r>
              <w:t>其中：财政    资金</w:t>
            </w:r>
          </w:p>
        </w:tc>
        <w:tc>
          <w:tcPr>
            <w:tcW w:w="1304" w:type="dxa"/>
            <w:vAlign w:val="center"/>
          </w:tcPr>
          <w:p>
            <w:pPr>
              <w:pStyle w:val="23"/>
            </w:pPr>
            <w:r>
              <w:t>16.43</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用于支付滨河公园基础设施完善、维修工程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50%</w:t>
            </w:r>
          </w:p>
        </w:tc>
        <w:tc>
          <w:tcPr>
            <w:tcW w:w="1587" w:type="dxa"/>
            <w:vAlign w:val="center"/>
          </w:tcPr>
          <w:p>
            <w:pPr>
              <w:pStyle w:val="24"/>
            </w:pPr>
            <w:r>
              <w:t>100%</w:t>
            </w:r>
          </w:p>
        </w:tc>
        <w:tc>
          <w:tcPr>
            <w:tcW w:w="1304" w:type="dxa"/>
            <w:vAlign w:val="center"/>
          </w:tcPr>
          <w:p>
            <w:pPr>
              <w:pStyle w:val="24"/>
            </w:pPr>
          </w:p>
        </w:tc>
        <w:tc>
          <w:tcPr>
            <w:tcW w:w="3118" w:type="dxa"/>
            <w:gridSpan w:val="2"/>
            <w:vAlign w:val="center"/>
          </w:tcPr>
          <w:p>
            <w:pPr>
              <w:pStyle w:val="2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1.涞水县滨河公园是县城居民重要的娱乐休闲场所，保证公园的基础设施完好</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修缮改造任务完成率（%）</w:t>
            </w:r>
          </w:p>
        </w:tc>
        <w:tc>
          <w:tcPr>
            <w:tcW w:w="2891" w:type="dxa"/>
            <w:vAlign w:val="center"/>
          </w:tcPr>
          <w:p>
            <w:pPr>
              <w:pStyle w:val="23"/>
            </w:pPr>
            <w:r>
              <w:t>修缮改造任务完成率（%）</w:t>
            </w:r>
          </w:p>
        </w:tc>
        <w:tc>
          <w:tcPr>
            <w:tcW w:w="1276" w:type="dxa"/>
            <w:vAlign w:val="center"/>
          </w:tcPr>
          <w:p>
            <w:pPr>
              <w:pStyle w:val="23"/>
            </w:pPr>
            <w:r>
              <w:t>≥95百分比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修缮建筑验收合格率（%）</w:t>
            </w:r>
          </w:p>
        </w:tc>
        <w:tc>
          <w:tcPr>
            <w:tcW w:w="2891" w:type="dxa"/>
            <w:vAlign w:val="center"/>
          </w:tcPr>
          <w:p>
            <w:pPr>
              <w:pStyle w:val="23"/>
            </w:pPr>
            <w:r>
              <w:t>修缮建筑验收合格率（%）</w:t>
            </w:r>
          </w:p>
        </w:tc>
        <w:tc>
          <w:tcPr>
            <w:tcW w:w="1276" w:type="dxa"/>
            <w:vAlign w:val="center"/>
          </w:tcPr>
          <w:p>
            <w:pPr>
              <w:pStyle w:val="23"/>
            </w:pPr>
            <w:r>
              <w:t>≥90百分比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设备维修及时率</w:t>
            </w:r>
          </w:p>
        </w:tc>
        <w:tc>
          <w:tcPr>
            <w:tcW w:w="2891" w:type="dxa"/>
            <w:vAlign w:val="center"/>
          </w:tcPr>
          <w:p>
            <w:pPr>
              <w:pStyle w:val="23"/>
            </w:pPr>
            <w:r>
              <w:t>设备维修及时率</w:t>
            </w:r>
          </w:p>
        </w:tc>
        <w:tc>
          <w:tcPr>
            <w:tcW w:w="1276" w:type="dxa"/>
            <w:vAlign w:val="center"/>
          </w:tcPr>
          <w:p>
            <w:pPr>
              <w:pStyle w:val="23"/>
            </w:pPr>
            <w:r>
              <w:t>≥90维修及时到位率</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资金成本</w:t>
            </w:r>
          </w:p>
        </w:tc>
        <w:tc>
          <w:tcPr>
            <w:tcW w:w="2891" w:type="dxa"/>
            <w:vAlign w:val="center"/>
          </w:tcPr>
          <w:p>
            <w:pPr>
              <w:pStyle w:val="23"/>
            </w:pPr>
            <w:r>
              <w:t>资金成本</w:t>
            </w:r>
          </w:p>
        </w:tc>
        <w:tc>
          <w:tcPr>
            <w:tcW w:w="1276" w:type="dxa"/>
            <w:vAlign w:val="center"/>
          </w:tcPr>
          <w:p>
            <w:pPr>
              <w:pStyle w:val="23"/>
            </w:pPr>
            <w:r>
              <w:t>16.43万元</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资金使用效益</w:t>
            </w:r>
          </w:p>
        </w:tc>
        <w:tc>
          <w:tcPr>
            <w:tcW w:w="2891" w:type="dxa"/>
            <w:vAlign w:val="center"/>
          </w:tcPr>
          <w:p>
            <w:pPr>
              <w:pStyle w:val="23"/>
            </w:pPr>
            <w:r>
              <w:t>资金使用效益</w:t>
            </w:r>
          </w:p>
        </w:tc>
        <w:tc>
          <w:tcPr>
            <w:tcW w:w="1276" w:type="dxa"/>
            <w:vAlign w:val="center"/>
          </w:tcPr>
          <w:p>
            <w:pPr>
              <w:pStyle w:val="23"/>
            </w:pPr>
            <w:r>
              <w:t>≥95百分比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≥95百分比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3" w:name="_Toc_4_4_0000000019"/>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16.滨河公园扩建及拒马河道整治2022年租地款绩效目标表</w:t>
      </w:r>
      <w:bookmarkEnd w:id="23"/>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13062322P008113100010</w:t>
            </w:r>
          </w:p>
        </w:tc>
        <w:tc>
          <w:tcPr>
            <w:tcW w:w="1587" w:type="dxa"/>
            <w:vAlign w:val="center"/>
          </w:tcPr>
          <w:p>
            <w:pPr>
              <w:pStyle w:val="21"/>
            </w:pPr>
            <w:r>
              <w:t>项目名称</w:t>
            </w:r>
          </w:p>
        </w:tc>
        <w:tc>
          <w:tcPr>
            <w:tcW w:w="4422" w:type="dxa"/>
            <w:gridSpan w:val="3"/>
            <w:vAlign w:val="center"/>
          </w:tcPr>
          <w:p>
            <w:pPr>
              <w:pStyle w:val="23"/>
            </w:pPr>
            <w:r>
              <w:t>滨河公园扩建及拒马河道整治2022年租地款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56.81</w:t>
            </w:r>
          </w:p>
        </w:tc>
        <w:tc>
          <w:tcPr>
            <w:tcW w:w="1587" w:type="dxa"/>
            <w:vAlign w:val="center"/>
          </w:tcPr>
          <w:p>
            <w:pPr>
              <w:pStyle w:val="21"/>
            </w:pPr>
            <w:r>
              <w:t>其中：财政    资金</w:t>
            </w:r>
          </w:p>
        </w:tc>
        <w:tc>
          <w:tcPr>
            <w:tcW w:w="1304" w:type="dxa"/>
            <w:vAlign w:val="center"/>
          </w:tcPr>
          <w:p>
            <w:pPr>
              <w:pStyle w:val="23"/>
            </w:pPr>
            <w:r>
              <w:t>56.81</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用于滨河公园扩建及拒马河道整治。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1.目标内容12017年7月28日我局经与东关村居委会协商，决定租用滨河新区2013年征地时涉及东关村的集体土地，用于滨河公园扩建及拒马河道整治。</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租地面积</w:t>
            </w:r>
          </w:p>
        </w:tc>
        <w:tc>
          <w:tcPr>
            <w:tcW w:w="2891" w:type="dxa"/>
            <w:vAlign w:val="center"/>
          </w:tcPr>
          <w:p>
            <w:pPr>
              <w:pStyle w:val="23"/>
            </w:pPr>
            <w:r>
              <w:t>租地面积</w:t>
            </w:r>
          </w:p>
        </w:tc>
        <w:tc>
          <w:tcPr>
            <w:tcW w:w="1276" w:type="dxa"/>
            <w:vAlign w:val="center"/>
          </w:tcPr>
          <w:p>
            <w:pPr>
              <w:pStyle w:val="23"/>
            </w:pPr>
            <w:r>
              <w:t>236.72亩</w:t>
            </w:r>
          </w:p>
        </w:tc>
        <w:tc>
          <w:tcPr>
            <w:tcW w:w="1843" w:type="dxa"/>
            <w:vAlign w:val="center"/>
          </w:tcPr>
          <w:p>
            <w:pPr>
              <w:pStyle w:val="23"/>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工程质量合格率</w:t>
            </w:r>
          </w:p>
        </w:tc>
        <w:tc>
          <w:tcPr>
            <w:tcW w:w="2891" w:type="dxa"/>
            <w:vAlign w:val="center"/>
          </w:tcPr>
          <w:p>
            <w:pPr>
              <w:pStyle w:val="23"/>
            </w:pPr>
            <w:r>
              <w:t>工程质量合格率</w:t>
            </w:r>
          </w:p>
        </w:tc>
        <w:tc>
          <w:tcPr>
            <w:tcW w:w="1276" w:type="dxa"/>
            <w:vAlign w:val="center"/>
          </w:tcPr>
          <w:p>
            <w:pPr>
              <w:pStyle w:val="23"/>
            </w:pPr>
            <w:r>
              <w:t>≥80百分比</w:t>
            </w:r>
          </w:p>
        </w:tc>
        <w:tc>
          <w:tcPr>
            <w:tcW w:w="1843" w:type="dxa"/>
            <w:vAlign w:val="center"/>
          </w:tcPr>
          <w:p>
            <w:pPr>
              <w:pStyle w:val="23"/>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租地期限</w:t>
            </w:r>
          </w:p>
        </w:tc>
        <w:tc>
          <w:tcPr>
            <w:tcW w:w="2891" w:type="dxa"/>
            <w:vAlign w:val="center"/>
          </w:tcPr>
          <w:p>
            <w:pPr>
              <w:pStyle w:val="23"/>
            </w:pPr>
            <w:r>
              <w:t>租地期限</w:t>
            </w:r>
          </w:p>
        </w:tc>
        <w:tc>
          <w:tcPr>
            <w:tcW w:w="1276" w:type="dxa"/>
            <w:vAlign w:val="center"/>
          </w:tcPr>
          <w:p>
            <w:pPr>
              <w:pStyle w:val="23"/>
            </w:pPr>
            <w:r>
              <w:t>20年</w:t>
            </w:r>
          </w:p>
        </w:tc>
        <w:tc>
          <w:tcPr>
            <w:tcW w:w="1843" w:type="dxa"/>
            <w:vAlign w:val="center"/>
          </w:tcPr>
          <w:p>
            <w:pPr>
              <w:pStyle w:val="23"/>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w:t>
            </w:r>
          </w:p>
        </w:tc>
        <w:tc>
          <w:tcPr>
            <w:tcW w:w="2891" w:type="dxa"/>
            <w:vAlign w:val="center"/>
          </w:tcPr>
          <w:p>
            <w:pPr>
              <w:pStyle w:val="23"/>
            </w:pPr>
            <w:r>
              <w:t>年度预算</w:t>
            </w:r>
          </w:p>
        </w:tc>
        <w:tc>
          <w:tcPr>
            <w:tcW w:w="1276" w:type="dxa"/>
            <w:vAlign w:val="center"/>
          </w:tcPr>
          <w:p>
            <w:pPr>
              <w:pStyle w:val="23"/>
            </w:pPr>
            <w:r>
              <w:t>56.81万元</w:t>
            </w:r>
          </w:p>
        </w:tc>
        <w:tc>
          <w:tcPr>
            <w:tcW w:w="1843" w:type="dxa"/>
            <w:vAlign w:val="center"/>
          </w:tcPr>
          <w:p>
            <w:pPr>
              <w:pStyle w:val="23"/>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生态效益指标</w:t>
            </w:r>
          </w:p>
        </w:tc>
        <w:tc>
          <w:tcPr>
            <w:tcW w:w="1332" w:type="dxa"/>
            <w:vAlign w:val="center"/>
          </w:tcPr>
          <w:p>
            <w:pPr>
              <w:pStyle w:val="23"/>
            </w:pPr>
            <w:r>
              <w:t>加强节约集约利用，促进生态文明</w:t>
            </w:r>
          </w:p>
        </w:tc>
        <w:tc>
          <w:tcPr>
            <w:tcW w:w="2891" w:type="dxa"/>
            <w:vAlign w:val="center"/>
          </w:tcPr>
          <w:p>
            <w:pPr>
              <w:pStyle w:val="23"/>
            </w:pPr>
            <w:r>
              <w:t>加强节约集约利用，促进生态文明建设</w:t>
            </w:r>
          </w:p>
        </w:tc>
        <w:tc>
          <w:tcPr>
            <w:tcW w:w="1276" w:type="dxa"/>
            <w:vAlign w:val="center"/>
          </w:tcPr>
          <w:p>
            <w:pPr>
              <w:pStyle w:val="23"/>
            </w:pPr>
            <w:r>
              <w:t>≥90百分比</w:t>
            </w:r>
          </w:p>
        </w:tc>
        <w:tc>
          <w:tcPr>
            <w:tcW w:w="1843" w:type="dxa"/>
            <w:vAlign w:val="center"/>
          </w:tcPr>
          <w:p>
            <w:pPr>
              <w:pStyle w:val="23"/>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≥93百分比</w:t>
            </w:r>
          </w:p>
        </w:tc>
        <w:tc>
          <w:tcPr>
            <w:tcW w:w="1843" w:type="dxa"/>
            <w:vAlign w:val="center"/>
          </w:tcPr>
          <w:p>
            <w:pPr>
              <w:pStyle w:val="23"/>
            </w:pPr>
            <w:r>
              <w:t>租地协议</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4" w:name="_Toc_4_4_0000000020"/>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17.朝阳路路面升级改造项目绩效目标表</w:t>
      </w:r>
      <w:bookmarkEnd w:id="24"/>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13062322P00819110001E</w:t>
            </w:r>
          </w:p>
        </w:tc>
        <w:tc>
          <w:tcPr>
            <w:tcW w:w="1587" w:type="dxa"/>
            <w:vAlign w:val="center"/>
          </w:tcPr>
          <w:p>
            <w:pPr>
              <w:pStyle w:val="21"/>
            </w:pPr>
            <w:r>
              <w:t>项目名称</w:t>
            </w:r>
          </w:p>
        </w:tc>
        <w:tc>
          <w:tcPr>
            <w:tcW w:w="4422" w:type="dxa"/>
            <w:gridSpan w:val="3"/>
            <w:vAlign w:val="center"/>
          </w:tcPr>
          <w:p>
            <w:pPr>
              <w:pStyle w:val="23"/>
            </w:pPr>
            <w:r>
              <w:t>朝阳路路面升级改造项目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226.80</w:t>
            </w:r>
          </w:p>
        </w:tc>
        <w:tc>
          <w:tcPr>
            <w:tcW w:w="1587" w:type="dxa"/>
            <w:vAlign w:val="center"/>
          </w:tcPr>
          <w:p>
            <w:pPr>
              <w:pStyle w:val="21"/>
            </w:pPr>
            <w:r>
              <w:t>其中：财政    资金</w:t>
            </w:r>
          </w:p>
        </w:tc>
        <w:tc>
          <w:tcPr>
            <w:tcW w:w="1304" w:type="dxa"/>
            <w:vAlign w:val="center"/>
          </w:tcPr>
          <w:p>
            <w:pPr>
              <w:pStyle w:val="23"/>
            </w:pPr>
            <w:r>
              <w:t>226.80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用于支付朝阳路路面升级改造工程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1.通过对朝阳路路面升级改造，为群众安全出行提供保障，提升我县道路品质。</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道路里程</w:t>
            </w:r>
          </w:p>
        </w:tc>
        <w:tc>
          <w:tcPr>
            <w:tcW w:w="2891" w:type="dxa"/>
            <w:vAlign w:val="center"/>
          </w:tcPr>
          <w:p>
            <w:pPr>
              <w:pStyle w:val="23"/>
            </w:pPr>
            <w:r>
              <w:t>道路里程</w:t>
            </w:r>
          </w:p>
        </w:tc>
        <w:tc>
          <w:tcPr>
            <w:tcW w:w="1276" w:type="dxa"/>
            <w:vAlign w:val="center"/>
          </w:tcPr>
          <w:p>
            <w:pPr>
              <w:pStyle w:val="23"/>
            </w:pPr>
            <w:r>
              <w:t>1.1公里</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项目验收通过率（%）</w:t>
            </w:r>
          </w:p>
        </w:tc>
        <w:tc>
          <w:tcPr>
            <w:tcW w:w="2891" w:type="dxa"/>
            <w:vAlign w:val="center"/>
          </w:tcPr>
          <w:p>
            <w:pPr>
              <w:pStyle w:val="23"/>
            </w:pPr>
            <w:r>
              <w:t>项目验收通过率（%）</w:t>
            </w:r>
          </w:p>
        </w:tc>
        <w:tc>
          <w:tcPr>
            <w:tcW w:w="1276" w:type="dxa"/>
            <w:vAlign w:val="center"/>
          </w:tcPr>
          <w:p>
            <w:pPr>
              <w:pStyle w:val="23"/>
            </w:pPr>
            <w:r>
              <w:t>≥85百分比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工程验收合格率</w:t>
            </w:r>
          </w:p>
        </w:tc>
        <w:tc>
          <w:tcPr>
            <w:tcW w:w="2891" w:type="dxa"/>
            <w:vAlign w:val="center"/>
          </w:tcPr>
          <w:p>
            <w:pPr>
              <w:pStyle w:val="23"/>
            </w:pPr>
            <w:r>
              <w:t>接到建设单位核验申请书30工作日内，组织进行机电工程质量监督检测</w:t>
            </w:r>
          </w:p>
        </w:tc>
        <w:tc>
          <w:tcPr>
            <w:tcW w:w="1276" w:type="dxa"/>
            <w:vAlign w:val="center"/>
          </w:tcPr>
          <w:p>
            <w:pPr>
              <w:pStyle w:val="23"/>
            </w:pPr>
            <w:r>
              <w:t>≥80百分比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年度预算金额</w:t>
            </w:r>
          </w:p>
        </w:tc>
        <w:tc>
          <w:tcPr>
            <w:tcW w:w="2891" w:type="dxa"/>
            <w:vAlign w:val="center"/>
          </w:tcPr>
          <w:p>
            <w:pPr>
              <w:pStyle w:val="23"/>
            </w:pPr>
            <w:r>
              <w:t>年度预算金额</w:t>
            </w:r>
          </w:p>
        </w:tc>
        <w:tc>
          <w:tcPr>
            <w:tcW w:w="1276" w:type="dxa"/>
            <w:vAlign w:val="center"/>
          </w:tcPr>
          <w:p>
            <w:pPr>
              <w:pStyle w:val="23"/>
            </w:pPr>
            <w:r>
              <w:t>226.8万元</w:t>
            </w:r>
          </w:p>
        </w:tc>
        <w:tc>
          <w:tcPr>
            <w:tcW w:w="1843" w:type="dxa"/>
            <w:vAlign w:val="center"/>
          </w:tcPr>
          <w:p>
            <w:pPr>
              <w:pStyle w:val="23"/>
            </w:pPr>
            <w:r>
              <w:t>年度预算金额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项目工程完成情况</w:t>
            </w:r>
          </w:p>
        </w:tc>
        <w:tc>
          <w:tcPr>
            <w:tcW w:w="2891" w:type="dxa"/>
            <w:vAlign w:val="center"/>
          </w:tcPr>
          <w:p>
            <w:pPr>
              <w:pStyle w:val="23"/>
            </w:pPr>
            <w:r>
              <w:t>项目工程完成情况</w:t>
            </w:r>
          </w:p>
        </w:tc>
        <w:tc>
          <w:tcPr>
            <w:tcW w:w="1276" w:type="dxa"/>
            <w:vAlign w:val="center"/>
          </w:tcPr>
          <w:p>
            <w:pPr>
              <w:pStyle w:val="23"/>
            </w:pPr>
            <w:r>
              <w:t>按合同约定如期完工</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≥90百分比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5" w:name="_Toc_4_4_0000000021"/>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18.城区路灯集控项目绩效目标表</w:t>
      </w:r>
      <w:bookmarkEnd w:id="25"/>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13062322P00811110001L</w:t>
            </w:r>
          </w:p>
        </w:tc>
        <w:tc>
          <w:tcPr>
            <w:tcW w:w="1587" w:type="dxa"/>
            <w:vAlign w:val="center"/>
          </w:tcPr>
          <w:p>
            <w:pPr>
              <w:pStyle w:val="21"/>
            </w:pPr>
            <w:r>
              <w:t>项目名称</w:t>
            </w:r>
          </w:p>
        </w:tc>
        <w:tc>
          <w:tcPr>
            <w:tcW w:w="4422" w:type="dxa"/>
            <w:gridSpan w:val="3"/>
            <w:vAlign w:val="center"/>
          </w:tcPr>
          <w:p>
            <w:pPr>
              <w:pStyle w:val="23"/>
            </w:pPr>
            <w:r>
              <w:t>城区路灯集控项目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2.46</w:t>
            </w:r>
          </w:p>
        </w:tc>
        <w:tc>
          <w:tcPr>
            <w:tcW w:w="1587" w:type="dxa"/>
            <w:vAlign w:val="center"/>
          </w:tcPr>
          <w:p>
            <w:pPr>
              <w:pStyle w:val="21"/>
            </w:pPr>
            <w:r>
              <w:t>其中：财政    资金</w:t>
            </w:r>
          </w:p>
        </w:tc>
        <w:tc>
          <w:tcPr>
            <w:tcW w:w="1304" w:type="dxa"/>
            <w:vAlign w:val="center"/>
          </w:tcPr>
          <w:p>
            <w:pPr>
              <w:pStyle w:val="23"/>
            </w:pPr>
            <w:r>
              <w:t>2.46</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用于支付城区路灯集控项目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50%</w:t>
            </w:r>
          </w:p>
        </w:tc>
        <w:tc>
          <w:tcPr>
            <w:tcW w:w="1587" w:type="dxa"/>
            <w:vAlign w:val="center"/>
          </w:tcPr>
          <w:p>
            <w:pPr>
              <w:pStyle w:val="24"/>
            </w:pPr>
            <w:r>
              <w:t>100%</w:t>
            </w:r>
          </w:p>
        </w:tc>
        <w:tc>
          <w:tcPr>
            <w:tcW w:w="1304" w:type="dxa"/>
            <w:vAlign w:val="center"/>
          </w:tcPr>
          <w:p>
            <w:pPr>
              <w:pStyle w:val="24"/>
            </w:pPr>
          </w:p>
        </w:tc>
        <w:tc>
          <w:tcPr>
            <w:tcW w:w="3118" w:type="dxa"/>
            <w:gridSpan w:val="2"/>
            <w:vAlign w:val="center"/>
          </w:tcPr>
          <w:p>
            <w:pPr>
              <w:pStyle w:val="2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1.安装路灯集中控制系统后有效提升涞水县路灯管理效率并及时了解路灯实时状况。</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工程量完成率</w:t>
            </w:r>
          </w:p>
        </w:tc>
        <w:tc>
          <w:tcPr>
            <w:tcW w:w="2891" w:type="dxa"/>
            <w:vAlign w:val="center"/>
          </w:tcPr>
          <w:p>
            <w:pPr>
              <w:pStyle w:val="23"/>
            </w:pPr>
            <w:r>
              <w:t>工程量完成率</w:t>
            </w:r>
          </w:p>
        </w:tc>
        <w:tc>
          <w:tcPr>
            <w:tcW w:w="1276" w:type="dxa"/>
            <w:vAlign w:val="center"/>
          </w:tcPr>
          <w:p>
            <w:pPr>
              <w:pStyle w:val="23"/>
            </w:pPr>
            <w:r>
              <w:t>≥93百分比</w:t>
            </w:r>
          </w:p>
        </w:tc>
        <w:tc>
          <w:tcPr>
            <w:tcW w:w="1843" w:type="dxa"/>
            <w:vAlign w:val="center"/>
          </w:tcPr>
          <w:p>
            <w:pPr>
              <w:pStyle w:val="23"/>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工程质量合格率</w:t>
            </w:r>
          </w:p>
        </w:tc>
        <w:tc>
          <w:tcPr>
            <w:tcW w:w="2891" w:type="dxa"/>
            <w:vAlign w:val="center"/>
          </w:tcPr>
          <w:p>
            <w:pPr>
              <w:pStyle w:val="23"/>
            </w:pPr>
            <w:r>
              <w:t>工程质量合格率</w:t>
            </w:r>
          </w:p>
        </w:tc>
        <w:tc>
          <w:tcPr>
            <w:tcW w:w="1276" w:type="dxa"/>
            <w:vAlign w:val="center"/>
          </w:tcPr>
          <w:p>
            <w:pPr>
              <w:pStyle w:val="23"/>
            </w:pPr>
            <w:r>
              <w:t>≥90百分比</w:t>
            </w:r>
          </w:p>
        </w:tc>
        <w:tc>
          <w:tcPr>
            <w:tcW w:w="1843" w:type="dxa"/>
            <w:vAlign w:val="center"/>
          </w:tcPr>
          <w:p>
            <w:pPr>
              <w:pStyle w:val="23"/>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工程按期完成率</w:t>
            </w:r>
          </w:p>
        </w:tc>
        <w:tc>
          <w:tcPr>
            <w:tcW w:w="2891" w:type="dxa"/>
            <w:vAlign w:val="center"/>
          </w:tcPr>
          <w:p>
            <w:pPr>
              <w:pStyle w:val="23"/>
            </w:pPr>
            <w:r>
              <w:t>工程按期完成率</w:t>
            </w:r>
          </w:p>
        </w:tc>
        <w:tc>
          <w:tcPr>
            <w:tcW w:w="1276" w:type="dxa"/>
            <w:vAlign w:val="center"/>
          </w:tcPr>
          <w:p>
            <w:pPr>
              <w:pStyle w:val="23"/>
            </w:pPr>
            <w:r>
              <w:t>≥82百分比</w:t>
            </w:r>
          </w:p>
        </w:tc>
        <w:tc>
          <w:tcPr>
            <w:tcW w:w="1843" w:type="dxa"/>
            <w:vAlign w:val="center"/>
          </w:tcPr>
          <w:p>
            <w:pPr>
              <w:pStyle w:val="23"/>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w:t>
            </w:r>
          </w:p>
        </w:tc>
        <w:tc>
          <w:tcPr>
            <w:tcW w:w="2891" w:type="dxa"/>
            <w:vAlign w:val="center"/>
          </w:tcPr>
          <w:p>
            <w:pPr>
              <w:pStyle w:val="23"/>
            </w:pPr>
            <w:r>
              <w:t>年度预算</w:t>
            </w:r>
          </w:p>
        </w:tc>
        <w:tc>
          <w:tcPr>
            <w:tcW w:w="1276" w:type="dxa"/>
            <w:vAlign w:val="center"/>
          </w:tcPr>
          <w:p>
            <w:pPr>
              <w:pStyle w:val="23"/>
            </w:pPr>
            <w:r>
              <w:t>≤2.46万元</w:t>
            </w:r>
          </w:p>
        </w:tc>
        <w:tc>
          <w:tcPr>
            <w:tcW w:w="1843" w:type="dxa"/>
            <w:vAlign w:val="center"/>
          </w:tcPr>
          <w:p>
            <w:pPr>
              <w:pStyle w:val="23"/>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提高居民生活水平</w:t>
            </w:r>
          </w:p>
        </w:tc>
        <w:tc>
          <w:tcPr>
            <w:tcW w:w="2891" w:type="dxa"/>
            <w:vAlign w:val="center"/>
          </w:tcPr>
          <w:p>
            <w:pPr>
              <w:pStyle w:val="23"/>
            </w:pPr>
            <w:r>
              <w:t>提高居民生活水平</w:t>
            </w:r>
          </w:p>
        </w:tc>
        <w:tc>
          <w:tcPr>
            <w:tcW w:w="1276" w:type="dxa"/>
            <w:vAlign w:val="center"/>
          </w:tcPr>
          <w:p>
            <w:pPr>
              <w:pStyle w:val="23"/>
            </w:pPr>
            <w:r>
              <w:t>≥87百分比</w:t>
            </w:r>
          </w:p>
        </w:tc>
        <w:tc>
          <w:tcPr>
            <w:tcW w:w="1843" w:type="dxa"/>
            <w:vAlign w:val="center"/>
          </w:tcPr>
          <w:p>
            <w:pPr>
              <w:pStyle w:val="23"/>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 xml:space="preserve">≥90百分比 </w:t>
            </w:r>
          </w:p>
        </w:tc>
        <w:tc>
          <w:tcPr>
            <w:tcW w:w="1843" w:type="dxa"/>
            <w:vAlign w:val="center"/>
          </w:tcPr>
          <w:p>
            <w:pPr>
              <w:pStyle w:val="23"/>
            </w:pPr>
            <w:r>
              <w:t>《互联网专线业务登记单》</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6" w:name="_Toc_4_4_0000000022"/>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19.城区排水（雨、污）管道延伸工程更换泵站配电变压器项目绩效目标表</w:t>
      </w:r>
      <w:bookmarkEnd w:id="26"/>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13062322P008554100025</w:t>
            </w:r>
          </w:p>
        </w:tc>
        <w:tc>
          <w:tcPr>
            <w:tcW w:w="1587" w:type="dxa"/>
            <w:vAlign w:val="center"/>
          </w:tcPr>
          <w:p>
            <w:pPr>
              <w:pStyle w:val="21"/>
            </w:pPr>
            <w:r>
              <w:t>项目名称</w:t>
            </w:r>
          </w:p>
        </w:tc>
        <w:tc>
          <w:tcPr>
            <w:tcW w:w="4422" w:type="dxa"/>
            <w:gridSpan w:val="3"/>
            <w:vAlign w:val="center"/>
          </w:tcPr>
          <w:p>
            <w:pPr>
              <w:pStyle w:val="23"/>
            </w:pPr>
            <w:r>
              <w:t>城区排水（雨、污）管道延伸工程更换泵站配电变压器项目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12.40</w:t>
            </w:r>
          </w:p>
        </w:tc>
        <w:tc>
          <w:tcPr>
            <w:tcW w:w="1587" w:type="dxa"/>
            <w:vAlign w:val="center"/>
          </w:tcPr>
          <w:p>
            <w:pPr>
              <w:pStyle w:val="21"/>
            </w:pPr>
            <w:r>
              <w:t>其中：财政    资金</w:t>
            </w:r>
          </w:p>
        </w:tc>
        <w:tc>
          <w:tcPr>
            <w:tcW w:w="1304" w:type="dxa"/>
            <w:vAlign w:val="center"/>
          </w:tcPr>
          <w:p>
            <w:pPr>
              <w:pStyle w:val="23"/>
            </w:pPr>
            <w:r>
              <w:t>12.40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用于支付城区排水管道延伸工程更换泵站配电变压器工程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p>
        </w:tc>
        <w:tc>
          <w:tcPr>
            <w:tcW w:w="1587" w:type="dxa"/>
            <w:vAlign w:val="center"/>
          </w:tcPr>
          <w:p>
            <w:pPr>
              <w:pStyle w:val="24"/>
            </w:pPr>
            <w:r>
              <w:t>50%</w:t>
            </w:r>
          </w:p>
        </w:tc>
        <w:tc>
          <w:tcPr>
            <w:tcW w:w="1304" w:type="dxa"/>
            <w:vAlign w:val="center"/>
          </w:tcPr>
          <w:p>
            <w:pPr>
              <w:pStyle w:val="24"/>
            </w:pP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1.通过拨付城区排水（雨、污）管道延伸工程更换泵站配电变压器项目，减轻周边线路满负荷运行，同时配置电力附属设施。</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更换的变压器</w:t>
            </w:r>
          </w:p>
        </w:tc>
        <w:tc>
          <w:tcPr>
            <w:tcW w:w="2891" w:type="dxa"/>
            <w:vAlign w:val="center"/>
          </w:tcPr>
          <w:p>
            <w:pPr>
              <w:pStyle w:val="23"/>
            </w:pPr>
            <w:r>
              <w:t>更换的变压器</w:t>
            </w:r>
          </w:p>
        </w:tc>
        <w:tc>
          <w:tcPr>
            <w:tcW w:w="1276" w:type="dxa"/>
            <w:vAlign w:val="center"/>
          </w:tcPr>
          <w:p>
            <w:pPr>
              <w:pStyle w:val="23"/>
            </w:pPr>
            <w:r>
              <w:t>200千瓦</w:t>
            </w:r>
          </w:p>
        </w:tc>
        <w:tc>
          <w:tcPr>
            <w:tcW w:w="1843" w:type="dxa"/>
            <w:vAlign w:val="center"/>
          </w:tcPr>
          <w:p>
            <w:pPr>
              <w:pStyle w:val="2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项目验收合格率</w:t>
            </w:r>
          </w:p>
        </w:tc>
        <w:tc>
          <w:tcPr>
            <w:tcW w:w="2891" w:type="dxa"/>
            <w:vAlign w:val="center"/>
          </w:tcPr>
          <w:p>
            <w:pPr>
              <w:pStyle w:val="23"/>
            </w:pPr>
            <w:r>
              <w:t>项目验收合格率</w:t>
            </w:r>
          </w:p>
        </w:tc>
        <w:tc>
          <w:tcPr>
            <w:tcW w:w="1276" w:type="dxa"/>
            <w:vAlign w:val="center"/>
          </w:tcPr>
          <w:p>
            <w:pPr>
              <w:pStyle w:val="23"/>
            </w:pPr>
            <w:r>
              <w:t>≤100百分比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完工及时率</w:t>
            </w:r>
          </w:p>
        </w:tc>
        <w:tc>
          <w:tcPr>
            <w:tcW w:w="2891" w:type="dxa"/>
            <w:vAlign w:val="center"/>
          </w:tcPr>
          <w:p>
            <w:pPr>
              <w:pStyle w:val="23"/>
            </w:pPr>
            <w:r>
              <w:t>完工及时率</w:t>
            </w:r>
          </w:p>
        </w:tc>
        <w:tc>
          <w:tcPr>
            <w:tcW w:w="1276" w:type="dxa"/>
            <w:vAlign w:val="center"/>
          </w:tcPr>
          <w:p>
            <w:pPr>
              <w:pStyle w:val="23"/>
            </w:pPr>
            <w:r>
              <w:t>≥95百分比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≤12.4万元</w:t>
            </w:r>
          </w:p>
        </w:tc>
        <w:tc>
          <w:tcPr>
            <w:tcW w:w="1843" w:type="dxa"/>
            <w:vAlign w:val="center"/>
          </w:tcPr>
          <w:p>
            <w:pPr>
              <w:pStyle w:val="23"/>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减轻周边线路满负荷运行，同时配置电力附属设施。</w:t>
            </w:r>
          </w:p>
        </w:tc>
        <w:tc>
          <w:tcPr>
            <w:tcW w:w="2891" w:type="dxa"/>
            <w:vAlign w:val="center"/>
          </w:tcPr>
          <w:p>
            <w:pPr>
              <w:pStyle w:val="23"/>
            </w:pPr>
            <w:r>
              <w:t>减轻周边线路满负荷运行，同时配置电力附属设施。</w:t>
            </w:r>
          </w:p>
        </w:tc>
        <w:tc>
          <w:tcPr>
            <w:tcW w:w="1276" w:type="dxa"/>
            <w:vAlign w:val="center"/>
          </w:tcPr>
          <w:p>
            <w:pPr>
              <w:pStyle w:val="23"/>
            </w:pPr>
            <w:r>
              <w:t>减轻周边线路满负荷运行，同时配置电力附属设施。</w:t>
            </w:r>
          </w:p>
        </w:tc>
        <w:tc>
          <w:tcPr>
            <w:tcW w:w="1843" w:type="dxa"/>
            <w:vAlign w:val="center"/>
          </w:tcPr>
          <w:p>
            <w:pPr>
              <w:pStyle w:val="23"/>
            </w:pPr>
            <w:r>
              <w:t>减轻周边线路满负荷运行，同时配置电力附属设施。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服务对象满意度</w:t>
            </w:r>
          </w:p>
        </w:tc>
        <w:tc>
          <w:tcPr>
            <w:tcW w:w="1276" w:type="dxa"/>
            <w:vAlign w:val="center"/>
          </w:tcPr>
          <w:p>
            <w:pPr>
              <w:pStyle w:val="23"/>
            </w:pPr>
            <w:r>
              <w:t>≥95百分比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7" w:name="_Toc_4_4_0000000023"/>
    </w:p>
    <w:p>
      <w:pPr>
        <w:ind w:firstLine="560"/>
        <w:outlineLvl w:val="3"/>
      </w:pPr>
      <w:r>
        <w:rPr>
          <w:rFonts w:ascii="方正仿宋_GBK" w:hAnsi="方正仿宋_GBK" w:eastAsia="方正仿宋_GBK" w:cs="方正仿宋_GBK"/>
          <w:color w:val="000000"/>
          <w:sz w:val="28"/>
        </w:rPr>
        <w:t>20.城区雨污分流二期路段合流制管网封堵工程绩效目标表</w:t>
      </w:r>
      <w:bookmarkEnd w:id="27"/>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13062322P00815110001H</w:t>
            </w:r>
          </w:p>
        </w:tc>
        <w:tc>
          <w:tcPr>
            <w:tcW w:w="1587" w:type="dxa"/>
            <w:vAlign w:val="center"/>
          </w:tcPr>
          <w:p>
            <w:pPr>
              <w:pStyle w:val="21"/>
            </w:pPr>
            <w:r>
              <w:t>项目名称</w:t>
            </w:r>
          </w:p>
        </w:tc>
        <w:tc>
          <w:tcPr>
            <w:tcW w:w="4422" w:type="dxa"/>
            <w:gridSpan w:val="3"/>
            <w:vAlign w:val="center"/>
          </w:tcPr>
          <w:p>
            <w:pPr>
              <w:pStyle w:val="23"/>
            </w:pPr>
            <w:r>
              <w:t>城区雨污分流二期路段合流制管网封堵工程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16.50</w:t>
            </w:r>
          </w:p>
        </w:tc>
        <w:tc>
          <w:tcPr>
            <w:tcW w:w="1587" w:type="dxa"/>
            <w:vAlign w:val="center"/>
          </w:tcPr>
          <w:p>
            <w:pPr>
              <w:pStyle w:val="21"/>
            </w:pPr>
            <w:r>
              <w:t>其中：财政    资金</w:t>
            </w:r>
          </w:p>
        </w:tc>
        <w:tc>
          <w:tcPr>
            <w:tcW w:w="1304" w:type="dxa"/>
            <w:vAlign w:val="center"/>
          </w:tcPr>
          <w:p>
            <w:pPr>
              <w:pStyle w:val="23"/>
            </w:pPr>
            <w:r>
              <w:t>16.50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用于支付城区雨污分流二期路段合流制管网封堵工程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100%</w:t>
            </w:r>
          </w:p>
        </w:tc>
        <w:tc>
          <w:tcPr>
            <w:tcW w:w="3118" w:type="dxa"/>
            <w:gridSpan w:val="2"/>
            <w:vAlign w:val="center"/>
          </w:tcPr>
          <w:p>
            <w:pPr>
              <w:pStyle w:val="2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为推进市政雨水系统新建项目推进，县城区逐步将排水系统改造为雨污分流体系，现状雨污合流管网改造为污水管网，减轻雨水对现状管网的压力，在雨污分流二期未建成投入使用前采取对部分雨水收水井进行封堵。</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实物工作量完成率</w:t>
            </w:r>
          </w:p>
        </w:tc>
        <w:tc>
          <w:tcPr>
            <w:tcW w:w="2891" w:type="dxa"/>
            <w:vAlign w:val="center"/>
          </w:tcPr>
          <w:p>
            <w:pPr>
              <w:pStyle w:val="23"/>
            </w:pPr>
            <w:r>
              <w:t>实物工作量完成率</w:t>
            </w:r>
          </w:p>
        </w:tc>
        <w:tc>
          <w:tcPr>
            <w:tcW w:w="1276" w:type="dxa"/>
            <w:vAlign w:val="center"/>
          </w:tcPr>
          <w:p>
            <w:pPr>
              <w:pStyle w:val="23"/>
            </w:pPr>
            <w:r>
              <w:t>≥90百分比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工程质量合格率</w:t>
            </w:r>
          </w:p>
        </w:tc>
        <w:tc>
          <w:tcPr>
            <w:tcW w:w="2891" w:type="dxa"/>
            <w:vAlign w:val="center"/>
          </w:tcPr>
          <w:p>
            <w:pPr>
              <w:pStyle w:val="23"/>
            </w:pPr>
            <w:r>
              <w:t>工程质量合格率</w:t>
            </w:r>
          </w:p>
        </w:tc>
        <w:tc>
          <w:tcPr>
            <w:tcW w:w="1276" w:type="dxa"/>
            <w:vAlign w:val="center"/>
          </w:tcPr>
          <w:p>
            <w:pPr>
              <w:pStyle w:val="23"/>
            </w:pPr>
            <w:r>
              <w:t>≥95百分比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项目（工程）完成及时率</w:t>
            </w:r>
          </w:p>
        </w:tc>
        <w:tc>
          <w:tcPr>
            <w:tcW w:w="2891" w:type="dxa"/>
            <w:vAlign w:val="center"/>
          </w:tcPr>
          <w:p>
            <w:pPr>
              <w:pStyle w:val="23"/>
            </w:pPr>
            <w:r>
              <w:t>项目（工程）完成及时率</w:t>
            </w:r>
          </w:p>
        </w:tc>
        <w:tc>
          <w:tcPr>
            <w:tcW w:w="1276" w:type="dxa"/>
            <w:vAlign w:val="center"/>
          </w:tcPr>
          <w:p>
            <w:pPr>
              <w:pStyle w:val="23"/>
            </w:pPr>
            <w:r>
              <w:t>≥85百分比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年度预算金额</w:t>
            </w:r>
          </w:p>
        </w:tc>
        <w:tc>
          <w:tcPr>
            <w:tcW w:w="2891" w:type="dxa"/>
            <w:vAlign w:val="center"/>
          </w:tcPr>
          <w:p>
            <w:pPr>
              <w:pStyle w:val="23"/>
            </w:pPr>
            <w:r>
              <w:t>年度预算金额</w:t>
            </w:r>
          </w:p>
        </w:tc>
        <w:tc>
          <w:tcPr>
            <w:tcW w:w="1276" w:type="dxa"/>
            <w:vAlign w:val="center"/>
          </w:tcPr>
          <w:p>
            <w:pPr>
              <w:pStyle w:val="23"/>
            </w:pPr>
            <w:r>
              <w:t>16.5万元</w:t>
            </w:r>
          </w:p>
        </w:tc>
        <w:tc>
          <w:tcPr>
            <w:tcW w:w="1843" w:type="dxa"/>
            <w:vAlign w:val="center"/>
          </w:tcPr>
          <w:p>
            <w:pPr>
              <w:pStyle w:val="23"/>
            </w:pPr>
            <w:r>
              <w:t>年度预算表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项目工程完成情况</w:t>
            </w:r>
          </w:p>
        </w:tc>
        <w:tc>
          <w:tcPr>
            <w:tcW w:w="2891" w:type="dxa"/>
            <w:vAlign w:val="center"/>
          </w:tcPr>
          <w:p>
            <w:pPr>
              <w:pStyle w:val="23"/>
            </w:pPr>
            <w:r>
              <w:t>项目工程完成情况</w:t>
            </w:r>
          </w:p>
        </w:tc>
        <w:tc>
          <w:tcPr>
            <w:tcW w:w="1276" w:type="dxa"/>
            <w:vAlign w:val="center"/>
          </w:tcPr>
          <w:p>
            <w:pPr>
              <w:pStyle w:val="23"/>
            </w:pPr>
            <w:r>
              <w:t>该项目实际完成情况</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≥90百分比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8" w:name="_Toc_4_4_0000000024"/>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21.城市地下综合管廊建设编制规划费用绩效目标表</w:t>
      </w:r>
      <w:bookmarkEnd w:id="28"/>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13062322P00821710001E</w:t>
            </w:r>
          </w:p>
        </w:tc>
        <w:tc>
          <w:tcPr>
            <w:tcW w:w="1587" w:type="dxa"/>
            <w:vAlign w:val="center"/>
          </w:tcPr>
          <w:p>
            <w:pPr>
              <w:pStyle w:val="21"/>
            </w:pPr>
            <w:r>
              <w:t>项目名称</w:t>
            </w:r>
          </w:p>
        </w:tc>
        <w:tc>
          <w:tcPr>
            <w:tcW w:w="4422" w:type="dxa"/>
            <w:gridSpan w:val="3"/>
            <w:vAlign w:val="center"/>
          </w:tcPr>
          <w:p>
            <w:pPr>
              <w:pStyle w:val="23"/>
            </w:pPr>
            <w:r>
              <w:t>城市地下综合管廊建设编制规划费用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25.00</w:t>
            </w:r>
          </w:p>
        </w:tc>
        <w:tc>
          <w:tcPr>
            <w:tcW w:w="1587" w:type="dxa"/>
            <w:vAlign w:val="center"/>
          </w:tcPr>
          <w:p>
            <w:pPr>
              <w:pStyle w:val="21"/>
            </w:pPr>
            <w:r>
              <w:t>其中：财政    资金</w:t>
            </w:r>
          </w:p>
        </w:tc>
        <w:tc>
          <w:tcPr>
            <w:tcW w:w="1304" w:type="dxa"/>
            <w:vAlign w:val="center"/>
          </w:tcPr>
          <w:p>
            <w:pPr>
              <w:pStyle w:val="23"/>
            </w:pPr>
            <w:r>
              <w:t>25.00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用于支付城市地下综合管廊建设编制规划费用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1.为有序推进我省城市地下综合管廊建设工作，提高地下空间利用水平</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工程量完成率</w:t>
            </w:r>
          </w:p>
        </w:tc>
        <w:tc>
          <w:tcPr>
            <w:tcW w:w="2891" w:type="dxa"/>
            <w:vAlign w:val="center"/>
          </w:tcPr>
          <w:p>
            <w:pPr>
              <w:pStyle w:val="23"/>
            </w:pPr>
            <w:r>
              <w:t>工程量完成率</w:t>
            </w:r>
          </w:p>
        </w:tc>
        <w:tc>
          <w:tcPr>
            <w:tcW w:w="1276" w:type="dxa"/>
            <w:vAlign w:val="center"/>
          </w:tcPr>
          <w:p>
            <w:pPr>
              <w:pStyle w:val="23"/>
            </w:pPr>
            <w:r>
              <w:t>≥89百分比</w:t>
            </w:r>
          </w:p>
        </w:tc>
        <w:tc>
          <w:tcPr>
            <w:tcW w:w="1843" w:type="dxa"/>
            <w:vAlign w:val="center"/>
          </w:tcPr>
          <w:p>
            <w:pPr>
              <w:pStyle w:val="23"/>
            </w:pPr>
            <w:r>
              <w:t>（冀城建管[2021]9号）文件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工程质量合格率</w:t>
            </w:r>
          </w:p>
        </w:tc>
        <w:tc>
          <w:tcPr>
            <w:tcW w:w="2891" w:type="dxa"/>
            <w:vAlign w:val="center"/>
          </w:tcPr>
          <w:p>
            <w:pPr>
              <w:pStyle w:val="23"/>
            </w:pPr>
            <w:r>
              <w:t>工程质量合格率</w:t>
            </w:r>
          </w:p>
        </w:tc>
        <w:tc>
          <w:tcPr>
            <w:tcW w:w="1276" w:type="dxa"/>
            <w:vAlign w:val="center"/>
          </w:tcPr>
          <w:p>
            <w:pPr>
              <w:pStyle w:val="23"/>
            </w:pPr>
            <w:r>
              <w:t>≥85百分比</w:t>
            </w:r>
          </w:p>
        </w:tc>
        <w:tc>
          <w:tcPr>
            <w:tcW w:w="1843" w:type="dxa"/>
            <w:vAlign w:val="center"/>
          </w:tcPr>
          <w:p>
            <w:pPr>
              <w:pStyle w:val="23"/>
            </w:pPr>
            <w:r>
              <w:t>（冀城建管[2021]9号）文件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工程完成及时率</w:t>
            </w:r>
          </w:p>
        </w:tc>
        <w:tc>
          <w:tcPr>
            <w:tcW w:w="2891" w:type="dxa"/>
            <w:vAlign w:val="center"/>
          </w:tcPr>
          <w:p>
            <w:pPr>
              <w:pStyle w:val="23"/>
            </w:pPr>
            <w:r>
              <w:t>工程完成及时率</w:t>
            </w:r>
          </w:p>
        </w:tc>
        <w:tc>
          <w:tcPr>
            <w:tcW w:w="1276" w:type="dxa"/>
            <w:vAlign w:val="center"/>
          </w:tcPr>
          <w:p>
            <w:pPr>
              <w:pStyle w:val="23"/>
            </w:pPr>
            <w:r>
              <w:t>≥90百分比</w:t>
            </w:r>
          </w:p>
        </w:tc>
        <w:tc>
          <w:tcPr>
            <w:tcW w:w="1843" w:type="dxa"/>
            <w:vAlign w:val="center"/>
          </w:tcPr>
          <w:p>
            <w:pPr>
              <w:pStyle w:val="23"/>
            </w:pPr>
            <w:r>
              <w:t>（冀城建管[2021]9号）文件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w:t>
            </w:r>
          </w:p>
        </w:tc>
        <w:tc>
          <w:tcPr>
            <w:tcW w:w="2891" w:type="dxa"/>
            <w:vAlign w:val="center"/>
          </w:tcPr>
          <w:p>
            <w:pPr>
              <w:pStyle w:val="23"/>
            </w:pPr>
            <w:r>
              <w:t>年度预算</w:t>
            </w:r>
          </w:p>
        </w:tc>
        <w:tc>
          <w:tcPr>
            <w:tcW w:w="1276" w:type="dxa"/>
            <w:vAlign w:val="center"/>
          </w:tcPr>
          <w:p>
            <w:pPr>
              <w:pStyle w:val="23"/>
            </w:pPr>
            <w:r>
              <w:t>≤25万元</w:t>
            </w:r>
          </w:p>
        </w:tc>
        <w:tc>
          <w:tcPr>
            <w:tcW w:w="1843" w:type="dxa"/>
            <w:vAlign w:val="center"/>
          </w:tcPr>
          <w:p>
            <w:pPr>
              <w:pStyle w:val="23"/>
            </w:pPr>
            <w:r>
              <w:t>（冀城建管[2021]9号）文件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生态效益指标</w:t>
            </w:r>
          </w:p>
        </w:tc>
        <w:tc>
          <w:tcPr>
            <w:tcW w:w="1332" w:type="dxa"/>
            <w:vAlign w:val="center"/>
          </w:tcPr>
          <w:p>
            <w:pPr>
              <w:pStyle w:val="23"/>
            </w:pPr>
            <w:r>
              <w:t>改善生态环境质量</w:t>
            </w:r>
          </w:p>
        </w:tc>
        <w:tc>
          <w:tcPr>
            <w:tcW w:w="2891" w:type="dxa"/>
            <w:vAlign w:val="center"/>
          </w:tcPr>
          <w:p>
            <w:pPr>
              <w:pStyle w:val="23"/>
            </w:pPr>
            <w:r>
              <w:t>改善生态环境质量</w:t>
            </w:r>
          </w:p>
        </w:tc>
        <w:tc>
          <w:tcPr>
            <w:tcW w:w="1276" w:type="dxa"/>
            <w:vAlign w:val="center"/>
          </w:tcPr>
          <w:p>
            <w:pPr>
              <w:pStyle w:val="23"/>
            </w:pPr>
            <w:r>
              <w:t>≥91百分比</w:t>
            </w:r>
          </w:p>
        </w:tc>
        <w:tc>
          <w:tcPr>
            <w:tcW w:w="1843" w:type="dxa"/>
            <w:vAlign w:val="center"/>
          </w:tcPr>
          <w:p>
            <w:pPr>
              <w:pStyle w:val="23"/>
            </w:pPr>
            <w:r>
              <w:t>（冀城建管[2021]9号）文件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≥90百分比</w:t>
            </w:r>
          </w:p>
        </w:tc>
        <w:tc>
          <w:tcPr>
            <w:tcW w:w="1843" w:type="dxa"/>
            <w:vAlign w:val="center"/>
          </w:tcPr>
          <w:p>
            <w:pPr>
              <w:pStyle w:val="23"/>
            </w:pPr>
            <w:r>
              <w:t>（冀城建管[2021]9号）文件</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pPr>
      <w:bookmarkStart w:id="29" w:name="_Toc_4_4_0000000025"/>
      <w:r>
        <w:rPr>
          <w:rFonts w:ascii="方正仿宋_GBK" w:hAnsi="方正仿宋_GBK" w:eastAsia="方正仿宋_GBK" w:cs="方正仿宋_GBK"/>
          <w:color w:val="000000"/>
          <w:sz w:val="28"/>
        </w:rPr>
        <w:t>22.城镇既有管道燃气用户加装安全装置绩效目标表</w:t>
      </w:r>
      <w:bookmarkEnd w:id="29"/>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13062322P008204100016</w:t>
            </w:r>
          </w:p>
        </w:tc>
        <w:tc>
          <w:tcPr>
            <w:tcW w:w="1587" w:type="dxa"/>
            <w:vAlign w:val="center"/>
          </w:tcPr>
          <w:p>
            <w:pPr>
              <w:pStyle w:val="21"/>
            </w:pPr>
            <w:r>
              <w:t>项目名称</w:t>
            </w:r>
          </w:p>
        </w:tc>
        <w:tc>
          <w:tcPr>
            <w:tcW w:w="4422" w:type="dxa"/>
            <w:gridSpan w:val="3"/>
            <w:vAlign w:val="center"/>
          </w:tcPr>
          <w:p>
            <w:pPr>
              <w:pStyle w:val="23"/>
            </w:pPr>
            <w:r>
              <w:t>城镇既有管道燃气用户加装安全装置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128.59</w:t>
            </w:r>
          </w:p>
        </w:tc>
        <w:tc>
          <w:tcPr>
            <w:tcW w:w="1587" w:type="dxa"/>
            <w:vAlign w:val="center"/>
          </w:tcPr>
          <w:p>
            <w:pPr>
              <w:pStyle w:val="21"/>
            </w:pPr>
            <w:r>
              <w:t>其中：财政    资金</w:t>
            </w:r>
          </w:p>
        </w:tc>
        <w:tc>
          <w:tcPr>
            <w:tcW w:w="1304" w:type="dxa"/>
            <w:vAlign w:val="center"/>
          </w:tcPr>
          <w:p>
            <w:pPr>
              <w:pStyle w:val="23"/>
            </w:pPr>
            <w:r>
              <w:t>128.59</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对全县17个住宅小区，12859户既有管道燃气用户加装安全装置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1.对全县17个住宅小区，12859户既有管道燃气用户加装安全装置</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住宅小区数量</w:t>
            </w:r>
          </w:p>
        </w:tc>
        <w:tc>
          <w:tcPr>
            <w:tcW w:w="2891" w:type="dxa"/>
            <w:vAlign w:val="center"/>
          </w:tcPr>
          <w:p>
            <w:pPr>
              <w:pStyle w:val="23"/>
            </w:pPr>
            <w:r>
              <w:t xml:space="preserve">住宅小区数量 </w:t>
            </w:r>
          </w:p>
        </w:tc>
        <w:tc>
          <w:tcPr>
            <w:tcW w:w="1276" w:type="dxa"/>
            <w:vAlign w:val="center"/>
          </w:tcPr>
          <w:p>
            <w:pPr>
              <w:pStyle w:val="23"/>
            </w:pPr>
            <w:r>
              <w:t>17个</w:t>
            </w:r>
          </w:p>
        </w:tc>
        <w:tc>
          <w:tcPr>
            <w:tcW w:w="1843" w:type="dxa"/>
            <w:vAlign w:val="center"/>
          </w:tcPr>
          <w:p>
            <w:pPr>
              <w:pStyle w:val="2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安全隐患排查率</w:t>
            </w:r>
          </w:p>
        </w:tc>
        <w:tc>
          <w:tcPr>
            <w:tcW w:w="2891" w:type="dxa"/>
            <w:vAlign w:val="center"/>
          </w:tcPr>
          <w:p>
            <w:pPr>
              <w:pStyle w:val="23"/>
            </w:pPr>
            <w:r>
              <w:t>安全隐患排查率</w:t>
            </w:r>
          </w:p>
        </w:tc>
        <w:tc>
          <w:tcPr>
            <w:tcW w:w="1276" w:type="dxa"/>
            <w:vAlign w:val="center"/>
          </w:tcPr>
          <w:p>
            <w:pPr>
              <w:pStyle w:val="23"/>
            </w:pPr>
            <w:r>
              <w:t>≥90百分比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项目按时完成率</w:t>
            </w:r>
          </w:p>
        </w:tc>
        <w:tc>
          <w:tcPr>
            <w:tcW w:w="2891" w:type="dxa"/>
            <w:vAlign w:val="center"/>
          </w:tcPr>
          <w:p>
            <w:pPr>
              <w:pStyle w:val="23"/>
            </w:pPr>
            <w:r>
              <w:t>项目按时完成率</w:t>
            </w:r>
          </w:p>
        </w:tc>
        <w:tc>
          <w:tcPr>
            <w:tcW w:w="1276" w:type="dxa"/>
            <w:vAlign w:val="center"/>
          </w:tcPr>
          <w:p>
            <w:pPr>
              <w:pStyle w:val="23"/>
            </w:pPr>
            <w:r>
              <w:t>≥95百分比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县财政补贴标准</w:t>
            </w:r>
          </w:p>
        </w:tc>
        <w:tc>
          <w:tcPr>
            <w:tcW w:w="2891" w:type="dxa"/>
            <w:vAlign w:val="center"/>
          </w:tcPr>
          <w:p>
            <w:pPr>
              <w:pStyle w:val="23"/>
            </w:pPr>
            <w:r>
              <w:t>县财政补贴标准</w:t>
            </w:r>
          </w:p>
        </w:tc>
        <w:tc>
          <w:tcPr>
            <w:tcW w:w="1276" w:type="dxa"/>
            <w:vAlign w:val="center"/>
          </w:tcPr>
          <w:p>
            <w:pPr>
              <w:pStyle w:val="23"/>
            </w:pPr>
            <w:r>
              <w:t>200元/户</w:t>
            </w:r>
          </w:p>
        </w:tc>
        <w:tc>
          <w:tcPr>
            <w:tcW w:w="1843" w:type="dxa"/>
            <w:vAlign w:val="center"/>
          </w:tcPr>
          <w:p>
            <w:pPr>
              <w:pStyle w:val="2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设施完好率(％)</w:t>
            </w:r>
          </w:p>
        </w:tc>
        <w:tc>
          <w:tcPr>
            <w:tcW w:w="2891" w:type="dxa"/>
            <w:vAlign w:val="center"/>
          </w:tcPr>
          <w:p>
            <w:pPr>
              <w:pStyle w:val="23"/>
            </w:pPr>
            <w:r>
              <w:t>设施完好率(％)</w:t>
            </w:r>
          </w:p>
        </w:tc>
        <w:tc>
          <w:tcPr>
            <w:tcW w:w="1276" w:type="dxa"/>
            <w:vAlign w:val="center"/>
          </w:tcPr>
          <w:p>
            <w:pPr>
              <w:pStyle w:val="23"/>
            </w:pPr>
            <w:r>
              <w:t>≥95百分比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≥95百分比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30" w:name="_Toc_4_4_0000000026"/>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23.房产网签系统维护费绩效目标表</w:t>
      </w:r>
      <w:bookmarkEnd w:id="30"/>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13062322P00L6PJ10002D</w:t>
            </w:r>
          </w:p>
        </w:tc>
        <w:tc>
          <w:tcPr>
            <w:tcW w:w="1587" w:type="dxa"/>
            <w:vAlign w:val="center"/>
          </w:tcPr>
          <w:p>
            <w:pPr>
              <w:pStyle w:val="21"/>
            </w:pPr>
            <w:r>
              <w:t>项目名称</w:t>
            </w:r>
          </w:p>
        </w:tc>
        <w:tc>
          <w:tcPr>
            <w:tcW w:w="4422" w:type="dxa"/>
            <w:gridSpan w:val="3"/>
            <w:vAlign w:val="center"/>
          </w:tcPr>
          <w:p>
            <w:pPr>
              <w:pStyle w:val="23"/>
            </w:pPr>
            <w:r>
              <w:t>房产网签系统维护费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0.98</w:t>
            </w:r>
          </w:p>
        </w:tc>
        <w:tc>
          <w:tcPr>
            <w:tcW w:w="1587" w:type="dxa"/>
            <w:vAlign w:val="center"/>
          </w:tcPr>
          <w:p>
            <w:pPr>
              <w:pStyle w:val="21"/>
            </w:pPr>
            <w:r>
              <w:t>其中：财政    资金</w:t>
            </w:r>
          </w:p>
        </w:tc>
        <w:tc>
          <w:tcPr>
            <w:tcW w:w="1304" w:type="dxa"/>
            <w:vAlign w:val="center"/>
          </w:tcPr>
          <w:p>
            <w:pPr>
              <w:pStyle w:val="23"/>
            </w:pPr>
            <w:r>
              <w:t>0.98</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用于支付房产网签系统维护费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p>
        </w:tc>
        <w:tc>
          <w:tcPr>
            <w:tcW w:w="1587" w:type="dxa"/>
            <w:vAlign w:val="center"/>
          </w:tcPr>
          <w:p>
            <w:pPr>
              <w:pStyle w:val="24"/>
            </w:pPr>
          </w:p>
        </w:tc>
        <w:tc>
          <w:tcPr>
            <w:tcW w:w="1304" w:type="dxa"/>
            <w:vAlign w:val="center"/>
          </w:tcPr>
          <w:p>
            <w:pPr>
              <w:pStyle w:val="24"/>
            </w:pP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实时登录网签系统，准确地调取卖家房屋的权属信息，核对身份、权属信息的真实性级有效性；其次录入买家信息，输入买卖价格、约定付款方式（一次性、银行按揭等）、交房方式、违约责任和违约金额、买卖双方其他的自行约定等内容。</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系统运维数量</w:t>
            </w:r>
          </w:p>
        </w:tc>
        <w:tc>
          <w:tcPr>
            <w:tcW w:w="2891" w:type="dxa"/>
            <w:vAlign w:val="center"/>
          </w:tcPr>
          <w:p>
            <w:pPr>
              <w:pStyle w:val="23"/>
            </w:pPr>
            <w:r>
              <w:t>系统运维数量</w:t>
            </w:r>
          </w:p>
        </w:tc>
        <w:tc>
          <w:tcPr>
            <w:tcW w:w="1276" w:type="dxa"/>
            <w:vAlign w:val="center"/>
          </w:tcPr>
          <w:p>
            <w:pPr>
              <w:pStyle w:val="23"/>
            </w:pPr>
            <w:r>
              <w:t>1套</w:t>
            </w:r>
          </w:p>
        </w:tc>
        <w:tc>
          <w:tcPr>
            <w:tcW w:w="1843" w:type="dxa"/>
            <w:vAlign w:val="center"/>
          </w:tcPr>
          <w:p>
            <w:pPr>
              <w:pStyle w:val="23"/>
            </w:pPr>
            <w:r>
              <w:t>项目建设合同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系统故障率（%）</w:t>
            </w:r>
          </w:p>
        </w:tc>
        <w:tc>
          <w:tcPr>
            <w:tcW w:w="2891" w:type="dxa"/>
            <w:vAlign w:val="center"/>
          </w:tcPr>
          <w:p>
            <w:pPr>
              <w:pStyle w:val="23"/>
            </w:pPr>
            <w:r>
              <w:t>系统故障率（%）</w:t>
            </w:r>
          </w:p>
        </w:tc>
        <w:tc>
          <w:tcPr>
            <w:tcW w:w="1276" w:type="dxa"/>
            <w:vAlign w:val="center"/>
          </w:tcPr>
          <w:p>
            <w:pPr>
              <w:pStyle w:val="23"/>
            </w:pPr>
            <w:r>
              <w:t>≤20百分比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系统运维及时性</w:t>
            </w:r>
          </w:p>
        </w:tc>
        <w:tc>
          <w:tcPr>
            <w:tcW w:w="2891" w:type="dxa"/>
            <w:vAlign w:val="center"/>
          </w:tcPr>
          <w:p>
            <w:pPr>
              <w:pStyle w:val="23"/>
            </w:pPr>
            <w:r>
              <w:t>系统运维及时性</w:t>
            </w:r>
          </w:p>
        </w:tc>
        <w:tc>
          <w:tcPr>
            <w:tcW w:w="1276" w:type="dxa"/>
            <w:vAlign w:val="center"/>
          </w:tcPr>
          <w:p>
            <w:pPr>
              <w:pStyle w:val="23"/>
            </w:pPr>
            <w:r>
              <w:t>按要求及时到位污维护</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年度维护费</w:t>
            </w:r>
          </w:p>
        </w:tc>
        <w:tc>
          <w:tcPr>
            <w:tcW w:w="2891" w:type="dxa"/>
            <w:vAlign w:val="center"/>
          </w:tcPr>
          <w:p>
            <w:pPr>
              <w:pStyle w:val="23"/>
            </w:pPr>
            <w:r>
              <w:t>年度维护费</w:t>
            </w:r>
          </w:p>
        </w:tc>
        <w:tc>
          <w:tcPr>
            <w:tcW w:w="1276" w:type="dxa"/>
            <w:vAlign w:val="center"/>
          </w:tcPr>
          <w:p>
            <w:pPr>
              <w:pStyle w:val="23"/>
            </w:pPr>
            <w:r>
              <w:t>0.98万元</w:t>
            </w:r>
          </w:p>
        </w:tc>
        <w:tc>
          <w:tcPr>
            <w:tcW w:w="1843" w:type="dxa"/>
            <w:vAlign w:val="center"/>
          </w:tcPr>
          <w:p>
            <w:pPr>
              <w:pStyle w:val="23"/>
            </w:pPr>
            <w:r>
              <w:t>项目建设合同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系统录取信息准确率</w:t>
            </w:r>
          </w:p>
        </w:tc>
        <w:tc>
          <w:tcPr>
            <w:tcW w:w="2891" w:type="dxa"/>
            <w:vAlign w:val="center"/>
          </w:tcPr>
          <w:p>
            <w:pPr>
              <w:pStyle w:val="23"/>
            </w:pPr>
            <w:r>
              <w:t>系统录取信息准确率</w:t>
            </w:r>
          </w:p>
        </w:tc>
        <w:tc>
          <w:tcPr>
            <w:tcW w:w="1276" w:type="dxa"/>
            <w:vAlign w:val="center"/>
          </w:tcPr>
          <w:p>
            <w:pPr>
              <w:pStyle w:val="23"/>
            </w:pPr>
            <w:r>
              <w:t>≥95百分比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≥85百分比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31" w:name="_Toc_4_4_0000000027"/>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24.河北省财政厅提前下达2022年中央财政老旧小区改造资金（冀财综[2021]31号）绩效目标表</w:t>
      </w:r>
      <w:bookmarkEnd w:id="31"/>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13062322P00848310001R</w:t>
            </w:r>
          </w:p>
        </w:tc>
        <w:tc>
          <w:tcPr>
            <w:tcW w:w="1587" w:type="dxa"/>
            <w:vAlign w:val="center"/>
          </w:tcPr>
          <w:p>
            <w:pPr>
              <w:pStyle w:val="21"/>
            </w:pPr>
            <w:r>
              <w:t>项目名称</w:t>
            </w:r>
          </w:p>
        </w:tc>
        <w:tc>
          <w:tcPr>
            <w:tcW w:w="4422" w:type="dxa"/>
            <w:gridSpan w:val="3"/>
            <w:vAlign w:val="center"/>
          </w:tcPr>
          <w:p>
            <w:pPr>
              <w:pStyle w:val="23"/>
            </w:pPr>
            <w:r>
              <w:t>河北省财政厅提前下达2022年中央财政老旧小区改造资金（冀财综[2021]31号）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346.00</w:t>
            </w:r>
          </w:p>
        </w:tc>
        <w:tc>
          <w:tcPr>
            <w:tcW w:w="1587" w:type="dxa"/>
            <w:vAlign w:val="center"/>
          </w:tcPr>
          <w:p>
            <w:pPr>
              <w:pStyle w:val="21"/>
            </w:pPr>
            <w:r>
              <w:t>其中：财政    资金</w:t>
            </w:r>
          </w:p>
        </w:tc>
        <w:tc>
          <w:tcPr>
            <w:tcW w:w="1304" w:type="dxa"/>
            <w:vAlign w:val="center"/>
          </w:tcPr>
          <w:p>
            <w:pPr>
              <w:pStyle w:val="23"/>
            </w:pPr>
            <w:r>
              <w:t>346.00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河北省财政厅提前下达2022年中央财政老旧小区改造资金（冀财综[2021]31号）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1.对涞水县现有7个老旧小区进行改造</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现有老旧小区数量</w:t>
            </w:r>
          </w:p>
        </w:tc>
        <w:tc>
          <w:tcPr>
            <w:tcW w:w="2891" w:type="dxa"/>
            <w:vAlign w:val="center"/>
          </w:tcPr>
          <w:p>
            <w:pPr>
              <w:pStyle w:val="23"/>
            </w:pPr>
            <w:r>
              <w:t>现有老旧小区数量</w:t>
            </w:r>
          </w:p>
        </w:tc>
        <w:tc>
          <w:tcPr>
            <w:tcW w:w="1276" w:type="dxa"/>
            <w:vAlign w:val="center"/>
          </w:tcPr>
          <w:p>
            <w:pPr>
              <w:pStyle w:val="23"/>
            </w:pPr>
            <w:r>
              <w:t>7个</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改造完成率</w:t>
            </w:r>
          </w:p>
        </w:tc>
        <w:tc>
          <w:tcPr>
            <w:tcW w:w="2891" w:type="dxa"/>
            <w:vAlign w:val="center"/>
          </w:tcPr>
          <w:p>
            <w:pPr>
              <w:pStyle w:val="23"/>
            </w:pPr>
            <w:r>
              <w:t>改造完成率</w:t>
            </w:r>
          </w:p>
        </w:tc>
        <w:tc>
          <w:tcPr>
            <w:tcW w:w="1276" w:type="dxa"/>
            <w:vAlign w:val="center"/>
          </w:tcPr>
          <w:p>
            <w:pPr>
              <w:pStyle w:val="23"/>
            </w:pPr>
            <w:r>
              <w:t>≥90百分比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老旧小区改造开工时间</w:t>
            </w:r>
          </w:p>
        </w:tc>
        <w:tc>
          <w:tcPr>
            <w:tcW w:w="2891" w:type="dxa"/>
            <w:vAlign w:val="center"/>
          </w:tcPr>
          <w:p>
            <w:pPr>
              <w:pStyle w:val="23"/>
            </w:pPr>
            <w:r>
              <w:t>老旧小区改造开工时间</w:t>
            </w:r>
          </w:p>
        </w:tc>
        <w:tc>
          <w:tcPr>
            <w:tcW w:w="1276" w:type="dxa"/>
            <w:vAlign w:val="center"/>
          </w:tcPr>
          <w:p>
            <w:pPr>
              <w:pStyle w:val="23"/>
            </w:pPr>
            <w:r>
              <w:t>2022年度</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中央补助资金金额</w:t>
            </w:r>
          </w:p>
        </w:tc>
        <w:tc>
          <w:tcPr>
            <w:tcW w:w="2891" w:type="dxa"/>
            <w:vAlign w:val="center"/>
          </w:tcPr>
          <w:p>
            <w:pPr>
              <w:pStyle w:val="23"/>
            </w:pPr>
            <w:r>
              <w:t>中央补助资金金额</w:t>
            </w:r>
          </w:p>
        </w:tc>
        <w:tc>
          <w:tcPr>
            <w:tcW w:w="1276" w:type="dxa"/>
            <w:vAlign w:val="center"/>
          </w:tcPr>
          <w:p>
            <w:pPr>
              <w:pStyle w:val="23"/>
            </w:pPr>
            <w:r>
              <w:t>346万元</w:t>
            </w:r>
          </w:p>
        </w:tc>
        <w:tc>
          <w:tcPr>
            <w:tcW w:w="1843" w:type="dxa"/>
            <w:vAlign w:val="center"/>
          </w:tcPr>
          <w:p>
            <w:pPr>
              <w:pStyle w:val="23"/>
            </w:pPr>
            <w:r>
              <w:t>冀财综[2021]31号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资金的使用效率</w:t>
            </w:r>
          </w:p>
        </w:tc>
        <w:tc>
          <w:tcPr>
            <w:tcW w:w="2891" w:type="dxa"/>
            <w:vAlign w:val="center"/>
          </w:tcPr>
          <w:p>
            <w:pPr>
              <w:pStyle w:val="23"/>
            </w:pPr>
            <w:r>
              <w:t>资金的使用效率</w:t>
            </w:r>
          </w:p>
        </w:tc>
        <w:tc>
          <w:tcPr>
            <w:tcW w:w="1276" w:type="dxa"/>
            <w:vAlign w:val="center"/>
          </w:tcPr>
          <w:p>
            <w:pPr>
              <w:pStyle w:val="23"/>
            </w:pPr>
            <w:r>
              <w:t>≥100百分比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≥90百分比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32" w:name="_Toc_4_4_0000000028"/>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25.建筑工程视频监控联网费绩效目标表</w:t>
      </w:r>
      <w:bookmarkEnd w:id="32"/>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13062322P00811510001B</w:t>
            </w:r>
          </w:p>
        </w:tc>
        <w:tc>
          <w:tcPr>
            <w:tcW w:w="1587" w:type="dxa"/>
            <w:vAlign w:val="center"/>
          </w:tcPr>
          <w:p>
            <w:pPr>
              <w:pStyle w:val="21"/>
            </w:pPr>
            <w:r>
              <w:t>项目名称</w:t>
            </w:r>
          </w:p>
        </w:tc>
        <w:tc>
          <w:tcPr>
            <w:tcW w:w="4422" w:type="dxa"/>
            <w:gridSpan w:val="3"/>
            <w:vAlign w:val="center"/>
          </w:tcPr>
          <w:p>
            <w:pPr>
              <w:pStyle w:val="23"/>
            </w:pPr>
            <w:r>
              <w:t>建筑工程视频监控联网费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7.30</w:t>
            </w:r>
          </w:p>
        </w:tc>
        <w:tc>
          <w:tcPr>
            <w:tcW w:w="1587" w:type="dxa"/>
            <w:vAlign w:val="center"/>
          </w:tcPr>
          <w:p>
            <w:pPr>
              <w:pStyle w:val="21"/>
            </w:pPr>
            <w:r>
              <w:t>其中：财政    资金</w:t>
            </w:r>
          </w:p>
        </w:tc>
        <w:tc>
          <w:tcPr>
            <w:tcW w:w="1304" w:type="dxa"/>
            <w:vAlign w:val="center"/>
          </w:tcPr>
          <w:p>
            <w:pPr>
              <w:pStyle w:val="23"/>
            </w:pPr>
            <w:r>
              <w:t>7.30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用于支付建筑工程视频监控联网费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p>
        </w:tc>
        <w:tc>
          <w:tcPr>
            <w:tcW w:w="1587" w:type="dxa"/>
            <w:vAlign w:val="center"/>
          </w:tcPr>
          <w:p>
            <w:pPr>
              <w:pStyle w:val="24"/>
            </w:pPr>
            <w:r>
              <w:t>50%</w:t>
            </w:r>
          </w:p>
        </w:tc>
        <w:tc>
          <w:tcPr>
            <w:tcW w:w="1304" w:type="dxa"/>
            <w:vAlign w:val="center"/>
          </w:tcPr>
          <w:p>
            <w:pPr>
              <w:pStyle w:val="24"/>
            </w:pP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1.根据国家大气污染防治的总体要求落实河北省住建厅关于实现建筑施工现场扬尘治理“六个100%”的规定。</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维护应用系统（套）</w:t>
            </w:r>
          </w:p>
        </w:tc>
        <w:tc>
          <w:tcPr>
            <w:tcW w:w="2891" w:type="dxa"/>
            <w:vAlign w:val="center"/>
          </w:tcPr>
          <w:p>
            <w:pPr>
              <w:pStyle w:val="23"/>
            </w:pPr>
            <w:r>
              <w:t>维护应用系统（套）</w:t>
            </w:r>
          </w:p>
        </w:tc>
        <w:tc>
          <w:tcPr>
            <w:tcW w:w="1276" w:type="dxa"/>
            <w:vAlign w:val="center"/>
          </w:tcPr>
          <w:p>
            <w:pPr>
              <w:pStyle w:val="23"/>
            </w:pPr>
            <w:r>
              <w:t>1套</w:t>
            </w:r>
          </w:p>
        </w:tc>
        <w:tc>
          <w:tcPr>
            <w:tcW w:w="1843" w:type="dxa"/>
            <w:vAlign w:val="center"/>
          </w:tcPr>
          <w:p>
            <w:pPr>
              <w:pStyle w:val="23"/>
            </w:pPr>
            <w:r>
              <w:t>系统集成项目服务协议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系统故障率（%）</w:t>
            </w:r>
          </w:p>
        </w:tc>
        <w:tc>
          <w:tcPr>
            <w:tcW w:w="2891" w:type="dxa"/>
            <w:vAlign w:val="center"/>
          </w:tcPr>
          <w:p>
            <w:pPr>
              <w:pStyle w:val="23"/>
            </w:pPr>
            <w:r>
              <w:t>系统故障率（%）</w:t>
            </w:r>
          </w:p>
        </w:tc>
        <w:tc>
          <w:tcPr>
            <w:tcW w:w="1276" w:type="dxa"/>
            <w:vAlign w:val="center"/>
          </w:tcPr>
          <w:p>
            <w:pPr>
              <w:pStyle w:val="23"/>
            </w:pPr>
            <w:r>
              <w:t>≤20百分比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系统运维及时性</w:t>
            </w:r>
          </w:p>
        </w:tc>
        <w:tc>
          <w:tcPr>
            <w:tcW w:w="2891" w:type="dxa"/>
            <w:vAlign w:val="center"/>
          </w:tcPr>
          <w:p>
            <w:pPr>
              <w:pStyle w:val="23"/>
            </w:pPr>
            <w:r>
              <w:t>系统运维的响应时间</w:t>
            </w:r>
          </w:p>
        </w:tc>
        <w:tc>
          <w:tcPr>
            <w:tcW w:w="1276" w:type="dxa"/>
            <w:vAlign w:val="center"/>
          </w:tcPr>
          <w:p>
            <w:pPr>
              <w:pStyle w:val="23"/>
            </w:pPr>
            <w:r>
              <w:t>≤2小时</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年度预算金额</w:t>
            </w:r>
          </w:p>
        </w:tc>
        <w:tc>
          <w:tcPr>
            <w:tcW w:w="2891" w:type="dxa"/>
            <w:vAlign w:val="center"/>
          </w:tcPr>
          <w:p>
            <w:pPr>
              <w:pStyle w:val="23"/>
            </w:pPr>
            <w:r>
              <w:t>年度预算金额</w:t>
            </w:r>
          </w:p>
        </w:tc>
        <w:tc>
          <w:tcPr>
            <w:tcW w:w="1276" w:type="dxa"/>
            <w:vAlign w:val="center"/>
          </w:tcPr>
          <w:p>
            <w:pPr>
              <w:pStyle w:val="23"/>
            </w:pPr>
            <w:r>
              <w:t>7.3万元</w:t>
            </w:r>
          </w:p>
        </w:tc>
        <w:tc>
          <w:tcPr>
            <w:tcW w:w="1843" w:type="dxa"/>
            <w:vAlign w:val="center"/>
          </w:tcPr>
          <w:p>
            <w:pPr>
              <w:pStyle w:val="23"/>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系统录取信息准确率</w:t>
            </w:r>
          </w:p>
        </w:tc>
        <w:tc>
          <w:tcPr>
            <w:tcW w:w="2891" w:type="dxa"/>
            <w:vAlign w:val="center"/>
          </w:tcPr>
          <w:p>
            <w:pPr>
              <w:pStyle w:val="23"/>
            </w:pPr>
            <w:r>
              <w:t>系统录取信息准确率</w:t>
            </w:r>
          </w:p>
        </w:tc>
        <w:tc>
          <w:tcPr>
            <w:tcW w:w="1276" w:type="dxa"/>
            <w:vAlign w:val="center"/>
          </w:tcPr>
          <w:p>
            <w:pPr>
              <w:pStyle w:val="23"/>
            </w:pPr>
            <w:r>
              <w:t>≥90百分比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≥85百分比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33" w:name="_Toc_4_4_0000000029"/>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26.京昆高速涞水西连接线道路景观绿化工程（第一标段）绩效目标表</w:t>
      </w:r>
      <w:bookmarkEnd w:id="33"/>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13062322P00813910001G</w:t>
            </w:r>
          </w:p>
        </w:tc>
        <w:tc>
          <w:tcPr>
            <w:tcW w:w="1587" w:type="dxa"/>
            <w:vAlign w:val="center"/>
          </w:tcPr>
          <w:p>
            <w:pPr>
              <w:pStyle w:val="21"/>
            </w:pPr>
            <w:r>
              <w:t>项目名称</w:t>
            </w:r>
          </w:p>
        </w:tc>
        <w:tc>
          <w:tcPr>
            <w:tcW w:w="4422" w:type="dxa"/>
            <w:gridSpan w:val="3"/>
            <w:vAlign w:val="center"/>
          </w:tcPr>
          <w:p>
            <w:pPr>
              <w:pStyle w:val="23"/>
            </w:pPr>
            <w:r>
              <w:t>京昆高速涞水西连接线道路景观绿化工程（第一标段）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92.43</w:t>
            </w:r>
          </w:p>
        </w:tc>
        <w:tc>
          <w:tcPr>
            <w:tcW w:w="1587" w:type="dxa"/>
            <w:vAlign w:val="center"/>
          </w:tcPr>
          <w:p>
            <w:pPr>
              <w:pStyle w:val="21"/>
            </w:pPr>
            <w:r>
              <w:t>其中：财政    资金</w:t>
            </w:r>
          </w:p>
        </w:tc>
        <w:tc>
          <w:tcPr>
            <w:tcW w:w="1304" w:type="dxa"/>
            <w:vAlign w:val="center"/>
          </w:tcPr>
          <w:p>
            <w:pPr>
              <w:pStyle w:val="23"/>
            </w:pPr>
            <w:r>
              <w:t>92.43</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用于支付京昆高速涞水西连接线道路景观绿化工程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1.对涞水县迎宾街进行建设种植树木、铺草皮、修补大理石路面等景观提升项目。</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工程量完成率</w:t>
            </w:r>
          </w:p>
        </w:tc>
        <w:tc>
          <w:tcPr>
            <w:tcW w:w="2891" w:type="dxa"/>
            <w:vAlign w:val="center"/>
          </w:tcPr>
          <w:p>
            <w:pPr>
              <w:pStyle w:val="23"/>
            </w:pPr>
            <w:r>
              <w:t>工程量完成率</w:t>
            </w:r>
          </w:p>
        </w:tc>
        <w:tc>
          <w:tcPr>
            <w:tcW w:w="1276" w:type="dxa"/>
            <w:vAlign w:val="center"/>
          </w:tcPr>
          <w:p>
            <w:pPr>
              <w:pStyle w:val="23"/>
            </w:pPr>
            <w:r>
              <w:t>≥95百分比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工程质量合格率</w:t>
            </w:r>
          </w:p>
        </w:tc>
        <w:tc>
          <w:tcPr>
            <w:tcW w:w="2891" w:type="dxa"/>
            <w:vAlign w:val="center"/>
          </w:tcPr>
          <w:p>
            <w:pPr>
              <w:pStyle w:val="23"/>
            </w:pPr>
            <w:r>
              <w:t>工程质量合格率</w:t>
            </w:r>
          </w:p>
        </w:tc>
        <w:tc>
          <w:tcPr>
            <w:tcW w:w="1276" w:type="dxa"/>
            <w:vAlign w:val="center"/>
          </w:tcPr>
          <w:p>
            <w:pPr>
              <w:pStyle w:val="23"/>
            </w:pPr>
            <w:r>
              <w:t>≥90百分比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工程按期完成率</w:t>
            </w:r>
          </w:p>
        </w:tc>
        <w:tc>
          <w:tcPr>
            <w:tcW w:w="2891" w:type="dxa"/>
            <w:vAlign w:val="center"/>
          </w:tcPr>
          <w:p>
            <w:pPr>
              <w:pStyle w:val="23"/>
            </w:pPr>
            <w:r>
              <w:t>工程按期完成率</w:t>
            </w:r>
          </w:p>
        </w:tc>
        <w:tc>
          <w:tcPr>
            <w:tcW w:w="1276" w:type="dxa"/>
            <w:vAlign w:val="center"/>
          </w:tcPr>
          <w:p>
            <w:pPr>
              <w:pStyle w:val="23"/>
            </w:pPr>
            <w:r>
              <w:t>≥85百分比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w:t>
            </w:r>
          </w:p>
        </w:tc>
        <w:tc>
          <w:tcPr>
            <w:tcW w:w="2891" w:type="dxa"/>
            <w:vAlign w:val="center"/>
          </w:tcPr>
          <w:p>
            <w:pPr>
              <w:pStyle w:val="23"/>
            </w:pPr>
            <w:r>
              <w:t>年度预算</w:t>
            </w:r>
          </w:p>
        </w:tc>
        <w:tc>
          <w:tcPr>
            <w:tcW w:w="1276" w:type="dxa"/>
            <w:vAlign w:val="center"/>
          </w:tcPr>
          <w:p>
            <w:pPr>
              <w:pStyle w:val="23"/>
            </w:pPr>
            <w:r>
              <w:t>≤92.43万元</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生态效益指标</w:t>
            </w:r>
          </w:p>
        </w:tc>
        <w:tc>
          <w:tcPr>
            <w:tcW w:w="1332" w:type="dxa"/>
            <w:vAlign w:val="center"/>
          </w:tcPr>
          <w:p>
            <w:pPr>
              <w:pStyle w:val="23"/>
            </w:pPr>
            <w:r>
              <w:t>改善生态环境质量</w:t>
            </w:r>
          </w:p>
        </w:tc>
        <w:tc>
          <w:tcPr>
            <w:tcW w:w="2891" w:type="dxa"/>
            <w:vAlign w:val="center"/>
          </w:tcPr>
          <w:p>
            <w:pPr>
              <w:pStyle w:val="23"/>
            </w:pPr>
            <w:r>
              <w:t>改善生态环境质量</w:t>
            </w:r>
          </w:p>
        </w:tc>
        <w:tc>
          <w:tcPr>
            <w:tcW w:w="1276" w:type="dxa"/>
            <w:vAlign w:val="center"/>
          </w:tcPr>
          <w:p>
            <w:pPr>
              <w:pStyle w:val="23"/>
            </w:pPr>
            <w:r>
              <w:t>有效改善城区绿化环境，增加城区绿地面积</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≥97百分比</w:t>
            </w:r>
          </w:p>
        </w:tc>
        <w:tc>
          <w:tcPr>
            <w:tcW w:w="1843" w:type="dxa"/>
            <w:vAlign w:val="center"/>
          </w:tcPr>
          <w:p>
            <w:pPr>
              <w:pStyle w:val="23"/>
            </w:pPr>
            <w:r>
              <w:t>施工合同</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34" w:name="_Toc_4_4_0000000030"/>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27.拒马河打捞清洁工程绩效目标表</w:t>
      </w:r>
      <w:bookmarkEnd w:id="34"/>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13062322P00819010001Q</w:t>
            </w:r>
          </w:p>
        </w:tc>
        <w:tc>
          <w:tcPr>
            <w:tcW w:w="1587" w:type="dxa"/>
            <w:vAlign w:val="center"/>
          </w:tcPr>
          <w:p>
            <w:pPr>
              <w:pStyle w:val="21"/>
            </w:pPr>
            <w:r>
              <w:t>项目名称</w:t>
            </w:r>
          </w:p>
        </w:tc>
        <w:tc>
          <w:tcPr>
            <w:tcW w:w="4422" w:type="dxa"/>
            <w:gridSpan w:val="3"/>
            <w:vAlign w:val="center"/>
          </w:tcPr>
          <w:p>
            <w:pPr>
              <w:pStyle w:val="23"/>
            </w:pPr>
            <w:r>
              <w:t>拒马河打捞清洁工程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18.80</w:t>
            </w:r>
          </w:p>
        </w:tc>
        <w:tc>
          <w:tcPr>
            <w:tcW w:w="1587" w:type="dxa"/>
            <w:vAlign w:val="center"/>
          </w:tcPr>
          <w:p>
            <w:pPr>
              <w:pStyle w:val="21"/>
            </w:pPr>
            <w:r>
              <w:t>其中：财政    资金</w:t>
            </w:r>
          </w:p>
        </w:tc>
        <w:tc>
          <w:tcPr>
            <w:tcW w:w="1304" w:type="dxa"/>
            <w:vAlign w:val="center"/>
          </w:tcPr>
          <w:p>
            <w:pPr>
              <w:pStyle w:val="23"/>
            </w:pPr>
            <w:r>
              <w:t>18.80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用于支付拒马河打捞清洁工程款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p>
        </w:tc>
        <w:tc>
          <w:tcPr>
            <w:tcW w:w="1587" w:type="dxa"/>
            <w:vAlign w:val="center"/>
          </w:tcPr>
          <w:p>
            <w:pPr>
              <w:pStyle w:val="24"/>
            </w:pPr>
            <w:r>
              <w:t>50%</w:t>
            </w:r>
          </w:p>
        </w:tc>
        <w:tc>
          <w:tcPr>
            <w:tcW w:w="1304" w:type="dxa"/>
            <w:vAlign w:val="center"/>
          </w:tcPr>
          <w:p>
            <w:pPr>
              <w:pStyle w:val="24"/>
            </w:pP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1.滨河公园拒马河城区段是重要的场所，提供县城居民良好的休闲娱乐环境</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拒马河城区段距离</w:t>
            </w:r>
          </w:p>
        </w:tc>
        <w:tc>
          <w:tcPr>
            <w:tcW w:w="2891" w:type="dxa"/>
            <w:vAlign w:val="center"/>
          </w:tcPr>
          <w:p>
            <w:pPr>
              <w:pStyle w:val="23"/>
            </w:pPr>
            <w:r>
              <w:t>拒马河城区段距离</w:t>
            </w:r>
          </w:p>
        </w:tc>
        <w:tc>
          <w:tcPr>
            <w:tcW w:w="1276" w:type="dxa"/>
            <w:vAlign w:val="center"/>
          </w:tcPr>
          <w:p>
            <w:pPr>
              <w:pStyle w:val="23"/>
            </w:pPr>
            <w:r>
              <w:t>3公里</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验收合格率</w:t>
            </w:r>
          </w:p>
        </w:tc>
        <w:tc>
          <w:tcPr>
            <w:tcW w:w="2891" w:type="dxa"/>
            <w:vAlign w:val="center"/>
          </w:tcPr>
          <w:p>
            <w:pPr>
              <w:pStyle w:val="23"/>
            </w:pPr>
            <w:r>
              <w:t>验收合格率</w:t>
            </w:r>
          </w:p>
        </w:tc>
        <w:tc>
          <w:tcPr>
            <w:tcW w:w="1276" w:type="dxa"/>
            <w:vAlign w:val="center"/>
          </w:tcPr>
          <w:p>
            <w:pPr>
              <w:pStyle w:val="23"/>
            </w:pPr>
            <w:r>
              <w:t>≥90百分比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河面垃圾清运时间</w:t>
            </w:r>
          </w:p>
        </w:tc>
        <w:tc>
          <w:tcPr>
            <w:tcW w:w="2891" w:type="dxa"/>
            <w:vAlign w:val="center"/>
          </w:tcPr>
          <w:p>
            <w:pPr>
              <w:pStyle w:val="23"/>
            </w:pPr>
            <w:r>
              <w:t>河面垃圾清运时间</w:t>
            </w:r>
          </w:p>
        </w:tc>
        <w:tc>
          <w:tcPr>
            <w:tcW w:w="1276" w:type="dxa"/>
            <w:vAlign w:val="center"/>
          </w:tcPr>
          <w:p>
            <w:pPr>
              <w:pStyle w:val="23"/>
            </w:pPr>
            <w:r>
              <w:t>≥5工作日</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年度预算金额</w:t>
            </w:r>
          </w:p>
        </w:tc>
        <w:tc>
          <w:tcPr>
            <w:tcW w:w="2891" w:type="dxa"/>
            <w:vAlign w:val="center"/>
          </w:tcPr>
          <w:p>
            <w:pPr>
              <w:pStyle w:val="23"/>
            </w:pPr>
            <w:r>
              <w:t>年度预算金额</w:t>
            </w:r>
          </w:p>
        </w:tc>
        <w:tc>
          <w:tcPr>
            <w:tcW w:w="1276" w:type="dxa"/>
            <w:vAlign w:val="center"/>
          </w:tcPr>
          <w:p>
            <w:pPr>
              <w:pStyle w:val="23"/>
            </w:pPr>
            <w:r>
              <w:t>18.8万元</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项目实现功能</w:t>
            </w:r>
          </w:p>
        </w:tc>
        <w:tc>
          <w:tcPr>
            <w:tcW w:w="2891" w:type="dxa"/>
            <w:vAlign w:val="center"/>
          </w:tcPr>
          <w:p>
            <w:pPr>
              <w:pStyle w:val="23"/>
            </w:pPr>
            <w:r>
              <w:t>项目实现功能</w:t>
            </w:r>
          </w:p>
        </w:tc>
        <w:tc>
          <w:tcPr>
            <w:tcW w:w="1276" w:type="dxa"/>
            <w:vAlign w:val="center"/>
          </w:tcPr>
          <w:p>
            <w:pPr>
              <w:pStyle w:val="23"/>
            </w:pPr>
            <w:r>
              <w:t>保证拒马河城区段水面整洁</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≥90百分比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35" w:name="_Toc_4_4_0000000031"/>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28.南水北调引江水费绩效目标表</w:t>
      </w:r>
      <w:bookmarkEnd w:id="35"/>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13062322P00862710001L</w:t>
            </w:r>
          </w:p>
        </w:tc>
        <w:tc>
          <w:tcPr>
            <w:tcW w:w="1587" w:type="dxa"/>
            <w:vAlign w:val="center"/>
          </w:tcPr>
          <w:p>
            <w:pPr>
              <w:pStyle w:val="21"/>
            </w:pPr>
            <w:r>
              <w:t>项目名称</w:t>
            </w:r>
          </w:p>
        </w:tc>
        <w:tc>
          <w:tcPr>
            <w:tcW w:w="4422" w:type="dxa"/>
            <w:gridSpan w:val="3"/>
            <w:vAlign w:val="center"/>
          </w:tcPr>
          <w:p>
            <w:pPr>
              <w:pStyle w:val="23"/>
            </w:pPr>
            <w:r>
              <w:t>南水北调引江水费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1138.80</w:t>
            </w:r>
          </w:p>
        </w:tc>
        <w:tc>
          <w:tcPr>
            <w:tcW w:w="1587" w:type="dxa"/>
            <w:vAlign w:val="center"/>
          </w:tcPr>
          <w:p>
            <w:pPr>
              <w:pStyle w:val="21"/>
            </w:pPr>
            <w:r>
              <w:t>其中：财政    资金</w:t>
            </w:r>
          </w:p>
        </w:tc>
        <w:tc>
          <w:tcPr>
            <w:tcW w:w="1304" w:type="dxa"/>
            <w:vAlign w:val="center"/>
          </w:tcPr>
          <w:p>
            <w:pPr>
              <w:pStyle w:val="23"/>
            </w:pPr>
            <w:r>
              <w:t>1138.80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支付南水北调引江水费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p>
        </w:tc>
        <w:tc>
          <w:tcPr>
            <w:tcW w:w="1587" w:type="dxa"/>
            <w:vAlign w:val="center"/>
          </w:tcPr>
          <w:p>
            <w:pPr>
              <w:pStyle w:val="24"/>
            </w:pPr>
            <w:r>
              <w:t>50%</w:t>
            </w:r>
          </w:p>
        </w:tc>
        <w:tc>
          <w:tcPr>
            <w:tcW w:w="1304" w:type="dxa"/>
            <w:vAlign w:val="center"/>
          </w:tcPr>
          <w:p>
            <w:pPr>
              <w:pStyle w:val="24"/>
            </w:pPr>
            <w:r>
              <w:t>50%</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1.根据2022年江水分配计划，我县应消纳规划用水量600万方的百分之七十，需支付江水使用费用，改善居民饮水质量。</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消纳江水规划量</w:t>
            </w:r>
          </w:p>
        </w:tc>
        <w:tc>
          <w:tcPr>
            <w:tcW w:w="2891" w:type="dxa"/>
            <w:vAlign w:val="center"/>
          </w:tcPr>
          <w:p>
            <w:pPr>
              <w:pStyle w:val="23"/>
            </w:pPr>
            <w:r>
              <w:t>消纳江水规划量</w:t>
            </w:r>
          </w:p>
        </w:tc>
        <w:tc>
          <w:tcPr>
            <w:tcW w:w="1276" w:type="dxa"/>
            <w:vAlign w:val="center"/>
          </w:tcPr>
          <w:p>
            <w:pPr>
              <w:pStyle w:val="23"/>
            </w:pPr>
            <w:r>
              <w:t>420万立方</w:t>
            </w:r>
          </w:p>
        </w:tc>
        <w:tc>
          <w:tcPr>
            <w:tcW w:w="1843" w:type="dxa"/>
            <w:vAlign w:val="center"/>
          </w:tcPr>
          <w:p>
            <w:pPr>
              <w:pStyle w:val="2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水质合格率</w:t>
            </w:r>
          </w:p>
        </w:tc>
        <w:tc>
          <w:tcPr>
            <w:tcW w:w="2891" w:type="dxa"/>
            <w:vAlign w:val="center"/>
          </w:tcPr>
          <w:p>
            <w:pPr>
              <w:pStyle w:val="23"/>
            </w:pPr>
            <w:r>
              <w:t>水质合格率</w:t>
            </w:r>
          </w:p>
        </w:tc>
        <w:tc>
          <w:tcPr>
            <w:tcW w:w="1276" w:type="dxa"/>
            <w:vAlign w:val="center"/>
          </w:tcPr>
          <w:p>
            <w:pPr>
              <w:pStyle w:val="23"/>
            </w:pPr>
            <w:r>
              <w:t>≥95%</w:t>
            </w:r>
          </w:p>
        </w:tc>
        <w:tc>
          <w:tcPr>
            <w:tcW w:w="1843" w:type="dxa"/>
            <w:vAlign w:val="center"/>
          </w:tcPr>
          <w:p>
            <w:pPr>
              <w:pStyle w:val="2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供水保障率</w:t>
            </w:r>
          </w:p>
        </w:tc>
        <w:tc>
          <w:tcPr>
            <w:tcW w:w="2891" w:type="dxa"/>
            <w:vAlign w:val="center"/>
          </w:tcPr>
          <w:p>
            <w:pPr>
              <w:pStyle w:val="23"/>
            </w:pPr>
            <w:r>
              <w:t>供水保障率</w:t>
            </w:r>
          </w:p>
        </w:tc>
        <w:tc>
          <w:tcPr>
            <w:tcW w:w="1276" w:type="dxa"/>
            <w:vAlign w:val="center"/>
          </w:tcPr>
          <w:p>
            <w:pPr>
              <w:pStyle w:val="23"/>
            </w:pPr>
            <w:r>
              <w:t>≥90%</w:t>
            </w:r>
          </w:p>
        </w:tc>
        <w:tc>
          <w:tcPr>
            <w:tcW w:w="1843" w:type="dxa"/>
            <w:vAlign w:val="center"/>
          </w:tcPr>
          <w:p>
            <w:pPr>
              <w:pStyle w:val="2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资金成本</w:t>
            </w:r>
          </w:p>
        </w:tc>
        <w:tc>
          <w:tcPr>
            <w:tcW w:w="2891" w:type="dxa"/>
            <w:vAlign w:val="center"/>
          </w:tcPr>
          <w:p>
            <w:pPr>
              <w:pStyle w:val="23"/>
            </w:pPr>
            <w:r>
              <w:t>资金成本</w:t>
            </w:r>
          </w:p>
        </w:tc>
        <w:tc>
          <w:tcPr>
            <w:tcW w:w="1276" w:type="dxa"/>
            <w:vAlign w:val="center"/>
          </w:tcPr>
          <w:p>
            <w:pPr>
              <w:pStyle w:val="23"/>
            </w:pPr>
            <w:r>
              <w:t>1138.8万元</w:t>
            </w:r>
          </w:p>
        </w:tc>
        <w:tc>
          <w:tcPr>
            <w:tcW w:w="1843" w:type="dxa"/>
            <w:vAlign w:val="center"/>
          </w:tcPr>
          <w:p>
            <w:pPr>
              <w:pStyle w:val="2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改善水质，提高供水保障</w:t>
            </w:r>
          </w:p>
        </w:tc>
        <w:tc>
          <w:tcPr>
            <w:tcW w:w="2891" w:type="dxa"/>
            <w:vAlign w:val="center"/>
          </w:tcPr>
          <w:p>
            <w:pPr>
              <w:pStyle w:val="23"/>
            </w:pPr>
            <w:r>
              <w:t>改善水质，提高供水保障</w:t>
            </w:r>
          </w:p>
        </w:tc>
        <w:tc>
          <w:tcPr>
            <w:tcW w:w="1276" w:type="dxa"/>
            <w:vAlign w:val="center"/>
          </w:tcPr>
          <w:p>
            <w:pPr>
              <w:pStyle w:val="23"/>
            </w:pPr>
            <w:r>
              <w:t>改善水质，提高供水保障</w:t>
            </w:r>
          </w:p>
        </w:tc>
        <w:tc>
          <w:tcPr>
            <w:tcW w:w="1843" w:type="dxa"/>
            <w:vAlign w:val="center"/>
          </w:tcPr>
          <w:p>
            <w:pPr>
              <w:pStyle w:val="2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群众满意度</w:t>
            </w:r>
          </w:p>
        </w:tc>
        <w:tc>
          <w:tcPr>
            <w:tcW w:w="2891" w:type="dxa"/>
            <w:vAlign w:val="center"/>
          </w:tcPr>
          <w:p>
            <w:pPr>
              <w:pStyle w:val="23"/>
            </w:pPr>
            <w:r>
              <w:t>群众满意度</w:t>
            </w:r>
          </w:p>
        </w:tc>
        <w:tc>
          <w:tcPr>
            <w:tcW w:w="1276" w:type="dxa"/>
            <w:vAlign w:val="center"/>
          </w:tcPr>
          <w:p>
            <w:pPr>
              <w:pStyle w:val="23"/>
            </w:pPr>
            <w:r>
              <w:t>≥90%</w:t>
            </w:r>
          </w:p>
        </w:tc>
        <w:tc>
          <w:tcPr>
            <w:tcW w:w="1843" w:type="dxa"/>
            <w:vAlign w:val="center"/>
          </w:tcPr>
          <w:p>
            <w:pPr>
              <w:pStyle w:val="23"/>
            </w:pPr>
            <w:r>
              <w:t>实施方案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36" w:name="_Toc_4_4_0000000032"/>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29.申通加油站经营损失费绩效目标表</w:t>
      </w:r>
      <w:bookmarkEnd w:id="36"/>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13062322P0061C810003X</w:t>
            </w:r>
          </w:p>
        </w:tc>
        <w:tc>
          <w:tcPr>
            <w:tcW w:w="1587" w:type="dxa"/>
            <w:vAlign w:val="center"/>
          </w:tcPr>
          <w:p>
            <w:pPr>
              <w:pStyle w:val="21"/>
            </w:pPr>
            <w:r>
              <w:t>项目名称</w:t>
            </w:r>
          </w:p>
        </w:tc>
        <w:tc>
          <w:tcPr>
            <w:tcW w:w="4422" w:type="dxa"/>
            <w:gridSpan w:val="3"/>
            <w:vAlign w:val="center"/>
          </w:tcPr>
          <w:p>
            <w:pPr>
              <w:pStyle w:val="23"/>
            </w:pPr>
            <w:r>
              <w:t>申通加油站经营损失费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110.00</w:t>
            </w:r>
          </w:p>
        </w:tc>
        <w:tc>
          <w:tcPr>
            <w:tcW w:w="1587" w:type="dxa"/>
            <w:vAlign w:val="center"/>
          </w:tcPr>
          <w:p>
            <w:pPr>
              <w:pStyle w:val="21"/>
            </w:pPr>
            <w:r>
              <w:t>其中：财政    资金</w:t>
            </w:r>
          </w:p>
        </w:tc>
        <w:tc>
          <w:tcPr>
            <w:tcW w:w="1304" w:type="dxa"/>
            <w:vAlign w:val="center"/>
          </w:tcPr>
          <w:p>
            <w:pPr>
              <w:pStyle w:val="23"/>
            </w:pPr>
            <w:r>
              <w:t>110.00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用于支付申通加油站经营损失费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p>
        </w:tc>
        <w:tc>
          <w:tcPr>
            <w:tcW w:w="1587" w:type="dxa"/>
            <w:vAlign w:val="center"/>
          </w:tcPr>
          <w:p>
            <w:pPr>
              <w:pStyle w:val="24"/>
            </w:pPr>
            <w:r>
              <w:t>50%</w:t>
            </w:r>
          </w:p>
        </w:tc>
        <w:tc>
          <w:tcPr>
            <w:tcW w:w="1304" w:type="dxa"/>
            <w:vAlign w:val="center"/>
          </w:tcPr>
          <w:p>
            <w:pPr>
              <w:pStyle w:val="24"/>
            </w:pP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1.2016年4月2日住建局与我站签订了《申通加油站搬迁协议》，并将原加油站拆除。根据《协议》第五款的规定：如果两年内因甲方原因致使乙方不能开工建设和正常经营，甲方从第三个年度开始以上打租的方式每年支付乙方110万（经营损失费）。目前，申通加油站还未正常营业。</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新建申通加油站</w:t>
            </w:r>
          </w:p>
        </w:tc>
        <w:tc>
          <w:tcPr>
            <w:tcW w:w="2891" w:type="dxa"/>
            <w:vAlign w:val="center"/>
          </w:tcPr>
          <w:p>
            <w:pPr>
              <w:pStyle w:val="23"/>
            </w:pPr>
            <w:r>
              <w:t>新建申通加油站</w:t>
            </w:r>
          </w:p>
        </w:tc>
        <w:tc>
          <w:tcPr>
            <w:tcW w:w="1276" w:type="dxa"/>
            <w:vAlign w:val="center"/>
          </w:tcPr>
          <w:p>
            <w:pPr>
              <w:pStyle w:val="23"/>
            </w:pPr>
            <w:r>
              <w:t>1座</w:t>
            </w:r>
          </w:p>
        </w:tc>
        <w:tc>
          <w:tcPr>
            <w:tcW w:w="1843" w:type="dxa"/>
            <w:vAlign w:val="center"/>
          </w:tcPr>
          <w:p>
            <w:pPr>
              <w:pStyle w:val="23"/>
            </w:pPr>
            <w:r>
              <w:t>申通加油站搬迁协议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验收合格率</w:t>
            </w:r>
          </w:p>
        </w:tc>
        <w:tc>
          <w:tcPr>
            <w:tcW w:w="2891" w:type="dxa"/>
            <w:vAlign w:val="center"/>
          </w:tcPr>
          <w:p>
            <w:pPr>
              <w:pStyle w:val="23"/>
            </w:pPr>
            <w:r>
              <w:t>验收合格率</w:t>
            </w:r>
          </w:p>
        </w:tc>
        <w:tc>
          <w:tcPr>
            <w:tcW w:w="1276" w:type="dxa"/>
            <w:vAlign w:val="center"/>
          </w:tcPr>
          <w:p>
            <w:pPr>
              <w:pStyle w:val="23"/>
            </w:pPr>
            <w:r>
              <w:t>≥95百分比</w:t>
            </w:r>
          </w:p>
        </w:tc>
        <w:tc>
          <w:tcPr>
            <w:tcW w:w="1843" w:type="dxa"/>
            <w:vAlign w:val="center"/>
          </w:tcPr>
          <w:p>
            <w:pPr>
              <w:pStyle w:val="23"/>
            </w:pPr>
            <w:r>
              <w:t>申通加油站搬迁协议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工程验收合格率</w:t>
            </w:r>
          </w:p>
        </w:tc>
        <w:tc>
          <w:tcPr>
            <w:tcW w:w="2891" w:type="dxa"/>
            <w:vAlign w:val="center"/>
          </w:tcPr>
          <w:p>
            <w:pPr>
              <w:pStyle w:val="23"/>
            </w:pPr>
            <w:r>
              <w:t>接到建设单位核验申请书30工作日内，组织进行机电工程质量监督检测</w:t>
            </w:r>
          </w:p>
        </w:tc>
        <w:tc>
          <w:tcPr>
            <w:tcW w:w="1276" w:type="dxa"/>
            <w:vAlign w:val="center"/>
          </w:tcPr>
          <w:p>
            <w:pPr>
              <w:pStyle w:val="23"/>
            </w:pPr>
            <w:r>
              <w:t>≥15工作日</w:t>
            </w:r>
          </w:p>
        </w:tc>
        <w:tc>
          <w:tcPr>
            <w:tcW w:w="1843" w:type="dxa"/>
            <w:vAlign w:val="center"/>
          </w:tcPr>
          <w:p>
            <w:pPr>
              <w:pStyle w:val="23"/>
            </w:pPr>
            <w:r>
              <w:t>申通加油站搬迁协议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经营损失费</w:t>
            </w:r>
          </w:p>
        </w:tc>
        <w:tc>
          <w:tcPr>
            <w:tcW w:w="2891" w:type="dxa"/>
            <w:vAlign w:val="center"/>
          </w:tcPr>
          <w:p>
            <w:pPr>
              <w:pStyle w:val="23"/>
            </w:pPr>
            <w:r>
              <w:t>经营损失费</w:t>
            </w:r>
          </w:p>
        </w:tc>
        <w:tc>
          <w:tcPr>
            <w:tcW w:w="1276" w:type="dxa"/>
            <w:vAlign w:val="center"/>
          </w:tcPr>
          <w:p>
            <w:pPr>
              <w:pStyle w:val="23"/>
            </w:pPr>
            <w:r>
              <w:t>55万元</w:t>
            </w:r>
          </w:p>
        </w:tc>
        <w:tc>
          <w:tcPr>
            <w:tcW w:w="1843" w:type="dxa"/>
            <w:vAlign w:val="center"/>
          </w:tcPr>
          <w:p>
            <w:pPr>
              <w:pStyle w:val="23"/>
            </w:pPr>
            <w:r>
              <w:t>申通加油站搬迁协议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资金的使用效率</w:t>
            </w:r>
          </w:p>
        </w:tc>
        <w:tc>
          <w:tcPr>
            <w:tcW w:w="2891" w:type="dxa"/>
            <w:vAlign w:val="center"/>
          </w:tcPr>
          <w:p>
            <w:pPr>
              <w:pStyle w:val="23"/>
            </w:pPr>
            <w:r>
              <w:t>资金的使用效率</w:t>
            </w:r>
          </w:p>
        </w:tc>
        <w:tc>
          <w:tcPr>
            <w:tcW w:w="1276" w:type="dxa"/>
            <w:vAlign w:val="center"/>
          </w:tcPr>
          <w:p>
            <w:pPr>
              <w:pStyle w:val="23"/>
            </w:pPr>
            <w:r>
              <w:t>55万元</w:t>
            </w:r>
          </w:p>
        </w:tc>
        <w:tc>
          <w:tcPr>
            <w:tcW w:w="1843" w:type="dxa"/>
            <w:vAlign w:val="center"/>
          </w:tcPr>
          <w:p>
            <w:pPr>
              <w:pStyle w:val="23"/>
            </w:pPr>
            <w:r>
              <w:t>申通加油站搬迁协议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服务对象满意度</w:t>
            </w:r>
          </w:p>
        </w:tc>
        <w:tc>
          <w:tcPr>
            <w:tcW w:w="1276" w:type="dxa"/>
            <w:vAlign w:val="center"/>
          </w:tcPr>
          <w:p>
            <w:pPr>
              <w:pStyle w:val="23"/>
            </w:pPr>
            <w:r>
              <w:t>≥90百分比</w:t>
            </w:r>
          </w:p>
        </w:tc>
        <w:tc>
          <w:tcPr>
            <w:tcW w:w="1843" w:type="dxa"/>
            <w:vAlign w:val="center"/>
          </w:tcPr>
          <w:p>
            <w:pPr>
              <w:pStyle w:val="23"/>
            </w:pPr>
            <w:r>
              <w:t>申通加油站搬迁协议</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37" w:name="_Toc_4_4_0000000033"/>
    </w:p>
    <w:p>
      <w:pPr>
        <w:ind w:firstLine="560"/>
        <w:outlineLvl w:val="3"/>
      </w:pPr>
      <w:r>
        <w:rPr>
          <w:rFonts w:ascii="方正仿宋_GBK" w:hAnsi="方正仿宋_GBK" w:eastAsia="方正仿宋_GBK" w:cs="方正仿宋_GBK"/>
          <w:color w:val="000000"/>
          <w:sz w:val="28"/>
        </w:rPr>
        <w:t>30.污水处理厂（城东、城西）10kv配电工程绩效目标表</w:t>
      </w:r>
      <w:bookmarkEnd w:id="37"/>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13062322P00815010001U</w:t>
            </w:r>
          </w:p>
        </w:tc>
        <w:tc>
          <w:tcPr>
            <w:tcW w:w="1587" w:type="dxa"/>
            <w:vAlign w:val="center"/>
          </w:tcPr>
          <w:p>
            <w:pPr>
              <w:pStyle w:val="21"/>
            </w:pPr>
            <w:r>
              <w:t>项目名称</w:t>
            </w:r>
          </w:p>
        </w:tc>
        <w:tc>
          <w:tcPr>
            <w:tcW w:w="4422" w:type="dxa"/>
            <w:gridSpan w:val="3"/>
            <w:vAlign w:val="center"/>
          </w:tcPr>
          <w:p>
            <w:pPr>
              <w:pStyle w:val="23"/>
            </w:pPr>
            <w:r>
              <w:t>污水处理厂（城东、城西）10kv配电工程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3.57</w:t>
            </w:r>
          </w:p>
        </w:tc>
        <w:tc>
          <w:tcPr>
            <w:tcW w:w="1587" w:type="dxa"/>
            <w:vAlign w:val="center"/>
          </w:tcPr>
          <w:p>
            <w:pPr>
              <w:pStyle w:val="21"/>
            </w:pPr>
            <w:r>
              <w:t>其中：财政    资金</w:t>
            </w:r>
          </w:p>
        </w:tc>
        <w:tc>
          <w:tcPr>
            <w:tcW w:w="1304" w:type="dxa"/>
            <w:vAlign w:val="center"/>
          </w:tcPr>
          <w:p>
            <w:pPr>
              <w:pStyle w:val="23"/>
            </w:pPr>
            <w:r>
              <w:t>3.57</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通过10KV配电的安装以满足设备的运转。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1.涞水县污水处理厂（城东、城西）进行提标改造后原配电无法满足现有设备的运转，通过10KV配电的安装以满足设备的运转。</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工程量完成率</w:t>
            </w:r>
          </w:p>
        </w:tc>
        <w:tc>
          <w:tcPr>
            <w:tcW w:w="2891" w:type="dxa"/>
            <w:vAlign w:val="center"/>
          </w:tcPr>
          <w:p>
            <w:pPr>
              <w:pStyle w:val="23"/>
            </w:pPr>
            <w:r>
              <w:t>工程量完成率</w:t>
            </w:r>
          </w:p>
        </w:tc>
        <w:tc>
          <w:tcPr>
            <w:tcW w:w="1276" w:type="dxa"/>
            <w:vAlign w:val="center"/>
          </w:tcPr>
          <w:p>
            <w:pPr>
              <w:pStyle w:val="23"/>
            </w:pPr>
            <w:r>
              <w:t>≥78百分比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工程质量优良率</w:t>
            </w:r>
          </w:p>
        </w:tc>
        <w:tc>
          <w:tcPr>
            <w:tcW w:w="2891" w:type="dxa"/>
            <w:vAlign w:val="center"/>
          </w:tcPr>
          <w:p>
            <w:pPr>
              <w:pStyle w:val="23"/>
            </w:pPr>
            <w:r>
              <w:t>工程质量优良率</w:t>
            </w:r>
          </w:p>
        </w:tc>
        <w:tc>
          <w:tcPr>
            <w:tcW w:w="1276" w:type="dxa"/>
            <w:vAlign w:val="center"/>
          </w:tcPr>
          <w:p>
            <w:pPr>
              <w:pStyle w:val="23"/>
            </w:pPr>
            <w:r>
              <w:t>69百分比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工程按期完成率</w:t>
            </w:r>
          </w:p>
        </w:tc>
        <w:tc>
          <w:tcPr>
            <w:tcW w:w="2891" w:type="dxa"/>
            <w:vAlign w:val="center"/>
          </w:tcPr>
          <w:p>
            <w:pPr>
              <w:pStyle w:val="23"/>
            </w:pPr>
            <w:r>
              <w:t>工程按期完成率</w:t>
            </w:r>
          </w:p>
        </w:tc>
        <w:tc>
          <w:tcPr>
            <w:tcW w:w="1276" w:type="dxa"/>
            <w:vAlign w:val="center"/>
          </w:tcPr>
          <w:p>
            <w:pPr>
              <w:pStyle w:val="23"/>
            </w:pPr>
            <w:r>
              <w:t>≤85百分比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w:t>
            </w:r>
          </w:p>
        </w:tc>
        <w:tc>
          <w:tcPr>
            <w:tcW w:w="2891" w:type="dxa"/>
            <w:vAlign w:val="center"/>
          </w:tcPr>
          <w:p>
            <w:pPr>
              <w:pStyle w:val="23"/>
            </w:pPr>
            <w:r>
              <w:t>年度预算</w:t>
            </w:r>
          </w:p>
        </w:tc>
        <w:tc>
          <w:tcPr>
            <w:tcW w:w="1276" w:type="dxa"/>
            <w:vAlign w:val="center"/>
          </w:tcPr>
          <w:p>
            <w:pPr>
              <w:pStyle w:val="23"/>
            </w:pPr>
            <w:r>
              <w:t>≤3.57万元</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生态效益指标</w:t>
            </w:r>
          </w:p>
        </w:tc>
        <w:tc>
          <w:tcPr>
            <w:tcW w:w="1332" w:type="dxa"/>
            <w:vAlign w:val="center"/>
          </w:tcPr>
          <w:p>
            <w:pPr>
              <w:pStyle w:val="23"/>
            </w:pPr>
            <w:r>
              <w:t>改善生态环境</w:t>
            </w:r>
          </w:p>
        </w:tc>
        <w:tc>
          <w:tcPr>
            <w:tcW w:w="2891" w:type="dxa"/>
            <w:vAlign w:val="center"/>
          </w:tcPr>
          <w:p>
            <w:pPr>
              <w:pStyle w:val="23"/>
            </w:pPr>
            <w:r>
              <w:t>改善生态环境</w:t>
            </w:r>
          </w:p>
        </w:tc>
        <w:tc>
          <w:tcPr>
            <w:tcW w:w="1276" w:type="dxa"/>
            <w:vAlign w:val="center"/>
          </w:tcPr>
          <w:p>
            <w:pPr>
              <w:pStyle w:val="23"/>
            </w:pPr>
            <w:r>
              <w:t>≥88百分比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≥80百分比</w:t>
            </w:r>
          </w:p>
        </w:tc>
        <w:tc>
          <w:tcPr>
            <w:tcW w:w="1843" w:type="dxa"/>
            <w:vAlign w:val="center"/>
          </w:tcPr>
          <w:p>
            <w:pPr>
              <w:pStyle w:val="23"/>
            </w:pPr>
            <w:r>
              <w:t>施工合同</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38" w:name="_Toc_4_4_0000000034"/>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31.污水处理厂（城西）提标工程设计费绩效目标表</w:t>
      </w:r>
      <w:bookmarkEnd w:id="38"/>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13062322P00855710001J</w:t>
            </w:r>
          </w:p>
        </w:tc>
        <w:tc>
          <w:tcPr>
            <w:tcW w:w="1587" w:type="dxa"/>
            <w:vAlign w:val="center"/>
          </w:tcPr>
          <w:p>
            <w:pPr>
              <w:pStyle w:val="21"/>
            </w:pPr>
            <w:r>
              <w:t>项目名称</w:t>
            </w:r>
          </w:p>
        </w:tc>
        <w:tc>
          <w:tcPr>
            <w:tcW w:w="4422" w:type="dxa"/>
            <w:gridSpan w:val="3"/>
            <w:vAlign w:val="center"/>
          </w:tcPr>
          <w:p>
            <w:pPr>
              <w:pStyle w:val="23"/>
            </w:pPr>
            <w:r>
              <w:t>污水处理厂（城西）提标工程设计费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21.63</w:t>
            </w:r>
          </w:p>
        </w:tc>
        <w:tc>
          <w:tcPr>
            <w:tcW w:w="1587" w:type="dxa"/>
            <w:vAlign w:val="center"/>
          </w:tcPr>
          <w:p>
            <w:pPr>
              <w:pStyle w:val="21"/>
            </w:pPr>
            <w:r>
              <w:t>其中：财政    资金</w:t>
            </w:r>
          </w:p>
        </w:tc>
        <w:tc>
          <w:tcPr>
            <w:tcW w:w="1304" w:type="dxa"/>
            <w:vAlign w:val="center"/>
          </w:tcPr>
          <w:p>
            <w:pPr>
              <w:pStyle w:val="23"/>
            </w:pPr>
            <w:r>
              <w:t>21.63</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通过对城西污水</w:t>
            </w:r>
            <w:r>
              <w:rPr>
                <w:rFonts w:hint="eastAsia" w:eastAsiaTheme="minorEastAsia"/>
                <w:lang w:eastAsia="zh-CN"/>
              </w:rPr>
              <w:t>处理</w:t>
            </w:r>
            <w:r>
              <w:t>厂的提标改造，增加污水处理量，使污水精处理达标国家排放标准。为白洋淀上游环境治理提供保障。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1.通过对城西污水</w:t>
            </w:r>
            <w:r>
              <w:rPr>
                <w:rFonts w:hint="eastAsia" w:eastAsiaTheme="minorEastAsia"/>
                <w:lang w:eastAsia="zh-CN"/>
              </w:rPr>
              <w:t>处理</w:t>
            </w:r>
            <w:r>
              <w:t>厂的提标改造，增加污水处理量，使污水精处理达标国家排放标准。为白洋淀上游环境治理提供保障。</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中标价</w:t>
            </w:r>
          </w:p>
        </w:tc>
        <w:tc>
          <w:tcPr>
            <w:tcW w:w="2891" w:type="dxa"/>
            <w:vAlign w:val="center"/>
          </w:tcPr>
          <w:p>
            <w:pPr>
              <w:pStyle w:val="23"/>
            </w:pPr>
            <w:r>
              <w:t>中标价</w:t>
            </w:r>
          </w:p>
        </w:tc>
        <w:tc>
          <w:tcPr>
            <w:tcW w:w="1276" w:type="dxa"/>
            <w:vAlign w:val="center"/>
          </w:tcPr>
          <w:p>
            <w:pPr>
              <w:pStyle w:val="23"/>
            </w:pPr>
            <w:r>
              <w:t>1821.94万元</w:t>
            </w:r>
          </w:p>
        </w:tc>
        <w:tc>
          <w:tcPr>
            <w:tcW w:w="1843" w:type="dxa"/>
            <w:vAlign w:val="center"/>
          </w:tcPr>
          <w:p>
            <w:pPr>
              <w:pStyle w:val="23"/>
            </w:pPr>
            <w:r>
              <w:t>施工合同、中标通知书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污水处理量</w:t>
            </w:r>
          </w:p>
        </w:tc>
        <w:tc>
          <w:tcPr>
            <w:tcW w:w="2891" w:type="dxa"/>
            <w:vAlign w:val="center"/>
          </w:tcPr>
          <w:p>
            <w:pPr>
              <w:pStyle w:val="23"/>
            </w:pPr>
            <w:r>
              <w:t>提标后污水处理量</w:t>
            </w:r>
          </w:p>
        </w:tc>
        <w:tc>
          <w:tcPr>
            <w:tcW w:w="1276" w:type="dxa"/>
            <w:vAlign w:val="center"/>
          </w:tcPr>
          <w:p>
            <w:pPr>
              <w:pStyle w:val="23"/>
            </w:pPr>
            <w:r>
              <w:t>2万吨每天</w:t>
            </w:r>
          </w:p>
        </w:tc>
        <w:tc>
          <w:tcPr>
            <w:tcW w:w="1843" w:type="dxa"/>
            <w:vAlign w:val="center"/>
          </w:tcPr>
          <w:p>
            <w:pPr>
              <w:pStyle w:val="23"/>
            </w:pPr>
            <w:r>
              <w:t>设计规范要求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资金拨付及时率</w:t>
            </w:r>
          </w:p>
        </w:tc>
        <w:tc>
          <w:tcPr>
            <w:tcW w:w="2891" w:type="dxa"/>
            <w:vAlign w:val="center"/>
          </w:tcPr>
          <w:p>
            <w:pPr>
              <w:pStyle w:val="23"/>
            </w:pPr>
            <w:r>
              <w:t>资金拨付及时率</w:t>
            </w:r>
          </w:p>
        </w:tc>
        <w:tc>
          <w:tcPr>
            <w:tcW w:w="1276" w:type="dxa"/>
            <w:vAlign w:val="center"/>
          </w:tcPr>
          <w:p>
            <w:pPr>
              <w:pStyle w:val="23"/>
            </w:pPr>
            <w:r>
              <w:t>100百分比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预算资金实际完成率</w:t>
            </w:r>
          </w:p>
        </w:tc>
        <w:tc>
          <w:tcPr>
            <w:tcW w:w="2891" w:type="dxa"/>
            <w:vAlign w:val="center"/>
          </w:tcPr>
          <w:p>
            <w:pPr>
              <w:pStyle w:val="23"/>
            </w:pPr>
            <w:r>
              <w:t>预算资金实际完成率</w:t>
            </w:r>
          </w:p>
        </w:tc>
        <w:tc>
          <w:tcPr>
            <w:tcW w:w="1276" w:type="dxa"/>
            <w:vAlign w:val="center"/>
          </w:tcPr>
          <w:p>
            <w:pPr>
              <w:pStyle w:val="23"/>
            </w:pPr>
            <w:r>
              <w:t>100百分比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生态效益指标</w:t>
            </w:r>
          </w:p>
        </w:tc>
        <w:tc>
          <w:tcPr>
            <w:tcW w:w="1332" w:type="dxa"/>
            <w:vAlign w:val="center"/>
          </w:tcPr>
          <w:p>
            <w:pPr>
              <w:pStyle w:val="23"/>
            </w:pPr>
            <w:r>
              <w:t>环境治理提供保障</w:t>
            </w:r>
          </w:p>
        </w:tc>
        <w:tc>
          <w:tcPr>
            <w:tcW w:w="2891" w:type="dxa"/>
            <w:vAlign w:val="center"/>
          </w:tcPr>
          <w:p>
            <w:pPr>
              <w:pStyle w:val="23"/>
            </w:pPr>
            <w:r>
              <w:t>白洋淀上游环境治理提供保障</w:t>
            </w:r>
          </w:p>
        </w:tc>
        <w:tc>
          <w:tcPr>
            <w:tcW w:w="1276" w:type="dxa"/>
            <w:vAlign w:val="center"/>
          </w:tcPr>
          <w:p>
            <w:pPr>
              <w:pStyle w:val="23"/>
            </w:pPr>
            <w:r>
              <w:t>白洋淀上游环境治理提供保障</w:t>
            </w:r>
          </w:p>
        </w:tc>
        <w:tc>
          <w:tcPr>
            <w:tcW w:w="1843" w:type="dxa"/>
            <w:vAlign w:val="center"/>
          </w:tcPr>
          <w:p>
            <w:pPr>
              <w:pStyle w:val="23"/>
            </w:pPr>
            <w:r>
              <w:t>设计规范要求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≥85百分比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39" w:name="_Toc_4_4_0000000035"/>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32.污水处理厂城东污水运营费调价费绩效目标表</w:t>
      </w:r>
      <w:bookmarkEnd w:id="39"/>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13062322P00819410001F</w:t>
            </w:r>
          </w:p>
        </w:tc>
        <w:tc>
          <w:tcPr>
            <w:tcW w:w="1587" w:type="dxa"/>
            <w:vAlign w:val="center"/>
          </w:tcPr>
          <w:p>
            <w:pPr>
              <w:pStyle w:val="21"/>
            </w:pPr>
            <w:r>
              <w:t>项目名称</w:t>
            </w:r>
          </w:p>
        </w:tc>
        <w:tc>
          <w:tcPr>
            <w:tcW w:w="4422" w:type="dxa"/>
            <w:gridSpan w:val="3"/>
            <w:vAlign w:val="center"/>
          </w:tcPr>
          <w:p>
            <w:pPr>
              <w:pStyle w:val="23"/>
            </w:pPr>
            <w:r>
              <w:t>污水处理厂城东污水运营费调价费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265.45</w:t>
            </w:r>
          </w:p>
        </w:tc>
        <w:tc>
          <w:tcPr>
            <w:tcW w:w="1587" w:type="dxa"/>
            <w:vAlign w:val="center"/>
          </w:tcPr>
          <w:p>
            <w:pPr>
              <w:pStyle w:val="21"/>
            </w:pPr>
            <w:r>
              <w:t>其中：财政    资金</w:t>
            </w:r>
          </w:p>
        </w:tc>
        <w:tc>
          <w:tcPr>
            <w:tcW w:w="1304" w:type="dxa"/>
            <w:vAlign w:val="center"/>
          </w:tcPr>
          <w:p>
            <w:pPr>
              <w:pStyle w:val="23"/>
            </w:pPr>
            <w:r>
              <w:t>265.45</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用于支付污水处理厂城东污水运营费调价费用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1.通过拨付污水处理厂城东污水运营费调价费，保障污水</w:t>
            </w:r>
            <w:r>
              <w:rPr>
                <w:rFonts w:hint="eastAsia" w:eastAsiaTheme="minorEastAsia"/>
                <w:lang w:eastAsia="zh-CN"/>
              </w:rPr>
              <w:t>处理</w:t>
            </w:r>
            <w:r>
              <w:t>厂的顺利运行，确保白洋淀上游环境治理。</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签订合同期限</w:t>
            </w:r>
          </w:p>
        </w:tc>
        <w:tc>
          <w:tcPr>
            <w:tcW w:w="2891" w:type="dxa"/>
            <w:vAlign w:val="center"/>
          </w:tcPr>
          <w:p>
            <w:pPr>
              <w:pStyle w:val="23"/>
            </w:pPr>
            <w:r>
              <w:t>签订合同期限</w:t>
            </w:r>
          </w:p>
        </w:tc>
        <w:tc>
          <w:tcPr>
            <w:tcW w:w="1276" w:type="dxa"/>
            <w:vAlign w:val="center"/>
          </w:tcPr>
          <w:p>
            <w:pPr>
              <w:pStyle w:val="23"/>
            </w:pPr>
            <w:r>
              <w:t>3年</w:t>
            </w:r>
          </w:p>
        </w:tc>
        <w:tc>
          <w:tcPr>
            <w:tcW w:w="1843" w:type="dxa"/>
            <w:vAlign w:val="center"/>
          </w:tcPr>
          <w:p>
            <w:pPr>
              <w:pStyle w:val="23"/>
            </w:pPr>
            <w:r>
              <w:t>委托运行协议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正常使用率</w:t>
            </w:r>
          </w:p>
        </w:tc>
        <w:tc>
          <w:tcPr>
            <w:tcW w:w="2891" w:type="dxa"/>
            <w:vAlign w:val="center"/>
          </w:tcPr>
          <w:p>
            <w:pPr>
              <w:pStyle w:val="23"/>
            </w:pPr>
            <w:r>
              <w:t>正常使用率</w:t>
            </w:r>
          </w:p>
        </w:tc>
        <w:tc>
          <w:tcPr>
            <w:tcW w:w="1276" w:type="dxa"/>
            <w:vAlign w:val="center"/>
          </w:tcPr>
          <w:p>
            <w:pPr>
              <w:pStyle w:val="23"/>
            </w:pPr>
            <w:r>
              <w:t>≥98百分比</w:t>
            </w:r>
          </w:p>
        </w:tc>
        <w:tc>
          <w:tcPr>
            <w:tcW w:w="1843" w:type="dxa"/>
            <w:vAlign w:val="center"/>
          </w:tcPr>
          <w:p>
            <w:pPr>
              <w:pStyle w:val="23"/>
            </w:pPr>
            <w:r>
              <w:t>委托运行协议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资金拨付准时率</w:t>
            </w:r>
          </w:p>
        </w:tc>
        <w:tc>
          <w:tcPr>
            <w:tcW w:w="2891" w:type="dxa"/>
            <w:vAlign w:val="center"/>
          </w:tcPr>
          <w:p>
            <w:pPr>
              <w:pStyle w:val="23"/>
            </w:pPr>
            <w:r>
              <w:t>资金拨付准时率</w:t>
            </w:r>
          </w:p>
        </w:tc>
        <w:tc>
          <w:tcPr>
            <w:tcW w:w="1276" w:type="dxa"/>
            <w:vAlign w:val="center"/>
          </w:tcPr>
          <w:p>
            <w:pPr>
              <w:pStyle w:val="23"/>
            </w:pPr>
            <w:r>
              <w:t>≥95百分比</w:t>
            </w:r>
          </w:p>
        </w:tc>
        <w:tc>
          <w:tcPr>
            <w:tcW w:w="1843" w:type="dxa"/>
            <w:vAlign w:val="center"/>
          </w:tcPr>
          <w:p>
            <w:pPr>
              <w:pStyle w:val="23"/>
            </w:pPr>
            <w:r>
              <w:t>资金是否即使拨付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≤265.45万元</w:t>
            </w:r>
          </w:p>
        </w:tc>
        <w:tc>
          <w:tcPr>
            <w:tcW w:w="1843" w:type="dxa"/>
            <w:vAlign w:val="center"/>
          </w:tcPr>
          <w:p>
            <w:pPr>
              <w:pStyle w:val="23"/>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保障</w:t>
            </w:r>
            <w:r>
              <w:rPr>
                <w:rFonts w:hint="eastAsia"/>
                <w:lang w:eastAsia="zh-CN"/>
              </w:rPr>
              <w:t>污水处理厂</w:t>
            </w:r>
            <w:r>
              <w:t>的顺利运行，确保白洋淀上游环境治理</w:t>
            </w:r>
          </w:p>
        </w:tc>
        <w:tc>
          <w:tcPr>
            <w:tcW w:w="2891" w:type="dxa"/>
            <w:vAlign w:val="center"/>
          </w:tcPr>
          <w:p>
            <w:pPr>
              <w:pStyle w:val="23"/>
            </w:pPr>
            <w:r>
              <w:t>保障污水</w:t>
            </w:r>
            <w:r>
              <w:rPr>
                <w:rFonts w:hint="eastAsia" w:eastAsiaTheme="minorEastAsia"/>
                <w:lang w:eastAsia="zh-CN"/>
              </w:rPr>
              <w:t>处理</w:t>
            </w:r>
            <w:r>
              <w:t>厂的顺利运行，确保白洋淀上游环境治理</w:t>
            </w:r>
          </w:p>
        </w:tc>
        <w:tc>
          <w:tcPr>
            <w:tcW w:w="1276" w:type="dxa"/>
            <w:vAlign w:val="center"/>
          </w:tcPr>
          <w:p>
            <w:pPr>
              <w:pStyle w:val="23"/>
            </w:pPr>
            <w:r>
              <w:t>良好</w:t>
            </w:r>
          </w:p>
        </w:tc>
        <w:tc>
          <w:tcPr>
            <w:tcW w:w="1843" w:type="dxa"/>
            <w:vAlign w:val="center"/>
          </w:tcPr>
          <w:p>
            <w:pPr>
              <w:pStyle w:val="23"/>
            </w:pPr>
            <w:r>
              <w:t>保障污水</w:t>
            </w:r>
            <w:r>
              <w:rPr>
                <w:rFonts w:hint="eastAsia" w:eastAsiaTheme="minorEastAsia"/>
                <w:lang w:eastAsia="zh-CN"/>
              </w:rPr>
              <w:t>处理</w:t>
            </w:r>
            <w:r>
              <w:t>厂的顺利运行，确保白洋淀上游环境治理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服务对象满意度</w:t>
            </w:r>
          </w:p>
        </w:tc>
        <w:tc>
          <w:tcPr>
            <w:tcW w:w="1276" w:type="dxa"/>
            <w:vAlign w:val="center"/>
          </w:tcPr>
          <w:p>
            <w:pPr>
              <w:pStyle w:val="23"/>
            </w:pPr>
            <w:r>
              <w:t>≥95百分比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40" w:name="_Toc_4_4_0000000036"/>
    </w:p>
    <w:p>
      <w:pPr>
        <w:ind w:firstLine="560"/>
        <w:outlineLvl w:val="3"/>
      </w:pPr>
      <w:r>
        <w:rPr>
          <w:rFonts w:ascii="方正仿宋_GBK" w:hAnsi="方正仿宋_GBK" w:eastAsia="方正仿宋_GBK" w:cs="方正仿宋_GBK"/>
          <w:color w:val="000000"/>
          <w:sz w:val="28"/>
        </w:rPr>
        <w:t>33.雨污分流改造修复后施划标志线工程绩效目标表</w:t>
      </w:r>
      <w:bookmarkEnd w:id="40"/>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13062322P00820010001F</w:t>
            </w:r>
          </w:p>
        </w:tc>
        <w:tc>
          <w:tcPr>
            <w:tcW w:w="1587" w:type="dxa"/>
            <w:vAlign w:val="center"/>
          </w:tcPr>
          <w:p>
            <w:pPr>
              <w:pStyle w:val="21"/>
            </w:pPr>
            <w:r>
              <w:t>项目名称</w:t>
            </w:r>
          </w:p>
        </w:tc>
        <w:tc>
          <w:tcPr>
            <w:tcW w:w="4422" w:type="dxa"/>
            <w:gridSpan w:val="3"/>
            <w:vAlign w:val="center"/>
          </w:tcPr>
          <w:p>
            <w:pPr>
              <w:pStyle w:val="23"/>
            </w:pPr>
            <w:r>
              <w:t>雨污分流改造修复后施划标志线工程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28.00</w:t>
            </w:r>
          </w:p>
        </w:tc>
        <w:tc>
          <w:tcPr>
            <w:tcW w:w="1587" w:type="dxa"/>
            <w:vAlign w:val="center"/>
          </w:tcPr>
          <w:p>
            <w:pPr>
              <w:pStyle w:val="21"/>
            </w:pPr>
            <w:r>
              <w:t>其中：财政    资金</w:t>
            </w:r>
          </w:p>
        </w:tc>
        <w:tc>
          <w:tcPr>
            <w:tcW w:w="1304" w:type="dxa"/>
            <w:vAlign w:val="center"/>
          </w:tcPr>
          <w:p>
            <w:pPr>
              <w:pStyle w:val="23"/>
            </w:pPr>
            <w:r>
              <w:t>28.00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用于支付雨污分流改造修复后施划标志线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100%</w:t>
            </w:r>
          </w:p>
        </w:tc>
        <w:tc>
          <w:tcPr>
            <w:tcW w:w="3118" w:type="dxa"/>
            <w:gridSpan w:val="2"/>
            <w:vAlign w:val="center"/>
          </w:tcPr>
          <w:p>
            <w:pPr>
              <w:pStyle w:val="2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1.为规范行车秩序，保证交通安全，美化城市环境，对冲之大街、涞阳路、向阳路、府前街四条路的标识线进行施划</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施划街道数量</w:t>
            </w:r>
          </w:p>
        </w:tc>
        <w:tc>
          <w:tcPr>
            <w:tcW w:w="2891" w:type="dxa"/>
            <w:vAlign w:val="center"/>
          </w:tcPr>
          <w:p>
            <w:pPr>
              <w:pStyle w:val="23"/>
            </w:pPr>
            <w:r>
              <w:t>施划街道数量</w:t>
            </w:r>
          </w:p>
        </w:tc>
        <w:tc>
          <w:tcPr>
            <w:tcW w:w="1276" w:type="dxa"/>
            <w:vAlign w:val="center"/>
          </w:tcPr>
          <w:p>
            <w:pPr>
              <w:pStyle w:val="23"/>
            </w:pPr>
            <w:r>
              <w:t>4条</w:t>
            </w:r>
          </w:p>
        </w:tc>
        <w:tc>
          <w:tcPr>
            <w:tcW w:w="1843" w:type="dxa"/>
            <w:vAlign w:val="center"/>
          </w:tcPr>
          <w:p>
            <w:pPr>
              <w:pStyle w:val="2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正常使用率</w:t>
            </w:r>
          </w:p>
        </w:tc>
        <w:tc>
          <w:tcPr>
            <w:tcW w:w="2891" w:type="dxa"/>
            <w:vAlign w:val="center"/>
          </w:tcPr>
          <w:p>
            <w:pPr>
              <w:pStyle w:val="23"/>
            </w:pPr>
            <w:r>
              <w:t>正常使用率</w:t>
            </w:r>
          </w:p>
        </w:tc>
        <w:tc>
          <w:tcPr>
            <w:tcW w:w="1276" w:type="dxa"/>
            <w:vAlign w:val="center"/>
          </w:tcPr>
          <w:p>
            <w:pPr>
              <w:pStyle w:val="23"/>
            </w:pPr>
            <w:r>
              <w:t>≥95百分比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工程竣工及时率（%）</w:t>
            </w:r>
          </w:p>
        </w:tc>
        <w:tc>
          <w:tcPr>
            <w:tcW w:w="2891" w:type="dxa"/>
            <w:vAlign w:val="center"/>
          </w:tcPr>
          <w:p>
            <w:pPr>
              <w:pStyle w:val="23"/>
            </w:pPr>
            <w:r>
              <w:t>工程竣工及时率（%）</w:t>
            </w:r>
          </w:p>
        </w:tc>
        <w:tc>
          <w:tcPr>
            <w:tcW w:w="1276" w:type="dxa"/>
            <w:vAlign w:val="center"/>
          </w:tcPr>
          <w:p>
            <w:pPr>
              <w:pStyle w:val="23"/>
            </w:pPr>
            <w:r>
              <w:t>≤100百分比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≤28万元</w:t>
            </w:r>
          </w:p>
        </w:tc>
        <w:tc>
          <w:tcPr>
            <w:tcW w:w="1843" w:type="dxa"/>
            <w:vAlign w:val="center"/>
          </w:tcPr>
          <w:p>
            <w:pPr>
              <w:pStyle w:val="23"/>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为规范行车秩序，保证交通安全，美化城市环境</w:t>
            </w:r>
          </w:p>
        </w:tc>
        <w:tc>
          <w:tcPr>
            <w:tcW w:w="2891" w:type="dxa"/>
            <w:vAlign w:val="center"/>
          </w:tcPr>
          <w:p>
            <w:pPr>
              <w:pStyle w:val="23"/>
            </w:pPr>
            <w:r>
              <w:t>为规范行车秩序，保证交通安全，美化城市环境</w:t>
            </w:r>
          </w:p>
        </w:tc>
        <w:tc>
          <w:tcPr>
            <w:tcW w:w="1276" w:type="dxa"/>
            <w:vAlign w:val="center"/>
          </w:tcPr>
          <w:p>
            <w:pPr>
              <w:pStyle w:val="23"/>
            </w:pPr>
            <w:r>
              <w:t>良好</w:t>
            </w:r>
          </w:p>
        </w:tc>
        <w:tc>
          <w:tcPr>
            <w:tcW w:w="1843" w:type="dxa"/>
            <w:vAlign w:val="center"/>
          </w:tcPr>
          <w:p>
            <w:pPr>
              <w:pStyle w:val="23"/>
            </w:pPr>
            <w:r>
              <w:t>为规范行车秩序，保证交通安全，美化城市环境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服务对象满意度</w:t>
            </w:r>
          </w:p>
        </w:tc>
        <w:tc>
          <w:tcPr>
            <w:tcW w:w="1276" w:type="dxa"/>
            <w:vAlign w:val="center"/>
          </w:tcPr>
          <w:p>
            <w:pPr>
              <w:pStyle w:val="23"/>
            </w:pPr>
            <w:r>
              <w:t>≥95百分比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41" w:name="_Toc_4_4_0000000037"/>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34.涞定路照明工程款绩效目标表</w:t>
      </w:r>
      <w:bookmarkEnd w:id="41"/>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13062322P008536100022</w:t>
            </w:r>
          </w:p>
        </w:tc>
        <w:tc>
          <w:tcPr>
            <w:tcW w:w="1587" w:type="dxa"/>
            <w:vAlign w:val="center"/>
          </w:tcPr>
          <w:p>
            <w:pPr>
              <w:pStyle w:val="21"/>
            </w:pPr>
            <w:r>
              <w:t>项目名称</w:t>
            </w:r>
          </w:p>
        </w:tc>
        <w:tc>
          <w:tcPr>
            <w:tcW w:w="4422" w:type="dxa"/>
            <w:gridSpan w:val="3"/>
            <w:vAlign w:val="center"/>
          </w:tcPr>
          <w:p>
            <w:pPr>
              <w:pStyle w:val="23"/>
            </w:pPr>
            <w:r>
              <w:t>涞定路照明工程款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43.47</w:t>
            </w:r>
          </w:p>
        </w:tc>
        <w:tc>
          <w:tcPr>
            <w:tcW w:w="1587" w:type="dxa"/>
            <w:vAlign w:val="center"/>
          </w:tcPr>
          <w:p>
            <w:pPr>
              <w:pStyle w:val="21"/>
            </w:pPr>
            <w:r>
              <w:t>其中：财政    资金</w:t>
            </w:r>
          </w:p>
        </w:tc>
        <w:tc>
          <w:tcPr>
            <w:tcW w:w="1304" w:type="dxa"/>
            <w:vAlign w:val="center"/>
          </w:tcPr>
          <w:p>
            <w:pPr>
              <w:pStyle w:val="23"/>
            </w:pPr>
            <w:r>
              <w:t>43.47</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用于支付涞定路照明工程款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50%</w:t>
            </w:r>
          </w:p>
        </w:tc>
        <w:tc>
          <w:tcPr>
            <w:tcW w:w="1587" w:type="dxa"/>
            <w:vAlign w:val="center"/>
          </w:tcPr>
          <w:p>
            <w:pPr>
              <w:pStyle w:val="24"/>
            </w:pPr>
            <w:r>
              <w:t>100%</w:t>
            </w:r>
          </w:p>
        </w:tc>
        <w:tc>
          <w:tcPr>
            <w:tcW w:w="1304" w:type="dxa"/>
            <w:vAlign w:val="center"/>
          </w:tcPr>
          <w:p>
            <w:pPr>
              <w:pStyle w:val="24"/>
            </w:pPr>
          </w:p>
        </w:tc>
        <w:tc>
          <w:tcPr>
            <w:tcW w:w="3118" w:type="dxa"/>
            <w:gridSpan w:val="2"/>
            <w:vAlign w:val="center"/>
          </w:tcPr>
          <w:p>
            <w:pPr>
              <w:pStyle w:val="2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1.增加城市的路灯亮化，方便了群众的夜间出行。</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工程量完成率</w:t>
            </w:r>
          </w:p>
        </w:tc>
        <w:tc>
          <w:tcPr>
            <w:tcW w:w="2891" w:type="dxa"/>
            <w:vAlign w:val="center"/>
          </w:tcPr>
          <w:p>
            <w:pPr>
              <w:pStyle w:val="23"/>
            </w:pPr>
            <w:r>
              <w:t>工程量完成率</w:t>
            </w:r>
          </w:p>
        </w:tc>
        <w:tc>
          <w:tcPr>
            <w:tcW w:w="1276" w:type="dxa"/>
            <w:vAlign w:val="center"/>
          </w:tcPr>
          <w:p>
            <w:pPr>
              <w:pStyle w:val="23"/>
            </w:pPr>
            <w:r>
              <w:t>≥90百分比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项目建设完工率</w:t>
            </w:r>
          </w:p>
        </w:tc>
        <w:tc>
          <w:tcPr>
            <w:tcW w:w="2891" w:type="dxa"/>
            <w:vAlign w:val="center"/>
          </w:tcPr>
          <w:p>
            <w:pPr>
              <w:pStyle w:val="23"/>
            </w:pPr>
            <w:r>
              <w:t>项目建设完工率</w:t>
            </w:r>
          </w:p>
        </w:tc>
        <w:tc>
          <w:tcPr>
            <w:tcW w:w="1276" w:type="dxa"/>
            <w:vAlign w:val="center"/>
          </w:tcPr>
          <w:p>
            <w:pPr>
              <w:pStyle w:val="23"/>
            </w:pPr>
            <w:r>
              <w:t>≥86百分比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项目建设按期完成率</w:t>
            </w:r>
          </w:p>
        </w:tc>
        <w:tc>
          <w:tcPr>
            <w:tcW w:w="2891" w:type="dxa"/>
            <w:vAlign w:val="center"/>
          </w:tcPr>
          <w:p>
            <w:pPr>
              <w:pStyle w:val="23"/>
            </w:pPr>
            <w:r>
              <w:t>项目建设按期完成率</w:t>
            </w:r>
          </w:p>
        </w:tc>
        <w:tc>
          <w:tcPr>
            <w:tcW w:w="1276" w:type="dxa"/>
            <w:vAlign w:val="center"/>
          </w:tcPr>
          <w:p>
            <w:pPr>
              <w:pStyle w:val="23"/>
            </w:pPr>
            <w:r>
              <w:t>≥85百分比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预算成本</w:t>
            </w:r>
          </w:p>
        </w:tc>
        <w:tc>
          <w:tcPr>
            <w:tcW w:w="2891" w:type="dxa"/>
            <w:vAlign w:val="center"/>
          </w:tcPr>
          <w:p>
            <w:pPr>
              <w:pStyle w:val="23"/>
            </w:pPr>
            <w:r>
              <w:t>预算成本</w:t>
            </w:r>
          </w:p>
        </w:tc>
        <w:tc>
          <w:tcPr>
            <w:tcW w:w="1276" w:type="dxa"/>
            <w:vAlign w:val="center"/>
          </w:tcPr>
          <w:p>
            <w:pPr>
              <w:pStyle w:val="23"/>
            </w:pPr>
            <w:r>
              <w:t>≤43.47万元</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社会效益增长率</w:t>
            </w:r>
          </w:p>
        </w:tc>
        <w:tc>
          <w:tcPr>
            <w:tcW w:w="2891" w:type="dxa"/>
            <w:vAlign w:val="center"/>
          </w:tcPr>
          <w:p>
            <w:pPr>
              <w:pStyle w:val="23"/>
            </w:pPr>
            <w:r>
              <w:t>社会效益增长率</w:t>
            </w:r>
          </w:p>
        </w:tc>
        <w:tc>
          <w:tcPr>
            <w:tcW w:w="1276" w:type="dxa"/>
            <w:vAlign w:val="center"/>
          </w:tcPr>
          <w:p>
            <w:pPr>
              <w:pStyle w:val="23"/>
            </w:pPr>
            <w:r>
              <w:t>≥80百分比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≥95百分比</w:t>
            </w:r>
          </w:p>
        </w:tc>
        <w:tc>
          <w:tcPr>
            <w:tcW w:w="1843" w:type="dxa"/>
            <w:vAlign w:val="center"/>
          </w:tcPr>
          <w:p>
            <w:pPr>
              <w:pStyle w:val="23"/>
            </w:pPr>
            <w:r>
              <w:t>施工合同</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42" w:name="_Toc_4_4_0000000038"/>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35.涞水县2019年新建公共卫生间工程绩效目标表</w:t>
      </w:r>
      <w:bookmarkEnd w:id="42"/>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13062322P00814310001M</w:t>
            </w:r>
          </w:p>
        </w:tc>
        <w:tc>
          <w:tcPr>
            <w:tcW w:w="1587" w:type="dxa"/>
            <w:vAlign w:val="center"/>
          </w:tcPr>
          <w:p>
            <w:pPr>
              <w:pStyle w:val="21"/>
            </w:pPr>
            <w:r>
              <w:t>项目名称</w:t>
            </w:r>
          </w:p>
        </w:tc>
        <w:tc>
          <w:tcPr>
            <w:tcW w:w="4422" w:type="dxa"/>
            <w:gridSpan w:val="3"/>
            <w:vAlign w:val="center"/>
          </w:tcPr>
          <w:p>
            <w:pPr>
              <w:pStyle w:val="23"/>
            </w:pPr>
            <w:r>
              <w:t>涞水县2019年新建公共卫生间工程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24.01</w:t>
            </w:r>
          </w:p>
        </w:tc>
        <w:tc>
          <w:tcPr>
            <w:tcW w:w="1587" w:type="dxa"/>
            <w:vAlign w:val="center"/>
          </w:tcPr>
          <w:p>
            <w:pPr>
              <w:pStyle w:val="21"/>
            </w:pPr>
            <w:r>
              <w:t>其中：财政    资金</w:t>
            </w:r>
          </w:p>
        </w:tc>
        <w:tc>
          <w:tcPr>
            <w:tcW w:w="1304" w:type="dxa"/>
            <w:vAlign w:val="center"/>
          </w:tcPr>
          <w:p>
            <w:pPr>
              <w:pStyle w:val="23"/>
            </w:pPr>
            <w:r>
              <w:t>24.01</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用于支付2019年新建公共文生间工程款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100%</w:t>
            </w:r>
          </w:p>
        </w:tc>
        <w:tc>
          <w:tcPr>
            <w:tcW w:w="3118" w:type="dxa"/>
            <w:gridSpan w:val="2"/>
            <w:vAlign w:val="center"/>
          </w:tcPr>
          <w:p>
            <w:pPr>
              <w:pStyle w:val="2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1.2019年需新建公厕3座，在迎宾街（西高速引线出口）、拱辰街、向阳路新建公厕3座，改造公厕1座，对泰安路公厕进行改造。改造和新建完成后，可以提升我县公共厕所环境，完成“厕所革命”任务。</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新建公厕数量</w:t>
            </w:r>
          </w:p>
        </w:tc>
        <w:tc>
          <w:tcPr>
            <w:tcW w:w="2891" w:type="dxa"/>
            <w:vAlign w:val="center"/>
          </w:tcPr>
          <w:p>
            <w:pPr>
              <w:pStyle w:val="23"/>
            </w:pPr>
            <w:r>
              <w:t>新建公厕数量</w:t>
            </w:r>
          </w:p>
        </w:tc>
        <w:tc>
          <w:tcPr>
            <w:tcW w:w="1276" w:type="dxa"/>
            <w:vAlign w:val="center"/>
          </w:tcPr>
          <w:p>
            <w:pPr>
              <w:pStyle w:val="23"/>
            </w:pPr>
            <w:r>
              <w:t>3座</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工程质量</w:t>
            </w:r>
          </w:p>
        </w:tc>
        <w:tc>
          <w:tcPr>
            <w:tcW w:w="2891" w:type="dxa"/>
            <w:vAlign w:val="center"/>
          </w:tcPr>
          <w:p>
            <w:pPr>
              <w:pStyle w:val="23"/>
            </w:pPr>
            <w:r>
              <w:t>工程质量</w:t>
            </w:r>
          </w:p>
        </w:tc>
        <w:tc>
          <w:tcPr>
            <w:tcW w:w="1276" w:type="dxa"/>
            <w:vAlign w:val="center"/>
          </w:tcPr>
          <w:p>
            <w:pPr>
              <w:pStyle w:val="23"/>
            </w:pPr>
            <w:r>
              <w:t>95质量验收合格</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工程完成及时率</w:t>
            </w:r>
          </w:p>
        </w:tc>
        <w:tc>
          <w:tcPr>
            <w:tcW w:w="2891" w:type="dxa"/>
            <w:vAlign w:val="center"/>
          </w:tcPr>
          <w:p>
            <w:pPr>
              <w:pStyle w:val="23"/>
            </w:pPr>
            <w:r>
              <w:t>工程完成及时率</w:t>
            </w:r>
          </w:p>
        </w:tc>
        <w:tc>
          <w:tcPr>
            <w:tcW w:w="1276" w:type="dxa"/>
            <w:vAlign w:val="center"/>
          </w:tcPr>
          <w:p>
            <w:pPr>
              <w:pStyle w:val="23"/>
            </w:pPr>
            <w:r>
              <w:t>≥80工程按期完工率</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2022年度预算金额</w:t>
            </w:r>
          </w:p>
        </w:tc>
        <w:tc>
          <w:tcPr>
            <w:tcW w:w="2891" w:type="dxa"/>
            <w:vAlign w:val="center"/>
          </w:tcPr>
          <w:p>
            <w:pPr>
              <w:pStyle w:val="23"/>
            </w:pPr>
            <w:r>
              <w:t>年度预算金额</w:t>
            </w:r>
          </w:p>
        </w:tc>
        <w:tc>
          <w:tcPr>
            <w:tcW w:w="1276" w:type="dxa"/>
            <w:vAlign w:val="center"/>
          </w:tcPr>
          <w:p>
            <w:pPr>
              <w:pStyle w:val="23"/>
            </w:pPr>
            <w:r>
              <w:t>24.01万元</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基础设施完好率</w:t>
            </w:r>
          </w:p>
        </w:tc>
        <w:tc>
          <w:tcPr>
            <w:tcW w:w="2891" w:type="dxa"/>
            <w:vAlign w:val="center"/>
          </w:tcPr>
          <w:p>
            <w:pPr>
              <w:pStyle w:val="23"/>
            </w:pPr>
            <w:r>
              <w:t>设备完好数量市场价值总额占设备总数量市场价值总额的比率。</w:t>
            </w:r>
          </w:p>
        </w:tc>
        <w:tc>
          <w:tcPr>
            <w:tcW w:w="1276" w:type="dxa"/>
            <w:vAlign w:val="center"/>
          </w:tcPr>
          <w:p>
            <w:pPr>
              <w:pStyle w:val="23"/>
            </w:pPr>
            <w:r>
              <w:t>≥80%</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≥80%</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43" w:name="_Toc_4_4_0000000039"/>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36.涞水县滨河公园新建公厕项目绩效目标表</w:t>
      </w:r>
      <w:bookmarkEnd w:id="43"/>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13062322P00820210001T</w:t>
            </w:r>
          </w:p>
        </w:tc>
        <w:tc>
          <w:tcPr>
            <w:tcW w:w="1587" w:type="dxa"/>
            <w:vAlign w:val="center"/>
          </w:tcPr>
          <w:p>
            <w:pPr>
              <w:pStyle w:val="21"/>
            </w:pPr>
            <w:r>
              <w:t>项目名称</w:t>
            </w:r>
          </w:p>
        </w:tc>
        <w:tc>
          <w:tcPr>
            <w:tcW w:w="4422" w:type="dxa"/>
            <w:gridSpan w:val="3"/>
            <w:vAlign w:val="center"/>
          </w:tcPr>
          <w:p>
            <w:pPr>
              <w:pStyle w:val="23"/>
            </w:pPr>
            <w:r>
              <w:t>涞水县滨河公园新建公厕项目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28.79</w:t>
            </w:r>
          </w:p>
        </w:tc>
        <w:tc>
          <w:tcPr>
            <w:tcW w:w="1587" w:type="dxa"/>
            <w:vAlign w:val="center"/>
          </w:tcPr>
          <w:p>
            <w:pPr>
              <w:pStyle w:val="21"/>
            </w:pPr>
            <w:r>
              <w:t>其中：财政    资金</w:t>
            </w:r>
          </w:p>
        </w:tc>
        <w:tc>
          <w:tcPr>
            <w:tcW w:w="1304" w:type="dxa"/>
            <w:vAlign w:val="center"/>
          </w:tcPr>
          <w:p>
            <w:pPr>
              <w:pStyle w:val="23"/>
            </w:pPr>
            <w:r>
              <w:t>28.79</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用于支付滨河公园新建公厕项目资金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100%</w:t>
            </w:r>
          </w:p>
        </w:tc>
        <w:tc>
          <w:tcPr>
            <w:tcW w:w="3118" w:type="dxa"/>
            <w:gridSpan w:val="2"/>
            <w:vAlign w:val="center"/>
          </w:tcPr>
          <w:p>
            <w:pPr>
              <w:pStyle w:val="2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1.根据市执法局2021年度公厕建设任务，涞水县城区需新建公厕1座。</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新建公厕任务数</w:t>
            </w:r>
          </w:p>
        </w:tc>
        <w:tc>
          <w:tcPr>
            <w:tcW w:w="2891" w:type="dxa"/>
            <w:vAlign w:val="center"/>
          </w:tcPr>
          <w:p>
            <w:pPr>
              <w:pStyle w:val="23"/>
            </w:pPr>
            <w:r>
              <w:t>新建公厕任务数</w:t>
            </w:r>
          </w:p>
        </w:tc>
        <w:tc>
          <w:tcPr>
            <w:tcW w:w="1276" w:type="dxa"/>
            <w:vAlign w:val="center"/>
          </w:tcPr>
          <w:p>
            <w:pPr>
              <w:pStyle w:val="23"/>
            </w:pPr>
            <w:r>
              <w:t>1座</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工程质量合格率</w:t>
            </w:r>
          </w:p>
        </w:tc>
        <w:tc>
          <w:tcPr>
            <w:tcW w:w="2891" w:type="dxa"/>
            <w:vAlign w:val="center"/>
          </w:tcPr>
          <w:p>
            <w:pPr>
              <w:pStyle w:val="23"/>
            </w:pPr>
            <w:r>
              <w:t>工程质量合格率</w:t>
            </w:r>
          </w:p>
        </w:tc>
        <w:tc>
          <w:tcPr>
            <w:tcW w:w="1276" w:type="dxa"/>
            <w:vAlign w:val="center"/>
          </w:tcPr>
          <w:p>
            <w:pPr>
              <w:pStyle w:val="23"/>
            </w:pPr>
            <w:r>
              <w:t>≥95百分比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工程按期完成率（%）</w:t>
            </w:r>
          </w:p>
        </w:tc>
        <w:tc>
          <w:tcPr>
            <w:tcW w:w="2891" w:type="dxa"/>
            <w:vAlign w:val="center"/>
          </w:tcPr>
          <w:p>
            <w:pPr>
              <w:pStyle w:val="23"/>
            </w:pPr>
            <w:r>
              <w:t>按期完成的工程量占总工程量的比率</w:t>
            </w:r>
          </w:p>
        </w:tc>
        <w:tc>
          <w:tcPr>
            <w:tcW w:w="1276" w:type="dxa"/>
            <w:vAlign w:val="center"/>
          </w:tcPr>
          <w:p>
            <w:pPr>
              <w:pStyle w:val="23"/>
            </w:pPr>
            <w:r>
              <w:t>≥95百分比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工程成本</w:t>
            </w:r>
          </w:p>
        </w:tc>
        <w:tc>
          <w:tcPr>
            <w:tcW w:w="2891" w:type="dxa"/>
            <w:vAlign w:val="center"/>
          </w:tcPr>
          <w:p>
            <w:pPr>
              <w:pStyle w:val="23"/>
            </w:pPr>
            <w:r>
              <w:t>工程成本</w:t>
            </w:r>
          </w:p>
        </w:tc>
        <w:tc>
          <w:tcPr>
            <w:tcW w:w="1276" w:type="dxa"/>
            <w:vAlign w:val="center"/>
          </w:tcPr>
          <w:p>
            <w:pPr>
              <w:pStyle w:val="23"/>
            </w:pPr>
            <w:r>
              <w:t>28.79万元</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项目工程完成情况</w:t>
            </w:r>
          </w:p>
        </w:tc>
        <w:tc>
          <w:tcPr>
            <w:tcW w:w="2891" w:type="dxa"/>
            <w:vAlign w:val="center"/>
          </w:tcPr>
          <w:p>
            <w:pPr>
              <w:pStyle w:val="23"/>
            </w:pPr>
            <w:r>
              <w:t>项目工程完成情况</w:t>
            </w:r>
          </w:p>
        </w:tc>
        <w:tc>
          <w:tcPr>
            <w:tcW w:w="1276" w:type="dxa"/>
            <w:vAlign w:val="center"/>
          </w:tcPr>
          <w:p>
            <w:pPr>
              <w:pStyle w:val="23"/>
            </w:pPr>
            <w:r>
              <w:t>实际完工情况</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≥90百分比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44" w:name="_Toc_4_4_0000000040"/>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37.涞水县城区黑灯街道亮化工程绩效目标表</w:t>
      </w:r>
      <w:bookmarkEnd w:id="44"/>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13062322P00819910001U</w:t>
            </w:r>
          </w:p>
        </w:tc>
        <w:tc>
          <w:tcPr>
            <w:tcW w:w="1587" w:type="dxa"/>
            <w:vAlign w:val="center"/>
          </w:tcPr>
          <w:p>
            <w:pPr>
              <w:pStyle w:val="21"/>
            </w:pPr>
            <w:r>
              <w:t>项目名称</w:t>
            </w:r>
          </w:p>
        </w:tc>
        <w:tc>
          <w:tcPr>
            <w:tcW w:w="4422" w:type="dxa"/>
            <w:gridSpan w:val="3"/>
            <w:vAlign w:val="center"/>
          </w:tcPr>
          <w:p>
            <w:pPr>
              <w:pStyle w:val="23"/>
            </w:pPr>
            <w:r>
              <w:t>涞水县城区黑灯街道亮化工程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224.44</w:t>
            </w:r>
          </w:p>
        </w:tc>
        <w:tc>
          <w:tcPr>
            <w:tcW w:w="1587" w:type="dxa"/>
            <w:vAlign w:val="center"/>
          </w:tcPr>
          <w:p>
            <w:pPr>
              <w:pStyle w:val="21"/>
            </w:pPr>
            <w:r>
              <w:t>其中：财政    资金</w:t>
            </w:r>
          </w:p>
        </w:tc>
        <w:tc>
          <w:tcPr>
            <w:tcW w:w="1304" w:type="dxa"/>
            <w:vAlign w:val="center"/>
          </w:tcPr>
          <w:p>
            <w:pPr>
              <w:pStyle w:val="23"/>
            </w:pPr>
            <w:r>
              <w:t>224.44</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用于支付城区黑灯街道亮化工程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1.为涞水县背街小巷安装路灯，增加城市的路灯亮化，方便了群众的夜间出行。</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工程量完成率</w:t>
            </w:r>
          </w:p>
        </w:tc>
        <w:tc>
          <w:tcPr>
            <w:tcW w:w="2891" w:type="dxa"/>
            <w:vAlign w:val="center"/>
          </w:tcPr>
          <w:p>
            <w:pPr>
              <w:pStyle w:val="23"/>
            </w:pPr>
            <w:r>
              <w:t>工程量完成率</w:t>
            </w:r>
          </w:p>
        </w:tc>
        <w:tc>
          <w:tcPr>
            <w:tcW w:w="1276" w:type="dxa"/>
            <w:vAlign w:val="center"/>
          </w:tcPr>
          <w:p>
            <w:pPr>
              <w:pStyle w:val="23"/>
            </w:pPr>
            <w:r>
              <w:t>≥88百分比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达到工程质量标准</w:t>
            </w:r>
          </w:p>
        </w:tc>
        <w:tc>
          <w:tcPr>
            <w:tcW w:w="2891" w:type="dxa"/>
            <w:vAlign w:val="center"/>
          </w:tcPr>
          <w:p>
            <w:pPr>
              <w:pStyle w:val="23"/>
            </w:pPr>
            <w:r>
              <w:t>达到工程质量标准</w:t>
            </w:r>
          </w:p>
        </w:tc>
        <w:tc>
          <w:tcPr>
            <w:tcW w:w="1276" w:type="dxa"/>
            <w:vAlign w:val="center"/>
          </w:tcPr>
          <w:p>
            <w:pPr>
              <w:pStyle w:val="23"/>
            </w:pPr>
            <w:r>
              <w:t>≥56百分比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工程全部目标及时完成</w:t>
            </w:r>
          </w:p>
        </w:tc>
        <w:tc>
          <w:tcPr>
            <w:tcW w:w="2891" w:type="dxa"/>
            <w:vAlign w:val="center"/>
          </w:tcPr>
          <w:p>
            <w:pPr>
              <w:pStyle w:val="23"/>
            </w:pPr>
            <w:r>
              <w:t>工程全部目标及时完成</w:t>
            </w:r>
          </w:p>
        </w:tc>
        <w:tc>
          <w:tcPr>
            <w:tcW w:w="1276" w:type="dxa"/>
            <w:vAlign w:val="center"/>
          </w:tcPr>
          <w:p>
            <w:pPr>
              <w:pStyle w:val="23"/>
            </w:pPr>
            <w:r>
              <w:t>≥78百分比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项目预算成本</w:t>
            </w:r>
          </w:p>
        </w:tc>
        <w:tc>
          <w:tcPr>
            <w:tcW w:w="2891" w:type="dxa"/>
            <w:vAlign w:val="center"/>
          </w:tcPr>
          <w:p>
            <w:pPr>
              <w:pStyle w:val="23"/>
            </w:pPr>
            <w:r>
              <w:t>项目预算成本</w:t>
            </w:r>
          </w:p>
        </w:tc>
        <w:tc>
          <w:tcPr>
            <w:tcW w:w="1276" w:type="dxa"/>
            <w:vAlign w:val="center"/>
          </w:tcPr>
          <w:p>
            <w:pPr>
              <w:pStyle w:val="23"/>
            </w:pPr>
            <w:r>
              <w:t>≤224.44万元</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社会效益提升%</w:t>
            </w:r>
          </w:p>
        </w:tc>
        <w:tc>
          <w:tcPr>
            <w:tcW w:w="2891" w:type="dxa"/>
            <w:vAlign w:val="center"/>
          </w:tcPr>
          <w:p>
            <w:pPr>
              <w:pStyle w:val="23"/>
            </w:pPr>
            <w:r>
              <w:t>社会效益提升%</w:t>
            </w:r>
          </w:p>
        </w:tc>
        <w:tc>
          <w:tcPr>
            <w:tcW w:w="1276" w:type="dxa"/>
            <w:vAlign w:val="center"/>
          </w:tcPr>
          <w:p>
            <w:pPr>
              <w:pStyle w:val="23"/>
            </w:pPr>
            <w:r>
              <w:t>≥90百分比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市民满意度</w:t>
            </w:r>
          </w:p>
        </w:tc>
        <w:tc>
          <w:tcPr>
            <w:tcW w:w="2891" w:type="dxa"/>
            <w:vAlign w:val="center"/>
          </w:tcPr>
          <w:p>
            <w:pPr>
              <w:pStyle w:val="23"/>
            </w:pPr>
            <w:r>
              <w:t>市民满意度</w:t>
            </w:r>
          </w:p>
        </w:tc>
        <w:tc>
          <w:tcPr>
            <w:tcW w:w="1276" w:type="dxa"/>
            <w:vAlign w:val="center"/>
          </w:tcPr>
          <w:p>
            <w:pPr>
              <w:pStyle w:val="23"/>
            </w:pPr>
            <w:r>
              <w:t>≥100百分比</w:t>
            </w:r>
          </w:p>
        </w:tc>
        <w:tc>
          <w:tcPr>
            <w:tcW w:w="1843" w:type="dxa"/>
            <w:vAlign w:val="center"/>
          </w:tcPr>
          <w:p>
            <w:pPr>
              <w:pStyle w:val="23"/>
            </w:pPr>
            <w:r>
              <w:t>施工合同</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45" w:name="_Toc_4_4_0000000041"/>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38.涞水县城区绿化苗木移植租地绩效目标表</w:t>
      </w:r>
      <w:bookmarkEnd w:id="45"/>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13062322P00811210001A</w:t>
            </w:r>
          </w:p>
        </w:tc>
        <w:tc>
          <w:tcPr>
            <w:tcW w:w="1587" w:type="dxa"/>
            <w:vAlign w:val="center"/>
          </w:tcPr>
          <w:p>
            <w:pPr>
              <w:pStyle w:val="21"/>
            </w:pPr>
            <w:r>
              <w:t>项目名称</w:t>
            </w:r>
          </w:p>
        </w:tc>
        <w:tc>
          <w:tcPr>
            <w:tcW w:w="4422" w:type="dxa"/>
            <w:gridSpan w:val="3"/>
            <w:vAlign w:val="center"/>
          </w:tcPr>
          <w:p>
            <w:pPr>
              <w:pStyle w:val="23"/>
            </w:pPr>
            <w:r>
              <w:t>涞水县城区绿化苗木移植租地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9.06</w:t>
            </w:r>
          </w:p>
        </w:tc>
        <w:tc>
          <w:tcPr>
            <w:tcW w:w="1587" w:type="dxa"/>
            <w:vAlign w:val="center"/>
          </w:tcPr>
          <w:p>
            <w:pPr>
              <w:pStyle w:val="21"/>
            </w:pPr>
            <w:r>
              <w:t>其中：财政    资金</w:t>
            </w:r>
          </w:p>
        </w:tc>
        <w:tc>
          <w:tcPr>
            <w:tcW w:w="1304" w:type="dxa"/>
            <w:vAlign w:val="center"/>
          </w:tcPr>
          <w:p>
            <w:pPr>
              <w:pStyle w:val="23"/>
            </w:pPr>
            <w:r>
              <w:t>9.06</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用于支付涞水县城区绿化苗木移植租地费用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p>
        </w:tc>
        <w:tc>
          <w:tcPr>
            <w:tcW w:w="1587" w:type="dxa"/>
            <w:vAlign w:val="center"/>
          </w:tcPr>
          <w:p>
            <w:pPr>
              <w:pStyle w:val="24"/>
            </w:pPr>
          </w:p>
        </w:tc>
        <w:tc>
          <w:tcPr>
            <w:tcW w:w="1304" w:type="dxa"/>
            <w:vAlign w:val="center"/>
          </w:tcPr>
          <w:p>
            <w:pPr>
              <w:pStyle w:val="24"/>
            </w:pPr>
            <w:r>
              <w:t>100%</w:t>
            </w:r>
          </w:p>
        </w:tc>
        <w:tc>
          <w:tcPr>
            <w:tcW w:w="3118" w:type="dxa"/>
            <w:gridSpan w:val="2"/>
            <w:vAlign w:val="center"/>
          </w:tcPr>
          <w:p>
            <w:pPr>
              <w:pStyle w:val="2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1.为了确保我县城区绿地建设中所更换、移植苗木的成活，保证绿地建设的经济性和实用性。</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苗木租地亩数</w:t>
            </w:r>
          </w:p>
        </w:tc>
        <w:tc>
          <w:tcPr>
            <w:tcW w:w="2891" w:type="dxa"/>
            <w:vAlign w:val="center"/>
          </w:tcPr>
          <w:p>
            <w:pPr>
              <w:pStyle w:val="23"/>
            </w:pPr>
            <w:r>
              <w:t>苗木租地亩数</w:t>
            </w:r>
          </w:p>
        </w:tc>
        <w:tc>
          <w:tcPr>
            <w:tcW w:w="1276" w:type="dxa"/>
            <w:vAlign w:val="center"/>
          </w:tcPr>
          <w:p>
            <w:pPr>
              <w:pStyle w:val="23"/>
            </w:pPr>
            <w:r>
              <w:t>22亩</w:t>
            </w:r>
          </w:p>
        </w:tc>
        <w:tc>
          <w:tcPr>
            <w:tcW w:w="1843" w:type="dxa"/>
            <w:vAlign w:val="center"/>
          </w:tcPr>
          <w:p>
            <w:pPr>
              <w:pStyle w:val="23"/>
            </w:pPr>
            <w:r>
              <w:t>苗木移植租地协议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验收合格率</w:t>
            </w:r>
          </w:p>
        </w:tc>
        <w:tc>
          <w:tcPr>
            <w:tcW w:w="2891" w:type="dxa"/>
            <w:vAlign w:val="center"/>
          </w:tcPr>
          <w:p>
            <w:pPr>
              <w:pStyle w:val="23"/>
            </w:pPr>
            <w:r>
              <w:t>验收合格率</w:t>
            </w:r>
          </w:p>
        </w:tc>
        <w:tc>
          <w:tcPr>
            <w:tcW w:w="1276" w:type="dxa"/>
            <w:vAlign w:val="center"/>
          </w:tcPr>
          <w:p>
            <w:pPr>
              <w:pStyle w:val="23"/>
            </w:pPr>
            <w:r>
              <w:t>≥95百分比</w:t>
            </w:r>
          </w:p>
        </w:tc>
        <w:tc>
          <w:tcPr>
            <w:tcW w:w="1843" w:type="dxa"/>
            <w:vAlign w:val="center"/>
          </w:tcPr>
          <w:p>
            <w:pPr>
              <w:pStyle w:val="23"/>
            </w:pPr>
            <w:r>
              <w:t>苗木移植租地协议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按期拨付资金</w:t>
            </w:r>
          </w:p>
        </w:tc>
        <w:tc>
          <w:tcPr>
            <w:tcW w:w="2891" w:type="dxa"/>
            <w:vAlign w:val="center"/>
          </w:tcPr>
          <w:p>
            <w:pPr>
              <w:pStyle w:val="23"/>
            </w:pPr>
            <w:r>
              <w:t>按期拨付资金</w:t>
            </w:r>
          </w:p>
        </w:tc>
        <w:tc>
          <w:tcPr>
            <w:tcW w:w="1276" w:type="dxa"/>
            <w:vAlign w:val="center"/>
          </w:tcPr>
          <w:p>
            <w:pPr>
              <w:pStyle w:val="23"/>
            </w:pPr>
            <w:r>
              <w:t>10月份</w:t>
            </w:r>
          </w:p>
        </w:tc>
        <w:tc>
          <w:tcPr>
            <w:tcW w:w="1843" w:type="dxa"/>
            <w:vAlign w:val="center"/>
          </w:tcPr>
          <w:p>
            <w:pPr>
              <w:pStyle w:val="23"/>
            </w:pPr>
            <w:r>
              <w:t>苗木移植租地协议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年度预算金额</w:t>
            </w:r>
          </w:p>
        </w:tc>
        <w:tc>
          <w:tcPr>
            <w:tcW w:w="2891" w:type="dxa"/>
            <w:vAlign w:val="center"/>
          </w:tcPr>
          <w:p>
            <w:pPr>
              <w:pStyle w:val="23"/>
            </w:pPr>
            <w:r>
              <w:t>年度预算金额</w:t>
            </w:r>
          </w:p>
        </w:tc>
        <w:tc>
          <w:tcPr>
            <w:tcW w:w="1276" w:type="dxa"/>
            <w:vAlign w:val="center"/>
          </w:tcPr>
          <w:p>
            <w:pPr>
              <w:pStyle w:val="23"/>
            </w:pPr>
            <w:r>
              <w:t>9.06万元</w:t>
            </w:r>
          </w:p>
        </w:tc>
        <w:tc>
          <w:tcPr>
            <w:tcW w:w="1843" w:type="dxa"/>
            <w:vAlign w:val="center"/>
          </w:tcPr>
          <w:p>
            <w:pPr>
              <w:pStyle w:val="23"/>
            </w:pPr>
            <w:r>
              <w:t>苗木移植租地协议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提高效率</w:t>
            </w:r>
          </w:p>
        </w:tc>
        <w:tc>
          <w:tcPr>
            <w:tcW w:w="2891" w:type="dxa"/>
            <w:vAlign w:val="center"/>
          </w:tcPr>
          <w:p>
            <w:pPr>
              <w:pStyle w:val="23"/>
            </w:pPr>
            <w:r>
              <w:t>提高效率</w:t>
            </w:r>
          </w:p>
        </w:tc>
        <w:tc>
          <w:tcPr>
            <w:tcW w:w="1276" w:type="dxa"/>
            <w:vAlign w:val="center"/>
          </w:tcPr>
          <w:p>
            <w:pPr>
              <w:pStyle w:val="23"/>
            </w:pPr>
            <w:r>
              <w:t>提高城区苗木移植成活比率</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≥90百分比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46" w:name="_Toc_4_4_0000000042"/>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39.涞水县城区绿化养护项目绩效目标表</w:t>
      </w:r>
      <w:bookmarkEnd w:id="46"/>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13062322P00EL88100077</w:t>
            </w:r>
          </w:p>
        </w:tc>
        <w:tc>
          <w:tcPr>
            <w:tcW w:w="1587" w:type="dxa"/>
            <w:vAlign w:val="center"/>
          </w:tcPr>
          <w:p>
            <w:pPr>
              <w:pStyle w:val="21"/>
            </w:pPr>
            <w:r>
              <w:t>项目名称</w:t>
            </w:r>
          </w:p>
        </w:tc>
        <w:tc>
          <w:tcPr>
            <w:tcW w:w="4422" w:type="dxa"/>
            <w:gridSpan w:val="3"/>
            <w:vAlign w:val="center"/>
          </w:tcPr>
          <w:p>
            <w:pPr>
              <w:pStyle w:val="23"/>
            </w:pPr>
            <w:r>
              <w:t>涞水县城区绿化养护项目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89.90</w:t>
            </w:r>
          </w:p>
        </w:tc>
        <w:tc>
          <w:tcPr>
            <w:tcW w:w="1587" w:type="dxa"/>
            <w:vAlign w:val="center"/>
          </w:tcPr>
          <w:p>
            <w:pPr>
              <w:pStyle w:val="21"/>
            </w:pPr>
            <w:r>
              <w:t>其中：财政    资金</w:t>
            </w:r>
          </w:p>
        </w:tc>
        <w:tc>
          <w:tcPr>
            <w:tcW w:w="1304" w:type="dxa"/>
            <w:vAlign w:val="center"/>
          </w:tcPr>
          <w:p>
            <w:pPr>
              <w:pStyle w:val="23"/>
            </w:pPr>
            <w:r>
              <w:t>89.90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用于支付涞水县城区绿化养护费用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1.为创建国家园林县城，增加城市绿量。提升城市品质，改善居住环境。</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工程量完成率</w:t>
            </w:r>
          </w:p>
        </w:tc>
        <w:tc>
          <w:tcPr>
            <w:tcW w:w="2891" w:type="dxa"/>
            <w:vAlign w:val="center"/>
          </w:tcPr>
          <w:p>
            <w:pPr>
              <w:pStyle w:val="23"/>
            </w:pPr>
            <w:r>
              <w:t>工程量完成率</w:t>
            </w:r>
          </w:p>
        </w:tc>
        <w:tc>
          <w:tcPr>
            <w:tcW w:w="1276" w:type="dxa"/>
            <w:vAlign w:val="center"/>
          </w:tcPr>
          <w:p>
            <w:pPr>
              <w:pStyle w:val="23"/>
            </w:pPr>
            <w:r>
              <w:t>≥90百分比</w:t>
            </w:r>
          </w:p>
        </w:tc>
        <w:tc>
          <w:tcPr>
            <w:tcW w:w="1843" w:type="dxa"/>
            <w:vAlign w:val="center"/>
          </w:tcPr>
          <w:p>
            <w:pPr>
              <w:pStyle w:val="23"/>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养护工程合格率</w:t>
            </w:r>
          </w:p>
        </w:tc>
        <w:tc>
          <w:tcPr>
            <w:tcW w:w="2891" w:type="dxa"/>
            <w:vAlign w:val="center"/>
          </w:tcPr>
          <w:p>
            <w:pPr>
              <w:pStyle w:val="23"/>
            </w:pPr>
            <w:r>
              <w:t>养护工程合格率</w:t>
            </w:r>
          </w:p>
        </w:tc>
        <w:tc>
          <w:tcPr>
            <w:tcW w:w="1276" w:type="dxa"/>
            <w:vAlign w:val="center"/>
          </w:tcPr>
          <w:p>
            <w:pPr>
              <w:pStyle w:val="23"/>
            </w:pPr>
            <w:r>
              <w:t>≥90百分比</w:t>
            </w:r>
          </w:p>
        </w:tc>
        <w:tc>
          <w:tcPr>
            <w:tcW w:w="1843" w:type="dxa"/>
            <w:vAlign w:val="center"/>
          </w:tcPr>
          <w:p>
            <w:pPr>
              <w:pStyle w:val="23"/>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按期完成率</w:t>
            </w:r>
          </w:p>
        </w:tc>
        <w:tc>
          <w:tcPr>
            <w:tcW w:w="2891" w:type="dxa"/>
            <w:vAlign w:val="center"/>
          </w:tcPr>
          <w:p>
            <w:pPr>
              <w:pStyle w:val="23"/>
            </w:pPr>
            <w:r>
              <w:t>按期完成率</w:t>
            </w:r>
          </w:p>
        </w:tc>
        <w:tc>
          <w:tcPr>
            <w:tcW w:w="1276" w:type="dxa"/>
            <w:vAlign w:val="center"/>
          </w:tcPr>
          <w:p>
            <w:pPr>
              <w:pStyle w:val="23"/>
            </w:pPr>
            <w:r>
              <w:t>≥90百分比</w:t>
            </w:r>
          </w:p>
        </w:tc>
        <w:tc>
          <w:tcPr>
            <w:tcW w:w="1843" w:type="dxa"/>
            <w:vAlign w:val="center"/>
          </w:tcPr>
          <w:p>
            <w:pPr>
              <w:pStyle w:val="23"/>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w:t>
            </w:r>
          </w:p>
        </w:tc>
        <w:tc>
          <w:tcPr>
            <w:tcW w:w="2891" w:type="dxa"/>
            <w:vAlign w:val="center"/>
          </w:tcPr>
          <w:p>
            <w:pPr>
              <w:pStyle w:val="23"/>
            </w:pPr>
            <w:r>
              <w:t>年度预算</w:t>
            </w:r>
          </w:p>
        </w:tc>
        <w:tc>
          <w:tcPr>
            <w:tcW w:w="1276" w:type="dxa"/>
            <w:vAlign w:val="center"/>
          </w:tcPr>
          <w:p>
            <w:pPr>
              <w:pStyle w:val="23"/>
            </w:pPr>
            <w:r>
              <w:t>≤89.9万元</w:t>
            </w:r>
          </w:p>
        </w:tc>
        <w:tc>
          <w:tcPr>
            <w:tcW w:w="1843" w:type="dxa"/>
            <w:vAlign w:val="center"/>
          </w:tcPr>
          <w:p>
            <w:pPr>
              <w:pStyle w:val="23"/>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生态效益指标</w:t>
            </w:r>
          </w:p>
        </w:tc>
        <w:tc>
          <w:tcPr>
            <w:tcW w:w="1332" w:type="dxa"/>
            <w:vAlign w:val="center"/>
          </w:tcPr>
          <w:p>
            <w:pPr>
              <w:pStyle w:val="23"/>
            </w:pPr>
            <w:r>
              <w:t>改善生态环境质量</w:t>
            </w:r>
          </w:p>
        </w:tc>
        <w:tc>
          <w:tcPr>
            <w:tcW w:w="2891" w:type="dxa"/>
            <w:vAlign w:val="center"/>
          </w:tcPr>
          <w:p>
            <w:pPr>
              <w:pStyle w:val="23"/>
            </w:pPr>
            <w:r>
              <w:t>改善生态环境质量</w:t>
            </w:r>
          </w:p>
        </w:tc>
        <w:tc>
          <w:tcPr>
            <w:tcW w:w="1276" w:type="dxa"/>
            <w:vAlign w:val="center"/>
          </w:tcPr>
          <w:p>
            <w:pPr>
              <w:pStyle w:val="23"/>
            </w:pPr>
            <w:r>
              <w:t>≥85百分比</w:t>
            </w:r>
          </w:p>
        </w:tc>
        <w:tc>
          <w:tcPr>
            <w:tcW w:w="1843" w:type="dxa"/>
            <w:vAlign w:val="center"/>
          </w:tcPr>
          <w:p>
            <w:pPr>
              <w:pStyle w:val="23"/>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≥90百分比</w:t>
            </w:r>
          </w:p>
        </w:tc>
        <w:tc>
          <w:tcPr>
            <w:tcW w:w="1843" w:type="dxa"/>
            <w:vAlign w:val="center"/>
          </w:tcPr>
          <w:p>
            <w:pPr>
              <w:pStyle w:val="23"/>
            </w:pPr>
            <w:r>
              <w:t>养护合同</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47" w:name="_Toc_4_4_0000000043"/>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40.涞水县城区雨污分流改造工程（二期）勘察、设计费绩效目标表</w:t>
      </w:r>
      <w:bookmarkEnd w:id="47"/>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13062322P00819710001G</w:t>
            </w:r>
          </w:p>
        </w:tc>
        <w:tc>
          <w:tcPr>
            <w:tcW w:w="1587" w:type="dxa"/>
            <w:vAlign w:val="center"/>
          </w:tcPr>
          <w:p>
            <w:pPr>
              <w:pStyle w:val="21"/>
            </w:pPr>
            <w:r>
              <w:t>项目名称</w:t>
            </w:r>
          </w:p>
        </w:tc>
        <w:tc>
          <w:tcPr>
            <w:tcW w:w="4422" w:type="dxa"/>
            <w:gridSpan w:val="3"/>
            <w:vAlign w:val="center"/>
          </w:tcPr>
          <w:p>
            <w:pPr>
              <w:pStyle w:val="23"/>
            </w:pPr>
            <w:r>
              <w:t>涞水县城区雨污分流改造工程（二期）勘察、设计费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70.16</w:t>
            </w:r>
          </w:p>
        </w:tc>
        <w:tc>
          <w:tcPr>
            <w:tcW w:w="1587" w:type="dxa"/>
            <w:vAlign w:val="center"/>
          </w:tcPr>
          <w:p>
            <w:pPr>
              <w:pStyle w:val="21"/>
            </w:pPr>
            <w:r>
              <w:t>其中：财政    资金</w:t>
            </w:r>
          </w:p>
        </w:tc>
        <w:tc>
          <w:tcPr>
            <w:tcW w:w="1304" w:type="dxa"/>
            <w:vAlign w:val="center"/>
          </w:tcPr>
          <w:p>
            <w:pPr>
              <w:pStyle w:val="23"/>
            </w:pPr>
            <w:r>
              <w:t>70.16</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用于支付城区雨污分流二期工程勘察设计费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1.通过拨付涞水县城区雨污分流改造工程（二期）勘察、设计费，加快工程进度，保障城区雨污水分流改造工程顺利进行。</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勘察设计公司数量</w:t>
            </w:r>
          </w:p>
        </w:tc>
        <w:tc>
          <w:tcPr>
            <w:tcW w:w="2891" w:type="dxa"/>
            <w:vAlign w:val="center"/>
          </w:tcPr>
          <w:p>
            <w:pPr>
              <w:pStyle w:val="23"/>
            </w:pPr>
            <w:r>
              <w:t>勘察设计公司数量</w:t>
            </w:r>
          </w:p>
        </w:tc>
        <w:tc>
          <w:tcPr>
            <w:tcW w:w="1276" w:type="dxa"/>
            <w:vAlign w:val="center"/>
          </w:tcPr>
          <w:p>
            <w:pPr>
              <w:pStyle w:val="23"/>
            </w:pPr>
            <w:r>
              <w:t>2个</w:t>
            </w:r>
          </w:p>
        </w:tc>
        <w:tc>
          <w:tcPr>
            <w:tcW w:w="1843" w:type="dxa"/>
            <w:vAlign w:val="center"/>
          </w:tcPr>
          <w:p>
            <w:pPr>
              <w:pStyle w:val="23"/>
            </w:pPr>
            <w:r>
              <w:t>成交通知书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正常使用率</w:t>
            </w:r>
          </w:p>
        </w:tc>
        <w:tc>
          <w:tcPr>
            <w:tcW w:w="2891" w:type="dxa"/>
            <w:vAlign w:val="center"/>
          </w:tcPr>
          <w:p>
            <w:pPr>
              <w:pStyle w:val="23"/>
            </w:pPr>
            <w:r>
              <w:t>正常使用率</w:t>
            </w:r>
          </w:p>
        </w:tc>
        <w:tc>
          <w:tcPr>
            <w:tcW w:w="1276" w:type="dxa"/>
            <w:vAlign w:val="center"/>
          </w:tcPr>
          <w:p>
            <w:pPr>
              <w:pStyle w:val="23"/>
            </w:pPr>
            <w:r>
              <w:t>≥95百分比</w:t>
            </w:r>
          </w:p>
        </w:tc>
        <w:tc>
          <w:tcPr>
            <w:tcW w:w="1843" w:type="dxa"/>
            <w:vAlign w:val="center"/>
          </w:tcPr>
          <w:p>
            <w:pPr>
              <w:pStyle w:val="23"/>
            </w:pPr>
            <w:r>
              <w:t>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工作任务完成及时率</w:t>
            </w:r>
          </w:p>
        </w:tc>
        <w:tc>
          <w:tcPr>
            <w:tcW w:w="2891" w:type="dxa"/>
            <w:vAlign w:val="center"/>
          </w:tcPr>
          <w:p>
            <w:pPr>
              <w:pStyle w:val="23"/>
            </w:pPr>
            <w:r>
              <w:t>工作任务完成及时率</w:t>
            </w:r>
          </w:p>
        </w:tc>
        <w:tc>
          <w:tcPr>
            <w:tcW w:w="1276" w:type="dxa"/>
            <w:vAlign w:val="center"/>
          </w:tcPr>
          <w:p>
            <w:pPr>
              <w:pStyle w:val="23"/>
            </w:pPr>
            <w:r>
              <w:t>100百分比</w:t>
            </w:r>
          </w:p>
        </w:tc>
        <w:tc>
          <w:tcPr>
            <w:tcW w:w="1843" w:type="dxa"/>
            <w:vAlign w:val="center"/>
          </w:tcPr>
          <w:p>
            <w:pPr>
              <w:pStyle w:val="23"/>
            </w:pPr>
            <w:r>
              <w:t>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≤70.16万元</w:t>
            </w:r>
          </w:p>
        </w:tc>
        <w:tc>
          <w:tcPr>
            <w:tcW w:w="1843" w:type="dxa"/>
            <w:vAlign w:val="center"/>
          </w:tcPr>
          <w:p>
            <w:pPr>
              <w:pStyle w:val="23"/>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加快工程进度，保障城区雨污水分流改造工程顺利进行。</w:t>
            </w:r>
          </w:p>
        </w:tc>
        <w:tc>
          <w:tcPr>
            <w:tcW w:w="2891" w:type="dxa"/>
            <w:vAlign w:val="center"/>
          </w:tcPr>
          <w:p>
            <w:pPr>
              <w:pStyle w:val="23"/>
            </w:pPr>
            <w:r>
              <w:t>加快工程进度，保障城区雨污水分流改造工程顺利进行。</w:t>
            </w:r>
          </w:p>
        </w:tc>
        <w:tc>
          <w:tcPr>
            <w:tcW w:w="1276" w:type="dxa"/>
            <w:vAlign w:val="center"/>
          </w:tcPr>
          <w:p>
            <w:pPr>
              <w:pStyle w:val="23"/>
            </w:pPr>
            <w:r>
              <w:t>良好</w:t>
            </w:r>
          </w:p>
        </w:tc>
        <w:tc>
          <w:tcPr>
            <w:tcW w:w="1843" w:type="dxa"/>
            <w:vAlign w:val="center"/>
          </w:tcPr>
          <w:p>
            <w:pPr>
              <w:pStyle w:val="23"/>
            </w:pPr>
            <w:r>
              <w:t>加快工程进度，保障城区雨污水分流改造工程顺利进行。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服务对象满意度</w:t>
            </w:r>
          </w:p>
        </w:tc>
        <w:tc>
          <w:tcPr>
            <w:tcW w:w="1276" w:type="dxa"/>
            <w:vAlign w:val="center"/>
          </w:tcPr>
          <w:p>
            <w:pPr>
              <w:pStyle w:val="23"/>
            </w:pPr>
            <w:r>
              <w:t>≥95百分比</w:t>
            </w:r>
          </w:p>
        </w:tc>
        <w:tc>
          <w:tcPr>
            <w:tcW w:w="1843" w:type="dxa"/>
            <w:vAlign w:val="center"/>
          </w:tcPr>
          <w:p>
            <w:pPr>
              <w:pStyle w:val="23"/>
            </w:pPr>
            <w:r>
              <w:t>合同协议书</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48" w:name="_Toc_4_4_0000000044"/>
    </w:p>
    <w:p>
      <w:pPr>
        <w:ind w:firstLine="560"/>
        <w:outlineLvl w:val="3"/>
      </w:pPr>
      <w:r>
        <w:rPr>
          <w:rFonts w:ascii="方正仿宋_GBK" w:hAnsi="方正仿宋_GBK" w:eastAsia="方正仿宋_GBK" w:cs="方正仿宋_GBK"/>
          <w:color w:val="000000"/>
          <w:sz w:val="28"/>
        </w:rPr>
        <w:t>41.涞水县城区照明系统远程改造工程绩效目标表</w:t>
      </w:r>
      <w:bookmarkEnd w:id="48"/>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13062322P008195100015</w:t>
            </w:r>
          </w:p>
        </w:tc>
        <w:tc>
          <w:tcPr>
            <w:tcW w:w="1587" w:type="dxa"/>
            <w:vAlign w:val="center"/>
          </w:tcPr>
          <w:p>
            <w:pPr>
              <w:pStyle w:val="21"/>
            </w:pPr>
            <w:r>
              <w:t>项目名称</w:t>
            </w:r>
          </w:p>
        </w:tc>
        <w:tc>
          <w:tcPr>
            <w:tcW w:w="4422" w:type="dxa"/>
            <w:gridSpan w:val="3"/>
            <w:vAlign w:val="center"/>
          </w:tcPr>
          <w:p>
            <w:pPr>
              <w:pStyle w:val="23"/>
            </w:pPr>
            <w:r>
              <w:t>涞水县城区照明系统远程改造工程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11.69</w:t>
            </w:r>
          </w:p>
        </w:tc>
        <w:tc>
          <w:tcPr>
            <w:tcW w:w="1587" w:type="dxa"/>
            <w:vAlign w:val="center"/>
          </w:tcPr>
          <w:p>
            <w:pPr>
              <w:pStyle w:val="21"/>
            </w:pPr>
            <w:r>
              <w:t>其中：财政    资金</w:t>
            </w:r>
          </w:p>
        </w:tc>
        <w:tc>
          <w:tcPr>
            <w:tcW w:w="1304" w:type="dxa"/>
            <w:vAlign w:val="center"/>
          </w:tcPr>
          <w:p>
            <w:pPr>
              <w:pStyle w:val="23"/>
            </w:pPr>
            <w:r>
              <w:t>11.69</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用于支付城区照明系统远程改造工程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p>
        </w:tc>
        <w:tc>
          <w:tcPr>
            <w:tcW w:w="1587" w:type="dxa"/>
            <w:vAlign w:val="center"/>
          </w:tcPr>
          <w:p>
            <w:pPr>
              <w:pStyle w:val="24"/>
            </w:pPr>
            <w:r>
              <w:t>50%</w:t>
            </w:r>
          </w:p>
        </w:tc>
        <w:tc>
          <w:tcPr>
            <w:tcW w:w="1304" w:type="dxa"/>
            <w:vAlign w:val="center"/>
          </w:tcPr>
          <w:p>
            <w:pPr>
              <w:pStyle w:val="24"/>
            </w:pP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1.涞水县迎宾街新建完成后，沿街安装路灯，为实现路灯集中控制功能，需对德成路与迎宾街路灯集控增加</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项目工程量清单完成率</w:t>
            </w:r>
          </w:p>
        </w:tc>
        <w:tc>
          <w:tcPr>
            <w:tcW w:w="2891" w:type="dxa"/>
            <w:vAlign w:val="center"/>
          </w:tcPr>
          <w:p>
            <w:pPr>
              <w:pStyle w:val="23"/>
            </w:pPr>
            <w:r>
              <w:t>项目工程量清单完成率</w:t>
            </w:r>
          </w:p>
        </w:tc>
        <w:tc>
          <w:tcPr>
            <w:tcW w:w="1276" w:type="dxa"/>
            <w:vAlign w:val="center"/>
          </w:tcPr>
          <w:p>
            <w:pPr>
              <w:pStyle w:val="23"/>
            </w:pPr>
            <w:r>
              <w:t>≥90百分比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工程质量优良率</w:t>
            </w:r>
          </w:p>
        </w:tc>
        <w:tc>
          <w:tcPr>
            <w:tcW w:w="2891" w:type="dxa"/>
            <w:vAlign w:val="center"/>
          </w:tcPr>
          <w:p>
            <w:pPr>
              <w:pStyle w:val="23"/>
            </w:pPr>
            <w:r>
              <w:t>工程质量优良率</w:t>
            </w:r>
          </w:p>
        </w:tc>
        <w:tc>
          <w:tcPr>
            <w:tcW w:w="1276" w:type="dxa"/>
            <w:vAlign w:val="center"/>
          </w:tcPr>
          <w:p>
            <w:pPr>
              <w:pStyle w:val="23"/>
            </w:pPr>
            <w:r>
              <w:t>≥95百分比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工程完成及时率</w:t>
            </w:r>
          </w:p>
        </w:tc>
        <w:tc>
          <w:tcPr>
            <w:tcW w:w="2891" w:type="dxa"/>
            <w:vAlign w:val="center"/>
          </w:tcPr>
          <w:p>
            <w:pPr>
              <w:pStyle w:val="23"/>
            </w:pPr>
            <w:r>
              <w:t>工程完成及时率</w:t>
            </w:r>
          </w:p>
        </w:tc>
        <w:tc>
          <w:tcPr>
            <w:tcW w:w="1276" w:type="dxa"/>
            <w:vAlign w:val="center"/>
          </w:tcPr>
          <w:p>
            <w:pPr>
              <w:pStyle w:val="23"/>
            </w:pPr>
            <w:r>
              <w:t>≥80百分比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当年预算</w:t>
            </w:r>
          </w:p>
        </w:tc>
        <w:tc>
          <w:tcPr>
            <w:tcW w:w="2891" w:type="dxa"/>
            <w:vAlign w:val="center"/>
          </w:tcPr>
          <w:p>
            <w:pPr>
              <w:pStyle w:val="23"/>
            </w:pPr>
            <w:r>
              <w:t>当年预算</w:t>
            </w:r>
          </w:p>
        </w:tc>
        <w:tc>
          <w:tcPr>
            <w:tcW w:w="1276" w:type="dxa"/>
            <w:vAlign w:val="center"/>
          </w:tcPr>
          <w:p>
            <w:pPr>
              <w:pStyle w:val="23"/>
            </w:pPr>
            <w:r>
              <w:t>≤11.69万元</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社会效益显著</w:t>
            </w:r>
          </w:p>
        </w:tc>
        <w:tc>
          <w:tcPr>
            <w:tcW w:w="2891" w:type="dxa"/>
            <w:vAlign w:val="center"/>
          </w:tcPr>
          <w:p>
            <w:pPr>
              <w:pStyle w:val="23"/>
            </w:pPr>
            <w:r>
              <w:t>社会效益显著</w:t>
            </w:r>
          </w:p>
        </w:tc>
        <w:tc>
          <w:tcPr>
            <w:tcW w:w="1276" w:type="dxa"/>
            <w:vAlign w:val="center"/>
          </w:tcPr>
          <w:p>
            <w:pPr>
              <w:pStyle w:val="23"/>
            </w:pPr>
            <w:r>
              <w:t>≥88百分比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95百分比</w:t>
            </w:r>
          </w:p>
        </w:tc>
        <w:tc>
          <w:tcPr>
            <w:tcW w:w="1843" w:type="dxa"/>
            <w:vAlign w:val="center"/>
          </w:tcPr>
          <w:p>
            <w:pPr>
              <w:pStyle w:val="23"/>
            </w:pPr>
            <w:r>
              <w:t>施工合同</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49" w:name="_Toc_4_4_0000000045"/>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42.涞水县拒马河城区段绿化养护项目绩效目标表</w:t>
      </w:r>
      <w:bookmarkEnd w:id="49"/>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13062322P00N62B100023</w:t>
            </w:r>
          </w:p>
        </w:tc>
        <w:tc>
          <w:tcPr>
            <w:tcW w:w="1587" w:type="dxa"/>
            <w:vAlign w:val="center"/>
          </w:tcPr>
          <w:p>
            <w:pPr>
              <w:pStyle w:val="21"/>
            </w:pPr>
            <w:r>
              <w:t>项目名称</w:t>
            </w:r>
          </w:p>
        </w:tc>
        <w:tc>
          <w:tcPr>
            <w:tcW w:w="4422" w:type="dxa"/>
            <w:gridSpan w:val="3"/>
            <w:vAlign w:val="center"/>
          </w:tcPr>
          <w:p>
            <w:pPr>
              <w:pStyle w:val="23"/>
            </w:pPr>
            <w:r>
              <w:t>涞水县拒马河城区段绿化养护项目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44.00</w:t>
            </w:r>
          </w:p>
        </w:tc>
        <w:tc>
          <w:tcPr>
            <w:tcW w:w="1587" w:type="dxa"/>
            <w:vAlign w:val="center"/>
          </w:tcPr>
          <w:p>
            <w:pPr>
              <w:pStyle w:val="21"/>
            </w:pPr>
            <w:r>
              <w:t>其中：财政    资金</w:t>
            </w:r>
          </w:p>
        </w:tc>
        <w:tc>
          <w:tcPr>
            <w:tcW w:w="1304" w:type="dxa"/>
            <w:vAlign w:val="center"/>
          </w:tcPr>
          <w:p>
            <w:pPr>
              <w:pStyle w:val="23"/>
            </w:pPr>
            <w:r>
              <w:t>44.00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用于支付拒马河城区段绿化养护项目资金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1.通过对拒马河城区段绿化养护工作，增加涞水县城绿地面积，为人民群众提供更舒适的休闲场所。</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工程量完成率</w:t>
            </w:r>
          </w:p>
        </w:tc>
        <w:tc>
          <w:tcPr>
            <w:tcW w:w="2891" w:type="dxa"/>
            <w:vAlign w:val="center"/>
          </w:tcPr>
          <w:p>
            <w:pPr>
              <w:pStyle w:val="23"/>
            </w:pPr>
            <w:r>
              <w:t>工程量完成率</w:t>
            </w:r>
          </w:p>
        </w:tc>
        <w:tc>
          <w:tcPr>
            <w:tcW w:w="1276" w:type="dxa"/>
            <w:vAlign w:val="center"/>
          </w:tcPr>
          <w:p>
            <w:pPr>
              <w:pStyle w:val="23"/>
            </w:pPr>
            <w:r>
              <w:t>≥88百分比</w:t>
            </w:r>
          </w:p>
        </w:tc>
        <w:tc>
          <w:tcPr>
            <w:tcW w:w="1843" w:type="dxa"/>
            <w:vAlign w:val="center"/>
          </w:tcPr>
          <w:p>
            <w:pPr>
              <w:pStyle w:val="23"/>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工程质量合格率</w:t>
            </w:r>
          </w:p>
        </w:tc>
        <w:tc>
          <w:tcPr>
            <w:tcW w:w="2891" w:type="dxa"/>
            <w:vAlign w:val="center"/>
          </w:tcPr>
          <w:p>
            <w:pPr>
              <w:pStyle w:val="23"/>
            </w:pPr>
            <w:r>
              <w:t>工程质量合格率</w:t>
            </w:r>
          </w:p>
        </w:tc>
        <w:tc>
          <w:tcPr>
            <w:tcW w:w="1276" w:type="dxa"/>
            <w:vAlign w:val="center"/>
          </w:tcPr>
          <w:p>
            <w:pPr>
              <w:pStyle w:val="23"/>
            </w:pPr>
            <w:r>
              <w:t>≥90百分比</w:t>
            </w:r>
          </w:p>
        </w:tc>
        <w:tc>
          <w:tcPr>
            <w:tcW w:w="1843" w:type="dxa"/>
            <w:vAlign w:val="center"/>
          </w:tcPr>
          <w:p>
            <w:pPr>
              <w:pStyle w:val="23"/>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工程按期完成率</w:t>
            </w:r>
          </w:p>
        </w:tc>
        <w:tc>
          <w:tcPr>
            <w:tcW w:w="2891" w:type="dxa"/>
            <w:vAlign w:val="center"/>
          </w:tcPr>
          <w:p>
            <w:pPr>
              <w:pStyle w:val="23"/>
            </w:pPr>
            <w:r>
              <w:t>工程按期完成率</w:t>
            </w:r>
          </w:p>
        </w:tc>
        <w:tc>
          <w:tcPr>
            <w:tcW w:w="1276" w:type="dxa"/>
            <w:vAlign w:val="center"/>
          </w:tcPr>
          <w:p>
            <w:pPr>
              <w:pStyle w:val="23"/>
            </w:pPr>
            <w:r>
              <w:t>≥94百分比</w:t>
            </w:r>
          </w:p>
        </w:tc>
        <w:tc>
          <w:tcPr>
            <w:tcW w:w="1843" w:type="dxa"/>
            <w:vAlign w:val="center"/>
          </w:tcPr>
          <w:p>
            <w:pPr>
              <w:pStyle w:val="23"/>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w:t>
            </w:r>
          </w:p>
        </w:tc>
        <w:tc>
          <w:tcPr>
            <w:tcW w:w="2891" w:type="dxa"/>
            <w:vAlign w:val="center"/>
          </w:tcPr>
          <w:p>
            <w:pPr>
              <w:pStyle w:val="23"/>
            </w:pPr>
            <w:r>
              <w:t>年度预算</w:t>
            </w:r>
          </w:p>
        </w:tc>
        <w:tc>
          <w:tcPr>
            <w:tcW w:w="1276" w:type="dxa"/>
            <w:vAlign w:val="center"/>
          </w:tcPr>
          <w:p>
            <w:pPr>
              <w:pStyle w:val="23"/>
            </w:pPr>
            <w:r>
              <w:t>≤44万元</w:t>
            </w:r>
          </w:p>
        </w:tc>
        <w:tc>
          <w:tcPr>
            <w:tcW w:w="1843" w:type="dxa"/>
            <w:vAlign w:val="center"/>
          </w:tcPr>
          <w:p>
            <w:pPr>
              <w:pStyle w:val="23"/>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生态效益指标</w:t>
            </w:r>
          </w:p>
        </w:tc>
        <w:tc>
          <w:tcPr>
            <w:tcW w:w="1332" w:type="dxa"/>
            <w:vAlign w:val="center"/>
          </w:tcPr>
          <w:p>
            <w:pPr>
              <w:pStyle w:val="23"/>
            </w:pPr>
            <w:r>
              <w:t>对区域生态改善</w:t>
            </w:r>
          </w:p>
        </w:tc>
        <w:tc>
          <w:tcPr>
            <w:tcW w:w="2891" w:type="dxa"/>
            <w:vAlign w:val="center"/>
          </w:tcPr>
          <w:p>
            <w:pPr>
              <w:pStyle w:val="23"/>
            </w:pPr>
            <w:r>
              <w:t>对区域生态改善</w:t>
            </w:r>
          </w:p>
        </w:tc>
        <w:tc>
          <w:tcPr>
            <w:tcW w:w="1276" w:type="dxa"/>
            <w:vAlign w:val="center"/>
          </w:tcPr>
          <w:p>
            <w:pPr>
              <w:pStyle w:val="23"/>
            </w:pPr>
            <w:r>
              <w:t>≥95百分比</w:t>
            </w:r>
          </w:p>
        </w:tc>
        <w:tc>
          <w:tcPr>
            <w:tcW w:w="1843" w:type="dxa"/>
            <w:vAlign w:val="center"/>
          </w:tcPr>
          <w:p>
            <w:pPr>
              <w:pStyle w:val="23"/>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≥100百分比</w:t>
            </w:r>
          </w:p>
        </w:tc>
        <w:tc>
          <w:tcPr>
            <w:tcW w:w="1843" w:type="dxa"/>
            <w:vAlign w:val="center"/>
          </w:tcPr>
          <w:p>
            <w:pPr>
              <w:pStyle w:val="23"/>
            </w:pPr>
            <w:r>
              <w:t>养护合同</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50" w:name="_Toc_4_4_0000000046"/>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43.涞水县路灯亮化日常维护维修项目绩效目标表</w:t>
      </w:r>
      <w:bookmarkEnd w:id="50"/>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13062322P008129100019</w:t>
            </w:r>
          </w:p>
        </w:tc>
        <w:tc>
          <w:tcPr>
            <w:tcW w:w="1587" w:type="dxa"/>
            <w:vAlign w:val="center"/>
          </w:tcPr>
          <w:p>
            <w:pPr>
              <w:pStyle w:val="21"/>
            </w:pPr>
            <w:r>
              <w:t>项目名称</w:t>
            </w:r>
          </w:p>
        </w:tc>
        <w:tc>
          <w:tcPr>
            <w:tcW w:w="4422" w:type="dxa"/>
            <w:gridSpan w:val="3"/>
            <w:vAlign w:val="center"/>
          </w:tcPr>
          <w:p>
            <w:pPr>
              <w:pStyle w:val="23"/>
            </w:pPr>
            <w:r>
              <w:t>涞水县路灯亮化日常维护维修项目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144.29</w:t>
            </w:r>
          </w:p>
        </w:tc>
        <w:tc>
          <w:tcPr>
            <w:tcW w:w="1587" w:type="dxa"/>
            <w:vAlign w:val="center"/>
          </w:tcPr>
          <w:p>
            <w:pPr>
              <w:pStyle w:val="21"/>
            </w:pPr>
            <w:r>
              <w:t>其中：财政    资金</w:t>
            </w:r>
          </w:p>
        </w:tc>
        <w:tc>
          <w:tcPr>
            <w:tcW w:w="1304" w:type="dxa"/>
            <w:vAlign w:val="center"/>
          </w:tcPr>
          <w:p>
            <w:pPr>
              <w:pStyle w:val="23"/>
            </w:pPr>
            <w:r>
              <w:t>144.29</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通过对县城路灯日常维修维护，减少路灯故障，增加城市的路灯亮化，方便了群众的夜间出行。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1.通过对县城路灯日常维修维护，减少路灯故障，增加城市的路灯亮化，方便了群众的夜间出行。</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维护路灯数量</w:t>
            </w:r>
          </w:p>
        </w:tc>
        <w:tc>
          <w:tcPr>
            <w:tcW w:w="2891" w:type="dxa"/>
            <w:vAlign w:val="center"/>
          </w:tcPr>
          <w:p>
            <w:pPr>
              <w:pStyle w:val="23"/>
            </w:pPr>
            <w:r>
              <w:t>维护路灯数量</w:t>
            </w:r>
          </w:p>
        </w:tc>
        <w:tc>
          <w:tcPr>
            <w:tcW w:w="1276" w:type="dxa"/>
            <w:vAlign w:val="center"/>
          </w:tcPr>
          <w:p>
            <w:pPr>
              <w:pStyle w:val="23"/>
            </w:pPr>
            <w:r>
              <w:t>≥1000盏</w:t>
            </w:r>
          </w:p>
        </w:tc>
        <w:tc>
          <w:tcPr>
            <w:tcW w:w="1843" w:type="dxa"/>
            <w:vAlign w:val="center"/>
          </w:tcPr>
          <w:p>
            <w:pPr>
              <w:pStyle w:val="23"/>
            </w:pPr>
            <w: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亮灯率</w:t>
            </w:r>
          </w:p>
        </w:tc>
        <w:tc>
          <w:tcPr>
            <w:tcW w:w="2891" w:type="dxa"/>
            <w:vAlign w:val="center"/>
          </w:tcPr>
          <w:p>
            <w:pPr>
              <w:pStyle w:val="23"/>
            </w:pPr>
            <w:r>
              <w:t>亮灯率</w:t>
            </w:r>
          </w:p>
        </w:tc>
        <w:tc>
          <w:tcPr>
            <w:tcW w:w="1276" w:type="dxa"/>
            <w:vAlign w:val="center"/>
          </w:tcPr>
          <w:p>
            <w:pPr>
              <w:pStyle w:val="23"/>
            </w:pPr>
            <w:r>
              <w:t>≥97%</w:t>
            </w:r>
          </w:p>
        </w:tc>
        <w:tc>
          <w:tcPr>
            <w:tcW w:w="1843" w:type="dxa"/>
            <w:vAlign w:val="center"/>
          </w:tcPr>
          <w:p>
            <w:pPr>
              <w:pStyle w:val="23"/>
            </w:pPr>
            <w: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大面积灭灯修复率</w:t>
            </w:r>
          </w:p>
        </w:tc>
        <w:tc>
          <w:tcPr>
            <w:tcW w:w="2891" w:type="dxa"/>
            <w:vAlign w:val="center"/>
          </w:tcPr>
          <w:p>
            <w:pPr>
              <w:pStyle w:val="23"/>
            </w:pPr>
            <w:r>
              <w:t>大面积灭灯修复率</w:t>
            </w:r>
          </w:p>
        </w:tc>
        <w:tc>
          <w:tcPr>
            <w:tcW w:w="1276" w:type="dxa"/>
            <w:vAlign w:val="center"/>
          </w:tcPr>
          <w:p>
            <w:pPr>
              <w:pStyle w:val="23"/>
            </w:pPr>
            <w:r>
              <w:t>100%</w:t>
            </w:r>
          </w:p>
        </w:tc>
        <w:tc>
          <w:tcPr>
            <w:tcW w:w="1843" w:type="dxa"/>
            <w:vAlign w:val="center"/>
          </w:tcPr>
          <w:p>
            <w:pPr>
              <w:pStyle w:val="23"/>
            </w:pPr>
            <w: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资金成本</w:t>
            </w:r>
          </w:p>
        </w:tc>
        <w:tc>
          <w:tcPr>
            <w:tcW w:w="2891" w:type="dxa"/>
            <w:vAlign w:val="center"/>
          </w:tcPr>
          <w:p>
            <w:pPr>
              <w:pStyle w:val="23"/>
            </w:pPr>
            <w:r>
              <w:t>资金成本</w:t>
            </w:r>
          </w:p>
        </w:tc>
        <w:tc>
          <w:tcPr>
            <w:tcW w:w="1276" w:type="dxa"/>
            <w:vAlign w:val="center"/>
          </w:tcPr>
          <w:p>
            <w:pPr>
              <w:pStyle w:val="23"/>
            </w:pPr>
            <w:r>
              <w:t>144.29万元</w:t>
            </w:r>
          </w:p>
        </w:tc>
        <w:tc>
          <w:tcPr>
            <w:tcW w:w="1843" w:type="dxa"/>
            <w:vAlign w:val="center"/>
          </w:tcPr>
          <w:p>
            <w:pPr>
              <w:pStyle w:val="23"/>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提升照明质量，改善夜间环境</w:t>
            </w:r>
          </w:p>
        </w:tc>
        <w:tc>
          <w:tcPr>
            <w:tcW w:w="2891" w:type="dxa"/>
            <w:vAlign w:val="center"/>
          </w:tcPr>
          <w:p>
            <w:pPr>
              <w:pStyle w:val="23"/>
            </w:pPr>
            <w:r>
              <w:t>提升照明质量，改善夜间环境</w:t>
            </w:r>
          </w:p>
        </w:tc>
        <w:tc>
          <w:tcPr>
            <w:tcW w:w="1276" w:type="dxa"/>
            <w:vAlign w:val="center"/>
          </w:tcPr>
          <w:p>
            <w:pPr>
              <w:pStyle w:val="23"/>
            </w:pPr>
            <w:r>
              <w:t>≥97%</w:t>
            </w:r>
          </w:p>
        </w:tc>
        <w:tc>
          <w:tcPr>
            <w:tcW w:w="1843" w:type="dxa"/>
            <w:vAlign w:val="center"/>
          </w:tcPr>
          <w:p>
            <w:pPr>
              <w:pStyle w:val="23"/>
            </w:pPr>
            <w: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服务对象满意度</w:t>
            </w:r>
          </w:p>
        </w:tc>
        <w:tc>
          <w:tcPr>
            <w:tcW w:w="1276" w:type="dxa"/>
            <w:vAlign w:val="center"/>
          </w:tcPr>
          <w:p>
            <w:pPr>
              <w:pStyle w:val="23"/>
            </w:pPr>
            <w:r>
              <w:t>≥90%</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51" w:name="_Toc_4_4_0000000047"/>
    </w:p>
    <w:p>
      <w:pPr>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44.涞水县申通加油站项目绩效目标表</w:t>
      </w:r>
      <w:bookmarkEnd w:id="51"/>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13062322P00855010001T</w:t>
            </w:r>
          </w:p>
        </w:tc>
        <w:tc>
          <w:tcPr>
            <w:tcW w:w="1587" w:type="dxa"/>
            <w:vAlign w:val="center"/>
          </w:tcPr>
          <w:p>
            <w:pPr>
              <w:pStyle w:val="21"/>
            </w:pPr>
            <w:r>
              <w:t>项目名称</w:t>
            </w:r>
          </w:p>
        </w:tc>
        <w:tc>
          <w:tcPr>
            <w:tcW w:w="4422" w:type="dxa"/>
            <w:gridSpan w:val="3"/>
            <w:vAlign w:val="center"/>
          </w:tcPr>
          <w:p>
            <w:pPr>
              <w:pStyle w:val="23"/>
            </w:pPr>
            <w:r>
              <w:t>涞水县申通加油站项目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27.32</w:t>
            </w:r>
          </w:p>
        </w:tc>
        <w:tc>
          <w:tcPr>
            <w:tcW w:w="1587" w:type="dxa"/>
            <w:vAlign w:val="center"/>
          </w:tcPr>
          <w:p>
            <w:pPr>
              <w:pStyle w:val="21"/>
            </w:pPr>
            <w:r>
              <w:t>其中：财政    资金</w:t>
            </w:r>
          </w:p>
        </w:tc>
        <w:tc>
          <w:tcPr>
            <w:tcW w:w="1304" w:type="dxa"/>
            <w:vAlign w:val="center"/>
          </w:tcPr>
          <w:p>
            <w:pPr>
              <w:pStyle w:val="23"/>
            </w:pPr>
            <w:r>
              <w:t>27.32</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用于支付申通加油站建设项目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50%</w:t>
            </w:r>
          </w:p>
        </w:tc>
        <w:tc>
          <w:tcPr>
            <w:tcW w:w="1587" w:type="dxa"/>
            <w:vAlign w:val="center"/>
          </w:tcPr>
          <w:p>
            <w:pPr>
              <w:pStyle w:val="24"/>
            </w:pPr>
            <w:r>
              <w:t>100%</w:t>
            </w:r>
          </w:p>
        </w:tc>
        <w:tc>
          <w:tcPr>
            <w:tcW w:w="1304" w:type="dxa"/>
            <w:vAlign w:val="center"/>
          </w:tcPr>
          <w:p>
            <w:pPr>
              <w:pStyle w:val="24"/>
            </w:pPr>
          </w:p>
        </w:tc>
        <w:tc>
          <w:tcPr>
            <w:tcW w:w="3118" w:type="dxa"/>
            <w:gridSpan w:val="2"/>
            <w:vAlign w:val="center"/>
          </w:tcPr>
          <w:p>
            <w:pPr>
              <w:pStyle w:val="2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1.根据申通加油站搬迁协议需要新建加油站1座</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建设加油站数量</w:t>
            </w:r>
          </w:p>
        </w:tc>
        <w:tc>
          <w:tcPr>
            <w:tcW w:w="2891" w:type="dxa"/>
            <w:vAlign w:val="center"/>
          </w:tcPr>
          <w:p>
            <w:pPr>
              <w:pStyle w:val="23"/>
            </w:pPr>
            <w:r>
              <w:t>建设加油站数量</w:t>
            </w:r>
          </w:p>
        </w:tc>
        <w:tc>
          <w:tcPr>
            <w:tcW w:w="1276" w:type="dxa"/>
            <w:vAlign w:val="center"/>
          </w:tcPr>
          <w:p>
            <w:pPr>
              <w:pStyle w:val="23"/>
            </w:pPr>
            <w:r>
              <w:t>1座</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工程质量</w:t>
            </w:r>
          </w:p>
        </w:tc>
        <w:tc>
          <w:tcPr>
            <w:tcW w:w="2891" w:type="dxa"/>
            <w:vAlign w:val="center"/>
          </w:tcPr>
          <w:p>
            <w:pPr>
              <w:pStyle w:val="23"/>
            </w:pPr>
            <w:r>
              <w:t>工程质量</w:t>
            </w:r>
          </w:p>
        </w:tc>
        <w:tc>
          <w:tcPr>
            <w:tcW w:w="1276" w:type="dxa"/>
            <w:vAlign w:val="center"/>
          </w:tcPr>
          <w:p>
            <w:pPr>
              <w:pStyle w:val="23"/>
            </w:pPr>
            <w:r>
              <w:t>≥89百分比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工程按期完成率（%）</w:t>
            </w:r>
          </w:p>
        </w:tc>
        <w:tc>
          <w:tcPr>
            <w:tcW w:w="2891" w:type="dxa"/>
            <w:vAlign w:val="center"/>
          </w:tcPr>
          <w:p>
            <w:pPr>
              <w:pStyle w:val="23"/>
            </w:pPr>
            <w:r>
              <w:t>按期完成的工程量占总工程量的比率</w:t>
            </w:r>
          </w:p>
        </w:tc>
        <w:tc>
          <w:tcPr>
            <w:tcW w:w="1276" w:type="dxa"/>
            <w:vAlign w:val="center"/>
          </w:tcPr>
          <w:p>
            <w:pPr>
              <w:pStyle w:val="23"/>
            </w:pPr>
            <w:r>
              <w:t>≤76百分比</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年度预算</w:t>
            </w:r>
          </w:p>
        </w:tc>
        <w:tc>
          <w:tcPr>
            <w:tcW w:w="2891" w:type="dxa"/>
            <w:vAlign w:val="center"/>
          </w:tcPr>
          <w:p>
            <w:pPr>
              <w:pStyle w:val="23"/>
            </w:pPr>
            <w:r>
              <w:t>年度预算</w:t>
            </w:r>
          </w:p>
        </w:tc>
        <w:tc>
          <w:tcPr>
            <w:tcW w:w="1276" w:type="dxa"/>
            <w:vAlign w:val="center"/>
          </w:tcPr>
          <w:p>
            <w:pPr>
              <w:pStyle w:val="23"/>
            </w:pPr>
            <w:r>
              <w:t>≤27.32万元</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经济效益指标</w:t>
            </w:r>
          </w:p>
        </w:tc>
        <w:tc>
          <w:tcPr>
            <w:tcW w:w="1332" w:type="dxa"/>
            <w:vAlign w:val="center"/>
          </w:tcPr>
          <w:p>
            <w:pPr>
              <w:pStyle w:val="23"/>
            </w:pPr>
            <w:r>
              <w:t>项目工程完成情况</w:t>
            </w:r>
          </w:p>
        </w:tc>
        <w:tc>
          <w:tcPr>
            <w:tcW w:w="2891" w:type="dxa"/>
            <w:vAlign w:val="center"/>
          </w:tcPr>
          <w:p>
            <w:pPr>
              <w:pStyle w:val="23"/>
            </w:pPr>
            <w:r>
              <w:t>项目工程完成情况</w:t>
            </w:r>
          </w:p>
        </w:tc>
        <w:tc>
          <w:tcPr>
            <w:tcW w:w="1276" w:type="dxa"/>
            <w:vAlign w:val="center"/>
          </w:tcPr>
          <w:p>
            <w:pPr>
              <w:pStyle w:val="23"/>
            </w:pPr>
            <w:r>
              <w:t>完成</w:t>
            </w:r>
          </w:p>
        </w:tc>
        <w:tc>
          <w:tcPr>
            <w:tcW w:w="1843" w:type="dxa"/>
            <w:vAlign w:val="center"/>
          </w:tcPr>
          <w:p>
            <w:pPr>
              <w:pStyle w:val="23"/>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90百分比</w:t>
            </w:r>
          </w:p>
        </w:tc>
        <w:tc>
          <w:tcPr>
            <w:tcW w:w="1843" w:type="dxa"/>
            <w:vAlign w:val="center"/>
          </w:tcPr>
          <w:p>
            <w:pPr>
              <w:pStyle w:val="23"/>
            </w:pPr>
            <w:r>
              <w:t>施工合同</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52" w:name="_Toc_4_4_0000000048"/>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45.涞水县市政基础设施维修工程绩效目标表</w:t>
      </w:r>
      <w:bookmarkEnd w:id="52"/>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13062322P00811810001C</w:t>
            </w:r>
          </w:p>
        </w:tc>
        <w:tc>
          <w:tcPr>
            <w:tcW w:w="1587" w:type="dxa"/>
            <w:vAlign w:val="center"/>
          </w:tcPr>
          <w:p>
            <w:pPr>
              <w:pStyle w:val="21"/>
            </w:pPr>
            <w:r>
              <w:t>项目名称</w:t>
            </w:r>
          </w:p>
        </w:tc>
        <w:tc>
          <w:tcPr>
            <w:tcW w:w="4422" w:type="dxa"/>
            <w:gridSpan w:val="3"/>
            <w:vAlign w:val="center"/>
          </w:tcPr>
          <w:p>
            <w:pPr>
              <w:pStyle w:val="23"/>
            </w:pPr>
            <w:r>
              <w:t>涞水县市政基础设施维修工程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30.00</w:t>
            </w:r>
          </w:p>
        </w:tc>
        <w:tc>
          <w:tcPr>
            <w:tcW w:w="1587" w:type="dxa"/>
            <w:vAlign w:val="center"/>
          </w:tcPr>
          <w:p>
            <w:pPr>
              <w:pStyle w:val="21"/>
            </w:pPr>
            <w:r>
              <w:t>其中：财政    资金</w:t>
            </w:r>
          </w:p>
        </w:tc>
        <w:tc>
          <w:tcPr>
            <w:tcW w:w="1304" w:type="dxa"/>
            <w:vAlign w:val="center"/>
          </w:tcPr>
          <w:p>
            <w:pPr>
              <w:pStyle w:val="23"/>
            </w:pPr>
            <w:r>
              <w:t>30.00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通过对市政基础设施的维修，保障市政基础设施的完好使用。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1.通过对市政基础设施的维修，保障市政基础设施的完好使用。</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基础设施维修任务完成率（%）</w:t>
            </w:r>
          </w:p>
        </w:tc>
        <w:tc>
          <w:tcPr>
            <w:tcW w:w="2891" w:type="dxa"/>
            <w:vAlign w:val="center"/>
          </w:tcPr>
          <w:p>
            <w:pPr>
              <w:pStyle w:val="23"/>
            </w:pPr>
            <w:r>
              <w:t>基础设施维修任务完成率（%）</w:t>
            </w:r>
          </w:p>
        </w:tc>
        <w:tc>
          <w:tcPr>
            <w:tcW w:w="1276" w:type="dxa"/>
            <w:vAlign w:val="center"/>
          </w:tcPr>
          <w:p>
            <w:pPr>
              <w:pStyle w:val="23"/>
            </w:pPr>
            <w:r>
              <w:t>100百分比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维修（护）验收</w:t>
            </w:r>
          </w:p>
        </w:tc>
        <w:tc>
          <w:tcPr>
            <w:tcW w:w="2891" w:type="dxa"/>
            <w:vAlign w:val="center"/>
          </w:tcPr>
          <w:p>
            <w:pPr>
              <w:pStyle w:val="23"/>
            </w:pPr>
            <w:r>
              <w:t>维修（护）验收</w:t>
            </w:r>
          </w:p>
        </w:tc>
        <w:tc>
          <w:tcPr>
            <w:tcW w:w="1276" w:type="dxa"/>
            <w:vAlign w:val="center"/>
          </w:tcPr>
          <w:p>
            <w:pPr>
              <w:pStyle w:val="23"/>
            </w:pPr>
            <w:r>
              <w:t>验收合格</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各项任务完成及时率（%）</w:t>
            </w:r>
          </w:p>
        </w:tc>
        <w:tc>
          <w:tcPr>
            <w:tcW w:w="2891" w:type="dxa"/>
            <w:vAlign w:val="center"/>
          </w:tcPr>
          <w:p>
            <w:pPr>
              <w:pStyle w:val="23"/>
            </w:pPr>
            <w:r>
              <w:t>各项任务完成及时率（%）</w:t>
            </w:r>
          </w:p>
        </w:tc>
        <w:tc>
          <w:tcPr>
            <w:tcW w:w="1276" w:type="dxa"/>
            <w:vAlign w:val="center"/>
          </w:tcPr>
          <w:p>
            <w:pPr>
              <w:pStyle w:val="23"/>
            </w:pPr>
            <w:r>
              <w:t>≥90百分比</w:t>
            </w:r>
          </w:p>
        </w:tc>
        <w:tc>
          <w:tcPr>
            <w:tcW w:w="1843" w:type="dxa"/>
            <w:vAlign w:val="center"/>
          </w:tcPr>
          <w:p>
            <w:pPr>
              <w:pStyle w:val="2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≤30万元</w:t>
            </w:r>
          </w:p>
        </w:tc>
        <w:tc>
          <w:tcPr>
            <w:tcW w:w="1843" w:type="dxa"/>
            <w:vAlign w:val="center"/>
          </w:tcPr>
          <w:p>
            <w:pPr>
              <w:pStyle w:val="23"/>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社会效益指标</w:t>
            </w:r>
          </w:p>
        </w:tc>
        <w:tc>
          <w:tcPr>
            <w:tcW w:w="1332" w:type="dxa"/>
            <w:vAlign w:val="center"/>
          </w:tcPr>
          <w:p>
            <w:pPr>
              <w:pStyle w:val="23"/>
            </w:pPr>
            <w:r>
              <w:t>保障市政基础设施的完好使用</w:t>
            </w:r>
          </w:p>
        </w:tc>
        <w:tc>
          <w:tcPr>
            <w:tcW w:w="2891" w:type="dxa"/>
            <w:vAlign w:val="center"/>
          </w:tcPr>
          <w:p>
            <w:pPr>
              <w:pStyle w:val="23"/>
            </w:pPr>
            <w:r>
              <w:t>保障市政基础设施的完好使用</w:t>
            </w:r>
          </w:p>
        </w:tc>
        <w:tc>
          <w:tcPr>
            <w:tcW w:w="1276" w:type="dxa"/>
            <w:vAlign w:val="center"/>
          </w:tcPr>
          <w:p>
            <w:pPr>
              <w:pStyle w:val="23"/>
            </w:pPr>
            <w:r>
              <w:t>良好</w:t>
            </w:r>
          </w:p>
        </w:tc>
        <w:tc>
          <w:tcPr>
            <w:tcW w:w="1843" w:type="dxa"/>
            <w:vAlign w:val="center"/>
          </w:tcPr>
          <w:p>
            <w:pPr>
              <w:pStyle w:val="23"/>
            </w:pPr>
            <w:r>
              <w:t>保障市政基础设施的完好使用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服务对象满意度</w:t>
            </w:r>
          </w:p>
        </w:tc>
        <w:tc>
          <w:tcPr>
            <w:tcW w:w="1276" w:type="dxa"/>
            <w:vAlign w:val="center"/>
          </w:tcPr>
          <w:p>
            <w:pPr>
              <w:pStyle w:val="23"/>
            </w:pPr>
            <w:r>
              <w:t>≥95百分比</w:t>
            </w:r>
          </w:p>
        </w:tc>
        <w:tc>
          <w:tcPr>
            <w:tcW w:w="1843" w:type="dxa"/>
            <w:vAlign w:val="center"/>
          </w:tcPr>
          <w:p>
            <w:pPr>
              <w:pStyle w:val="23"/>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53" w:name="_Toc_4_4_0000000049"/>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46.涞水县污水处理厂委托运营费绩效目标表</w:t>
      </w:r>
      <w:bookmarkEnd w:id="53"/>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13062322P00P462100020</w:t>
            </w:r>
          </w:p>
        </w:tc>
        <w:tc>
          <w:tcPr>
            <w:tcW w:w="1587" w:type="dxa"/>
            <w:vAlign w:val="center"/>
          </w:tcPr>
          <w:p>
            <w:pPr>
              <w:pStyle w:val="21"/>
            </w:pPr>
            <w:r>
              <w:t>项目名称</w:t>
            </w:r>
          </w:p>
        </w:tc>
        <w:tc>
          <w:tcPr>
            <w:tcW w:w="4422" w:type="dxa"/>
            <w:gridSpan w:val="3"/>
            <w:vAlign w:val="center"/>
          </w:tcPr>
          <w:p>
            <w:pPr>
              <w:pStyle w:val="23"/>
            </w:pPr>
            <w:r>
              <w:t>涞水县污水处理厂委托运营费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350.00</w:t>
            </w:r>
          </w:p>
        </w:tc>
        <w:tc>
          <w:tcPr>
            <w:tcW w:w="1587" w:type="dxa"/>
            <w:vAlign w:val="center"/>
          </w:tcPr>
          <w:p>
            <w:pPr>
              <w:pStyle w:val="21"/>
            </w:pPr>
            <w:r>
              <w:t>其中：财政    资金</w:t>
            </w:r>
          </w:p>
        </w:tc>
        <w:tc>
          <w:tcPr>
            <w:tcW w:w="1304" w:type="dxa"/>
            <w:vAlign w:val="center"/>
          </w:tcPr>
          <w:p>
            <w:pPr>
              <w:pStyle w:val="23"/>
            </w:pPr>
            <w:r>
              <w:t>350.00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2022年污水处理厂委托运营费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随着社会经济快速发展，城市人口和用水量的增加，产生的污水也随之增加，通过污水处理厂对污水处理的第三方委托运营，使污水精处理达标国家排放标准和大清河流域标准</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工程量完成率</w:t>
            </w:r>
          </w:p>
        </w:tc>
        <w:tc>
          <w:tcPr>
            <w:tcW w:w="2891" w:type="dxa"/>
            <w:vAlign w:val="center"/>
          </w:tcPr>
          <w:p>
            <w:pPr>
              <w:pStyle w:val="23"/>
            </w:pPr>
            <w:r>
              <w:t>工程量完成率</w:t>
            </w:r>
          </w:p>
        </w:tc>
        <w:tc>
          <w:tcPr>
            <w:tcW w:w="1276" w:type="dxa"/>
            <w:vAlign w:val="center"/>
          </w:tcPr>
          <w:p>
            <w:pPr>
              <w:pStyle w:val="23"/>
            </w:pPr>
            <w:r>
              <w:t>≥88百分比</w:t>
            </w:r>
          </w:p>
        </w:tc>
        <w:tc>
          <w:tcPr>
            <w:tcW w:w="1843" w:type="dxa"/>
            <w:vAlign w:val="center"/>
          </w:tcPr>
          <w:p>
            <w:pPr>
              <w:pStyle w:val="23"/>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工程质量合格率</w:t>
            </w:r>
          </w:p>
        </w:tc>
        <w:tc>
          <w:tcPr>
            <w:tcW w:w="2891" w:type="dxa"/>
            <w:vAlign w:val="center"/>
          </w:tcPr>
          <w:p>
            <w:pPr>
              <w:pStyle w:val="23"/>
            </w:pPr>
            <w:r>
              <w:t>工程质量合格率</w:t>
            </w:r>
          </w:p>
        </w:tc>
        <w:tc>
          <w:tcPr>
            <w:tcW w:w="1276" w:type="dxa"/>
            <w:vAlign w:val="center"/>
          </w:tcPr>
          <w:p>
            <w:pPr>
              <w:pStyle w:val="23"/>
            </w:pPr>
            <w:r>
              <w:t>≥87百分比</w:t>
            </w:r>
          </w:p>
        </w:tc>
        <w:tc>
          <w:tcPr>
            <w:tcW w:w="1843" w:type="dxa"/>
            <w:vAlign w:val="center"/>
          </w:tcPr>
          <w:p>
            <w:pPr>
              <w:pStyle w:val="23"/>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工程完成及时率</w:t>
            </w:r>
          </w:p>
        </w:tc>
        <w:tc>
          <w:tcPr>
            <w:tcW w:w="2891" w:type="dxa"/>
            <w:vAlign w:val="center"/>
          </w:tcPr>
          <w:p>
            <w:pPr>
              <w:pStyle w:val="23"/>
            </w:pPr>
            <w:r>
              <w:t>工程完成及时率</w:t>
            </w:r>
          </w:p>
        </w:tc>
        <w:tc>
          <w:tcPr>
            <w:tcW w:w="1276" w:type="dxa"/>
            <w:vAlign w:val="center"/>
          </w:tcPr>
          <w:p>
            <w:pPr>
              <w:pStyle w:val="23"/>
            </w:pPr>
            <w:r>
              <w:t>≥90百分比</w:t>
            </w:r>
          </w:p>
        </w:tc>
        <w:tc>
          <w:tcPr>
            <w:tcW w:w="1843" w:type="dxa"/>
            <w:vAlign w:val="center"/>
          </w:tcPr>
          <w:p>
            <w:pPr>
              <w:pStyle w:val="23"/>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当年预算</w:t>
            </w:r>
          </w:p>
        </w:tc>
        <w:tc>
          <w:tcPr>
            <w:tcW w:w="2891" w:type="dxa"/>
            <w:vAlign w:val="center"/>
          </w:tcPr>
          <w:p>
            <w:pPr>
              <w:pStyle w:val="23"/>
            </w:pPr>
            <w:r>
              <w:t>当年预算</w:t>
            </w:r>
          </w:p>
        </w:tc>
        <w:tc>
          <w:tcPr>
            <w:tcW w:w="1276" w:type="dxa"/>
            <w:vAlign w:val="center"/>
          </w:tcPr>
          <w:p>
            <w:pPr>
              <w:pStyle w:val="23"/>
            </w:pPr>
            <w:r>
              <w:t>≤350万元</w:t>
            </w:r>
          </w:p>
        </w:tc>
        <w:tc>
          <w:tcPr>
            <w:tcW w:w="1843" w:type="dxa"/>
            <w:vAlign w:val="center"/>
          </w:tcPr>
          <w:p>
            <w:pPr>
              <w:pStyle w:val="23"/>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生态效益指标</w:t>
            </w:r>
          </w:p>
        </w:tc>
        <w:tc>
          <w:tcPr>
            <w:tcW w:w="1332" w:type="dxa"/>
            <w:vAlign w:val="center"/>
          </w:tcPr>
          <w:p>
            <w:pPr>
              <w:pStyle w:val="23"/>
            </w:pPr>
            <w:r>
              <w:t>改善生态环境质量</w:t>
            </w:r>
          </w:p>
        </w:tc>
        <w:tc>
          <w:tcPr>
            <w:tcW w:w="2891" w:type="dxa"/>
            <w:vAlign w:val="center"/>
          </w:tcPr>
          <w:p>
            <w:pPr>
              <w:pStyle w:val="23"/>
            </w:pPr>
            <w:r>
              <w:t>改善生态环境质量</w:t>
            </w:r>
          </w:p>
        </w:tc>
        <w:tc>
          <w:tcPr>
            <w:tcW w:w="1276" w:type="dxa"/>
            <w:vAlign w:val="center"/>
          </w:tcPr>
          <w:p>
            <w:pPr>
              <w:pStyle w:val="23"/>
            </w:pPr>
            <w:r>
              <w:t>≥86百分比</w:t>
            </w:r>
          </w:p>
        </w:tc>
        <w:tc>
          <w:tcPr>
            <w:tcW w:w="1843" w:type="dxa"/>
            <w:vAlign w:val="center"/>
          </w:tcPr>
          <w:p>
            <w:pPr>
              <w:pStyle w:val="23"/>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≥92百分比</w:t>
            </w:r>
          </w:p>
        </w:tc>
        <w:tc>
          <w:tcPr>
            <w:tcW w:w="1843" w:type="dxa"/>
            <w:vAlign w:val="center"/>
          </w:tcPr>
          <w:p>
            <w:pPr>
              <w:pStyle w:val="23"/>
            </w:pPr>
            <w:r>
              <w:t>《河北省涞水县污水处理厂委托运营合同》</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pPr>
      <w:bookmarkStart w:id="54" w:name="_Toc_4_4_0000000050"/>
      <w:r>
        <w:rPr>
          <w:rFonts w:ascii="方正仿宋_GBK" w:hAnsi="方正仿宋_GBK" w:eastAsia="方正仿宋_GBK" w:cs="方正仿宋_GBK"/>
          <w:color w:val="000000"/>
          <w:sz w:val="28"/>
        </w:rPr>
        <w:t>47.涞水县污水处理厂委托运营费绩效目标表</w:t>
      </w:r>
      <w:bookmarkEnd w:id="54"/>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13062322P00P46210003K</w:t>
            </w:r>
          </w:p>
        </w:tc>
        <w:tc>
          <w:tcPr>
            <w:tcW w:w="1587" w:type="dxa"/>
            <w:vAlign w:val="center"/>
          </w:tcPr>
          <w:p>
            <w:pPr>
              <w:pStyle w:val="21"/>
            </w:pPr>
            <w:r>
              <w:t>项目名称</w:t>
            </w:r>
          </w:p>
        </w:tc>
        <w:tc>
          <w:tcPr>
            <w:tcW w:w="4422" w:type="dxa"/>
            <w:gridSpan w:val="3"/>
            <w:vAlign w:val="center"/>
          </w:tcPr>
          <w:p>
            <w:pPr>
              <w:pStyle w:val="23"/>
            </w:pPr>
            <w:r>
              <w:t>涞水县污水处理厂委托运营费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618.20</w:t>
            </w:r>
          </w:p>
        </w:tc>
        <w:tc>
          <w:tcPr>
            <w:tcW w:w="1587" w:type="dxa"/>
            <w:vAlign w:val="center"/>
          </w:tcPr>
          <w:p>
            <w:pPr>
              <w:pStyle w:val="21"/>
            </w:pPr>
            <w:r>
              <w:t>其中：财政    资金</w:t>
            </w:r>
          </w:p>
        </w:tc>
        <w:tc>
          <w:tcPr>
            <w:tcW w:w="1304" w:type="dxa"/>
            <w:vAlign w:val="center"/>
          </w:tcPr>
          <w:p>
            <w:pPr>
              <w:pStyle w:val="23"/>
            </w:pPr>
            <w:r>
              <w:t>618.20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2022年污水处理厂委托运营费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随着社会经济快速发展，城市人口和用水量的增加，产生的污水也随之增加，通过污水处理厂对污水处理的第三方委托运营，使污水精处理达标国家排放标准和大清河流域标准</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工程量完成率</w:t>
            </w:r>
          </w:p>
        </w:tc>
        <w:tc>
          <w:tcPr>
            <w:tcW w:w="2891" w:type="dxa"/>
            <w:vAlign w:val="center"/>
          </w:tcPr>
          <w:p>
            <w:pPr>
              <w:pStyle w:val="23"/>
            </w:pPr>
            <w:r>
              <w:t>工程量完成率</w:t>
            </w:r>
          </w:p>
        </w:tc>
        <w:tc>
          <w:tcPr>
            <w:tcW w:w="1276" w:type="dxa"/>
            <w:vAlign w:val="center"/>
          </w:tcPr>
          <w:p>
            <w:pPr>
              <w:pStyle w:val="23"/>
            </w:pPr>
            <w:r>
              <w:t>≥80百分比</w:t>
            </w:r>
          </w:p>
        </w:tc>
        <w:tc>
          <w:tcPr>
            <w:tcW w:w="1843" w:type="dxa"/>
            <w:vAlign w:val="center"/>
          </w:tcPr>
          <w:p>
            <w:pPr>
              <w:pStyle w:val="23"/>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工程质量合格率</w:t>
            </w:r>
          </w:p>
        </w:tc>
        <w:tc>
          <w:tcPr>
            <w:tcW w:w="2891" w:type="dxa"/>
            <w:vAlign w:val="center"/>
          </w:tcPr>
          <w:p>
            <w:pPr>
              <w:pStyle w:val="23"/>
            </w:pPr>
            <w:r>
              <w:t>工程质量合格率</w:t>
            </w:r>
          </w:p>
        </w:tc>
        <w:tc>
          <w:tcPr>
            <w:tcW w:w="1276" w:type="dxa"/>
            <w:vAlign w:val="center"/>
          </w:tcPr>
          <w:p>
            <w:pPr>
              <w:pStyle w:val="23"/>
            </w:pPr>
            <w:r>
              <w:t>≥85百分比</w:t>
            </w:r>
          </w:p>
        </w:tc>
        <w:tc>
          <w:tcPr>
            <w:tcW w:w="1843" w:type="dxa"/>
            <w:vAlign w:val="center"/>
          </w:tcPr>
          <w:p>
            <w:pPr>
              <w:pStyle w:val="23"/>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工程完成及时率</w:t>
            </w:r>
          </w:p>
        </w:tc>
        <w:tc>
          <w:tcPr>
            <w:tcW w:w="2891" w:type="dxa"/>
            <w:vAlign w:val="center"/>
          </w:tcPr>
          <w:p>
            <w:pPr>
              <w:pStyle w:val="23"/>
            </w:pPr>
            <w:r>
              <w:t>工程完成及时率</w:t>
            </w:r>
          </w:p>
        </w:tc>
        <w:tc>
          <w:tcPr>
            <w:tcW w:w="1276" w:type="dxa"/>
            <w:vAlign w:val="center"/>
          </w:tcPr>
          <w:p>
            <w:pPr>
              <w:pStyle w:val="23"/>
            </w:pPr>
            <w:r>
              <w:t>≥90百分比</w:t>
            </w:r>
          </w:p>
        </w:tc>
        <w:tc>
          <w:tcPr>
            <w:tcW w:w="1843" w:type="dxa"/>
            <w:vAlign w:val="center"/>
          </w:tcPr>
          <w:p>
            <w:pPr>
              <w:pStyle w:val="23"/>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当年预算</w:t>
            </w:r>
          </w:p>
        </w:tc>
        <w:tc>
          <w:tcPr>
            <w:tcW w:w="2891" w:type="dxa"/>
            <w:vAlign w:val="center"/>
          </w:tcPr>
          <w:p>
            <w:pPr>
              <w:pStyle w:val="23"/>
            </w:pPr>
            <w:r>
              <w:t>当年预算</w:t>
            </w:r>
          </w:p>
        </w:tc>
        <w:tc>
          <w:tcPr>
            <w:tcW w:w="1276" w:type="dxa"/>
            <w:vAlign w:val="center"/>
          </w:tcPr>
          <w:p>
            <w:pPr>
              <w:pStyle w:val="23"/>
            </w:pPr>
            <w:r>
              <w:t>≤618.2万元</w:t>
            </w:r>
          </w:p>
        </w:tc>
        <w:tc>
          <w:tcPr>
            <w:tcW w:w="1843" w:type="dxa"/>
            <w:vAlign w:val="center"/>
          </w:tcPr>
          <w:p>
            <w:pPr>
              <w:pStyle w:val="23"/>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生态效益指标</w:t>
            </w:r>
          </w:p>
        </w:tc>
        <w:tc>
          <w:tcPr>
            <w:tcW w:w="1332" w:type="dxa"/>
            <w:vAlign w:val="center"/>
          </w:tcPr>
          <w:p>
            <w:pPr>
              <w:pStyle w:val="23"/>
            </w:pPr>
            <w:r>
              <w:t>改善生态环境质量</w:t>
            </w:r>
          </w:p>
        </w:tc>
        <w:tc>
          <w:tcPr>
            <w:tcW w:w="2891" w:type="dxa"/>
            <w:vAlign w:val="center"/>
          </w:tcPr>
          <w:p>
            <w:pPr>
              <w:pStyle w:val="23"/>
            </w:pPr>
            <w:r>
              <w:t>改善生态环境质量</w:t>
            </w:r>
          </w:p>
        </w:tc>
        <w:tc>
          <w:tcPr>
            <w:tcW w:w="1276" w:type="dxa"/>
            <w:vAlign w:val="center"/>
          </w:tcPr>
          <w:p>
            <w:pPr>
              <w:pStyle w:val="23"/>
            </w:pPr>
            <w:r>
              <w:t>≥88百分比</w:t>
            </w:r>
          </w:p>
        </w:tc>
        <w:tc>
          <w:tcPr>
            <w:tcW w:w="1843" w:type="dxa"/>
            <w:vAlign w:val="center"/>
          </w:tcPr>
          <w:p>
            <w:pPr>
              <w:pStyle w:val="23"/>
            </w:pPr>
            <w:r>
              <w:t>《河北省涞水县污水处理厂委托运营合同》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≥93百分比</w:t>
            </w:r>
          </w:p>
        </w:tc>
        <w:tc>
          <w:tcPr>
            <w:tcW w:w="1843" w:type="dxa"/>
            <w:vAlign w:val="center"/>
          </w:tcPr>
          <w:p>
            <w:pPr>
              <w:pStyle w:val="23"/>
            </w:pPr>
            <w:r>
              <w:t>《河北省涞水县污水处理厂委托运营合同》</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pPr>
      <w:bookmarkStart w:id="55" w:name="_Toc_4_4_0000000051"/>
      <w:r>
        <w:rPr>
          <w:rFonts w:ascii="方正仿宋_GBK" w:hAnsi="方正仿宋_GBK" w:eastAsia="方正仿宋_GBK" w:cs="方正仿宋_GBK"/>
          <w:color w:val="000000"/>
          <w:sz w:val="28"/>
        </w:rPr>
        <w:t>48.涞水县污水处理厂污泥干化项目绩效目标表</w:t>
      </w:r>
      <w:bookmarkEnd w:id="55"/>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13062322P00812810001K</w:t>
            </w:r>
          </w:p>
        </w:tc>
        <w:tc>
          <w:tcPr>
            <w:tcW w:w="1587" w:type="dxa"/>
            <w:vAlign w:val="center"/>
          </w:tcPr>
          <w:p>
            <w:pPr>
              <w:pStyle w:val="21"/>
            </w:pPr>
            <w:r>
              <w:t>项目名称</w:t>
            </w:r>
          </w:p>
        </w:tc>
        <w:tc>
          <w:tcPr>
            <w:tcW w:w="4422" w:type="dxa"/>
            <w:gridSpan w:val="3"/>
            <w:vAlign w:val="center"/>
          </w:tcPr>
          <w:p>
            <w:pPr>
              <w:pStyle w:val="23"/>
            </w:pPr>
            <w:r>
              <w:t>涞水县污水处理厂污泥干化项目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110.00</w:t>
            </w:r>
          </w:p>
        </w:tc>
        <w:tc>
          <w:tcPr>
            <w:tcW w:w="1587" w:type="dxa"/>
            <w:vAlign w:val="center"/>
          </w:tcPr>
          <w:p>
            <w:pPr>
              <w:pStyle w:val="21"/>
            </w:pPr>
            <w:r>
              <w:t>其中：财政    资金</w:t>
            </w:r>
          </w:p>
        </w:tc>
        <w:tc>
          <w:tcPr>
            <w:tcW w:w="1304" w:type="dxa"/>
            <w:vAlign w:val="center"/>
          </w:tcPr>
          <w:p>
            <w:pPr>
              <w:pStyle w:val="23"/>
            </w:pPr>
            <w:r>
              <w:t>110.00</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用于支付污水处理厂污泥干化项目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1.为保证涞水县污水处理厂污泥得到安全处置和有效利用，能实现污泥无害化、减量化、稳定化和资源化</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工程量完成率</w:t>
            </w:r>
          </w:p>
        </w:tc>
        <w:tc>
          <w:tcPr>
            <w:tcW w:w="2891" w:type="dxa"/>
            <w:vAlign w:val="center"/>
          </w:tcPr>
          <w:p>
            <w:pPr>
              <w:pStyle w:val="23"/>
            </w:pPr>
            <w:r>
              <w:t>工程量完成率</w:t>
            </w:r>
          </w:p>
        </w:tc>
        <w:tc>
          <w:tcPr>
            <w:tcW w:w="1276" w:type="dxa"/>
            <w:vAlign w:val="center"/>
          </w:tcPr>
          <w:p>
            <w:pPr>
              <w:pStyle w:val="23"/>
            </w:pPr>
            <w:r>
              <w:t>87百分比</w:t>
            </w:r>
          </w:p>
        </w:tc>
        <w:tc>
          <w:tcPr>
            <w:tcW w:w="1843" w:type="dxa"/>
            <w:vAlign w:val="center"/>
          </w:tcPr>
          <w:p>
            <w:pPr>
              <w:pStyle w:val="23"/>
            </w:pPr>
            <w:r>
              <w:t>《涞水县污水处理厂污泥干化项目委托运营协议》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工程质量合格率</w:t>
            </w:r>
          </w:p>
        </w:tc>
        <w:tc>
          <w:tcPr>
            <w:tcW w:w="2891" w:type="dxa"/>
            <w:vAlign w:val="center"/>
          </w:tcPr>
          <w:p>
            <w:pPr>
              <w:pStyle w:val="23"/>
            </w:pPr>
            <w:r>
              <w:t>工程质量合格率</w:t>
            </w:r>
          </w:p>
        </w:tc>
        <w:tc>
          <w:tcPr>
            <w:tcW w:w="1276" w:type="dxa"/>
            <w:vAlign w:val="center"/>
          </w:tcPr>
          <w:p>
            <w:pPr>
              <w:pStyle w:val="23"/>
            </w:pPr>
            <w:r>
              <w:t>≥80百分比</w:t>
            </w:r>
          </w:p>
        </w:tc>
        <w:tc>
          <w:tcPr>
            <w:tcW w:w="1843" w:type="dxa"/>
            <w:vAlign w:val="center"/>
          </w:tcPr>
          <w:p>
            <w:pPr>
              <w:pStyle w:val="23"/>
            </w:pPr>
            <w:r>
              <w:t>《涞水县污水处理厂污泥干化项目委托运营协议》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工程完成及时率</w:t>
            </w:r>
          </w:p>
        </w:tc>
        <w:tc>
          <w:tcPr>
            <w:tcW w:w="2891" w:type="dxa"/>
            <w:vAlign w:val="center"/>
          </w:tcPr>
          <w:p>
            <w:pPr>
              <w:pStyle w:val="23"/>
            </w:pPr>
            <w:r>
              <w:t>工程完成及时率</w:t>
            </w:r>
          </w:p>
        </w:tc>
        <w:tc>
          <w:tcPr>
            <w:tcW w:w="1276" w:type="dxa"/>
            <w:vAlign w:val="center"/>
          </w:tcPr>
          <w:p>
            <w:pPr>
              <w:pStyle w:val="23"/>
            </w:pPr>
            <w:r>
              <w:t>90百分比</w:t>
            </w:r>
          </w:p>
        </w:tc>
        <w:tc>
          <w:tcPr>
            <w:tcW w:w="1843" w:type="dxa"/>
            <w:vAlign w:val="center"/>
          </w:tcPr>
          <w:p>
            <w:pPr>
              <w:pStyle w:val="23"/>
            </w:pPr>
            <w:r>
              <w:t>《涞水县污水处理厂污泥干化项目委托运营协议》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当年预算</w:t>
            </w:r>
          </w:p>
        </w:tc>
        <w:tc>
          <w:tcPr>
            <w:tcW w:w="2891" w:type="dxa"/>
            <w:vAlign w:val="center"/>
          </w:tcPr>
          <w:p>
            <w:pPr>
              <w:pStyle w:val="23"/>
            </w:pPr>
            <w:r>
              <w:t>当年预算</w:t>
            </w:r>
          </w:p>
        </w:tc>
        <w:tc>
          <w:tcPr>
            <w:tcW w:w="1276" w:type="dxa"/>
            <w:vAlign w:val="center"/>
          </w:tcPr>
          <w:p>
            <w:pPr>
              <w:pStyle w:val="23"/>
            </w:pPr>
            <w:r>
              <w:t>≤110万元</w:t>
            </w:r>
          </w:p>
        </w:tc>
        <w:tc>
          <w:tcPr>
            <w:tcW w:w="1843" w:type="dxa"/>
            <w:vAlign w:val="center"/>
          </w:tcPr>
          <w:p>
            <w:pPr>
              <w:pStyle w:val="23"/>
            </w:pPr>
            <w:r>
              <w:t>《涞水县污水处理厂污泥干化项目委托运营协议》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生态效益指标</w:t>
            </w:r>
          </w:p>
        </w:tc>
        <w:tc>
          <w:tcPr>
            <w:tcW w:w="1332" w:type="dxa"/>
            <w:vAlign w:val="center"/>
          </w:tcPr>
          <w:p>
            <w:pPr>
              <w:pStyle w:val="23"/>
            </w:pPr>
            <w:r>
              <w:t>满足生态环保要求</w:t>
            </w:r>
          </w:p>
        </w:tc>
        <w:tc>
          <w:tcPr>
            <w:tcW w:w="2891" w:type="dxa"/>
            <w:vAlign w:val="center"/>
          </w:tcPr>
          <w:p>
            <w:pPr>
              <w:pStyle w:val="23"/>
            </w:pPr>
            <w:r>
              <w:t>满足生态环保要求</w:t>
            </w:r>
          </w:p>
        </w:tc>
        <w:tc>
          <w:tcPr>
            <w:tcW w:w="1276" w:type="dxa"/>
            <w:vAlign w:val="center"/>
          </w:tcPr>
          <w:p>
            <w:pPr>
              <w:pStyle w:val="23"/>
            </w:pPr>
            <w:r>
              <w:t>≥90百分比</w:t>
            </w:r>
          </w:p>
        </w:tc>
        <w:tc>
          <w:tcPr>
            <w:tcW w:w="1843" w:type="dxa"/>
            <w:vAlign w:val="center"/>
          </w:tcPr>
          <w:p>
            <w:pPr>
              <w:pStyle w:val="23"/>
            </w:pPr>
            <w:r>
              <w:t>《涞水县污水处理厂污泥干化项目委托运营协议》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≥95百分比</w:t>
            </w:r>
          </w:p>
        </w:tc>
        <w:tc>
          <w:tcPr>
            <w:tcW w:w="1843" w:type="dxa"/>
            <w:vAlign w:val="center"/>
          </w:tcPr>
          <w:p>
            <w:pPr>
              <w:pStyle w:val="23"/>
            </w:pPr>
            <w:r>
              <w:t>《涞水县污水处理厂污泥干化项目委托运营协议》</w:t>
            </w:r>
          </w:p>
        </w:tc>
      </w:tr>
    </w:tbl>
    <w:p>
      <w:pPr>
        <w:rPr>
          <w:rFonts w:eastAsiaTheme="minorEastAsia"/>
          <w:lang w:eastAsia="zh-CN"/>
        </w:rPr>
        <w:sectPr>
          <w:type w:val="continuous"/>
          <w:pgSz w:w="16840" w:h="11900" w:orient="landscape"/>
          <w:pgMar w:top="1304" w:right="1984" w:bottom="1304" w:left="1134" w:header="720" w:footer="720" w:gutter="0"/>
          <w:cols w:space="720" w:num="1"/>
        </w:sectPr>
      </w:pPr>
    </w:p>
    <w:p>
      <w:pPr>
        <w:rPr>
          <w:rFonts w:eastAsiaTheme="minorEastAsia"/>
          <w:lang w:eastAsia="zh-CN"/>
        </w:rPr>
      </w:pPr>
    </w:p>
    <w:p>
      <w:pPr>
        <w:ind w:firstLine="560"/>
        <w:outlineLvl w:val="3"/>
      </w:pPr>
      <w:bookmarkStart w:id="56" w:name="_Toc_4_4_0000000052"/>
      <w:r>
        <w:rPr>
          <w:rFonts w:ascii="方正仿宋_GBK" w:hAnsi="方正仿宋_GBK" w:eastAsia="方正仿宋_GBK" w:cs="方正仿宋_GBK"/>
          <w:color w:val="000000"/>
          <w:sz w:val="28"/>
        </w:rPr>
        <w:t>49.涞水县涞阳南路分车带绿化养护项目绩效目标表</w:t>
      </w:r>
      <w:bookmarkEnd w:id="56"/>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7"/>
            </w:pPr>
            <w:r>
              <w:t>333涞水县住房和城乡建设局</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3"/>
            </w:pPr>
            <w:r>
              <w:t>13062322P00E0N0100022</w:t>
            </w:r>
          </w:p>
        </w:tc>
        <w:tc>
          <w:tcPr>
            <w:tcW w:w="1587" w:type="dxa"/>
            <w:vAlign w:val="center"/>
          </w:tcPr>
          <w:p>
            <w:pPr>
              <w:pStyle w:val="21"/>
            </w:pPr>
            <w:r>
              <w:t>项目名称</w:t>
            </w:r>
          </w:p>
        </w:tc>
        <w:tc>
          <w:tcPr>
            <w:tcW w:w="4422" w:type="dxa"/>
            <w:gridSpan w:val="3"/>
            <w:vAlign w:val="center"/>
          </w:tcPr>
          <w:p>
            <w:pPr>
              <w:pStyle w:val="23"/>
            </w:pPr>
            <w:r>
              <w:t>涞水县涞阳南路分车带绿化养护项目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3"/>
            </w:pPr>
            <w:r>
              <w:t>64.63</w:t>
            </w:r>
          </w:p>
        </w:tc>
        <w:tc>
          <w:tcPr>
            <w:tcW w:w="1587" w:type="dxa"/>
            <w:vAlign w:val="center"/>
          </w:tcPr>
          <w:p>
            <w:pPr>
              <w:pStyle w:val="21"/>
            </w:pPr>
            <w:r>
              <w:t>其中：财政    资金</w:t>
            </w:r>
          </w:p>
        </w:tc>
        <w:tc>
          <w:tcPr>
            <w:tcW w:w="1304" w:type="dxa"/>
            <w:vAlign w:val="center"/>
          </w:tcPr>
          <w:p>
            <w:pPr>
              <w:pStyle w:val="23"/>
            </w:pPr>
            <w:r>
              <w:t>64.63</w:t>
            </w:r>
          </w:p>
        </w:tc>
        <w:tc>
          <w:tcPr>
            <w:tcW w:w="1276" w:type="dxa"/>
            <w:vAlign w:val="center"/>
          </w:tcPr>
          <w:p>
            <w:pPr>
              <w:pStyle w:val="21"/>
            </w:pPr>
            <w:r>
              <w:t>其他资金</w:t>
            </w:r>
          </w:p>
        </w:tc>
        <w:tc>
          <w:tcPr>
            <w:tcW w:w="1843" w:type="dxa"/>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3"/>
            </w:pPr>
            <w:r>
              <w:t>用于支付涞阳南路分车带绿化养护费用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4"/>
            </w:pPr>
            <w:r>
              <w:t>25%</w:t>
            </w:r>
          </w:p>
        </w:tc>
        <w:tc>
          <w:tcPr>
            <w:tcW w:w="1587" w:type="dxa"/>
            <w:vAlign w:val="center"/>
          </w:tcPr>
          <w:p>
            <w:pPr>
              <w:pStyle w:val="24"/>
            </w:pPr>
            <w:r>
              <w:t>50%</w:t>
            </w:r>
          </w:p>
        </w:tc>
        <w:tc>
          <w:tcPr>
            <w:tcW w:w="1304" w:type="dxa"/>
            <w:vAlign w:val="center"/>
          </w:tcPr>
          <w:p>
            <w:pPr>
              <w:pStyle w:val="24"/>
            </w:pPr>
            <w:r>
              <w:t>75%</w:t>
            </w:r>
          </w:p>
        </w:tc>
        <w:tc>
          <w:tcPr>
            <w:tcW w:w="3118" w:type="dxa"/>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3"/>
            </w:pPr>
            <w:r>
              <w:t>1.通过对涞阳南路分车带绿化养护工作，增加涞水县城绿地面积，为人民群众提供更舒适的休闲场所。</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完成项目数量</w:t>
            </w:r>
          </w:p>
        </w:tc>
        <w:tc>
          <w:tcPr>
            <w:tcW w:w="2891" w:type="dxa"/>
            <w:vAlign w:val="center"/>
          </w:tcPr>
          <w:p>
            <w:pPr>
              <w:pStyle w:val="23"/>
            </w:pPr>
            <w:r>
              <w:t>完成项目数量</w:t>
            </w:r>
          </w:p>
        </w:tc>
        <w:tc>
          <w:tcPr>
            <w:tcW w:w="1276" w:type="dxa"/>
            <w:vAlign w:val="center"/>
          </w:tcPr>
          <w:p>
            <w:pPr>
              <w:pStyle w:val="23"/>
            </w:pPr>
            <w:r>
              <w:t>≥85百分比</w:t>
            </w:r>
          </w:p>
        </w:tc>
        <w:tc>
          <w:tcPr>
            <w:tcW w:w="1843" w:type="dxa"/>
            <w:vAlign w:val="center"/>
          </w:tcPr>
          <w:p>
            <w:pPr>
              <w:pStyle w:val="23"/>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质量达标率</w:t>
            </w:r>
          </w:p>
        </w:tc>
        <w:tc>
          <w:tcPr>
            <w:tcW w:w="2891" w:type="dxa"/>
            <w:vAlign w:val="center"/>
          </w:tcPr>
          <w:p>
            <w:pPr>
              <w:pStyle w:val="23"/>
            </w:pPr>
            <w:r>
              <w:t>对各单位目标任务，工程质量，工程进度，安全生产，技术创新，文明施工，科学管理，廉政建设，营造氛围，组织领导进行考核</w:t>
            </w:r>
          </w:p>
        </w:tc>
        <w:tc>
          <w:tcPr>
            <w:tcW w:w="1276" w:type="dxa"/>
            <w:vAlign w:val="center"/>
          </w:tcPr>
          <w:p>
            <w:pPr>
              <w:pStyle w:val="23"/>
            </w:pPr>
            <w:r>
              <w:t>≥90百分比</w:t>
            </w:r>
          </w:p>
        </w:tc>
        <w:tc>
          <w:tcPr>
            <w:tcW w:w="1843" w:type="dxa"/>
            <w:vAlign w:val="center"/>
          </w:tcPr>
          <w:p>
            <w:pPr>
              <w:pStyle w:val="23"/>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工程按期完成率</w:t>
            </w:r>
          </w:p>
        </w:tc>
        <w:tc>
          <w:tcPr>
            <w:tcW w:w="2891" w:type="dxa"/>
            <w:vAlign w:val="center"/>
          </w:tcPr>
          <w:p>
            <w:pPr>
              <w:pStyle w:val="23"/>
            </w:pPr>
            <w:r>
              <w:t>工程按期完成率</w:t>
            </w:r>
          </w:p>
        </w:tc>
        <w:tc>
          <w:tcPr>
            <w:tcW w:w="1276" w:type="dxa"/>
            <w:vAlign w:val="center"/>
          </w:tcPr>
          <w:p>
            <w:pPr>
              <w:pStyle w:val="23"/>
            </w:pPr>
            <w:r>
              <w:t>80百分比</w:t>
            </w:r>
          </w:p>
        </w:tc>
        <w:tc>
          <w:tcPr>
            <w:tcW w:w="1843" w:type="dxa"/>
            <w:vAlign w:val="center"/>
          </w:tcPr>
          <w:p>
            <w:pPr>
              <w:pStyle w:val="23"/>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预算执行率</w:t>
            </w:r>
          </w:p>
        </w:tc>
        <w:tc>
          <w:tcPr>
            <w:tcW w:w="2891" w:type="dxa"/>
            <w:vAlign w:val="center"/>
          </w:tcPr>
          <w:p>
            <w:pPr>
              <w:pStyle w:val="23"/>
            </w:pPr>
            <w:r>
              <w:t>预算执行率</w:t>
            </w:r>
          </w:p>
        </w:tc>
        <w:tc>
          <w:tcPr>
            <w:tcW w:w="1276" w:type="dxa"/>
            <w:vAlign w:val="center"/>
          </w:tcPr>
          <w:p>
            <w:pPr>
              <w:pStyle w:val="23"/>
            </w:pPr>
            <w:r>
              <w:t>≤64.63万元</w:t>
            </w:r>
          </w:p>
        </w:tc>
        <w:tc>
          <w:tcPr>
            <w:tcW w:w="1843" w:type="dxa"/>
            <w:vAlign w:val="center"/>
          </w:tcPr>
          <w:p>
            <w:pPr>
              <w:pStyle w:val="23"/>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生态效益指标</w:t>
            </w:r>
          </w:p>
        </w:tc>
        <w:tc>
          <w:tcPr>
            <w:tcW w:w="1332" w:type="dxa"/>
            <w:vAlign w:val="center"/>
          </w:tcPr>
          <w:p>
            <w:pPr>
              <w:pStyle w:val="23"/>
            </w:pPr>
            <w:r>
              <w:t>改善生态环境质量</w:t>
            </w:r>
          </w:p>
        </w:tc>
        <w:tc>
          <w:tcPr>
            <w:tcW w:w="2891" w:type="dxa"/>
            <w:vAlign w:val="center"/>
          </w:tcPr>
          <w:p>
            <w:pPr>
              <w:pStyle w:val="23"/>
            </w:pPr>
            <w:r>
              <w:t>改善生态环境质量</w:t>
            </w:r>
          </w:p>
        </w:tc>
        <w:tc>
          <w:tcPr>
            <w:tcW w:w="1276" w:type="dxa"/>
            <w:vAlign w:val="center"/>
          </w:tcPr>
          <w:p>
            <w:pPr>
              <w:pStyle w:val="23"/>
            </w:pPr>
            <w:r>
              <w:t>≥90百分比</w:t>
            </w:r>
          </w:p>
        </w:tc>
        <w:tc>
          <w:tcPr>
            <w:tcW w:w="1843" w:type="dxa"/>
            <w:vAlign w:val="center"/>
          </w:tcPr>
          <w:p>
            <w:pPr>
              <w:pStyle w:val="23"/>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满意率</w:t>
            </w:r>
          </w:p>
        </w:tc>
        <w:tc>
          <w:tcPr>
            <w:tcW w:w="2891" w:type="dxa"/>
            <w:vAlign w:val="center"/>
          </w:tcPr>
          <w:p>
            <w:pPr>
              <w:pStyle w:val="23"/>
            </w:pPr>
            <w:r>
              <w:t>满意率</w:t>
            </w:r>
          </w:p>
        </w:tc>
        <w:tc>
          <w:tcPr>
            <w:tcW w:w="1276" w:type="dxa"/>
            <w:vAlign w:val="center"/>
          </w:tcPr>
          <w:p>
            <w:pPr>
              <w:pStyle w:val="23"/>
            </w:pPr>
            <w:r>
              <w:t>≥95百分比</w:t>
            </w:r>
          </w:p>
        </w:tc>
        <w:tc>
          <w:tcPr>
            <w:tcW w:w="1843" w:type="dxa"/>
            <w:vAlign w:val="center"/>
          </w:tcPr>
          <w:p>
            <w:pPr>
              <w:pStyle w:val="23"/>
            </w:pPr>
            <w:r>
              <w:t>养护合同</w:t>
            </w:r>
          </w:p>
        </w:tc>
      </w:tr>
    </w:tbl>
    <w:p/>
    <w:p>
      <w:pPr>
        <w:spacing w:line="560" w:lineRule="exact"/>
        <w:ind w:firstLine="640" w:firstLineChars="200"/>
        <w:outlineLvl w:val="0"/>
        <w:rPr>
          <w:rFonts w:hint="eastAsia" w:ascii="黑体" w:hAnsi="黑体" w:eastAsia="黑体" w:cs="仿宋"/>
          <w:sz w:val="32"/>
          <w:szCs w:val="32"/>
          <w:lang w:eastAsia="zh-CN"/>
        </w:rPr>
      </w:pPr>
    </w:p>
    <w:p>
      <w:pPr>
        <w:spacing w:line="560" w:lineRule="exact"/>
        <w:ind w:firstLine="640" w:firstLineChars="200"/>
        <w:outlineLvl w:val="0"/>
        <w:rPr>
          <w:rFonts w:ascii="黑体" w:hAnsi="黑体" w:eastAsia="黑体" w:cs="仿宋"/>
          <w:sz w:val="32"/>
          <w:szCs w:val="32"/>
        </w:rPr>
      </w:pPr>
      <w:r>
        <w:rPr>
          <w:rFonts w:hint="eastAsia" w:ascii="黑体" w:hAnsi="黑体" w:eastAsia="黑体" w:cs="仿宋"/>
          <w:sz w:val="32"/>
          <w:szCs w:val="32"/>
        </w:rPr>
        <w:t>六、政府采购预算情况</w:t>
      </w:r>
    </w:p>
    <w:p>
      <w:pPr>
        <w:spacing w:line="560" w:lineRule="exact"/>
        <w:ind w:firstLine="630"/>
        <w:outlineLvl w:val="0"/>
        <w:rPr>
          <w:rFonts w:ascii="仿宋" w:hAnsi="仿宋" w:eastAsia="仿宋" w:cs="仿宋"/>
          <w:sz w:val="32"/>
          <w:szCs w:val="32"/>
          <w:lang w:eastAsia="zh-CN"/>
        </w:rPr>
      </w:pPr>
      <w:r>
        <w:rPr>
          <w:rFonts w:hint="eastAsia" w:ascii="仿宋" w:hAnsi="仿宋" w:eastAsia="仿宋" w:cs="仿宋"/>
          <w:sz w:val="32"/>
          <w:szCs w:val="32"/>
        </w:rPr>
        <w:t>2022年，本部门没有政府采购预算安排。</w:t>
      </w:r>
    </w:p>
    <w:p>
      <w:pPr>
        <w:jc w:val="center"/>
      </w:pPr>
      <w:r>
        <w:rPr>
          <w:rFonts w:ascii="方正小标宋_GBK" w:hAnsi="方正小标宋_GBK" w:eastAsia="方正小标宋_GBK" w:cs="方正小标宋_GBK"/>
          <w:color w:val="000000"/>
          <w:sz w:val="36"/>
        </w:rPr>
        <w:t>部门政府采购预算</w:t>
      </w:r>
    </w:p>
    <w:tbl>
      <w:tblPr>
        <w:tblStyle w:val="11"/>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0"/>
              <w:rPr>
                <w:lang w:eastAsia="zh-CN"/>
              </w:rPr>
            </w:pPr>
            <w:r>
              <w:t>3</w:t>
            </w:r>
            <w:r>
              <w:rPr>
                <w:rFonts w:hint="eastAsia"/>
                <w:lang w:eastAsia="zh-CN"/>
              </w:rPr>
              <w:t>33涞水县住房和城乡建设局</w:t>
            </w:r>
          </w:p>
        </w:tc>
        <w:tc>
          <w:tcPr>
            <w:tcW w:w="8676" w:type="dxa"/>
            <w:gridSpan w:val="9"/>
            <w:tcBorders>
              <w:top w:val="single" w:color="FFFFFF" w:sz="6" w:space="0"/>
              <w:left w:val="single" w:color="FFFFFF" w:sz="6" w:space="0"/>
              <w:right w:val="single" w:color="FFFFFF" w:sz="6" w:space="0"/>
            </w:tcBorders>
            <w:vAlign w:val="center"/>
          </w:tcPr>
          <w:p>
            <w:pPr>
              <w:pStyle w:val="3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1"/>
            </w:pPr>
            <w:r>
              <w:t>政府采购项目来源</w:t>
            </w:r>
          </w:p>
        </w:tc>
        <w:tc>
          <w:tcPr>
            <w:tcW w:w="1134" w:type="dxa"/>
            <w:vMerge w:val="restart"/>
            <w:vAlign w:val="center"/>
          </w:tcPr>
          <w:p>
            <w:pPr>
              <w:pStyle w:val="21"/>
            </w:pPr>
            <w:r>
              <w:t>采购物品名称</w:t>
            </w:r>
          </w:p>
        </w:tc>
        <w:tc>
          <w:tcPr>
            <w:tcW w:w="1134" w:type="dxa"/>
            <w:vMerge w:val="restart"/>
            <w:vAlign w:val="center"/>
          </w:tcPr>
          <w:p>
            <w:pPr>
              <w:pStyle w:val="21"/>
            </w:pPr>
            <w:r>
              <w:t>政府采购目录序号</w:t>
            </w:r>
          </w:p>
        </w:tc>
        <w:tc>
          <w:tcPr>
            <w:tcW w:w="709" w:type="dxa"/>
            <w:vMerge w:val="restart"/>
            <w:vAlign w:val="center"/>
          </w:tcPr>
          <w:p>
            <w:pPr>
              <w:pStyle w:val="21"/>
            </w:pPr>
            <w:r>
              <w:t>计量  单位</w:t>
            </w:r>
          </w:p>
        </w:tc>
        <w:tc>
          <w:tcPr>
            <w:tcW w:w="850" w:type="dxa"/>
            <w:vMerge w:val="restart"/>
            <w:vAlign w:val="center"/>
          </w:tcPr>
          <w:p>
            <w:pPr>
              <w:pStyle w:val="21"/>
            </w:pPr>
            <w:r>
              <w:t>数量</w:t>
            </w:r>
          </w:p>
        </w:tc>
        <w:tc>
          <w:tcPr>
            <w:tcW w:w="850" w:type="dxa"/>
            <w:vMerge w:val="restart"/>
            <w:vAlign w:val="center"/>
          </w:tcPr>
          <w:p>
            <w:pPr>
              <w:pStyle w:val="21"/>
            </w:pPr>
            <w:r>
              <w:t>单价</w:t>
            </w:r>
          </w:p>
        </w:tc>
        <w:tc>
          <w:tcPr>
            <w:tcW w:w="7712" w:type="dxa"/>
            <w:gridSpan w:val="8"/>
            <w:vAlign w:val="center"/>
          </w:tcPr>
          <w:p>
            <w:pPr>
              <w:pStyle w:val="21"/>
            </w:pPr>
            <w:r>
              <w:t>政府采购金额（当年部门预算安排资金）</w:t>
            </w:r>
          </w:p>
        </w:tc>
        <w:tc>
          <w:tcPr>
            <w:tcW w:w="964" w:type="dxa"/>
            <w:vMerge w:val="restart"/>
            <w:vAlign w:val="center"/>
          </w:tcPr>
          <w:p>
            <w:pPr>
              <w:pStyle w:val="21"/>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1"/>
            </w:pPr>
            <w:r>
              <w:t>项目名称</w:t>
            </w:r>
          </w:p>
        </w:tc>
        <w:tc>
          <w:tcPr>
            <w:tcW w:w="964" w:type="dxa"/>
            <w:vAlign w:val="center"/>
          </w:tcPr>
          <w:p>
            <w:pPr>
              <w:pStyle w:val="2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1"/>
            </w:pPr>
            <w:r>
              <w:t>合计</w:t>
            </w:r>
          </w:p>
        </w:tc>
        <w:tc>
          <w:tcPr>
            <w:tcW w:w="964" w:type="dxa"/>
            <w:vAlign w:val="center"/>
          </w:tcPr>
          <w:p>
            <w:pPr>
              <w:pStyle w:val="21"/>
            </w:pPr>
            <w:r>
              <w:t>一般公共预算拨款</w:t>
            </w:r>
          </w:p>
        </w:tc>
        <w:tc>
          <w:tcPr>
            <w:tcW w:w="964" w:type="dxa"/>
            <w:vAlign w:val="center"/>
          </w:tcPr>
          <w:p>
            <w:pPr>
              <w:pStyle w:val="21"/>
            </w:pPr>
            <w:r>
              <w:t>基金预算拨款</w:t>
            </w:r>
          </w:p>
        </w:tc>
        <w:tc>
          <w:tcPr>
            <w:tcW w:w="964" w:type="dxa"/>
            <w:vAlign w:val="center"/>
          </w:tcPr>
          <w:p>
            <w:pPr>
              <w:pStyle w:val="21"/>
            </w:pPr>
            <w:r>
              <w:t>国有资本经营预算拨款</w:t>
            </w:r>
          </w:p>
        </w:tc>
        <w:tc>
          <w:tcPr>
            <w:tcW w:w="964" w:type="dxa"/>
            <w:vAlign w:val="center"/>
          </w:tcPr>
          <w:p>
            <w:pPr>
              <w:pStyle w:val="21"/>
            </w:pPr>
            <w:r>
              <w:t>财政专户核拨</w:t>
            </w:r>
          </w:p>
        </w:tc>
        <w:tc>
          <w:tcPr>
            <w:tcW w:w="964" w:type="dxa"/>
            <w:vAlign w:val="center"/>
          </w:tcPr>
          <w:p>
            <w:pPr>
              <w:pStyle w:val="21"/>
            </w:pPr>
            <w:r>
              <w:t>单位    资金</w:t>
            </w:r>
          </w:p>
        </w:tc>
        <w:tc>
          <w:tcPr>
            <w:tcW w:w="964" w:type="dxa"/>
            <w:vAlign w:val="center"/>
          </w:tcPr>
          <w:p>
            <w:pPr>
              <w:pStyle w:val="21"/>
            </w:pPr>
            <w:r>
              <w:t>财政拨    款结转</w:t>
            </w:r>
          </w:p>
        </w:tc>
        <w:tc>
          <w:tcPr>
            <w:tcW w:w="964" w:type="dxa"/>
            <w:vAlign w:val="center"/>
          </w:tcPr>
          <w:p>
            <w:pPr>
              <w:pStyle w:val="2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合  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r>
    </w:tbl>
    <w:p>
      <w:pPr>
        <w:spacing w:line="500" w:lineRule="exact"/>
        <w:ind w:firstLine="420"/>
        <w:rPr>
          <w:rFonts w:ascii="仿宋_GB2312" w:eastAsia="仿宋_GB2312"/>
          <w:sz w:val="32"/>
          <w:szCs w:val="32"/>
          <w:lang w:eastAsia="zh-CN"/>
        </w:rPr>
      </w:pPr>
      <w:r>
        <w:rPr>
          <w:rFonts w:hint="eastAsia" w:ascii="仿宋_GB2312" w:hAnsi="方正书宋_GBK" w:eastAsia="仿宋_GB2312" w:cs="方正书宋_GBK"/>
          <w:color w:val="000000"/>
          <w:sz w:val="32"/>
          <w:szCs w:val="32"/>
          <w:lang w:eastAsia="zh-CN"/>
        </w:rPr>
        <w:t>注：本部门无政府采购预算，空表列示。</w:t>
      </w:r>
    </w:p>
    <w:p>
      <w:pPr>
        <w:spacing w:line="560" w:lineRule="exact"/>
        <w:ind w:firstLine="630"/>
        <w:outlineLvl w:val="0"/>
        <w:rPr>
          <w:rFonts w:ascii="仿宋_GB2312" w:hAnsi="仿宋" w:eastAsia="仿宋_GB2312" w:cs="仿宋"/>
          <w:sz w:val="32"/>
          <w:szCs w:val="32"/>
          <w:lang w:eastAsia="zh-CN"/>
        </w:rPr>
      </w:pPr>
    </w:p>
    <w:p>
      <w:pPr>
        <w:spacing w:line="560" w:lineRule="exact"/>
        <w:ind w:firstLine="640" w:firstLineChars="200"/>
        <w:outlineLvl w:val="0"/>
        <w:rPr>
          <w:rFonts w:ascii="黑体" w:hAnsi="黑体" w:eastAsia="黑体" w:cs="仿宋"/>
          <w:sz w:val="32"/>
          <w:szCs w:val="32"/>
        </w:rPr>
      </w:pPr>
      <w:r>
        <w:rPr>
          <w:rFonts w:hint="eastAsia" w:ascii="黑体" w:hAnsi="黑体" w:eastAsia="黑体" w:cs="仿宋"/>
          <w:sz w:val="32"/>
          <w:szCs w:val="32"/>
        </w:rPr>
        <w:t>七、国有资产信息情况</w:t>
      </w:r>
    </w:p>
    <w:p>
      <w:pPr>
        <w:spacing w:line="560" w:lineRule="exact"/>
        <w:ind w:firstLine="640" w:firstLineChars="200"/>
        <w:outlineLvl w:val="0"/>
        <w:rPr>
          <w:rFonts w:ascii="仿宋" w:hAnsi="仿宋" w:eastAsia="仿宋" w:cs="仿宋"/>
          <w:sz w:val="32"/>
          <w:szCs w:val="32"/>
          <w:lang w:eastAsia="zh-CN"/>
        </w:rPr>
      </w:pPr>
      <w:r>
        <w:rPr>
          <w:rFonts w:hint="eastAsia" w:ascii="仿宋" w:hAnsi="仿宋" w:eastAsia="仿宋" w:cs="仿宋"/>
          <w:sz w:val="32"/>
          <w:szCs w:val="32"/>
        </w:rPr>
        <w:t>2021年末，本部门固定资产总额为698.71万元，主要包括办公用房630平方米，价值63万元；执法执勤车辆4辆，价值61.66万元，专业技术用车1辆，价值78.60万元；其他固定资产495.45万元。</w:t>
      </w:r>
      <w:r>
        <w:rPr>
          <w:rFonts w:hint="eastAsia" w:ascii="仿宋" w:hAnsi="仿宋" w:eastAsia="仿宋" w:cs="仿宋"/>
          <w:sz w:val="32"/>
          <w:szCs w:val="32"/>
          <w:lang w:eastAsia="zh-CN"/>
        </w:rPr>
        <w:t>2022年我部门无购置固定资产计划。</w:t>
      </w:r>
    </w:p>
    <w:p>
      <w:pPr>
        <w:spacing w:line="560" w:lineRule="exact"/>
        <w:ind w:firstLine="3373" w:firstLineChars="1050"/>
        <w:outlineLvl w:val="0"/>
        <w:rPr>
          <w:rFonts w:hint="eastAsia" w:ascii="仿宋" w:hAnsi="仿宋" w:eastAsia="仿宋" w:cs="仿宋"/>
          <w:b/>
          <w:sz w:val="32"/>
          <w:szCs w:val="32"/>
          <w:lang w:eastAsia="zh-CN"/>
        </w:rPr>
      </w:pPr>
    </w:p>
    <w:p>
      <w:pPr>
        <w:spacing w:line="560" w:lineRule="exact"/>
        <w:ind w:firstLine="3373" w:firstLineChars="1050"/>
        <w:outlineLvl w:val="0"/>
        <w:rPr>
          <w:rFonts w:hint="eastAsia" w:ascii="仿宋" w:hAnsi="仿宋" w:eastAsia="仿宋" w:cs="仿宋"/>
          <w:b/>
          <w:sz w:val="32"/>
          <w:szCs w:val="32"/>
          <w:lang w:eastAsia="zh-CN"/>
        </w:rPr>
      </w:pPr>
    </w:p>
    <w:p>
      <w:pPr>
        <w:spacing w:line="560" w:lineRule="exact"/>
        <w:ind w:firstLine="3373" w:firstLineChars="1050"/>
        <w:outlineLvl w:val="0"/>
        <w:rPr>
          <w:rFonts w:hint="eastAsia" w:ascii="仿宋" w:hAnsi="仿宋" w:eastAsia="仿宋" w:cs="仿宋"/>
          <w:b/>
          <w:sz w:val="32"/>
          <w:szCs w:val="32"/>
          <w:lang w:eastAsia="zh-CN"/>
        </w:rPr>
      </w:pPr>
    </w:p>
    <w:p>
      <w:pPr>
        <w:spacing w:line="560" w:lineRule="exact"/>
        <w:ind w:firstLine="3373" w:firstLineChars="1050"/>
        <w:outlineLvl w:val="0"/>
        <w:rPr>
          <w:rFonts w:ascii="仿宋" w:hAnsi="仿宋" w:eastAsia="仿宋" w:cs="仿宋"/>
          <w:sz w:val="32"/>
          <w:szCs w:val="32"/>
          <w:lang w:eastAsia="zh-CN"/>
        </w:rPr>
      </w:pPr>
      <w:r>
        <w:rPr>
          <w:rFonts w:hint="eastAsia" w:ascii="仿宋" w:hAnsi="仿宋" w:eastAsia="仿宋" w:cs="仿宋"/>
          <w:b/>
          <w:sz w:val="32"/>
          <w:szCs w:val="32"/>
        </w:rPr>
        <w:t>涞水县住房和城乡建设局固定资产占用情况表</w:t>
      </w:r>
    </w:p>
    <w:p>
      <w:pPr>
        <w:pStyle w:val="10"/>
        <w:shd w:val="clear" w:color="auto" w:fill="FFFFFF"/>
        <w:spacing w:before="0" w:beforeAutospacing="0" w:after="0" w:afterAutospacing="0" w:line="560" w:lineRule="exact"/>
        <w:ind w:firstLine="640"/>
        <w:rPr>
          <w:rFonts w:ascii="仿宋" w:hAnsi="仿宋" w:eastAsia="仿宋" w:cs="仿宋"/>
          <w:sz w:val="32"/>
          <w:szCs w:val="32"/>
        </w:rPr>
      </w:pPr>
      <w:r>
        <w:rPr>
          <w:rFonts w:hint="eastAsia" w:ascii="仿宋" w:hAnsi="仿宋" w:eastAsia="仿宋" w:cs="仿宋"/>
          <w:b/>
          <w:bCs/>
          <w:sz w:val="32"/>
          <w:szCs w:val="32"/>
        </w:rPr>
        <w:t>截止时间：2021年12月31日</w:t>
      </w:r>
    </w:p>
    <w:p>
      <w:pPr>
        <w:pStyle w:val="10"/>
        <w:shd w:val="clear" w:color="auto" w:fill="FFFFFF"/>
        <w:spacing w:before="0" w:beforeAutospacing="0" w:after="0" w:afterAutospacing="0" w:line="560" w:lineRule="exact"/>
        <w:ind w:firstLine="640"/>
        <w:rPr>
          <w:rFonts w:ascii="仿宋" w:hAnsi="仿宋" w:eastAsia="仿宋" w:cs="仿宋"/>
          <w:sz w:val="32"/>
          <w:szCs w:val="32"/>
        </w:rPr>
      </w:pPr>
    </w:p>
    <w:tbl>
      <w:tblPr>
        <w:tblStyle w:val="11"/>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2410"/>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项　　目</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数量</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67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固定资产总额</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698.71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1、房屋（平方米）</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sz w:val="28"/>
                <w:szCs w:val="28"/>
              </w:rPr>
              <w:t>630</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sz w:val="28"/>
                <w:szCs w:val="28"/>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其中：办公用房（平方米）</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sz w:val="28"/>
                <w:szCs w:val="28"/>
              </w:rPr>
              <w:t>630</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sz w:val="28"/>
                <w:szCs w:val="28"/>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2、车辆（台、辆）</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5</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140.26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ind w:firstLine="420" w:firstLineChars="150"/>
              <w:rPr>
                <w:rFonts w:ascii="仿宋" w:hAnsi="仿宋" w:eastAsia="仿宋" w:cs="宋体"/>
                <w:color w:val="000000"/>
                <w:sz w:val="28"/>
                <w:szCs w:val="28"/>
              </w:rPr>
            </w:pPr>
            <w:r>
              <w:rPr>
                <w:rFonts w:hint="eastAsia" w:ascii="仿宋" w:hAnsi="仿宋" w:eastAsia="仿宋" w:cs="宋体"/>
                <w:color w:val="000000"/>
                <w:sz w:val="28"/>
                <w:szCs w:val="28"/>
              </w:rPr>
              <w:t>其中：轿车</w:t>
            </w:r>
          </w:p>
        </w:tc>
        <w:tc>
          <w:tcPr>
            <w:tcW w:w="2410" w:type="dxa"/>
            <w:vAlign w:val="center"/>
          </w:tcPr>
          <w:p>
            <w:pPr>
              <w:spacing w:line="56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0</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ind w:firstLine="1260" w:firstLineChars="450"/>
              <w:rPr>
                <w:rFonts w:ascii="仿宋" w:hAnsi="仿宋" w:eastAsia="仿宋" w:cs="宋体"/>
                <w:color w:val="000000"/>
                <w:sz w:val="28"/>
                <w:szCs w:val="28"/>
              </w:rPr>
            </w:pPr>
            <w:r>
              <w:rPr>
                <w:rFonts w:hint="eastAsia" w:ascii="仿宋" w:hAnsi="仿宋" w:eastAsia="仿宋" w:cs="宋体"/>
                <w:color w:val="000000"/>
                <w:sz w:val="28"/>
                <w:szCs w:val="28"/>
              </w:rPr>
              <w:t>其他车型</w:t>
            </w:r>
          </w:p>
        </w:tc>
        <w:tc>
          <w:tcPr>
            <w:tcW w:w="2410" w:type="dxa"/>
            <w:vAlign w:val="center"/>
          </w:tcPr>
          <w:p>
            <w:pPr>
              <w:spacing w:line="56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4</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sz w:val="28"/>
                <w:szCs w:val="28"/>
              </w:rPr>
              <w:t>128.90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3、单价在50万元以上的设备</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4、其他固定资产</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495.45</w:t>
            </w:r>
          </w:p>
        </w:tc>
      </w:tr>
    </w:tbl>
    <w:p>
      <w:pPr>
        <w:spacing w:line="560" w:lineRule="exact"/>
        <w:ind w:firstLine="630"/>
        <w:outlineLvl w:val="0"/>
        <w:rPr>
          <w:rFonts w:ascii="仿宋" w:hAnsi="仿宋" w:eastAsia="仿宋" w:cs="仿宋"/>
          <w:sz w:val="32"/>
          <w:szCs w:val="32"/>
          <w:lang w:eastAsia="zh-CN"/>
        </w:rPr>
      </w:pPr>
    </w:p>
    <w:p>
      <w:pPr>
        <w:spacing w:line="560" w:lineRule="exact"/>
        <w:ind w:firstLine="640" w:firstLineChars="200"/>
        <w:outlineLvl w:val="0"/>
        <w:rPr>
          <w:rFonts w:ascii="黑体" w:hAnsi="黑体" w:eastAsia="黑体" w:cs="仿宋"/>
          <w:sz w:val="32"/>
          <w:szCs w:val="32"/>
        </w:rPr>
      </w:pPr>
      <w:bookmarkStart w:id="57" w:name="_Toc536382283"/>
      <w:r>
        <w:rPr>
          <w:rFonts w:hint="eastAsia" w:ascii="黑体" w:hAnsi="黑体" w:eastAsia="黑体" w:cs="仿宋"/>
          <w:sz w:val="32"/>
          <w:szCs w:val="32"/>
        </w:rPr>
        <w:t>八、专业名词解释</w:t>
      </w:r>
    </w:p>
    <w:p>
      <w:pPr>
        <w:spacing w:line="560" w:lineRule="exact"/>
        <w:ind w:firstLine="630" w:firstLineChars="196"/>
        <w:rPr>
          <w:rFonts w:ascii="仿宋" w:hAnsi="仿宋" w:eastAsia="仿宋" w:cs="仿宋"/>
          <w:sz w:val="32"/>
          <w:szCs w:val="32"/>
        </w:rPr>
      </w:pPr>
      <w:r>
        <w:rPr>
          <w:rFonts w:hint="eastAsia" w:ascii="仿宋" w:hAnsi="仿宋" w:eastAsia="仿宋" w:cs="仿宋"/>
          <w:b/>
          <w:bCs/>
          <w:sz w:val="32"/>
          <w:szCs w:val="32"/>
        </w:rPr>
        <w:t>1、一般公共预算财政拨款收入</w:t>
      </w:r>
      <w:r>
        <w:rPr>
          <w:rFonts w:hint="eastAsia" w:ascii="仿宋" w:hAnsi="仿宋" w:eastAsia="仿宋" w:cs="仿宋"/>
          <w:bCs/>
          <w:sz w:val="32"/>
          <w:szCs w:val="32"/>
        </w:rPr>
        <w:t>：</w:t>
      </w:r>
      <w:r>
        <w:rPr>
          <w:rFonts w:hint="eastAsia" w:ascii="仿宋" w:hAnsi="仿宋" w:eastAsia="仿宋" w:cs="仿宋"/>
          <w:sz w:val="32"/>
          <w:szCs w:val="32"/>
        </w:rPr>
        <w:t>县级财政当年拨付的资金。</w:t>
      </w:r>
    </w:p>
    <w:p>
      <w:pPr>
        <w:pStyle w:val="10"/>
        <w:spacing w:before="0" w:beforeAutospacing="0" w:after="0" w:afterAutospacing="0" w:line="560" w:lineRule="exact"/>
        <w:ind w:firstLine="578" w:firstLineChars="180"/>
        <w:rPr>
          <w:rFonts w:ascii="仿宋" w:hAnsi="仿宋" w:eastAsia="仿宋" w:cs="仿宋"/>
          <w:sz w:val="32"/>
          <w:szCs w:val="32"/>
        </w:rPr>
      </w:pPr>
      <w:r>
        <w:rPr>
          <w:rStyle w:val="14"/>
          <w:rFonts w:hint="eastAsia" w:ascii="仿宋" w:hAnsi="仿宋" w:eastAsia="仿宋" w:cs="仿宋"/>
          <w:sz w:val="32"/>
          <w:szCs w:val="32"/>
          <w:shd w:val="clear" w:color="auto" w:fill="FFFFFF"/>
        </w:rPr>
        <w:t>2、其他收入</w:t>
      </w:r>
      <w:r>
        <w:rPr>
          <w:rStyle w:val="14"/>
          <w:rFonts w:hint="eastAsia" w:ascii="仿宋" w:hAnsi="仿宋" w:eastAsia="仿宋" w:cs="仿宋"/>
          <w:b w:val="0"/>
          <w:sz w:val="32"/>
          <w:szCs w:val="32"/>
          <w:shd w:val="clear" w:color="auto" w:fill="FFFFFF"/>
        </w:rPr>
        <w:t>：</w:t>
      </w:r>
      <w:r>
        <w:rPr>
          <w:rFonts w:hint="eastAsia" w:ascii="仿宋" w:hAnsi="仿宋" w:eastAsia="仿宋" w:cs="仿宋"/>
          <w:sz w:val="32"/>
          <w:szCs w:val="32"/>
          <w:shd w:val="clear" w:color="auto" w:fill="FFFFFF"/>
        </w:rPr>
        <w:t>指除上述财政拨款收入以外的收入。主要是存款利息收入。</w:t>
      </w:r>
    </w:p>
    <w:p>
      <w:pPr>
        <w:pStyle w:val="10"/>
        <w:spacing w:before="0" w:beforeAutospacing="0" w:after="0" w:afterAutospacing="0" w:line="560" w:lineRule="exact"/>
        <w:ind w:firstLine="576" w:firstLineChars="180"/>
        <w:rPr>
          <w:rFonts w:ascii="仿宋" w:hAnsi="仿宋" w:eastAsia="仿宋" w:cs="仿宋"/>
          <w:sz w:val="32"/>
          <w:szCs w:val="32"/>
        </w:rPr>
      </w:pPr>
      <w:r>
        <w:rPr>
          <w:rStyle w:val="14"/>
          <w:rFonts w:hint="eastAsia" w:ascii="仿宋" w:hAnsi="仿宋" w:eastAsia="仿宋" w:cs="仿宋"/>
          <w:b w:val="0"/>
          <w:sz w:val="32"/>
          <w:szCs w:val="32"/>
          <w:shd w:val="clear" w:color="auto" w:fill="FFFFFF"/>
        </w:rPr>
        <w:t>3</w:t>
      </w:r>
      <w:r>
        <w:rPr>
          <w:rFonts w:hint="eastAsia" w:ascii="仿宋" w:hAnsi="仿宋" w:eastAsia="仿宋" w:cs="仿宋"/>
          <w:b/>
          <w:bCs/>
          <w:sz w:val="32"/>
          <w:szCs w:val="32"/>
        </w:rPr>
        <w:t>、基本支出</w:t>
      </w:r>
      <w:r>
        <w:rPr>
          <w:rFonts w:hint="eastAsia" w:ascii="仿宋" w:hAnsi="仿宋" w:eastAsia="仿宋" w:cs="仿宋"/>
          <w:bCs/>
          <w:sz w:val="32"/>
          <w:szCs w:val="32"/>
        </w:rPr>
        <w:t>：</w:t>
      </w:r>
      <w:r>
        <w:rPr>
          <w:rFonts w:hint="eastAsia" w:ascii="仿宋" w:hAnsi="仿宋" w:eastAsia="仿宋" w:cs="仿宋"/>
          <w:sz w:val="32"/>
          <w:szCs w:val="32"/>
        </w:rPr>
        <w:t>指为保障机构正常运转、完成日常工作任务而发生的人员支出和公用支出。</w:t>
      </w:r>
    </w:p>
    <w:p>
      <w:pPr>
        <w:pStyle w:val="10"/>
        <w:spacing w:before="0" w:beforeAutospacing="0" w:after="0" w:afterAutospacing="0" w:line="560" w:lineRule="exact"/>
        <w:rPr>
          <w:rFonts w:ascii="仿宋" w:hAnsi="仿宋" w:eastAsia="仿宋" w:cs="仿宋"/>
          <w:sz w:val="32"/>
          <w:szCs w:val="32"/>
        </w:rPr>
      </w:pPr>
      <w:r>
        <w:rPr>
          <w:rFonts w:hint="eastAsia" w:ascii="仿宋" w:hAnsi="仿宋" w:eastAsia="仿宋" w:cs="仿宋"/>
          <w:b/>
          <w:bCs/>
          <w:sz w:val="32"/>
          <w:szCs w:val="32"/>
        </w:rPr>
        <w:t>4、项目支出</w:t>
      </w:r>
      <w:r>
        <w:rPr>
          <w:rFonts w:hint="eastAsia" w:ascii="仿宋" w:hAnsi="仿宋" w:eastAsia="仿宋" w:cs="仿宋"/>
          <w:sz w:val="32"/>
          <w:szCs w:val="32"/>
        </w:rPr>
        <w:t>：指在基本支出之外为完成特定行政任务和事业发展目标所发生的支出。</w:t>
      </w:r>
    </w:p>
    <w:p>
      <w:pPr>
        <w:pStyle w:val="10"/>
        <w:spacing w:before="0" w:beforeAutospacing="0" w:after="0" w:afterAutospacing="0"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5、“三公”经费</w:t>
      </w:r>
      <w:r>
        <w:rPr>
          <w:rFonts w:hint="eastAsia" w:ascii="仿宋" w:hAnsi="仿宋" w:eastAsia="仿宋" w:cs="仿宋"/>
          <w:bCs/>
          <w:sz w:val="32"/>
          <w:szCs w:val="32"/>
        </w:rPr>
        <w:t>：</w:t>
      </w:r>
      <w:r>
        <w:rPr>
          <w:rFonts w:hint="eastAsia" w:ascii="仿宋" w:hAnsi="仿宋" w:eastAsia="仿宋" w:cs="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0"/>
        <w:spacing w:before="0" w:beforeAutospacing="0" w:after="0" w:afterAutospacing="0"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6、机关运行经费</w:t>
      </w:r>
      <w:r>
        <w:rPr>
          <w:rFonts w:hint="eastAsia" w:ascii="仿宋" w:hAnsi="仿宋" w:eastAsia="仿宋" w:cs="仿宋"/>
          <w:bCs/>
          <w:sz w:val="32"/>
          <w:szCs w:val="32"/>
        </w:rPr>
        <w:t>：</w:t>
      </w:r>
      <w:r>
        <w:rPr>
          <w:rFonts w:hint="eastAsia" w:ascii="仿宋" w:hAnsi="仿宋" w:eastAsia="仿宋" w:cs="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ascii="黑体" w:hAnsi="黑体" w:eastAsia="黑体" w:cs="仿宋"/>
          <w:sz w:val="32"/>
          <w:szCs w:val="32"/>
        </w:rPr>
      </w:pPr>
      <w:r>
        <w:rPr>
          <w:rFonts w:hint="eastAsia" w:ascii="黑体" w:hAnsi="黑体" w:eastAsia="黑体" w:cs="仿宋"/>
          <w:sz w:val="32"/>
          <w:szCs w:val="32"/>
        </w:rPr>
        <w:t>九、其他需要说明的事项</w:t>
      </w:r>
    </w:p>
    <w:p>
      <w:pPr>
        <w:spacing w:line="560" w:lineRule="exact"/>
        <w:rPr>
          <w:lang w:eastAsia="zh-CN"/>
        </w:rPr>
      </w:pPr>
      <w:r>
        <w:rPr>
          <w:rFonts w:hint="eastAsia" w:ascii="仿宋" w:hAnsi="仿宋" w:eastAsia="仿宋" w:cs="仿宋"/>
          <w:sz w:val="32"/>
          <w:szCs w:val="32"/>
        </w:rPr>
        <w:t xml:space="preserve">     我部门无其他需要说明的事项。</w:t>
      </w:r>
      <w:bookmarkEnd w:id="57"/>
    </w:p>
    <w:sectPr>
      <w:footerReference r:id="rId5" w:type="default"/>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方正黑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83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86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5"/>
      </w:rPr>
    </w:pPr>
    <w:r>
      <w:fldChar w:fldCharType="begin"/>
    </w:r>
    <w:r>
      <w:rPr>
        <w:rStyle w:val="15"/>
      </w:rPr>
      <w:instrText xml:space="preserve">PAGE  </w:instrText>
    </w:r>
    <w:r>
      <w:fldChar w:fldCharType="separate"/>
    </w:r>
    <w:r>
      <w:rPr>
        <w:rStyle w:val="15"/>
      </w:rPr>
      <w:t>85</w: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4BA475"/>
    <w:multiLevelType w:val="singleLevel"/>
    <w:tmpl w:val="594BA475"/>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hideGrammaticalErrors/>
  <w:documentProtection w:enforcement="0"/>
  <w:defaultTabStop w:val="720"/>
  <w:evenAndOddHeaders w:val="1"/>
  <w:drawingGridHorizontalSpacing w:val="120"/>
  <w:displayHorizontalDrawingGridEvery w:val="2"/>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TY3NzU0NDM5MWFkMmY4ZmZmZjJjODBjMzI2N2ZmYWUifQ=="/>
  </w:docVars>
  <w:rsids>
    <w:rsidRoot w:val="00781D3A"/>
    <w:rsid w:val="0006477F"/>
    <w:rsid w:val="00085BCD"/>
    <w:rsid w:val="0009452B"/>
    <w:rsid w:val="000E21EC"/>
    <w:rsid w:val="001C0AE6"/>
    <w:rsid w:val="001D4A6B"/>
    <w:rsid w:val="001D7814"/>
    <w:rsid w:val="00233887"/>
    <w:rsid w:val="0027386E"/>
    <w:rsid w:val="003A6C6A"/>
    <w:rsid w:val="003F25D2"/>
    <w:rsid w:val="00472F0F"/>
    <w:rsid w:val="00474C8F"/>
    <w:rsid w:val="0050785A"/>
    <w:rsid w:val="00540CFF"/>
    <w:rsid w:val="00541CC3"/>
    <w:rsid w:val="005E4E77"/>
    <w:rsid w:val="006B610F"/>
    <w:rsid w:val="00763A3B"/>
    <w:rsid w:val="00781D3A"/>
    <w:rsid w:val="00791CF2"/>
    <w:rsid w:val="007E78F5"/>
    <w:rsid w:val="00821C63"/>
    <w:rsid w:val="008236D4"/>
    <w:rsid w:val="008E1710"/>
    <w:rsid w:val="008E2160"/>
    <w:rsid w:val="00907F0D"/>
    <w:rsid w:val="009C206B"/>
    <w:rsid w:val="00A30044"/>
    <w:rsid w:val="00A50012"/>
    <w:rsid w:val="00A560CA"/>
    <w:rsid w:val="00AB4BB8"/>
    <w:rsid w:val="00AC457A"/>
    <w:rsid w:val="00AE3EB1"/>
    <w:rsid w:val="00B53AB4"/>
    <w:rsid w:val="00BC0518"/>
    <w:rsid w:val="00C17C2D"/>
    <w:rsid w:val="00C551BF"/>
    <w:rsid w:val="00C84C2E"/>
    <w:rsid w:val="00C9056C"/>
    <w:rsid w:val="00C92AE3"/>
    <w:rsid w:val="00CA59D1"/>
    <w:rsid w:val="00CB6BE0"/>
    <w:rsid w:val="00CF6148"/>
    <w:rsid w:val="00D42B1A"/>
    <w:rsid w:val="00D72C29"/>
    <w:rsid w:val="00DC041D"/>
    <w:rsid w:val="00DE32C6"/>
    <w:rsid w:val="00DF7C5F"/>
    <w:rsid w:val="00E00D64"/>
    <w:rsid w:val="00E14377"/>
    <w:rsid w:val="00E6241B"/>
    <w:rsid w:val="00E64FDB"/>
    <w:rsid w:val="00ED2EDE"/>
    <w:rsid w:val="00F076D6"/>
    <w:rsid w:val="00F12A34"/>
    <w:rsid w:val="00F37B70"/>
    <w:rsid w:val="054B4674"/>
    <w:rsid w:val="1F001077"/>
    <w:rsid w:val="37CF26CA"/>
    <w:rsid w:val="48BA73C9"/>
    <w:rsid w:val="4A6E08DD"/>
    <w:rsid w:val="5686224C"/>
    <w:rsid w:val="569718AC"/>
    <w:rsid w:val="5B01542B"/>
    <w:rsid w:val="618868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3">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Balloon Text"/>
    <w:basedOn w:val="1"/>
    <w:link w:val="46"/>
    <w:semiHidden/>
    <w:unhideWhenUsed/>
    <w:qFormat/>
    <w:uiPriority w:val="99"/>
    <w:rPr>
      <w:sz w:val="18"/>
      <w:szCs w:val="18"/>
    </w:rPr>
  </w:style>
  <w:style w:type="paragraph" w:styleId="4">
    <w:name w:val="footer"/>
    <w:basedOn w:val="1"/>
    <w:link w:val="41"/>
    <w:autoRedefine/>
    <w:unhideWhenUsed/>
    <w:qFormat/>
    <w:uiPriority w:val="99"/>
    <w:pPr>
      <w:tabs>
        <w:tab w:val="center" w:pos="4153"/>
        <w:tab w:val="right" w:pos="8306"/>
      </w:tabs>
      <w:snapToGrid w:val="0"/>
    </w:pPr>
    <w:rPr>
      <w:sz w:val="18"/>
      <w:szCs w:val="18"/>
    </w:rPr>
  </w:style>
  <w:style w:type="paragraph" w:styleId="5">
    <w:name w:val="header"/>
    <w:basedOn w:val="1"/>
    <w:link w:val="4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qFormat/>
    <w:uiPriority w:val="39"/>
    <w:pPr>
      <w:spacing w:before="120"/>
      <w:ind w:firstLine="560"/>
    </w:pPr>
    <w:rPr>
      <w:rFonts w:eastAsia="方正仿宋_GBK"/>
      <w:color w:val="000000"/>
      <w:sz w:val="28"/>
    </w:rPr>
  </w:style>
  <w:style w:type="paragraph" w:styleId="7">
    <w:name w:val="toc 4"/>
    <w:basedOn w:val="1"/>
    <w:next w:val="1"/>
    <w:autoRedefine/>
    <w:qFormat/>
    <w:uiPriority w:val="0"/>
    <w:pPr>
      <w:ind w:left="720"/>
    </w:pPr>
  </w:style>
  <w:style w:type="paragraph" w:styleId="8">
    <w:name w:val="footnote text"/>
    <w:basedOn w:val="1"/>
    <w:link w:val="43"/>
    <w:autoRedefine/>
    <w:unhideWhenUsed/>
    <w:qFormat/>
    <w:uiPriority w:val="99"/>
    <w:pPr>
      <w:widowControl w:val="0"/>
      <w:snapToGrid w:val="0"/>
    </w:pPr>
    <w:rPr>
      <w:rFonts w:ascii="Calibri" w:hAnsi="Calibri" w:eastAsiaTheme="minorEastAsia"/>
      <w:kern w:val="2"/>
      <w:sz w:val="18"/>
      <w:szCs w:val="18"/>
      <w:lang w:eastAsia="zh-CN"/>
    </w:rPr>
  </w:style>
  <w:style w:type="paragraph" w:styleId="9">
    <w:name w:val="toc 2"/>
    <w:basedOn w:val="1"/>
    <w:next w:val="1"/>
    <w:autoRedefine/>
    <w:qFormat/>
    <w:uiPriority w:val="0"/>
    <w:pPr>
      <w:ind w:left="240"/>
    </w:pPr>
  </w:style>
  <w:style w:type="paragraph" w:styleId="10">
    <w:name w:val="Normal (Web)"/>
    <w:basedOn w:val="1"/>
    <w:autoRedefine/>
    <w:qFormat/>
    <w:uiPriority w:val="0"/>
    <w:pPr>
      <w:spacing w:before="100" w:beforeAutospacing="1" w:after="100" w:afterAutospacing="1"/>
    </w:pPr>
    <w:rPr>
      <w:rFonts w:ascii="宋体" w:hAnsi="宋体" w:eastAsia="宋体" w:cs="宋体"/>
      <w:color w:val="000000"/>
      <w:lang w:eastAsia="zh-CN"/>
    </w:rPr>
  </w:style>
  <w:style w:type="table" w:styleId="12">
    <w:name w:val="Table Grid"/>
    <w:basedOn w:val="11"/>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Strong"/>
    <w:autoRedefine/>
    <w:qFormat/>
    <w:uiPriority w:val="0"/>
    <w:rPr>
      <w:b/>
    </w:rPr>
  </w:style>
  <w:style w:type="character" w:styleId="15">
    <w:name w:val="page number"/>
    <w:basedOn w:val="13"/>
    <w:autoRedefine/>
    <w:qFormat/>
    <w:uiPriority w:val="99"/>
  </w:style>
  <w:style w:type="character" w:styleId="16">
    <w:name w:val="Hyperlink"/>
    <w:basedOn w:val="13"/>
    <w:autoRedefine/>
    <w:unhideWhenUsed/>
    <w:qFormat/>
    <w:uiPriority w:val="99"/>
    <w:rPr>
      <w:color w:val="0000FF"/>
      <w:u w:val="single"/>
    </w:rPr>
  </w:style>
  <w:style w:type="character" w:styleId="17">
    <w:name w:val="footnote reference"/>
    <w:basedOn w:val="13"/>
    <w:autoRedefine/>
    <w:unhideWhenUsed/>
    <w:qFormat/>
    <w:uiPriority w:val="99"/>
    <w:rPr>
      <w:vertAlign w:val="superscript"/>
    </w:rPr>
  </w:style>
  <w:style w:type="paragraph" w:customStyle="1" w:styleId="18">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9">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20">
    <w:name w:val="单元格样式20"/>
    <w:basedOn w:val="1"/>
    <w:autoRedefine/>
    <w:qFormat/>
    <w:uiPriority w:val="0"/>
    <w:rPr>
      <w:rFonts w:ascii="方正小标宋_GBK" w:hAnsi="方正小标宋_GBK" w:eastAsia="方正小标宋_GBK" w:cs="方正小标宋_GBK"/>
    </w:rPr>
  </w:style>
  <w:style w:type="paragraph" w:customStyle="1" w:styleId="21">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22">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23">
    <w:name w:val="单元格样式2"/>
    <w:basedOn w:val="1"/>
    <w:autoRedefine/>
    <w:qFormat/>
    <w:uiPriority w:val="0"/>
    <w:rPr>
      <w:rFonts w:ascii="方正书宋_GBK" w:hAnsi="方正书宋_GBK" w:eastAsia="方正书宋_GBK" w:cs="方正书宋_GBK"/>
      <w:sz w:val="21"/>
    </w:rPr>
  </w:style>
  <w:style w:type="paragraph" w:customStyle="1" w:styleId="24">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5">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6">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7">
    <w:name w:val="单元格样式5"/>
    <w:basedOn w:val="1"/>
    <w:autoRedefine/>
    <w:qFormat/>
    <w:uiPriority w:val="0"/>
    <w:rPr>
      <w:rFonts w:ascii="方正书宋_GBK" w:hAnsi="方正书宋_GBK" w:eastAsia="方正书宋_GBK" w:cs="方正书宋_GBK"/>
      <w:b/>
      <w:sz w:val="21"/>
    </w:rPr>
  </w:style>
  <w:style w:type="paragraph" w:customStyle="1" w:styleId="28">
    <w:name w:val="插入文本样式-插入部门职责文件"/>
    <w:basedOn w:val="1"/>
    <w:autoRedefine/>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32">
    <w:name w:val="插入文本样式-插入总体目标文件"/>
    <w:basedOn w:val="1"/>
    <w:autoRedefine/>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5">
    <w:name w:val="单元格样式23"/>
    <w:basedOn w:val="1"/>
    <w:autoRedefine/>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autoRedefine/>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40">
    <w:name w:val="页眉 Char"/>
    <w:basedOn w:val="13"/>
    <w:link w:val="5"/>
    <w:autoRedefine/>
    <w:qFormat/>
    <w:uiPriority w:val="99"/>
    <w:rPr>
      <w:rFonts w:eastAsia="Times New Roman"/>
      <w:sz w:val="18"/>
      <w:szCs w:val="18"/>
      <w:lang w:eastAsia="uk-UA"/>
    </w:rPr>
  </w:style>
  <w:style w:type="character" w:customStyle="1" w:styleId="41">
    <w:name w:val="页脚 Char"/>
    <w:basedOn w:val="13"/>
    <w:link w:val="4"/>
    <w:qFormat/>
    <w:uiPriority w:val="99"/>
    <w:rPr>
      <w:rFonts w:eastAsia="Times New Roman"/>
      <w:sz w:val="18"/>
      <w:szCs w:val="18"/>
      <w:lang w:eastAsia="uk-UA"/>
    </w:rPr>
  </w:style>
  <w:style w:type="character" w:customStyle="1" w:styleId="42">
    <w:name w:val="脚注文本 Char"/>
    <w:basedOn w:val="13"/>
    <w:link w:val="8"/>
    <w:uiPriority w:val="99"/>
    <w:rPr>
      <w:rFonts w:ascii="Calibri" w:hAnsi="Calibri"/>
      <w:kern w:val="2"/>
      <w:sz w:val="18"/>
      <w:szCs w:val="18"/>
    </w:rPr>
  </w:style>
  <w:style w:type="character" w:customStyle="1" w:styleId="43">
    <w:name w:val="脚注文本 Char1"/>
    <w:basedOn w:val="13"/>
    <w:link w:val="8"/>
    <w:semiHidden/>
    <w:uiPriority w:val="99"/>
    <w:rPr>
      <w:rFonts w:eastAsia="Times New Roman"/>
      <w:sz w:val="18"/>
      <w:szCs w:val="18"/>
      <w:lang w:eastAsia="uk-UA"/>
    </w:rPr>
  </w:style>
  <w:style w:type="paragraph" w:customStyle="1" w:styleId="44">
    <w:name w:val="[Normal]"/>
    <w:uiPriority w:val="0"/>
    <w:rPr>
      <w:rFonts w:ascii="宋体" w:hAnsi="宋体" w:eastAsia="宋体" w:cs="Times New Roman"/>
      <w:sz w:val="24"/>
      <w:lang w:val="en-US" w:eastAsia="en-US" w:bidi="ar-SA"/>
    </w:rPr>
  </w:style>
  <w:style w:type="paragraph" w:customStyle="1" w:styleId="45">
    <w:name w:val="普通(网站)1"/>
    <w:basedOn w:val="1"/>
    <w:qFormat/>
    <w:uiPriority w:val="0"/>
    <w:pPr>
      <w:spacing w:before="100" w:after="100"/>
    </w:pPr>
    <w:rPr>
      <w:rFonts w:ascii="宋体" w:hAnsi="宋体" w:eastAsia="宋体"/>
      <w:szCs w:val="20"/>
      <w:lang w:eastAsia="en-US"/>
    </w:rPr>
  </w:style>
  <w:style w:type="character" w:customStyle="1" w:styleId="46">
    <w:name w:val="批注框文本 Char"/>
    <w:basedOn w:val="13"/>
    <w:link w:val="3"/>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7" Type="http://schemas.openxmlformats.org/officeDocument/2006/relationships/fontTable" Target="fontTable.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5DDAF8B-C90E-40EE-B940-CCD547411B81}">
  <ds:schemaRefs/>
</ds:datastoreItem>
</file>

<file path=customXml/itemProps10.xml><?xml version="1.0" encoding="utf-8"?>
<ds:datastoreItem xmlns:ds="http://schemas.openxmlformats.org/officeDocument/2006/customXml" ds:itemID="{6C8F0DDD-DA95-49D7-BEC9-54BED6023821}">
  <ds:schemaRefs/>
</ds:datastoreItem>
</file>

<file path=customXml/itemProps11.xml><?xml version="1.0" encoding="utf-8"?>
<ds:datastoreItem xmlns:ds="http://schemas.openxmlformats.org/officeDocument/2006/customXml" ds:itemID="{5EFC46A3-03BA-4ECF-B65E-51918400F753}">
  <ds:schemaRefs/>
</ds:datastoreItem>
</file>

<file path=customXml/itemProps12.xml><?xml version="1.0" encoding="utf-8"?>
<ds:datastoreItem xmlns:ds="http://schemas.openxmlformats.org/officeDocument/2006/customXml" ds:itemID="{C593EC27-B89C-46A8-9CF9-3B5AE2B23C20}">
  <ds:schemaRefs/>
</ds:datastoreItem>
</file>

<file path=customXml/itemProps13.xml><?xml version="1.0" encoding="utf-8"?>
<ds:datastoreItem xmlns:ds="http://schemas.openxmlformats.org/officeDocument/2006/customXml" ds:itemID="{C864F1CC-9C8C-41E6-8FD8-C85E12A44050}">
  <ds:schemaRefs/>
</ds:datastoreItem>
</file>

<file path=customXml/itemProps14.xml><?xml version="1.0" encoding="utf-8"?>
<ds:datastoreItem xmlns:ds="http://schemas.openxmlformats.org/officeDocument/2006/customXml" ds:itemID="{335668B4-649C-41E0-BC80-7D94ABF681A2}">
  <ds:schemaRefs/>
</ds:datastoreItem>
</file>

<file path=customXml/itemProps15.xml><?xml version="1.0" encoding="utf-8"?>
<ds:datastoreItem xmlns:ds="http://schemas.openxmlformats.org/officeDocument/2006/customXml" ds:itemID="{CB6B8C05-D526-4E72-8AB4-B1FB0F487636}">
  <ds:schemaRefs/>
</ds:datastoreItem>
</file>

<file path=customXml/itemProps16.xml><?xml version="1.0" encoding="utf-8"?>
<ds:datastoreItem xmlns:ds="http://schemas.openxmlformats.org/officeDocument/2006/customXml" ds:itemID="{8807E301-CE3E-48B0-8F1B-BE48F29E1736}">
  <ds:schemaRefs/>
</ds:datastoreItem>
</file>

<file path=customXml/itemProps17.xml><?xml version="1.0" encoding="utf-8"?>
<ds:datastoreItem xmlns:ds="http://schemas.openxmlformats.org/officeDocument/2006/customXml" ds:itemID="{C486A553-0F69-4945-B340-E49BCA32411A}">
  <ds:schemaRefs/>
</ds:datastoreItem>
</file>

<file path=customXml/itemProps18.xml><?xml version="1.0" encoding="utf-8"?>
<ds:datastoreItem xmlns:ds="http://schemas.openxmlformats.org/officeDocument/2006/customXml" ds:itemID="{BAA19A8D-5B92-489B-B169-BAD91A103344}">
  <ds:schemaRefs/>
</ds:datastoreItem>
</file>

<file path=customXml/itemProps19.xml><?xml version="1.0" encoding="utf-8"?>
<ds:datastoreItem xmlns:ds="http://schemas.openxmlformats.org/officeDocument/2006/customXml" ds:itemID="{B9E9C162-3959-4E09-8552-3788A3BCB94D}">
  <ds:schemaRefs/>
</ds:datastoreItem>
</file>

<file path=customXml/itemProps2.xml><?xml version="1.0" encoding="utf-8"?>
<ds:datastoreItem xmlns:ds="http://schemas.openxmlformats.org/officeDocument/2006/customXml" ds:itemID="{3F617BE4-84BC-478A-AB89-C6F0FA51D37C}">
  <ds:schemaRefs/>
</ds:datastoreItem>
</file>

<file path=customXml/itemProps20.xml><?xml version="1.0" encoding="utf-8"?>
<ds:datastoreItem xmlns:ds="http://schemas.openxmlformats.org/officeDocument/2006/customXml" ds:itemID="{4D21B174-EFD5-481F-8023-ECD2C99EA6A5}">
  <ds:schemaRefs/>
</ds:datastoreItem>
</file>

<file path=customXml/itemProps21.xml><?xml version="1.0" encoding="utf-8"?>
<ds:datastoreItem xmlns:ds="http://schemas.openxmlformats.org/officeDocument/2006/customXml" ds:itemID="{82063DCE-E0D9-4D45-94AB-06A5849F123C}">
  <ds:schemaRefs/>
</ds:datastoreItem>
</file>

<file path=customXml/itemProps22.xml><?xml version="1.0" encoding="utf-8"?>
<ds:datastoreItem xmlns:ds="http://schemas.openxmlformats.org/officeDocument/2006/customXml" ds:itemID="{989DA21E-0CDF-4E3D-84F6-1D172BF7F4B9}">
  <ds:schemaRefs/>
</ds:datastoreItem>
</file>

<file path=customXml/itemProps23.xml><?xml version="1.0" encoding="utf-8"?>
<ds:datastoreItem xmlns:ds="http://schemas.openxmlformats.org/officeDocument/2006/customXml" ds:itemID="{526561F4-D429-4474-A75E-30A59CF88000}">
  <ds:schemaRefs/>
</ds:datastoreItem>
</file>

<file path=customXml/itemProps24.xml><?xml version="1.0" encoding="utf-8"?>
<ds:datastoreItem xmlns:ds="http://schemas.openxmlformats.org/officeDocument/2006/customXml" ds:itemID="{BC8B0B68-B399-4D6D-AE2B-284CCF1A5CB6}">
  <ds:schemaRefs/>
</ds:datastoreItem>
</file>

<file path=customXml/itemProps25.xml><?xml version="1.0" encoding="utf-8"?>
<ds:datastoreItem xmlns:ds="http://schemas.openxmlformats.org/officeDocument/2006/customXml" ds:itemID="{240D75C0-5405-407A-9D88-451A6C53325C}">
  <ds:schemaRefs/>
</ds:datastoreItem>
</file>

<file path=customXml/itemProps26.xml><?xml version="1.0" encoding="utf-8"?>
<ds:datastoreItem xmlns:ds="http://schemas.openxmlformats.org/officeDocument/2006/customXml" ds:itemID="{55A60376-5F1A-4B58-BE70-A0B8CD8AC393}">
  <ds:schemaRefs/>
</ds:datastoreItem>
</file>

<file path=customXml/itemProps27.xml><?xml version="1.0" encoding="utf-8"?>
<ds:datastoreItem xmlns:ds="http://schemas.openxmlformats.org/officeDocument/2006/customXml" ds:itemID="{328F8FAA-F9B6-48DE-ABD9-772610F9386F}">
  <ds:schemaRefs/>
</ds:datastoreItem>
</file>

<file path=customXml/itemProps28.xml><?xml version="1.0" encoding="utf-8"?>
<ds:datastoreItem xmlns:ds="http://schemas.openxmlformats.org/officeDocument/2006/customXml" ds:itemID="{F2B0114A-1BF3-408C-A937-DBD594359DD7}">
  <ds:schemaRefs/>
</ds:datastoreItem>
</file>

<file path=customXml/itemProps29.xml><?xml version="1.0" encoding="utf-8"?>
<ds:datastoreItem xmlns:ds="http://schemas.openxmlformats.org/officeDocument/2006/customXml" ds:itemID="{1C4E702D-2594-4689-8404-84AFD7E73E52}">
  <ds:schemaRefs/>
</ds:datastoreItem>
</file>

<file path=customXml/itemProps3.xml><?xml version="1.0" encoding="utf-8"?>
<ds:datastoreItem xmlns:ds="http://schemas.openxmlformats.org/officeDocument/2006/customXml" ds:itemID="{FF40C868-CD10-4565-BD6F-28B55B247751}">
  <ds:schemaRefs/>
</ds:datastoreItem>
</file>

<file path=customXml/itemProps30.xml><?xml version="1.0" encoding="utf-8"?>
<ds:datastoreItem xmlns:ds="http://schemas.openxmlformats.org/officeDocument/2006/customXml" ds:itemID="{9B2DCA2B-261B-4FC5-92E2-74D6E9C53092}">
  <ds:schemaRefs/>
</ds:datastoreItem>
</file>

<file path=customXml/itemProps31.xml><?xml version="1.0" encoding="utf-8"?>
<ds:datastoreItem xmlns:ds="http://schemas.openxmlformats.org/officeDocument/2006/customXml" ds:itemID="{66CC41B6-D28D-4EED-B564-F0D3D013B8B1}">
  <ds:schemaRefs/>
</ds:datastoreItem>
</file>

<file path=customXml/itemProps32.xml><?xml version="1.0" encoding="utf-8"?>
<ds:datastoreItem xmlns:ds="http://schemas.openxmlformats.org/officeDocument/2006/customXml" ds:itemID="{6A6DB8E6-5EDD-4508-B255-AD07BCA264C9}">
  <ds:schemaRefs/>
</ds:datastoreItem>
</file>

<file path=customXml/itemProps33.xml><?xml version="1.0" encoding="utf-8"?>
<ds:datastoreItem xmlns:ds="http://schemas.openxmlformats.org/officeDocument/2006/customXml" ds:itemID="{907DF196-29BA-4F64-A2E6-9B891D8DA970}">
  <ds:schemaRefs/>
</ds:datastoreItem>
</file>

<file path=customXml/itemProps34.xml><?xml version="1.0" encoding="utf-8"?>
<ds:datastoreItem xmlns:ds="http://schemas.openxmlformats.org/officeDocument/2006/customXml" ds:itemID="{7DA1E944-597F-4D9A-ADC8-E3A5D62388E9}">
  <ds:schemaRefs/>
</ds:datastoreItem>
</file>

<file path=customXml/itemProps35.xml><?xml version="1.0" encoding="utf-8"?>
<ds:datastoreItem xmlns:ds="http://schemas.openxmlformats.org/officeDocument/2006/customXml" ds:itemID="{B52E45D6-0F3C-4B21-B161-FA591631F8EB}">
  <ds:schemaRefs/>
</ds:datastoreItem>
</file>

<file path=customXml/itemProps36.xml><?xml version="1.0" encoding="utf-8"?>
<ds:datastoreItem xmlns:ds="http://schemas.openxmlformats.org/officeDocument/2006/customXml" ds:itemID="{BF249A3C-5046-4792-B1C7-86A45BD0F7B3}">
  <ds:schemaRefs/>
</ds:datastoreItem>
</file>

<file path=customXml/itemProps37.xml><?xml version="1.0" encoding="utf-8"?>
<ds:datastoreItem xmlns:ds="http://schemas.openxmlformats.org/officeDocument/2006/customXml" ds:itemID="{B8034E79-3EC9-4FB4-8900-8DB566ED87F2}">
  <ds:schemaRefs/>
</ds:datastoreItem>
</file>

<file path=customXml/itemProps38.xml><?xml version="1.0" encoding="utf-8"?>
<ds:datastoreItem xmlns:ds="http://schemas.openxmlformats.org/officeDocument/2006/customXml" ds:itemID="{DFFE41CD-7795-417D-8B3D-7B7E92ADCE28}">
  <ds:schemaRefs/>
</ds:datastoreItem>
</file>

<file path=customXml/itemProps39.xml><?xml version="1.0" encoding="utf-8"?>
<ds:datastoreItem xmlns:ds="http://schemas.openxmlformats.org/officeDocument/2006/customXml" ds:itemID="{4074F53B-6AA8-493B-96FF-0D7EB858216C}">
  <ds:schemaRefs/>
</ds:datastoreItem>
</file>

<file path=customXml/itemProps4.xml><?xml version="1.0" encoding="utf-8"?>
<ds:datastoreItem xmlns:ds="http://schemas.openxmlformats.org/officeDocument/2006/customXml" ds:itemID="{9E39FA8A-0D5E-4C72-88C2-A4A5C9D016A3}">
  <ds:schemaRefs/>
</ds:datastoreItem>
</file>

<file path=customXml/itemProps5.xml><?xml version="1.0" encoding="utf-8"?>
<ds:datastoreItem xmlns:ds="http://schemas.openxmlformats.org/officeDocument/2006/customXml" ds:itemID="{3300B263-A8B2-4577-A8B1-07D060066AC1}">
  <ds:schemaRefs/>
</ds:datastoreItem>
</file>

<file path=customXml/itemProps6.xml><?xml version="1.0" encoding="utf-8"?>
<ds:datastoreItem xmlns:ds="http://schemas.openxmlformats.org/officeDocument/2006/customXml" ds:itemID="{DD8D39B1-E032-4B64-9020-66CD65ABCD3B}">
  <ds:schemaRefs/>
</ds:datastoreItem>
</file>

<file path=customXml/itemProps7.xml><?xml version="1.0" encoding="utf-8"?>
<ds:datastoreItem xmlns:ds="http://schemas.openxmlformats.org/officeDocument/2006/customXml" ds:itemID="{E56AD1C2-FB4D-4572-86C7-2470DBB3943B}">
  <ds:schemaRefs/>
</ds:datastoreItem>
</file>

<file path=customXml/itemProps8.xml><?xml version="1.0" encoding="utf-8"?>
<ds:datastoreItem xmlns:ds="http://schemas.openxmlformats.org/officeDocument/2006/customXml" ds:itemID="{127F30A9-AC64-4000-970B-04BBBAF6782F}">
  <ds:schemaRefs/>
</ds:datastoreItem>
</file>

<file path=customXml/itemProps9.xml><?xml version="1.0" encoding="utf-8"?>
<ds:datastoreItem xmlns:ds="http://schemas.openxmlformats.org/officeDocument/2006/customXml" ds:itemID="{927546BB-28A9-4183-9889-130B2B46E76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88</Pages>
  <Words>7161</Words>
  <Characters>40820</Characters>
  <Lines>340</Lines>
  <Paragraphs>95</Paragraphs>
  <TotalTime>7</TotalTime>
  <ScaleCrop>false</ScaleCrop>
  <LinksUpToDate>false</LinksUpToDate>
  <CharactersWithSpaces>47886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2023-11-10T02:08:00Z</dcterms:created>
  <dc:creator>Administrator</dc:creator>
  <cp:lastModifiedBy>八爪小鱼</cp:lastModifiedBy>
  <cp:lastPrinted>2022-06-22T07:54:00Z</cp:lastPrinted>
  <dcterms:modified xsi:type="dcterms:W3CDTF">2024-02-01T02:29:03Z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