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涞水县农村工作委员会</w:t>
      </w:r>
    </w:p>
    <w:p>
      <w:pPr>
        <w:jc w:val="center"/>
        <w:rPr>
          <w:rFonts w:ascii="宋体" w:hAnsi="宋体"/>
          <w:b/>
          <w:sz w:val="44"/>
          <w:szCs w:val="44"/>
        </w:rPr>
      </w:pPr>
      <w:r>
        <w:rPr>
          <w:rFonts w:hint="eastAsia" w:ascii="宋体" w:hAnsi="宋体"/>
          <w:b/>
          <w:sz w:val="44"/>
          <w:szCs w:val="44"/>
        </w:rPr>
        <w:t>2019年部门预算公开有关情况说明</w:t>
      </w:r>
    </w:p>
    <w:p>
      <w:pPr>
        <w:jc w:val="center"/>
        <w:rPr>
          <w:rFonts w:ascii="宋体" w:hAnsi="宋体"/>
          <w:b/>
          <w:sz w:val="44"/>
          <w:szCs w:val="44"/>
        </w:rPr>
      </w:pP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rPr>
        <w:t>第一部分:部门职责及机构设置情况</w:t>
      </w:r>
    </w:p>
    <w:p>
      <w:pPr>
        <w:spacing w:line="560" w:lineRule="exact"/>
        <w:rPr>
          <w:rFonts w:ascii="仿宋" w:hAnsi="仿宋" w:eastAsia="仿宋" w:cs="仿宋"/>
          <w:b/>
          <w:bCs/>
          <w:sz w:val="32"/>
          <w:szCs w:val="32"/>
        </w:rPr>
      </w:pPr>
    </w:p>
    <w:p>
      <w:pPr>
        <w:numPr>
          <w:ilvl w:val="0"/>
          <w:numId w:val="1"/>
        </w:numPr>
        <w:spacing w:line="520" w:lineRule="exact"/>
        <w:ind w:firstLine="640" w:firstLineChars="200"/>
        <w:rPr>
          <w:rFonts w:ascii="黑体" w:hAnsi="黑体" w:eastAsia="黑体"/>
          <w:sz w:val="32"/>
          <w:szCs w:val="32"/>
        </w:rPr>
      </w:pPr>
      <w:r>
        <w:rPr>
          <w:rFonts w:hint="eastAsia" w:ascii="黑体" w:hAnsi="黑体" w:eastAsia="黑体"/>
          <w:sz w:val="32"/>
          <w:szCs w:val="32"/>
        </w:rPr>
        <w:t>部门职责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推进农业产业化发展。组织落实省、市农业产业化经营的发展规划与政策，支持全县农业企业产业化加快发展，加快发展现代农业，培育休闲农业。提升农产品附加值，增加农民收入，全面发展壮大农业龙头，推进一二三产业融合，打造涞水农业产业化联合体，建设休闲农业示范区，创造县域经济发展新增长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是加快乡村振兴战略实施。通过美丽乡村建设和开展中心村示范点建设，加快乡村振兴步伐。促进美丽乡村建设升级，抓好“空心村”治理，不断完善农村环境面貌。下大力改善农村人居环境，提升农民群众生产生活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是深化农村改革。全面深化农村重点领域、关键环节改革，加快推进农业农村体制机制创新，发展农宅旅游合作社，盘活农村闲置资源，激发农村经济社会发展活力。全面深化农村重点领域、关键环节改革，加快推进农业农村体制机制创新，抓出一批农宅旅游合作社示范村，增强农村经济社会发展活力。使农业增效、农民增收、农村增活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是排查农村设施安全隐患。按照省、市部署，扎实开展农村安全隐患排查整治行动。按照中央、省市和县委、县政府要求，认真开展农村安全隐患排查。对农村水利、道路交通、农村房屋、安全饮水、用电安全、供气安全等方面进行安全排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五是基层民主政治建设。以“村务公开”为切入点，全面加强基层民主政治建设。安排部署村务公开工作，深化民主管理，不断完善各项规章制度。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是开展农业宣传，推动农业政策落实。保障各项政党工作的开展。抓好秸秆综合利用，严禁焚烧秸秆及垃圾行为，保护碧水蓝天。调研提出规划和建议，工作部署、协调推动、普查统计、督促指导及县委、县政府交办的其他事项等行政管理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我单位行政编制13人，其中在职7人，退休6人。</w:t>
      </w:r>
    </w:p>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机构设置</w:t>
      </w:r>
    </w:p>
    <w:p>
      <w:pPr>
        <w:spacing w:line="560" w:lineRule="exact"/>
        <w:ind w:left="420" w:leftChars="200"/>
        <w:rPr>
          <w:rFonts w:ascii="仿宋" w:hAnsi="仿宋" w:eastAsia="仿宋" w:cs="仿宋"/>
          <w:sz w:val="32"/>
          <w:szCs w:val="32"/>
        </w:rPr>
      </w:pPr>
      <w:r>
        <w:rPr>
          <w:rFonts w:hint="eastAsia" w:ascii="仿宋_GB2312" w:hAnsi="宋体" w:eastAsia="仿宋_GB2312" w:cs="宋体"/>
          <w:color w:val="000000"/>
          <w:kern w:val="0"/>
          <w:sz w:val="32"/>
          <w:szCs w:val="32"/>
        </w:rPr>
        <w:t>部门机构设置情况</w:t>
      </w:r>
    </w:p>
    <w:tbl>
      <w:tblPr>
        <w:tblStyle w:val="6"/>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1692"/>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序号</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单位名称</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单位性质</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单位规格</w:t>
            </w:r>
          </w:p>
        </w:tc>
        <w:tc>
          <w:tcPr>
            <w:tcW w:w="20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1</w:t>
            </w:r>
          </w:p>
        </w:tc>
        <w:tc>
          <w:tcPr>
            <w:tcW w:w="1692" w:type="dxa"/>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中国共产党涞水县委员会农村工作委员会</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行政</w:t>
            </w:r>
          </w:p>
        </w:tc>
        <w:tc>
          <w:tcPr>
            <w:tcW w:w="169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正科级</w:t>
            </w:r>
          </w:p>
        </w:tc>
        <w:tc>
          <w:tcPr>
            <w:tcW w:w="2022" w:type="dxa"/>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rPr>
              <w:t>财政拨款</w:t>
            </w:r>
          </w:p>
        </w:tc>
      </w:tr>
    </w:tbl>
    <w:p>
      <w:pPr>
        <w:spacing w:line="520" w:lineRule="exact"/>
        <w:ind w:left="1713" w:firstLine="321" w:firstLineChars="100"/>
        <w:rPr>
          <w:rFonts w:ascii="仿宋" w:hAnsi="仿宋" w:eastAsia="仿宋" w:cs="仿宋"/>
          <w:b/>
          <w:bCs/>
          <w:sz w:val="32"/>
          <w:szCs w:val="32"/>
        </w:rPr>
      </w:pPr>
    </w:p>
    <w:p>
      <w:pPr>
        <w:spacing w:line="520" w:lineRule="exact"/>
        <w:ind w:left="1713" w:firstLine="320" w:firstLineChars="100"/>
        <w:rPr>
          <w:rFonts w:ascii="黑体" w:hAnsi="黑体" w:eastAsia="黑体"/>
          <w:sz w:val="32"/>
          <w:szCs w:val="32"/>
        </w:rPr>
      </w:pPr>
      <w:r>
        <w:rPr>
          <w:rFonts w:hint="eastAsia" w:ascii="黑体" w:hAnsi="黑体" w:eastAsia="黑体"/>
          <w:sz w:val="32"/>
          <w:szCs w:val="32"/>
        </w:rPr>
        <w:t>第二部分：部门预算安排的总体情况</w:t>
      </w:r>
    </w:p>
    <w:p>
      <w:pPr>
        <w:spacing w:line="560" w:lineRule="exact"/>
        <w:rPr>
          <w:rFonts w:ascii="仿宋" w:hAnsi="仿宋" w:eastAsia="仿宋" w:cs="仿宋"/>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1、收入说明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我单位2019年预算收入541.33万元。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其中：非限额补助541.33万元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      中央财政提前通知转移支付0万元.</w:t>
      </w:r>
    </w:p>
    <w:p>
      <w:pPr>
        <w:numPr>
          <w:ilvl w:val="0"/>
          <w:numId w:val="3"/>
        </w:numPr>
        <w:spacing w:line="560" w:lineRule="exact"/>
        <w:ind w:firstLine="640"/>
        <w:rPr>
          <w:rFonts w:ascii="仿宋_GB2312" w:hAnsi="黑体" w:eastAsia="仿宋_GB2312"/>
          <w:sz w:val="32"/>
          <w:szCs w:val="32"/>
        </w:rPr>
      </w:pPr>
      <w:r>
        <w:rPr>
          <w:rFonts w:hint="eastAsia" w:ascii="仿宋_GB2312" w:hAnsi="黑体" w:eastAsia="仿宋_GB2312"/>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我单位2019年部门预算支出541.33万元。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其中：基本支出96.99万元（人员经费70.12万元，日常办公25.43万元）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项目支出444.34万元</w:t>
      </w:r>
    </w:p>
    <w:p>
      <w:pPr>
        <w:numPr>
          <w:ilvl w:val="0"/>
          <w:numId w:val="3"/>
        </w:numPr>
        <w:spacing w:line="560" w:lineRule="exact"/>
        <w:ind w:firstLine="640"/>
        <w:rPr>
          <w:rFonts w:ascii="仿宋_GB2312" w:hAnsi="黑体" w:eastAsia="仿宋_GB2312"/>
          <w:sz w:val="32"/>
          <w:szCs w:val="32"/>
        </w:rPr>
      </w:pPr>
      <w:r>
        <w:rPr>
          <w:rFonts w:hint="eastAsia" w:ascii="仿宋_GB2312" w:hAnsi="黑体" w:eastAsia="仿宋_GB2312"/>
          <w:sz w:val="32"/>
          <w:szCs w:val="32"/>
        </w:rPr>
        <w:t>比上年增减情况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我单位2018年预算支出1133.05万元，其中基本支出87.25万元（人员经费69.37万元，日常办公17.88万元），项目支出200万元。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本年度预算541.33万元，较上年度减少591.72万元，其中基本支出增加9.74万元，主要是因为劳务派遣人员经费</w:t>
      </w:r>
      <w:r>
        <w:rPr>
          <w:rFonts w:hint="eastAsia" w:ascii="仿宋" w:hAnsi="仿宋" w:eastAsia="仿宋" w:cs="仿宋"/>
          <w:kern w:val="0"/>
          <w:sz w:val="32"/>
          <w:szCs w:val="32"/>
        </w:rPr>
        <w:t>等由单位预算支付</w:t>
      </w:r>
      <w:r>
        <w:rPr>
          <w:rFonts w:hint="eastAsia" w:ascii="仿宋" w:hAnsi="仿宋" w:eastAsia="仿宋" w:cs="仿宋"/>
          <w:sz w:val="32"/>
          <w:szCs w:val="32"/>
        </w:rPr>
        <w:t>，项目支出减少601.46万元，主要是因为提前通知转移支付2018年美丽乡村建设（新民居建设）项目资金600.00万等项目减少。</w:t>
      </w:r>
    </w:p>
    <w:p>
      <w:pPr>
        <w:spacing w:line="560" w:lineRule="exact"/>
        <w:ind w:firstLine="640"/>
        <w:rPr>
          <w:rFonts w:ascii="仿宋" w:hAnsi="仿宋" w:eastAsia="仿宋" w:cs="仿宋"/>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ascii="黑体" w:hAnsi="黑体" w:eastAsia="黑体"/>
          <w:sz w:val="32"/>
          <w:szCs w:val="32"/>
        </w:rPr>
      </w:pPr>
    </w:p>
    <w:p>
      <w:pPr>
        <w:spacing w:line="560" w:lineRule="exact"/>
        <w:ind w:firstLine="600"/>
        <w:rPr>
          <w:rFonts w:ascii="仿宋" w:hAnsi="仿宋" w:eastAsia="仿宋" w:cs="仿宋"/>
          <w:sz w:val="32"/>
          <w:szCs w:val="32"/>
        </w:rPr>
      </w:pPr>
      <w:r>
        <w:rPr>
          <w:rFonts w:hint="eastAsia" w:ascii="仿宋" w:hAnsi="仿宋" w:eastAsia="仿宋" w:cs="仿宋"/>
          <w:sz w:val="32"/>
          <w:szCs w:val="32"/>
        </w:rPr>
        <w:t>我单位日常公用经费合计25.43万元，其中基础定额项目23.46万元（办公费1.54万元、邮电费0.6万元、差旅费0.70万元、劳务费9.02万元，公务用车运行维护费2.50万元、公务接待费4.00万元、公务交通补贴5.10万元），按规定比例计提项目1.97万元（工会经费0.54万元、职工福利费1.43万元）。</w:t>
      </w:r>
    </w:p>
    <w:p>
      <w:pPr>
        <w:spacing w:line="560" w:lineRule="exact"/>
        <w:ind w:firstLine="600"/>
        <w:rPr>
          <w:rFonts w:ascii="仿宋" w:hAnsi="仿宋" w:eastAsia="仿宋" w:cs="仿宋"/>
          <w:sz w:val="32"/>
          <w:szCs w:val="32"/>
        </w:rPr>
      </w:pPr>
    </w:p>
    <w:p>
      <w:pPr>
        <w:spacing w:line="520" w:lineRule="exact"/>
        <w:jc w:val="center"/>
        <w:outlineLvl w:val="0"/>
        <w:rPr>
          <w:rFonts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60" w:lineRule="exact"/>
        <w:rPr>
          <w:rFonts w:ascii="仿宋" w:hAnsi="仿宋" w:eastAsia="仿宋" w:cs="仿宋"/>
          <w:b/>
          <w:bCs/>
          <w:sz w:val="32"/>
          <w:szCs w:val="32"/>
        </w:rPr>
      </w:pPr>
    </w:p>
    <w:p>
      <w:pPr>
        <w:spacing w:line="560" w:lineRule="exact"/>
        <w:ind w:firstLine="600"/>
        <w:rPr>
          <w:rFonts w:ascii="仿宋" w:hAnsi="仿宋" w:eastAsia="仿宋" w:cs="仿宋"/>
          <w:sz w:val="32"/>
          <w:szCs w:val="32"/>
        </w:rPr>
      </w:pPr>
      <w:r>
        <w:rPr>
          <w:rFonts w:hint="eastAsia" w:ascii="仿宋" w:hAnsi="仿宋" w:eastAsia="仿宋" w:cs="仿宋"/>
          <w:sz w:val="32"/>
          <w:szCs w:val="32"/>
        </w:rPr>
        <w:t>我单位2019年部门“三公”经费6.50万元,其中公务用车购置及运维费2.50万元，与2018年预算的2.50万元持平；公务接待费4.00万元，与2018年预算的4.00万元持平，公务接待预计20批次300人次。本着厉行节约，杜绝浪费，在2019年需求增加的情况下，与上年部门“三公”经费预算安排持平。</w:t>
      </w:r>
    </w:p>
    <w:tbl>
      <w:tblPr>
        <w:tblStyle w:val="5"/>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shd w:val="clear" w:color="auto" w:fill="auto"/>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1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1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77"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3108" w:type="dxa"/>
            <w:tcBorders>
              <w:top w:val="nil"/>
              <w:left w:val="nil"/>
              <w:bottom w:val="nil"/>
              <w:right w:val="nil"/>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2018年度预算</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2019年度预算</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部门职能需求，公车运行经费与上年持平</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2019年公务接待费预算持平主要是：厉行节约，杜绝浪费,在2019年需求增加的情况下，与上年部门“三公”经费预算安排持平。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310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2019年，针对三公经费支出制定了严格的管理制度，认真执行中央</w:t>
            </w:r>
            <w:bookmarkStart w:id="0" w:name="_GoBack"/>
            <w:bookmarkEnd w:id="0"/>
            <w:r>
              <w:rPr>
                <w:rFonts w:hint="eastAsia" w:ascii="仿宋_GB2312" w:hAnsi="宋体" w:eastAsia="仿宋_GB2312" w:cs="宋体"/>
                <w:kern w:val="0"/>
                <w:sz w:val="24"/>
              </w:rPr>
              <w:t>八项规定，厉行节约，杜绝浪费。在2019年9需求增加的情况下，与2018年部门“三公”经费预算安排持平。</w:t>
            </w:r>
          </w:p>
        </w:tc>
      </w:tr>
    </w:tbl>
    <w:p>
      <w:pPr>
        <w:spacing w:line="560" w:lineRule="exact"/>
        <w:ind w:firstLine="600"/>
        <w:rPr>
          <w:rFonts w:ascii="仿宋" w:hAnsi="仿宋" w:eastAsia="仿宋" w:cs="仿宋"/>
          <w:sz w:val="32"/>
          <w:szCs w:val="32"/>
        </w:rPr>
      </w:pPr>
    </w:p>
    <w:p>
      <w:pPr>
        <w:jc w:val="center"/>
        <w:outlineLvl w:val="0"/>
        <w:rPr>
          <w:rFonts w:ascii="黑体" w:hAnsi="黑体" w:eastAsia="黑体"/>
          <w:sz w:val="32"/>
          <w:szCs w:val="32"/>
        </w:rPr>
      </w:pPr>
      <w:r>
        <w:rPr>
          <w:rFonts w:hint="eastAsia" w:ascii="黑体" w:hAnsi="黑体" w:eastAsia="黑体"/>
          <w:sz w:val="32"/>
          <w:szCs w:val="32"/>
        </w:rPr>
        <w:t>第五部分：绩效预算信息</w:t>
      </w:r>
    </w:p>
    <w:p>
      <w:pPr>
        <w:spacing w:line="560" w:lineRule="exact"/>
        <w:rPr>
          <w:rFonts w:ascii="仿宋" w:hAnsi="仿宋" w:eastAsia="仿宋" w:cs="仿宋"/>
          <w:b/>
          <w:bCs/>
          <w:sz w:val="32"/>
          <w:szCs w:val="32"/>
        </w:rPr>
      </w:pPr>
      <w:r>
        <w:rPr>
          <w:rFonts w:hint="eastAsia" w:ascii="黑体" w:hAnsi="黑体" w:eastAsia="黑体"/>
          <w:sz w:val="32"/>
          <w:szCs w:val="32"/>
        </w:rPr>
        <w:t xml:space="preserve">    一、总体绩效目标</w:t>
      </w:r>
      <w:r>
        <w:rPr>
          <w:rFonts w:hint="eastAsia" w:ascii="黑体" w:hAnsi="黑体" w:eastAsia="黑体"/>
          <w:b/>
          <w:sz w:val="32"/>
          <w:szCs w:val="32"/>
        </w:rPr>
        <w:t>：</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一是提高农产品加工水平，推进农村新型社区、产业园区和生态园区建设，促进一二三产业融合，提高农民收入。提升农产品附加值，增加农民收入，全面发展壮大农业龙头，推进一二三产业融合，打造涞水农业产业化联合体，建设休闲农业示范区，创造县域经济发展新增长点。组织落实省、市农业产业化经营的发展规划与政策，支持全县农业企业产业化加快发展，加快发展现代农业，培育休闲农业。</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二是突出重点，因地制宜，按照分期分批推进的要求，每年选定一批重点村实施改造提升。按照三年建设周期，建设一批多种类型、有示范意义的中心村示范点。通过美丽乡村建设和开展中心村示范点建设，加快建设社会主义新农村。加快美丽乡村建设步伐，不断完善农村环境面貌。通过美丽乡村和中心村示范点建设，加快建设社会主义新农村。改善农村人居环境，提升农民生产生活条件。全面推进以“清、拆、用、减、管”为主要内容的农村生活垃圾治理专项行动。全面开展农村生活垃圾治理，促进垃圾分类及资源化利用。</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三是使农业增效、农民增收、农村增活力。促进农村经济社会全面协调发展。全面深化农村重点领域、关键环节改革，加快推进农业农村体制机制创新，发展农宅旅游合作社，激发农村经济社会发展活力。全面深化农村重点领域、关键环节改革，加快推进农业农村体制机制创新，抓出一批农宅旅游合作社示范村，增强农村经济社会发展活力。</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四是排查发现农村设施安全隐患,集中整治、标本兼治农村设施安全隐患。按照省、市部署，扎实开展农村安全隐患排查整治行动。按照中央、省市和县委、县政府要求，认真开展农村安全隐患排查。对农村水利、道路交通、农村房屋、安全饮水、用电安全、供气安全等方面进行安全排查。排查发现农村设施安全隐患,集中整治、标本兼治农村设施安全隐患。</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五是完成“村务公开”，加强基层民主政治建设。安排部署村务公开工作，深化民主管理，不断完善各项规章制度。以“村务公开”为切入点，全面加强基层民主政治建设。安排部署村务公开工作，深化民主管理，不断完善各项规章制度。完成“村务公开”，加强基层民主政治建设。</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六是保障各项政党工作的开展。抓好秸秆综合利用，严禁焚烧秸秆及垃圾行为，保护碧水蓝天。调研提出规划和建议，工作部署、协调推动、普查统计、督促指导及县委、县政府交办的其他事项等行政管理事项。加强管理，园满完成省委、省政府交办任务，加强机关事务性管理，提高机关自身工作能力。</w:t>
      </w:r>
    </w:p>
    <w:p>
      <w:pPr>
        <w:spacing w:line="560" w:lineRule="exact"/>
        <w:ind w:firstLine="600"/>
        <w:rPr>
          <w:rFonts w:ascii="仿宋" w:hAnsi="仿宋" w:eastAsia="仿宋" w:cs="仿宋"/>
          <w:sz w:val="32"/>
          <w:szCs w:val="32"/>
        </w:rPr>
      </w:pPr>
      <w:r>
        <w:rPr>
          <w:rFonts w:hint="eastAsia" w:ascii="仿宋" w:hAnsi="仿宋" w:eastAsia="仿宋" w:cs="仿宋"/>
          <w:sz w:val="32"/>
          <w:szCs w:val="32"/>
        </w:rPr>
        <w:t>力。</w:t>
      </w:r>
    </w:p>
    <w:p>
      <w:pPr>
        <w:spacing w:line="560" w:lineRule="exact"/>
        <w:ind w:firstLine="600"/>
        <w:rPr>
          <w:rFonts w:ascii="仿宋" w:hAnsi="仿宋" w:eastAsia="仿宋" w:cs="仿宋"/>
          <w:sz w:val="32"/>
          <w:szCs w:val="32"/>
        </w:rPr>
      </w:pPr>
    </w:p>
    <w:p>
      <w:pPr>
        <w:spacing w:line="560" w:lineRule="exact"/>
        <w:ind w:firstLine="600"/>
        <w:rPr>
          <w:rFonts w:ascii="仿宋" w:hAnsi="仿宋" w:eastAsia="仿宋" w:cs="仿宋"/>
          <w:sz w:val="32"/>
          <w:szCs w:val="32"/>
        </w:rPr>
      </w:pPr>
    </w:p>
    <w:p>
      <w:pPr>
        <w:spacing w:line="560" w:lineRule="exact"/>
        <w:ind w:firstLine="600"/>
        <w:rPr>
          <w:rFonts w:ascii="仿宋" w:hAnsi="仿宋" w:eastAsia="仿宋" w:cs="仿宋"/>
          <w:sz w:val="32"/>
          <w:szCs w:val="32"/>
        </w:rPr>
      </w:pPr>
    </w:p>
    <w:p>
      <w:pPr>
        <w:spacing w:line="560" w:lineRule="exact"/>
        <w:ind w:firstLine="642"/>
        <w:rPr>
          <w:rFonts w:ascii="仿宋" w:hAnsi="仿宋" w:eastAsia="仿宋" w:cs="仿宋"/>
          <w:sz w:val="32"/>
          <w:szCs w:val="32"/>
        </w:rPr>
      </w:pPr>
    </w:p>
    <w:p>
      <w:pPr>
        <w:spacing w:line="560" w:lineRule="exact"/>
        <w:ind w:firstLine="642"/>
        <w:rPr>
          <w:rFonts w:ascii="仿宋" w:hAnsi="仿宋" w:eastAsia="仿宋" w:cs="仿宋"/>
          <w:sz w:val="32"/>
          <w:szCs w:val="32"/>
        </w:rPr>
        <w:sectPr>
          <w:footerReference r:id="rId3" w:type="default"/>
          <w:pgSz w:w="11906" w:h="16838"/>
          <w:pgMar w:top="1440" w:right="1247" w:bottom="1440" w:left="1814" w:header="851" w:footer="992" w:gutter="0"/>
          <w:cols w:space="0" w:num="1"/>
          <w:docGrid w:type="lines" w:linePitch="312" w:charSpace="0"/>
        </w:sectPr>
      </w:pPr>
    </w:p>
    <w:tbl>
      <w:tblPr>
        <w:tblStyle w:val="5"/>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jc w:val="center"/>
              <w:outlineLvl w:val="0"/>
              <w:rPr>
                <w:rFonts w:ascii="黑体" w:hAnsi="黑体" w:eastAsia="黑体"/>
                <w:b/>
                <w:sz w:val="32"/>
              </w:rPr>
            </w:pPr>
            <w:r>
              <w:rPr>
                <w:rFonts w:hint="eastAsia" w:ascii="黑体" w:hAnsi="黑体" w:eastAsia="黑体"/>
                <w:kern w:val="0"/>
                <w:sz w:val="32"/>
                <w:szCs w:val="32"/>
              </w:rPr>
              <w:t xml:space="preserve">            二、</w:t>
            </w:r>
            <w:r>
              <w:rPr>
                <w:rFonts w:hint="eastAsia" w:ascii="黑体" w:hAnsi="黑体" w:eastAsia="黑体"/>
                <w:b/>
                <w:sz w:val="32"/>
              </w:rPr>
              <w:t>部门职责-工作活动绩效目标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226</w:t>
            </w:r>
            <w:r>
              <w:rPr>
                <w:rFonts w:hint="eastAsia" w:ascii="方正小标宋_GBK" w:eastAsia="方正小标宋_GBK"/>
                <w:sz w:val="24"/>
              </w:rPr>
              <w:t>中国共产党涞水县委员会农村工作委员会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一、推进农业产业化发展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组织落实省、市农业产业化经营的发展规划与政策，支持全县农业企业产业化加快发展，加快发展现代农业，培育休闲农业。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提升农产品附加值，增加农民收入，全面发展壮大农业龙头，推进一二三产业融合，打造涞水农业产业化联合体，建设休闲农业示范区，创造县域经济发展新增长点。</w:t>
            </w:r>
          </w:p>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提高农产品加工水平，推进农村新型社区、产业园区和生态园区建设，促进一二三产业融合，提高农民收入。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农业产业化经营率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县级以上农业龙头企业销售收入增幅率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二、推进乡村振兴战略实施</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404.34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建立健全城乡融合发展体制机制和政策体系，统筹推进农村经济建设、政治建设、文化建设、社会建设、生态文明建设，加快推进乡村治理体系和治理能力现代化，加快推进农业农村现代化。</w:t>
            </w:r>
          </w:p>
          <w:p>
            <w:pPr>
              <w:spacing w:line="300" w:lineRule="exact"/>
              <w:jc w:val="left"/>
              <w:rPr>
                <w:rFonts w:ascii="方正书宋_GBK" w:eastAsia="方正书宋_GBK"/>
              </w:rPr>
            </w:pPr>
            <w:r>
              <w:rPr>
                <w:rFonts w:hint="eastAsia" w:ascii="方正书宋_GBK" w:eastAsia="方正书宋_GBK"/>
              </w:rPr>
              <w:t>通过美丽乡村建设和开展中心村示范点建设，加快建设社会主义新农村。加快美丽乡村建设步伐，不断完善农村环境面貌。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让农业成为有奔头的产业，让农民成为有吸引力的职业，让农村成为安居乐业的美丽家园，充分发挥</w:t>
            </w:r>
            <w:r>
              <w:rPr>
                <w:rFonts w:hint="cs" w:ascii="方正书宋_GBK" w:eastAsia="方正书宋_GBK"/>
              </w:rPr>
              <w:t>“</w:t>
            </w:r>
            <w:r>
              <w:rPr>
                <w:rFonts w:hint="eastAsia" w:ascii="方正书宋_GBK" w:eastAsia="方正书宋_GBK"/>
              </w:rPr>
              <w:t>三农</w:t>
            </w:r>
            <w:r>
              <w:rPr>
                <w:rFonts w:hint="cs" w:ascii="方正书宋_GBK" w:eastAsia="方正书宋_GBK"/>
              </w:rPr>
              <w:t>”</w:t>
            </w:r>
            <w:r>
              <w:rPr>
                <w:rFonts w:hint="eastAsia" w:ascii="方正书宋_GBK" w:eastAsia="方正书宋_GBK"/>
              </w:rPr>
              <w:t>在决胜全面建成小康社会、促进跨越式发展的重要作用。</w:t>
            </w:r>
          </w:p>
          <w:p>
            <w:pPr>
              <w:spacing w:line="300" w:lineRule="exact"/>
              <w:jc w:val="left"/>
              <w:rPr>
                <w:rFonts w:ascii="方正书宋_GBK" w:eastAsia="方正书宋_GBK"/>
              </w:rPr>
            </w:pPr>
            <w:r>
              <w:rPr>
                <w:rFonts w:hint="eastAsia" w:ascii="方正书宋_GBK" w:eastAsia="方正书宋_GBK"/>
              </w:rPr>
              <w:t>通过空心村治理和中心村示范点建设，加快建设社会主义新农村。改善农村人居环境，提升农民生产生活条件。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、乡村振兴建设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404.34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乡村振兴取得重要进展，制度框架和政策体系基本形成。农业综合生产能力稳步提升，农业供给质量明显提高，农村一二三产业融合发展水平进一步提升，农民增收渠道进一步拓宽。</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综合生产能力稳步提升，农业供给质量明显提高，农村一二三产业融合发展水平进一步提升，农民增收渠道进一步拓宽。农村基础设施建设深入推进，农村人居环境明显改善，农村生态环境明显好转，美丽宜居乡村建设扎实推进。城乡基本公共服务均等化水平进一步提高，城乡融合发展体制机制初步建立。</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农村一二三产业融合发展水平提高率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城乡基本公共服务均等化水平提高率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、中心村建设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按照三年建设周期，建设一批多种类型、有示范意义的新民居中心村示范点。</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村民满意度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中心村示范点任务完成率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新启动中心村示范点开工率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三、深化农村改革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全面深化农村重点领域、关键环节改革，加快推进农业农村体制机制创新，发展农宅旅游合作社，激发农村经济社会发展活力。</w:t>
            </w: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按照县域乡村建设规划要求和城镇化发展规律，根据空置程度、村庄特点和区位条件，在尊重群众意愿的前提下，分类确定治理模式、人口安置方式和推进时序，创新思路举措，与公共服务配套、产业发展等协同推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全面深化农村重点领域、关键环节改革，加快推进农业农村体制机制创新，抓出一批农宅旅游合作社示范村，增强农村经济社会发展活力。</w:t>
            </w: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治理，集中安置点普遍达到</w:t>
            </w:r>
            <w:r>
              <w:rPr>
                <w:rFonts w:hint="cs" w:ascii="方正书宋_GBK" w:eastAsia="方正书宋_GBK"/>
              </w:rPr>
              <w:t>“</w:t>
            </w:r>
            <w:r>
              <w:rPr>
                <w:rFonts w:hint="eastAsia" w:ascii="方正书宋_GBK" w:eastAsia="方正书宋_GBK"/>
              </w:rPr>
              <w:t>四新</w:t>
            </w:r>
            <w:r>
              <w:rPr>
                <w:rFonts w:hint="cs" w:ascii="方正书宋_GBK" w:eastAsia="方正书宋_GBK"/>
              </w:rPr>
              <w:t>”</w:t>
            </w:r>
            <w:r>
              <w:rPr>
                <w:rFonts w:hint="eastAsia" w:ascii="方正书宋_GBK" w:eastAsia="方正书宋_GBK"/>
              </w:rPr>
              <w:t>标准：新社区、新产业、三新生活、新机制。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、指导农村综合改革</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有序推进农村集体经营性资产股份合作制改革，开展财政资金支持壮大村集体经济试点，创新农村基本经营制度，完善相关机制建设。</w:t>
            </w:r>
          </w:p>
          <w:p>
            <w:pPr>
              <w:spacing w:line="300" w:lineRule="exact"/>
              <w:jc w:val="left"/>
              <w:rPr>
                <w:rFonts w:ascii="方正书宋_GBK" w:eastAsia="方正书宋_GBK"/>
              </w:rPr>
            </w:pPr>
            <w:r>
              <w:rPr>
                <w:rFonts w:hint="eastAsia" w:ascii="方正书宋_GBK" w:eastAsia="方正书宋_GBK"/>
              </w:rPr>
              <w:t>协调指导推进土地流转、村集体股份制改造等农村综合改革，创新农村基本经营制度，完善相关机制建设。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促进农村经济社会全面协调发展。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完成农村集体经营性资产股份合作制改革率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农村综合改革任务完成率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、空心村治理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县域乡村建设规划要求和城镇化发展规律，根据空置程度、村庄特点和区位条件，在尊重群众意愿的前提下，分类确定治理模式、人口安置方式和推进时序，创新思路举措，与公共服务配套、产业发展等协同推进。</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列入</w:t>
            </w: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治理任务的村庄全部启动，</w:t>
            </w:r>
            <w:r>
              <w:rPr>
                <w:rFonts w:ascii="方正书宋_GBK" w:eastAsia="方正书宋_GBK"/>
              </w:rPr>
              <w:t xml:space="preserve"> </w:t>
            </w:r>
            <w:r>
              <w:rPr>
                <w:rFonts w:hint="eastAsia" w:ascii="方正书宋_GBK" w:eastAsia="方正书宋_GBK"/>
              </w:rPr>
              <w:t>到</w:t>
            </w:r>
            <w:r>
              <w:rPr>
                <w:rFonts w:ascii="方正书宋_GBK" w:eastAsia="方正书宋_GBK"/>
              </w:rPr>
              <w:t>2020</w:t>
            </w:r>
            <w:r>
              <w:rPr>
                <w:rFonts w:hint="eastAsia" w:ascii="方正书宋_GBK" w:eastAsia="方正书宋_GBK"/>
              </w:rPr>
              <w:t>年，</w:t>
            </w: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治理任务基本完成。通过开展</w:t>
            </w: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治理，集中安置点普遍达到</w:t>
            </w:r>
            <w:r>
              <w:rPr>
                <w:rFonts w:hint="cs" w:ascii="方正书宋_GBK" w:eastAsia="方正书宋_GBK"/>
              </w:rPr>
              <w:t>“</w:t>
            </w:r>
            <w:r>
              <w:rPr>
                <w:rFonts w:hint="eastAsia" w:ascii="方正书宋_GBK" w:eastAsia="方正书宋_GBK"/>
              </w:rPr>
              <w:t>四新</w:t>
            </w:r>
            <w:r>
              <w:rPr>
                <w:rFonts w:hint="cs" w:ascii="方正书宋_GBK" w:eastAsia="方正书宋_GBK"/>
              </w:rPr>
              <w:t>”</w:t>
            </w:r>
            <w:r>
              <w:rPr>
                <w:rFonts w:hint="eastAsia" w:ascii="方正书宋_GBK" w:eastAsia="方正书宋_GBK"/>
              </w:rPr>
              <w:t>标准：新社区、新产业、三新生活、新机制。</w:t>
            </w: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治理任务启动率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空心村</w:t>
            </w:r>
            <w:r>
              <w:rPr>
                <w:rFonts w:hint="cs" w:ascii="方正书宋_GBK" w:eastAsia="方正书宋_GBK"/>
              </w:rPr>
              <w:t>”</w:t>
            </w:r>
            <w:r>
              <w:rPr>
                <w:rFonts w:hint="eastAsia" w:ascii="方正书宋_GBK" w:eastAsia="方正书宋_GBK"/>
              </w:rPr>
              <w:t>治理任务基本完成率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四、排查农村设施安全隐患</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按照省、市部署，扎实开展农村安全隐患排查整治行动，协调指导农村经济健康发展，着力促进农民收入持续较快增长。</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中央、省市和县委、县政府要求，认真开展农村安全隐患排查。对农村水利、道路交通、农村房屋、安全饮水、用电安全、供气安全等方面进行安全排查。推动中央、省市和县委、县政府各项惠农政策落实，使农村经济健康发展、农民收入实现持续稳定增长农村经济持续较快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、排查农村设施安全隐患</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以，认真开展农村安全隐患排查。对农村水利、道路交通、农村房屋、安全饮水、用电安全、供气安全等方面进行安全排查。推动县域经济结构优化和发展方式转型，加快农村新型家庭手工业发展，促进农民收入持续较快增长。</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排查整治农村设施安全隐患</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排查整治农村设施安全隐患</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集中整治、标本兼治农村设施安全隐患</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开展农业宣传，推动农业政策落实。保障各项政党工作的开展。抓好基层民主政治建设工作，不断强化对村务公开工作的督导检查和工作问责。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保障各项农村工作的正常运行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调研提出规划和建议，工作部署、协调推动、普查统计、督促指导及县委、县政府交办的其他事项等行政管理事项。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加强管理，园满完成省委、省政府交办任务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、基层民主政治建设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不断强化对村务公开工作的督导检查和工作问责，认真落实</w:t>
            </w:r>
            <w:r>
              <w:rPr>
                <w:rFonts w:hint="cs" w:ascii="方正书宋_GBK" w:eastAsia="方正书宋_GBK"/>
              </w:rPr>
              <w:t>“</w:t>
            </w:r>
            <w:r>
              <w:rPr>
                <w:rFonts w:hint="eastAsia" w:ascii="方正书宋_GBK" w:eastAsia="方正书宋_GBK"/>
              </w:rPr>
              <w:t>乡级督查每村必到，县级督查每乡必到</w:t>
            </w:r>
            <w:r>
              <w:rPr>
                <w:rFonts w:hint="cs" w:ascii="方正书宋_GBK" w:eastAsia="方正书宋_GBK"/>
              </w:rPr>
              <w:t>”</w:t>
            </w:r>
            <w:r>
              <w:rPr>
                <w:rFonts w:hint="eastAsia" w:ascii="方正书宋_GBK" w:eastAsia="方正书宋_GBK"/>
              </w:rPr>
              <w:t>制度，确保公开质量和水平不断提高。</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基层民主政治建设，确保公开质量和水平不断提高。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基层民主政治建设，村务公开率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bl>
    <w:p>
      <w:pPr>
        <w:spacing w:line="560" w:lineRule="exact"/>
        <w:rPr>
          <w:rFonts w:ascii="仿宋" w:hAnsi="仿宋" w:eastAsia="仿宋" w:cs="仿宋"/>
          <w:sz w:val="32"/>
          <w:szCs w:val="32"/>
        </w:rPr>
        <w:sectPr>
          <w:pgSz w:w="16838" w:h="11906" w:orient="landscape"/>
          <w:pgMar w:top="1814" w:right="1440" w:bottom="1247" w:left="1440" w:header="851" w:footer="992" w:gutter="0"/>
          <w:cols w:space="0" w:num="1"/>
          <w:docGrid w:type="lines" w:linePitch="312" w:charSpace="0"/>
        </w:sectPr>
      </w:pPr>
    </w:p>
    <w:p>
      <w:pPr>
        <w:spacing w:line="560" w:lineRule="exact"/>
        <w:rPr>
          <w:rFonts w:ascii="仿宋" w:hAnsi="仿宋" w:eastAsia="仿宋" w:cs="仿宋"/>
          <w:sz w:val="32"/>
          <w:szCs w:val="32"/>
        </w:r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2019年我部门无政府采购项目。</w:t>
      </w:r>
    </w:p>
    <w:p>
      <w:pPr>
        <w:spacing w:line="560" w:lineRule="exact"/>
        <w:ind w:firstLine="640"/>
        <w:rPr>
          <w:rFonts w:ascii="仿宋" w:hAnsi="仿宋" w:eastAsia="仿宋" w:cs="仿宋"/>
          <w:sz w:val="32"/>
          <w:szCs w:val="32"/>
        </w:rPr>
      </w:pPr>
    </w:p>
    <w:p>
      <w:pPr>
        <w:jc w:val="center"/>
        <w:rPr>
          <w:rFonts w:ascii="仿宋" w:hAnsi="仿宋" w:eastAsia="仿宋" w:cs="仿宋"/>
          <w:b/>
          <w:bCs/>
          <w:sz w:val="32"/>
          <w:szCs w:val="32"/>
        </w:rPr>
      </w:pPr>
      <w:r>
        <w:rPr>
          <w:rFonts w:hint="eastAsia" w:ascii="黑体" w:hAnsi="黑体" w:eastAsia="黑体"/>
          <w:sz w:val="32"/>
          <w:szCs w:val="32"/>
        </w:rPr>
        <w:t>第七部分：国有资产信息情况说明</w:t>
      </w:r>
    </w:p>
    <w:p>
      <w:pPr>
        <w:spacing w:line="560" w:lineRule="exact"/>
        <w:ind w:firstLine="642"/>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我单位上年度末固定资产总额12.4739万元，占用卫计局四楼办公用房5间（属卫计局），单位公务用车1辆。2019年无拟购置固定资产计划。</w:t>
      </w:r>
    </w:p>
    <w:p>
      <w:pPr>
        <w:pStyle w:val="4"/>
        <w:shd w:val="clear" w:color="auto" w:fill="FFFFFF"/>
        <w:spacing w:line="52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固定资产占用情况表</w:t>
      </w:r>
    </w:p>
    <w:p>
      <w:pPr>
        <w:pStyle w:val="4"/>
        <w:shd w:val="clear" w:color="auto" w:fill="FFFFFF"/>
        <w:spacing w:line="520" w:lineRule="exact"/>
        <w:ind w:firstLine="640"/>
        <w:rPr>
          <w:rFonts w:ascii="仿宋_GB2312" w:eastAsia="仿宋_GB2312"/>
          <w:color w:val="000000" w:themeColor="text1"/>
          <w:sz w:val="32"/>
          <w:szCs w:val="32"/>
        </w:rPr>
      </w:pPr>
      <w:r>
        <w:rPr>
          <w:rFonts w:hint="eastAsia" w:ascii="仿宋" w:hAnsi="仿宋" w:eastAsia="仿宋" w:cs="仿宋"/>
          <w:bCs/>
          <w:color w:val="000000" w:themeColor="text1"/>
          <w:sz w:val="32"/>
          <w:szCs w:val="32"/>
        </w:rPr>
        <w:t>截止时间：2018年12月31日</w:t>
      </w: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color w:val="000000" w:themeColor="text1"/>
                <w:sz w:val="32"/>
                <w:szCs w:val="32"/>
              </w:rPr>
            </w:pPr>
            <w:r>
              <w:rPr>
                <w:rFonts w:hint="eastAsia" w:ascii="宋体" w:hAnsi="宋体" w:cs="宋体"/>
                <w:b/>
                <w:bCs/>
                <w:color w:val="000000" w:themeColor="text1"/>
                <w:kern w:val="0"/>
                <w:sz w:val="24"/>
              </w:rPr>
              <w:t>项　　目</w:t>
            </w:r>
          </w:p>
        </w:tc>
        <w:tc>
          <w:tcPr>
            <w:tcW w:w="1033" w:type="dxa"/>
            <w:vAlign w:val="center"/>
          </w:tcPr>
          <w:p>
            <w:pPr>
              <w:widowControl/>
              <w:jc w:val="center"/>
              <w:rPr>
                <w:rFonts w:ascii="仿宋_GB2312" w:eastAsia="仿宋_GB2312"/>
                <w:color w:val="000000" w:themeColor="text1"/>
                <w:sz w:val="32"/>
                <w:szCs w:val="32"/>
              </w:rPr>
            </w:pPr>
            <w:r>
              <w:rPr>
                <w:rFonts w:hint="eastAsia" w:ascii="宋体" w:hAnsi="宋体" w:cs="宋体"/>
                <w:b/>
                <w:bCs/>
                <w:color w:val="000000" w:themeColor="text1"/>
                <w:kern w:val="0"/>
                <w:sz w:val="24"/>
              </w:rPr>
              <w:t>数量</w:t>
            </w:r>
          </w:p>
        </w:tc>
        <w:tc>
          <w:tcPr>
            <w:tcW w:w="3902" w:type="dxa"/>
            <w:vAlign w:val="center"/>
          </w:tcPr>
          <w:p>
            <w:pPr>
              <w:widowControl/>
              <w:jc w:val="center"/>
              <w:rPr>
                <w:rFonts w:ascii="仿宋_GB2312" w:eastAsia="仿宋_GB2312"/>
                <w:color w:val="000000" w:themeColor="text1"/>
                <w:sz w:val="32"/>
                <w:szCs w:val="32"/>
              </w:rPr>
            </w:pPr>
            <w:r>
              <w:rPr>
                <w:rFonts w:hint="eastAsia" w:ascii="宋体" w:hAnsi="宋体" w:cs="宋体"/>
                <w:b/>
                <w:bCs/>
                <w:color w:val="000000" w:themeColor="text1"/>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center"/>
              <w:rPr>
                <w:rFonts w:ascii="仿宋_GB2312" w:eastAsia="仿宋_GB2312"/>
                <w:color w:val="000000" w:themeColor="text1"/>
                <w:sz w:val="32"/>
                <w:szCs w:val="32"/>
              </w:rPr>
            </w:pPr>
            <w:r>
              <w:rPr>
                <w:rFonts w:hint="eastAsia" w:ascii="宋体" w:hAnsi="宋体" w:cs="宋体"/>
                <w:b/>
                <w:bCs/>
                <w:color w:val="000000" w:themeColor="text1"/>
                <w:kern w:val="0"/>
                <w:sz w:val="24"/>
              </w:rPr>
              <w:t>固定资产总额</w:t>
            </w:r>
          </w:p>
        </w:tc>
        <w:tc>
          <w:tcPr>
            <w:tcW w:w="1033" w:type="dxa"/>
            <w:vAlign w:val="center"/>
          </w:tcPr>
          <w:p>
            <w:pPr>
              <w:widowControl/>
              <w:jc w:val="center"/>
              <w:rPr>
                <w:rFonts w:ascii="仿宋_GB2312" w:eastAsia="仿宋_GB2312"/>
                <w:color w:val="000000" w:themeColor="text1"/>
                <w:sz w:val="32"/>
                <w:szCs w:val="32"/>
              </w:rPr>
            </w:pPr>
            <w:r>
              <w:rPr>
                <w:rFonts w:hint="eastAsia" w:ascii="宋体" w:hAnsi="宋体" w:cs="宋体"/>
                <w:color w:val="000000" w:themeColor="text1"/>
                <w:kern w:val="0"/>
                <w:sz w:val="24"/>
              </w:rPr>
              <w:t>—</w:t>
            </w:r>
          </w:p>
        </w:tc>
        <w:tc>
          <w:tcPr>
            <w:tcW w:w="3902" w:type="dxa"/>
            <w:vAlign w:val="center"/>
          </w:tcPr>
          <w:p>
            <w:pPr>
              <w:widowControl/>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12.4739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color w:val="000000" w:themeColor="text1"/>
                <w:sz w:val="32"/>
                <w:szCs w:val="32"/>
              </w:rPr>
            </w:pPr>
            <w:r>
              <w:rPr>
                <w:rFonts w:hint="eastAsia" w:ascii="宋体" w:hAnsi="宋体" w:cs="宋体"/>
                <w:color w:val="000000" w:themeColor="text1"/>
                <w:kern w:val="0"/>
                <w:sz w:val="24"/>
              </w:rPr>
              <w:t xml:space="preserve">  1、房屋（平方米）</w:t>
            </w:r>
          </w:p>
        </w:tc>
        <w:tc>
          <w:tcPr>
            <w:tcW w:w="1033" w:type="dxa"/>
            <w:vAlign w:val="center"/>
          </w:tcPr>
          <w:p>
            <w:pPr>
              <w:widowControl/>
              <w:jc w:val="center"/>
              <w:rPr>
                <w:rFonts w:ascii="仿宋_GB2312" w:eastAsia="仿宋_GB2312"/>
                <w:color w:val="000000" w:themeColor="text1"/>
                <w:sz w:val="32"/>
                <w:szCs w:val="32"/>
              </w:rPr>
            </w:pPr>
          </w:p>
        </w:tc>
        <w:tc>
          <w:tcPr>
            <w:tcW w:w="3902" w:type="dxa"/>
            <w:vAlign w:val="center"/>
          </w:tcPr>
          <w:p>
            <w:pPr>
              <w:widowControl/>
              <w:jc w:val="center"/>
              <w:rPr>
                <w:rFonts w:ascii="仿宋_GB2312"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color w:val="000000" w:themeColor="text1"/>
                <w:sz w:val="32"/>
                <w:szCs w:val="32"/>
              </w:rPr>
            </w:pPr>
            <w:r>
              <w:rPr>
                <w:rFonts w:hint="eastAsia" w:ascii="宋体" w:hAnsi="宋体" w:cs="宋体"/>
                <w:color w:val="000000" w:themeColor="text1"/>
                <w:kern w:val="0"/>
                <w:sz w:val="24"/>
              </w:rPr>
              <w:t xml:space="preserve">   其中：办公用房（平方米）</w:t>
            </w:r>
          </w:p>
        </w:tc>
        <w:tc>
          <w:tcPr>
            <w:tcW w:w="1033" w:type="dxa"/>
            <w:vAlign w:val="center"/>
          </w:tcPr>
          <w:p>
            <w:pPr>
              <w:jc w:val="center"/>
              <w:rPr>
                <w:rFonts w:ascii="仿宋_GB2312" w:eastAsia="仿宋_GB2312"/>
                <w:color w:val="000000" w:themeColor="text1"/>
                <w:sz w:val="32"/>
                <w:szCs w:val="32"/>
              </w:rPr>
            </w:pPr>
          </w:p>
        </w:tc>
        <w:tc>
          <w:tcPr>
            <w:tcW w:w="3902" w:type="dxa"/>
            <w:vAlign w:val="center"/>
          </w:tcPr>
          <w:p>
            <w:pPr>
              <w:jc w:val="center"/>
              <w:rPr>
                <w:rFonts w:ascii="仿宋_GB2312"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color w:val="000000" w:themeColor="text1"/>
                <w:sz w:val="32"/>
                <w:szCs w:val="32"/>
              </w:rPr>
            </w:pPr>
            <w:r>
              <w:rPr>
                <w:rFonts w:hint="eastAsia" w:ascii="宋体" w:hAnsi="宋体" w:cs="宋体"/>
                <w:color w:val="000000" w:themeColor="text1"/>
                <w:kern w:val="0"/>
                <w:sz w:val="24"/>
              </w:rPr>
              <w:t xml:space="preserve">  2、车辆（台、辆）</w:t>
            </w:r>
          </w:p>
        </w:tc>
        <w:tc>
          <w:tcPr>
            <w:tcW w:w="1033" w:type="dxa"/>
            <w:vAlign w:val="center"/>
          </w:tcPr>
          <w:p>
            <w:pPr>
              <w:widowControl/>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1</w:t>
            </w:r>
          </w:p>
        </w:tc>
        <w:tc>
          <w:tcPr>
            <w:tcW w:w="3902" w:type="dxa"/>
            <w:vAlign w:val="center"/>
          </w:tcPr>
          <w:p>
            <w:pPr>
              <w:widowControl/>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jc w:val="left"/>
              <w:rPr>
                <w:rFonts w:ascii="仿宋_GB2312" w:eastAsia="仿宋_GB2312"/>
                <w:color w:val="000000" w:themeColor="text1"/>
                <w:sz w:val="32"/>
                <w:szCs w:val="32"/>
              </w:rPr>
            </w:pPr>
            <w:r>
              <w:rPr>
                <w:rFonts w:hint="eastAsia" w:ascii="宋体" w:hAnsi="宋体" w:cs="宋体"/>
                <w:color w:val="000000" w:themeColor="text1"/>
                <w:kern w:val="0"/>
                <w:sz w:val="24"/>
              </w:rPr>
              <w:t xml:space="preserve">  3、单价在20万元以上的设备</w:t>
            </w:r>
          </w:p>
        </w:tc>
        <w:tc>
          <w:tcPr>
            <w:tcW w:w="1033" w:type="dxa"/>
            <w:vAlign w:val="center"/>
          </w:tcPr>
          <w:p>
            <w:pPr>
              <w:widowControl/>
              <w:jc w:val="center"/>
              <w:rPr>
                <w:rFonts w:ascii="仿宋_GB2312" w:eastAsia="仿宋_GB2312"/>
                <w:color w:val="000000" w:themeColor="text1"/>
                <w:sz w:val="32"/>
                <w:szCs w:val="32"/>
              </w:rPr>
            </w:pPr>
            <w:r>
              <w:rPr>
                <w:rFonts w:hint="eastAsia" w:ascii="宋体" w:hAnsi="宋体" w:cs="宋体"/>
                <w:color w:val="000000" w:themeColor="text1"/>
                <w:kern w:val="0"/>
                <w:sz w:val="24"/>
              </w:rPr>
              <w:t>—</w:t>
            </w:r>
          </w:p>
        </w:tc>
        <w:tc>
          <w:tcPr>
            <w:tcW w:w="3902" w:type="dxa"/>
            <w:vAlign w:val="center"/>
          </w:tcPr>
          <w:p>
            <w:pPr>
              <w:widowControl/>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jc w:val="left"/>
              <w:rPr>
                <w:rFonts w:ascii="仿宋_GB2312" w:eastAsia="仿宋_GB2312"/>
                <w:color w:val="000000" w:themeColor="text1"/>
                <w:sz w:val="32"/>
                <w:szCs w:val="32"/>
              </w:rPr>
            </w:pPr>
            <w:r>
              <w:rPr>
                <w:rFonts w:hint="eastAsia" w:ascii="宋体" w:hAnsi="宋体" w:cs="宋体"/>
                <w:color w:val="000000" w:themeColor="text1"/>
                <w:kern w:val="0"/>
                <w:sz w:val="24"/>
              </w:rPr>
              <w:t xml:space="preserve">  4、其他固定资产</w:t>
            </w:r>
          </w:p>
        </w:tc>
        <w:tc>
          <w:tcPr>
            <w:tcW w:w="1033" w:type="dxa"/>
            <w:vAlign w:val="center"/>
          </w:tcPr>
          <w:p>
            <w:pPr>
              <w:jc w:val="center"/>
              <w:rPr>
                <w:rFonts w:ascii="仿宋_GB2312" w:eastAsia="仿宋_GB2312"/>
                <w:color w:val="000000" w:themeColor="text1"/>
                <w:sz w:val="32"/>
                <w:szCs w:val="32"/>
              </w:rPr>
            </w:pPr>
            <w:r>
              <w:rPr>
                <w:rFonts w:hint="eastAsia" w:ascii="宋体" w:hAnsi="宋体" w:cs="宋体"/>
                <w:color w:val="000000" w:themeColor="text1"/>
                <w:kern w:val="0"/>
                <w:sz w:val="24"/>
              </w:rPr>
              <w:t>—</w:t>
            </w:r>
          </w:p>
        </w:tc>
        <w:tc>
          <w:tcPr>
            <w:tcW w:w="3902" w:type="dxa"/>
            <w:vAlign w:val="center"/>
          </w:tcPr>
          <w:p>
            <w:pPr>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9.3739</w:t>
            </w:r>
          </w:p>
        </w:tc>
      </w:tr>
    </w:tbl>
    <w:p>
      <w:pPr>
        <w:spacing w:line="560" w:lineRule="exact"/>
        <w:ind w:firstLine="642"/>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其它固定资产主要是计算机、打印机、办公家具等。</w:t>
      </w:r>
    </w:p>
    <w:p>
      <w:pPr>
        <w:spacing w:line="560" w:lineRule="exact"/>
        <w:ind w:firstLine="642"/>
        <w:rPr>
          <w:rFonts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ascii="仿宋" w:hAnsi="仿宋" w:eastAsia="仿宋"/>
          <w:b/>
          <w:sz w:val="32"/>
          <w:szCs w:val="32"/>
        </w:rPr>
      </w:pPr>
    </w:p>
    <w:p>
      <w:pPr>
        <w:spacing w:line="560" w:lineRule="exact"/>
        <w:rPr>
          <w:rFonts w:ascii="仿宋" w:hAnsi="仿宋" w:eastAsia="仿宋" w:cs="仿宋"/>
          <w:sz w:val="32"/>
          <w:szCs w:val="32"/>
        </w:rPr>
      </w:pPr>
      <w:r>
        <w:rPr>
          <w:rFonts w:hint="eastAsia" w:ascii="仿宋" w:hAnsi="仿宋" w:eastAsia="仿宋" w:cs="仿宋"/>
          <w:b/>
          <w:bCs/>
          <w:sz w:val="32"/>
          <w:szCs w:val="32"/>
        </w:rPr>
        <w:t>1、一般公共预算财政拨款收入：</w:t>
      </w:r>
      <w:r>
        <w:rPr>
          <w:rFonts w:hint="eastAsia" w:ascii="仿宋" w:hAnsi="仿宋" w:eastAsia="仿宋" w:cs="仿宋"/>
          <w:sz w:val="32"/>
          <w:szCs w:val="32"/>
        </w:rPr>
        <w:t>县级财政当年拨付的资金。</w:t>
      </w:r>
    </w:p>
    <w:p>
      <w:pPr>
        <w:pStyle w:val="4"/>
        <w:widowControl/>
        <w:spacing w:line="560" w:lineRule="exact"/>
        <w:rPr>
          <w:rFonts w:ascii="仿宋" w:hAnsi="仿宋" w:eastAsia="仿宋" w:cs="仿宋"/>
          <w:sz w:val="32"/>
          <w:szCs w:val="32"/>
        </w:rPr>
      </w:pPr>
      <w:r>
        <w:rPr>
          <w:rStyle w:val="8"/>
          <w:rFonts w:hint="eastAsia" w:ascii="仿宋" w:hAnsi="仿宋" w:eastAsia="仿宋" w:cs="仿宋"/>
          <w:sz w:val="32"/>
          <w:szCs w:val="32"/>
          <w:shd w:val="clear" w:color="auto" w:fill="FFFFFF"/>
        </w:rPr>
        <w:t>2、其他收入：</w:t>
      </w:r>
      <w:r>
        <w:rPr>
          <w:rFonts w:hint="eastAsia" w:ascii="仿宋" w:hAnsi="仿宋" w:eastAsia="仿宋" w:cs="仿宋"/>
          <w:sz w:val="32"/>
          <w:szCs w:val="32"/>
          <w:shd w:val="clear" w:color="auto" w:fill="FFFFFF"/>
        </w:rPr>
        <w:t>指除上述财政拨款收入以外的收入。主要是存款利息收入。</w:t>
      </w:r>
    </w:p>
    <w:p>
      <w:pPr>
        <w:pStyle w:val="4"/>
        <w:widowControl/>
        <w:spacing w:line="560" w:lineRule="exact"/>
        <w:rPr>
          <w:rFonts w:ascii="仿宋" w:hAnsi="仿宋" w:eastAsia="仿宋" w:cs="仿宋"/>
          <w:sz w:val="32"/>
          <w:szCs w:val="32"/>
        </w:rPr>
      </w:pPr>
      <w:r>
        <w:rPr>
          <w:rStyle w:val="8"/>
          <w:rFonts w:hint="eastAsia"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4"/>
        <w:widowControl/>
        <w:spacing w:line="560" w:lineRule="exact"/>
        <w:rPr>
          <w:rFonts w:ascii="仿宋" w:hAnsi="仿宋" w:eastAsia="仿宋" w:cs="仿宋"/>
          <w:sz w:val="32"/>
          <w:szCs w:val="32"/>
        </w:rPr>
      </w:pPr>
      <w:r>
        <w:rPr>
          <w:rFonts w:hint="eastAsia" w:ascii="仿宋" w:hAnsi="仿宋" w:eastAsia="仿宋" w:cs="仿宋"/>
          <w:b/>
          <w:bCs/>
          <w:sz w:val="32"/>
          <w:szCs w:val="32"/>
        </w:rPr>
        <w:t xml:space="preserve">  4、项目支出</w:t>
      </w:r>
      <w:r>
        <w:rPr>
          <w:rFonts w:hint="eastAsia" w:ascii="仿宋" w:hAnsi="仿宋" w:eastAsia="仿宋" w:cs="仿宋"/>
          <w:sz w:val="32"/>
          <w:szCs w:val="32"/>
        </w:rPr>
        <w:t>：指在基本支出之外为完成特定行政任务和事业发展目标所发生的支出。</w:t>
      </w:r>
    </w:p>
    <w:p>
      <w:pPr>
        <w:pStyle w:val="4"/>
        <w:widowControl/>
        <w:spacing w:line="560" w:lineRule="exact"/>
        <w:rPr>
          <w:rFonts w:ascii="仿宋" w:hAnsi="仿宋" w:eastAsia="仿宋" w:cs="仿宋"/>
          <w:sz w:val="32"/>
          <w:szCs w:val="32"/>
        </w:rPr>
      </w:pPr>
      <w:r>
        <w:rPr>
          <w:rFonts w:hint="eastAsia" w:ascii="仿宋" w:hAnsi="仿宋" w:eastAsia="仿宋" w:cs="仿宋"/>
          <w:b/>
          <w:bCs/>
          <w:sz w:val="32"/>
          <w:szCs w:val="32"/>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numPr>
          <w:ilvl w:val="0"/>
          <w:numId w:val="4"/>
        </w:num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4"/>
        </w:numPr>
        <w:ind w:firstLine="643" w:firstLineChars="200"/>
        <w:rPr>
          <w:rFonts w:ascii="仿宋_GB2312" w:hAnsi="仿宋" w:eastAsia="仿宋_GB2312"/>
          <w:sz w:val="32"/>
          <w:szCs w:val="32"/>
        </w:rPr>
      </w:pPr>
      <w:r>
        <w:rPr>
          <w:rFonts w:hint="eastAsia" w:ascii="仿宋_GB2312" w:hAnsi="仿宋" w:eastAsia="仿宋_GB2312"/>
          <w:b/>
          <w:sz w:val="32"/>
          <w:szCs w:val="32"/>
        </w:rPr>
        <w:t>公务费：</w:t>
      </w:r>
      <w:r>
        <w:rPr>
          <w:rFonts w:hint="eastAsia" w:ascii="仿宋_GB2312" w:hAnsi="仿宋" w:eastAsia="仿宋_GB2312"/>
          <w:sz w:val="32"/>
          <w:szCs w:val="32"/>
        </w:rPr>
        <w:t>包括办公费、水电费、邮电费、取暖费、交通费、一般会议费和物业管理费之和。</w:t>
      </w:r>
    </w:p>
    <w:p>
      <w:pPr>
        <w:ind w:left="420" w:leftChars="200"/>
        <w:rPr>
          <w:rFonts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2019年我单位无政府基金预算及国有资本经营额度，空表列示。</w:t>
      </w:r>
    </w:p>
    <w:sectPr>
      <w:pgSz w:w="11906" w:h="16838"/>
      <w:pgMar w:top="1440" w:right="1247" w:bottom="1440" w:left="181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30"/>
        <w:szCs w:val="30"/>
      </w:rPr>
    </w:pPr>
  </w:p>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C805F"/>
    <w:multiLevelType w:val="singleLevel"/>
    <w:tmpl w:val="594C805F"/>
    <w:lvl w:ilvl="0" w:tentative="0">
      <w:start w:val="2"/>
      <w:numFmt w:val="chineseCounting"/>
      <w:suff w:val="nothing"/>
      <w:lvlText w:val="%1、"/>
      <w:lvlJc w:val="left"/>
    </w:lvl>
  </w:abstractNum>
  <w:abstractNum w:abstractNumId="1">
    <w:nsid w:val="594C80B7"/>
    <w:multiLevelType w:val="singleLevel"/>
    <w:tmpl w:val="594C80B7"/>
    <w:lvl w:ilvl="0" w:tentative="0">
      <w:start w:val="2"/>
      <w:numFmt w:val="decimal"/>
      <w:suff w:val="nothing"/>
      <w:lvlText w:val="%1、"/>
      <w:lvlJc w:val="left"/>
    </w:lvl>
  </w:abstractNum>
  <w:abstractNum w:abstractNumId="2">
    <w:nsid w:val="594C8222"/>
    <w:multiLevelType w:val="singleLevel"/>
    <w:tmpl w:val="594C8222"/>
    <w:lvl w:ilvl="0" w:tentative="0">
      <w:start w:val="6"/>
      <w:numFmt w:val="decimal"/>
      <w:suff w:val="nothing"/>
      <w:lvlText w:val="%1、"/>
      <w:lvlJc w:val="left"/>
    </w:lvl>
  </w:abstractNum>
  <w:abstractNum w:abstractNumId="3">
    <w:nsid w:val="5A9CAC07"/>
    <w:multiLevelType w:val="singleLevel"/>
    <w:tmpl w:val="5A9CAC07"/>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DA0D50"/>
    <w:rsid w:val="00126E34"/>
    <w:rsid w:val="0038459B"/>
    <w:rsid w:val="006E5509"/>
    <w:rsid w:val="007356A3"/>
    <w:rsid w:val="00B60E74"/>
    <w:rsid w:val="00D757FB"/>
    <w:rsid w:val="00DA0D50"/>
    <w:rsid w:val="00E9470F"/>
    <w:rsid w:val="00ED65C2"/>
    <w:rsid w:val="043D6259"/>
    <w:rsid w:val="04520C33"/>
    <w:rsid w:val="04F12481"/>
    <w:rsid w:val="05E86BC6"/>
    <w:rsid w:val="06106394"/>
    <w:rsid w:val="06EE51EA"/>
    <w:rsid w:val="07120B42"/>
    <w:rsid w:val="07703FD9"/>
    <w:rsid w:val="08052B10"/>
    <w:rsid w:val="089E7A15"/>
    <w:rsid w:val="08C3759C"/>
    <w:rsid w:val="08E32C6F"/>
    <w:rsid w:val="09645C25"/>
    <w:rsid w:val="097162AF"/>
    <w:rsid w:val="0BBF2AC0"/>
    <w:rsid w:val="0CC34D21"/>
    <w:rsid w:val="0D2036FD"/>
    <w:rsid w:val="0E2B65B5"/>
    <w:rsid w:val="0FED0578"/>
    <w:rsid w:val="15406D6A"/>
    <w:rsid w:val="15B92B1C"/>
    <w:rsid w:val="15E17161"/>
    <w:rsid w:val="183E03B9"/>
    <w:rsid w:val="18CA0859"/>
    <w:rsid w:val="18EF5DA7"/>
    <w:rsid w:val="19A3663A"/>
    <w:rsid w:val="19A5122D"/>
    <w:rsid w:val="19D308FF"/>
    <w:rsid w:val="1BB124A7"/>
    <w:rsid w:val="1CC52EEE"/>
    <w:rsid w:val="1DE46A17"/>
    <w:rsid w:val="1E3876FE"/>
    <w:rsid w:val="1E6B4493"/>
    <w:rsid w:val="1F7208E6"/>
    <w:rsid w:val="1FE17C36"/>
    <w:rsid w:val="209620C0"/>
    <w:rsid w:val="21F37C25"/>
    <w:rsid w:val="23826022"/>
    <w:rsid w:val="24545AA6"/>
    <w:rsid w:val="249051EF"/>
    <w:rsid w:val="24B90C71"/>
    <w:rsid w:val="24D54BE9"/>
    <w:rsid w:val="255F4DF2"/>
    <w:rsid w:val="281925B5"/>
    <w:rsid w:val="28CF7E78"/>
    <w:rsid w:val="28DE553C"/>
    <w:rsid w:val="297F189E"/>
    <w:rsid w:val="2C165159"/>
    <w:rsid w:val="2CA5313F"/>
    <w:rsid w:val="2CF42ADE"/>
    <w:rsid w:val="2D383CE5"/>
    <w:rsid w:val="2E225CD7"/>
    <w:rsid w:val="301F5C95"/>
    <w:rsid w:val="30A507E9"/>
    <w:rsid w:val="31D25DF0"/>
    <w:rsid w:val="33F60AC0"/>
    <w:rsid w:val="34B5297A"/>
    <w:rsid w:val="36514B41"/>
    <w:rsid w:val="37327BAE"/>
    <w:rsid w:val="37D41B8A"/>
    <w:rsid w:val="37ED3E72"/>
    <w:rsid w:val="37F91C21"/>
    <w:rsid w:val="39D12E0E"/>
    <w:rsid w:val="39E7595B"/>
    <w:rsid w:val="3C3E2F77"/>
    <w:rsid w:val="3C765E32"/>
    <w:rsid w:val="3C915BB1"/>
    <w:rsid w:val="3CB61594"/>
    <w:rsid w:val="3D227617"/>
    <w:rsid w:val="3EBC24C0"/>
    <w:rsid w:val="3EF731C5"/>
    <w:rsid w:val="3F2230EB"/>
    <w:rsid w:val="41C448B7"/>
    <w:rsid w:val="42AB38C8"/>
    <w:rsid w:val="43685925"/>
    <w:rsid w:val="43CD5EA1"/>
    <w:rsid w:val="4468644D"/>
    <w:rsid w:val="4468730F"/>
    <w:rsid w:val="448D5D54"/>
    <w:rsid w:val="45222519"/>
    <w:rsid w:val="454B533C"/>
    <w:rsid w:val="45873CAE"/>
    <w:rsid w:val="45ED48C9"/>
    <w:rsid w:val="467A2881"/>
    <w:rsid w:val="471A792A"/>
    <w:rsid w:val="485C1935"/>
    <w:rsid w:val="489067C6"/>
    <w:rsid w:val="49760A40"/>
    <w:rsid w:val="4B5C2A6B"/>
    <w:rsid w:val="4DA82C95"/>
    <w:rsid w:val="4EDB1A2C"/>
    <w:rsid w:val="50D3043A"/>
    <w:rsid w:val="53D23194"/>
    <w:rsid w:val="54B350E2"/>
    <w:rsid w:val="5539652C"/>
    <w:rsid w:val="55510C7B"/>
    <w:rsid w:val="5553054B"/>
    <w:rsid w:val="573E2EBE"/>
    <w:rsid w:val="57851C7A"/>
    <w:rsid w:val="581E28B8"/>
    <w:rsid w:val="596961C6"/>
    <w:rsid w:val="5A1453BE"/>
    <w:rsid w:val="5A6917D4"/>
    <w:rsid w:val="5BE33A1A"/>
    <w:rsid w:val="5CA00740"/>
    <w:rsid w:val="5E4C70BE"/>
    <w:rsid w:val="5F626487"/>
    <w:rsid w:val="6023199D"/>
    <w:rsid w:val="618A53D0"/>
    <w:rsid w:val="61C96CA6"/>
    <w:rsid w:val="634A5807"/>
    <w:rsid w:val="647B6310"/>
    <w:rsid w:val="648F0E49"/>
    <w:rsid w:val="65F473F7"/>
    <w:rsid w:val="66686AB4"/>
    <w:rsid w:val="674818BE"/>
    <w:rsid w:val="689C3504"/>
    <w:rsid w:val="69023D7F"/>
    <w:rsid w:val="69304691"/>
    <w:rsid w:val="694C7921"/>
    <w:rsid w:val="696B21AC"/>
    <w:rsid w:val="69B45BBE"/>
    <w:rsid w:val="6A7E1B0F"/>
    <w:rsid w:val="6B8E629B"/>
    <w:rsid w:val="6BDB4680"/>
    <w:rsid w:val="6E502057"/>
    <w:rsid w:val="6F3A14DD"/>
    <w:rsid w:val="70547EC9"/>
    <w:rsid w:val="707C45C2"/>
    <w:rsid w:val="72430210"/>
    <w:rsid w:val="72C322FC"/>
    <w:rsid w:val="746B2543"/>
    <w:rsid w:val="749023D3"/>
    <w:rsid w:val="75360942"/>
    <w:rsid w:val="75D46FF3"/>
    <w:rsid w:val="75F61494"/>
    <w:rsid w:val="75FB5BF3"/>
    <w:rsid w:val="785F423C"/>
    <w:rsid w:val="79290075"/>
    <w:rsid w:val="793952F6"/>
    <w:rsid w:val="7A374D2F"/>
    <w:rsid w:val="7CEC514B"/>
    <w:rsid w:val="7CF05C6E"/>
    <w:rsid w:val="7D477943"/>
    <w:rsid w:val="7DBD0A7B"/>
    <w:rsid w:val="7DEC49E2"/>
    <w:rsid w:val="7E291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1001</Words>
  <Characters>5707</Characters>
  <Lines>47</Lines>
  <Paragraphs>13</Paragraphs>
  <TotalTime>243</TotalTime>
  <ScaleCrop>false</ScaleCrop>
  <LinksUpToDate>false</LinksUpToDate>
  <CharactersWithSpaces>6695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八爪小鱼</cp:lastModifiedBy>
  <cp:lastPrinted>2018-03-07T01:41:00Z</cp:lastPrinted>
  <dcterms:modified xsi:type="dcterms:W3CDTF">2024-02-01T10:31:27Z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1B71A84EF1C24A1A8B62AD4038812BD8_12</vt:lpwstr>
  </property>
</Properties>
</file>