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涞水县水利</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5</w:t>
      </w:r>
      <w:r>
        <w:fldChar w:fldCharType="end"/>
      </w:r>
      <w:r>
        <w:rPr>
          <w:rFonts w:hint="eastAsia"/>
          <w:lang w:val="en-US"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5438.56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rPr>
                <w:rFonts w:hint="default" w:eastAsia="方正书宋_GBK"/>
                <w:lang w:val="en-US" w:eastAsia="zh-CN"/>
              </w:rPr>
            </w:pPr>
            <w:r>
              <w:rPr>
                <w:rFonts w:hint="eastAsia"/>
                <w:lang w:val="en-US" w:eastAsia="zh-CN"/>
              </w:rPr>
              <w:t>425.34</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435.51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rPr>
                <w:rFonts w:hint="default" w:eastAsia="方正书宋_GBK"/>
                <w:lang w:val="en-US" w:eastAsia="zh-CN"/>
              </w:rPr>
            </w:pPr>
            <w:r>
              <w:rPr>
                <w:rFonts w:hint="eastAsia"/>
                <w:lang w:val="en-US" w:eastAsia="zh-CN"/>
              </w:rPr>
              <w:t>5418.53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eastAsia="方正书宋_GBK"/>
                <w:lang w:val="en-US" w:eastAsia="zh-CN"/>
              </w:rPr>
            </w:pPr>
            <w:r>
              <w:rPr>
                <w:rFonts w:hint="eastAsia"/>
                <w:lang w:val="en-US" w:eastAsia="zh-CN"/>
              </w:rPr>
              <w:t>5863.90</w:t>
            </w:r>
          </w:p>
        </w:tc>
        <w:tc>
          <w:tcPr>
            <w:tcW w:w="4535" w:type="dxa"/>
            <w:vAlign w:val="center"/>
          </w:tcPr>
          <w:p>
            <w:pPr>
              <w:pStyle w:val="18"/>
            </w:pPr>
            <w:r>
              <w:t>本年支出合计</w:t>
            </w:r>
          </w:p>
        </w:tc>
        <w:tc>
          <w:tcPr>
            <w:tcW w:w="2126" w:type="dxa"/>
            <w:vAlign w:val="center"/>
          </w:tcPr>
          <w:p>
            <w:pPr>
              <w:pStyle w:val="19"/>
              <w:rPr>
                <w:rFonts w:hint="default" w:eastAsia="方正书宋_GBK"/>
                <w:lang w:val="en-US" w:eastAsia="zh-CN"/>
              </w:rPr>
            </w:pPr>
            <w:r>
              <w:rPr>
                <w:rFonts w:hint="eastAsia"/>
                <w:lang w:val="en-US" w:eastAsia="zh-CN"/>
              </w:rPr>
              <w:t>5863.90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eastAsia="方正书宋_GBK"/>
                <w:lang w:val="en-US" w:eastAsia="zh-CN"/>
              </w:rPr>
            </w:pPr>
            <w:r>
              <w:rPr>
                <w:rFonts w:hint="eastAsia"/>
                <w:lang w:val="en-US" w:eastAsia="zh-CN"/>
              </w:rPr>
              <w:t>5863.90</w:t>
            </w:r>
          </w:p>
        </w:tc>
        <w:tc>
          <w:tcPr>
            <w:tcW w:w="4535" w:type="dxa"/>
            <w:vAlign w:val="center"/>
          </w:tcPr>
          <w:p>
            <w:pPr>
              <w:pStyle w:val="18"/>
            </w:pPr>
            <w:r>
              <w:t>支出总计</w:t>
            </w:r>
          </w:p>
        </w:tc>
        <w:tc>
          <w:tcPr>
            <w:tcW w:w="2126" w:type="dxa"/>
            <w:vAlign w:val="center"/>
          </w:tcPr>
          <w:p>
            <w:pPr>
              <w:pStyle w:val="19"/>
              <w:rPr>
                <w:rFonts w:hint="default" w:eastAsia="方正书宋_GBK"/>
                <w:lang w:val="en-US" w:eastAsia="zh-CN"/>
              </w:rPr>
            </w:pPr>
            <w:r>
              <w:rPr>
                <w:rFonts w:hint="eastAsia"/>
                <w:lang w:val="en-US" w:eastAsia="zh-CN"/>
              </w:rPr>
              <w:t>5863.90</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5863.90</w:t>
            </w:r>
          </w:p>
        </w:tc>
        <w:tc>
          <w:tcPr>
            <w:tcW w:w="1134" w:type="dxa"/>
            <w:vAlign w:val="center"/>
          </w:tcPr>
          <w:p>
            <w:pPr>
              <w:pStyle w:val="19"/>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5863.90</w:t>
            </w:r>
          </w:p>
        </w:tc>
        <w:tc>
          <w:tcPr>
            <w:tcW w:w="1134" w:type="dxa"/>
            <w:vAlign w:val="center"/>
          </w:tcPr>
          <w:p>
            <w:pPr>
              <w:pStyle w:val="19"/>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5863.90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435.51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435.51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435.51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425.34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425.34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425.34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2082201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移民补助</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189.74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189.74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189.74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2082202</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235.60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235.60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235.60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农林水支出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5418.53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5418.53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5418.53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水利</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5418.53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5418.53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5418.53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546.87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546.87</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546.87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2130302</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90.33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90.33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90.33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2130304</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水利行业业务管理</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5.44</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2130305</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水利工程建设</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4000.60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4000.60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4000.60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2130306</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水利工程运行与维护</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145.44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145.44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145.44 </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2130314</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防汛</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47.52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47.52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47.52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2130319</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江河湖库水系综合整治</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38.73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38.73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2130335</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农村人畜饮水</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3.60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3.60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2130399</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其他水利支出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540.00 </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540.00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top"/>
          </w:tcPr>
          <w:p>
            <w:pPr>
              <w:pStyle w:val="15"/>
              <w:rPr>
                <w:rFonts w:hint="default"/>
                <w:b/>
                <w:bCs/>
                <w:lang w:val="en-US" w:eastAsia="zh-CN"/>
              </w:rPr>
            </w:pPr>
            <w:r>
              <w:rPr>
                <w:rFonts w:hint="default"/>
                <w:b/>
                <w:bCs/>
                <w:lang w:val="en-US" w:eastAsia="zh-CN"/>
              </w:rPr>
              <w:t xml:space="preserve">5863.90 </w:t>
            </w:r>
          </w:p>
        </w:tc>
        <w:tc>
          <w:tcPr>
            <w:tcW w:w="1361" w:type="dxa"/>
            <w:vAlign w:val="top"/>
          </w:tcPr>
          <w:p>
            <w:pPr>
              <w:pStyle w:val="15"/>
              <w:rPr>
                <w:rFonts w:hint="default"/>
                <w:b/>
                <w:bCs/>
                <w:lang w:val="en-US" w:eastAsia="zh-CN"/>
              </w:rPr>
            </w:pPr>
            <w:r>
              <w:rPr>
                <w:rFonts w:hint="default"/>
                <w:b/>
                <w:bCs/>
                <w:lang w:val="en-US" w:eastAsia="zh-CN"/>
              </w:rPr>
              <w:t xml:space="preserve">566.90 </w:t>
            </w:r>
          </w:p>
        </w:tc>
        <w:tc>
          <w:tcPr>
            <w:tcW w:w="1361" w:type="dxa"/>
            <w:vAlign w:val="top"/>
          </w:tcPr>
          <w:p>
            <w:pPr>
              <w:pStyle w:val="15"/>
              <w:rPr>
                <w:rFonts w:hint="default"/>
                <w:b/>
                <w:bCs/>
                <w:lang w:val="en-US" w:eastAsia="zh-CN"/>
              </w:rPr>
            </w:pPr>
            <w:r>
              <w:rPr>
                <w:rFonts w:hint="default"/>
                <w:b/>
                <w:bCs/>
                <w:lang w:val="en-US" w:eastAsia="zh-CN"/>
              </w:rPr>
              <w:t xml:space="preserve">5297.00 </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pStyle w:val="15"/>
              <w:rPr>
                <w:rFonts w:hint="default"/>
                <w:lang w:val="en-US" w:eastAsia="zh-CN"/>
              </w:rPr>
            </w:pPr>
            <w:r>
              <w:rPr>
                <w:rFonts w:hint="default"/>
                <w:lang w:val="en-US" w:eastAsia="zh-CN"/>
              </w:rPr>
              <w:t xml:space="preserve">435.51 </w:t>
            </w:r>
          </w:p>
        </w:tc>
        <w:tc>
          <w:tcPr>
            <w:tcW w:w="1361" w:type="dxa"/>
            <w:vAlign w:val="top"/>
          </w:tcPr>
          <w:p>
            <w:pPr>
              <w:pStyle w:val="15"/>
              <w:rPr>
                <w:rFonts w:hint="default"/>
                <w:lang w:val="en-US" w:eastAsia="zh-CN"/>
              </w:rPr>
            </w:pPr>
            <w:r>
              <w:rPr>
                <w:rFonts w:hint="default"/>
                <w:lang w:val="en-US" w:eastAsia="zh-CN"/>
              </w:rPr>
              <w:t>10.17</w:t>
            </w:r>
          </w:p>
        </w:tc>
        <w:tc>
          <w:tcPr>
            <w:tcW w:w="1361" w:type="dxa"/>
            <w:vAlign w:val="top"/>
          </w:tcPr>
          <w:p>
            <w:pPr>
              <w:pStyle w:val="15"/>
              <w:rPr>
                <w:rFonts w:hint="default"/>
                <w:lang w:val="en-US" w:eastAsia="zh-CN"/>
              </w:rPr>
            </w:pPr>
            <w:r>
              <w:rPr>
                <w:rFonts w:hint="default"/>
                <w:lang w:val="en-US" w:eastAsia="zh-CN"/>
              </w:rPr>
              <w:t xml:space="preserve">425.34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pStyle w:val="15"/>
              <w:rPr>
                <w:rFonts w:hint="default"/>
                <w:lang w:val="en-US" w:eastAsia="zh-CN"/>
              </w:rPr>
            </w:pPr>
            <w:r>
              <w:rPr>
                <w:rFonts w:hint="default"/>
                <w:lang w:val="en-US" w:eastAsia="zh-CN"/>
              </w:rPr>
              <w:t>10.17</w:t>
            </w:r>
          </w:p>
        </w:tc>
        <w:tc>
          <w:tcPr>
            <w:tcW w:w="1361" w:type="dxa"/>
            <w:vAlign w:val="top"/>
          </w:tcPr>
          <w:p>
            <w:pPr>
              <w:pStyle w:val="15"/>
              <w:rPr>
                <w:rFonts w:hint="default"/>
                <w:lang w:val="en-US" w:eastAsia="zh-CN"/>
              </w:rPr>
            </w:pPr>
            <w:r>
              <w:rPr>
                <w:rFonts w:hint="default"/>
                <w:lang w:val="en-US" w:eastAsia="zh-CN"/>
              </w:rPr>
              <w:t>10.17</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pStyle w:val="15"/>
              <w:rPr>
                <w:rFonts w:hint="default"/>
                <w:lang w:val="en-US" w:eastAsia="zh-CN"/>
              </w:rPr>
            </w:pPr>
            <w:r>
              <w:rPr>
                <w:rFonts w:hint="default"/>
                <w:lang w:val="en-US" w:eastAsia="zh-CN"/>
              </w:rPr>
              <w:t>10.17</w:t>
            </w:r>
          </w:p>
        </w:tc>
        <w:tc>
          <w:tcPr>
            <w:tcW w:w="1361" w:type="dxa"/>
            <w:vAlign w:val="top"/>
          </w:tcPr>
          <w:p>
            <w:pPr>
              <w:pStyle w:val="15"/>
              <w:rPr>
                <w:rFonts w:hint="default"/>
                <w:lang w:val="en-US" w:eastAsia="zh-CN"/>
              </w:rPr>
            </w:pPr>
            <w:r>
              <w:rPr>
                <w:rFonts w:hint="default"/>
                <w:lang w:val="en-US" w:eastAsia="zh-CN"/>
              </w:rPr>
              <w:t>10.17</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大中型水库移民后期扶持基金支出</w:t>
            </w:r>
          </w:p>
        </w:tc>
        <w:tc>
          <w:tcPr>
            <w:tcW w:w="1361" w:type="dxa"/>
            <w:vAlign w:val="top"/>
          </w:tcPr>
          <w:p>
            <w:pPr>
              <w:pStyle w:val="15"/>
              <w:rPr>
                <w:rFonts w:hint="default"/>
                <w:lang w:val="en-US" w:eastAsia="zh-CN"/>
              </w:rPr>
            </w:pPr>
            <w:r>
              <w:rPr>
                <w:rFonts w:hint="default"/>
                <w:lang w:val="en-US" w:eastAsia="zh-CN"/>
              </w:rPr>
              <w:t xml:space="preserve">425.34 </w:t>
            </w:r>
          </w:p>
        </w:tc>
        <w:tc>
          <w:tcPr>
            <w:tcW w:w="1361" w:type="dxa"/>
            <w:vAlign w:val="top"/>
          </w:tcPr>
          <w:p>
            <w:pPr>
              <w:pStyle w:val="15"/>
              <w:rPr>
                <w:rFonts w:hint="default"/>
                <w:lang w:val="en-US" w:eastAsia="zh-CN"/>
              </w:rPr>
            </w:pPr>
          </w:p>
        </w:tc>
        <w:tc>
          <w:tcPr>
            <w:tcW w:w="1361" w:type="dxa"/>
            <w:vAlign w:val="top"/>
          </w:tcPr>
          <w:p>
            <w:pPr>
              <w:pStyle w:val="15"/>
              <w:rPr>
                <w:rFonts w:hint="default"/>
                <w:lang w:val="en-US" w:eastAsia="zh-CN"/>
              </w:rPr>
            </w:pPr>
            <w:r>
              <w:rPr>
                <w:rFonts w:hint="default"/>
                <w:lang w:val="en-US" w:eastAsia="zh-CN"/>
              </w:rPr>
              <w:t xml:space="preserve">425.34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移民补助</w:t>
            </w:r>
          </w:p>
        </w:tc>
        <w:tc>
          <w:tcPr>
            <w:tcW w:w="1361" w:type="dxa"/>
            <w:vAlign w:val="top"/>
          </w:tcPr>
          <w:p>
            <w:pPr>
              <w:pStyle w:val="15"/>
              <w:rPr>
                <w:rFonts w:hint="default"/>
                <w:lang w:val="en-US" w:eastAsia="zh-CN"/>
              </w:rPr>
            </w:pPr>
            <w:r>
              <w:rPr>
                <w:rFonts w:hint="default"/>
                <w:lang w:val="en-US" w:eastAsia="zh-CN"/>
              </w:rPr>
              <w:t xml:space="preserve">189.74 </w:t>
            </w:r>
          </w:p>
        </w:tc>
        <w:tc>
          <w:tcPr>
            <w:tcW w:w="1361" w:type="dxa"/>
            <w:vAlign w:val="top"/>
          </w:tcPr>
          <w:p>
            <w:pPr>
              <w:pStyle w:val="15"/>
              <w:rPr>
                <w:rFonts w:hint="default"/>
                <w:lang w:val="en-US" w:eastAsia="zh-CN"/>
              </w:rPr>
            </w:pPr>
          </w:p>
        </w:tc>
        <w:tc>
          <w:tcPr>
            <w:tcW w:w="1361" w:type="dxa"/>
            <w:vAlign w:val="top"/>
          </w:tcPr>
          <w:p>
            <w:pPr>
              <w:pStyle w:val="15"/>
              <w:rPr>
                <w:rFonts w:hint="default"/>
                <w:lang w:val="en-US" w:eastAsia="zh-CN"/>
              </w:rPr>
            </w:pPr>
            <w:r>
              <w:rPr>
                <w:rFonts w:hint="default"/>
                <w:lang w:val="en-US" w:eastAsia="zh-CN"/>
              </w:rPr>
              <w:t xml:space="preserve">189.74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2082202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基础设施建设和经济发展</w:t>
            </w:r>
          </w:p>
        </w:tc>
        <w:tc>
          <w:tcPr>
            <w:tcW w:w="1361" w:type="dxa"/>
            <w:vAlign w:val="top"/>
          </w:tcPr>
          <w:p>
            <w:pPr>
              <w:pStyle w:val="15"/>
              <w:rPr>
                <w:rFonts w:hint="default"/>
                <w:lang w:val="en-US" w:eastAsia="zh-CN"/>
              </w:rPr>
            </w:pPr>
            <w:r>
              <w:rPr>
                <w:rFonts w:hint="default"/>
                <w:lang w:val="en-US" w:eastAsia="zh-CN"/>
              </w:rPr>
              <w:t xml:space="preserve">235.60 </w:t>
            </w:r>
          </w:p>
        </w:tc>
        <w:tc>
          <w:tcPr>
            <w:tcW w:w="1361" w:type="dxa"/>
            <w:vAlign w:val="top"/>
          </w:tcPr>
          <w:p>
            <w:pPr>
              <w:pStyle w:val="15"/>
              <w:rPr>
                <w:rFonts w:hint="default"/>
                <w:lang w:val="en-US" w:eastAsia="zh-CN"/>
              </w:rPr>
            </w:pPr>
          </w:p>
        </w:tc>
        <w:tc>
          <w:tcPr>
            <w:tcW w:w="1361" w:type="dxa"/>
            <w:vAlign w:val="top"/>
          </w:tcPr>
          <w:p>
            <w:pPr>
              <w:pStyle w:val="15"/>
              <w:rPr>
                <w:rFonts w:hint="default"/>
                <w:lang w:val="en-US" w:eastAsia="zh-CN"/>
              </w:rPr>
            </w:pPr>
            <w:r>
              <w:rPr>
                <w:rFonts w:hint="default"/>
                <w:lang w:val="en-US" w:eastAsia="zh-CN"/>
              </w:rPr>
              <w:t xml:space="preserve">235.60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uk-UA"/>
              </w:rPr>
            </w:pPr>
            <w:r>
              <w:rPr>
                <w:rFonts w:hint="default"/>
                <w:lang w:val="en-US" w:eastAsia="zh-CN"/>
              </w:rPr>
              <w:t>3.84</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农林水支出</w:t>
            </w:r>
          </w:p>
        </w:tc>
        <w:tc>
          <w:tcPr>
            <w:tcW w:w="1361" w:type="dxa"/>
            <w:vAlign w:val="top"/>
          </w:tcPr>
          <w:p>
            <w:pPr>
              <w:pStyle w:val="15"/>
              <w:rPr>
                <w:rFonts w:hint="default"/>
                <w:lang w:val="en-US" w:eastAsia="uk-UA"/>
              </w:rPr>
            </w:pPr>
            <w:r>
              <w:rPr>
                <w:rFonts w:hint="default"/>
                <w:lang w:val="en-US" w:eastAsia="zh-CN"/>
              </w:rPr>
              <w:t xml:space="preserve">5418.53 </w:t>
            </w:r>
          </w:p>
        </w:tc>
        <w:tc>
          <w:tcPr>
            <w:tcW w:w="1361" w:type="dxa"/>
            <w:vAlign w:val="top"/>
          </w:tcPr>
          <w:p>
            <w:pPr>
              <w:pStyle w:val="15"/>
              <w:rPr>
                <w:rFonts w:hint="default"/>
                <w:lang w:val="en-US" w:eastAsia="uk-UA"/>
              </w:rPr>
            </w:pPr>
            <w:r>
              <w:rPr>
                <w:rFonts w:hint="default"/>
                <w:lang w:val="en-US" w:eastAsia="zh-CN"/>
              </w:rPr>
              <w:t>546.87</w:t>
            </w:r>
          </w:p>
        </w:tc>
        <w:tc>
          <w:tcPr>
            <w:tcW w:w="1361" w:type="dxa"/>
            <w:vAlign w:val="top"/>
          </w:tcPr>
          <w:p>
            <w:pPr>
              <w:pStyle w:val="15"/>
              <w:rPr>
                <w:rFonts w:hint="default"/>
                <w:lang w:val="en-US" w:eastAsia="zh-CN"/>
              </w:rPr>
            </w:pPr>
            <w:r>
              <w:rPr>
                <w:rFonts w:hint="default"/>
                <w:lang w:val="en-US" w:eastAsia="zh-CN"/>
              </w:rPr>
              <w:t xml:space="preserve">4871.66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w:t>
            </w:r>
          </w:p>
        </w:tc>
        <w:tc>
          <w:tcPr>
            <w:tcW w:w="1361" w:type="dxa"/>
            <w:vAlign w:val="top"/>
          </w:tcPr>
          <w:p>
            <w:pPr>
              <w:pStyle w:val="15"/>
              <w:rPr>
                <w:rFonts w:hint="default"/>
                <w:lang w:val="en-US" w:eastAsia="uk-UA"/>
              </w:rPr>
            </w:pPr>
            <w:r>
              <w:rPr>
                <w:rFonts w:hint="default"/>
                <w:lang w:val="en-US" w:eastAsia="zh-CN"/>
              </w:rPr>
              <w:t xml:space="preserve">5418.53 </w:t>
            </w:r>
          </w:p>
        </w:tc>
        <w:tc>
          <w:tcPr>
            <w:tcW w:w="1361" w:type="dxa"/>
            <w:vAlign w:val="top"/>
          </w:tcPr>
          <w:p>
            <w:pPr>
              <w:pStyle w:val="15"/>
              <w:rPr>
                <w:rFonts w:hint="default"/>
                <w:lang w:val="en-US" w:eastAsia="uk-UA"/>
              </w:rPr>
            </w:pPr>
            <w:r>
              <w:rPr>
                <w:rFonts w:hint="default"/>
                <w:lang w:val="en-US" w:eastAsia="zh-CN"/>
              </w:rPr>
              <w:t>546.87</w:t>
            </w:r>
          </w:p>
        </w:tc>
        <w:tc>
          <w:tcPr>
            <w:tcW w:w="1361" w:type="dxa"/>
            <w:vAlign w:val="top"/>
          </w:tcPr>
          <w:p>
            <w:pPr>
              <w:pStyle w:val="15"/>
              <w:rPr>
                <w:rFonts w:hint="default"/>
                <w:lang w:val="en-US" w:eastAsia="zh-CN"/>
              </w:rPr>
            </w:pPr>
            <w:r>
              <w:rPr>
                <w:rFonts w:hint="default"/>
                <w:lang w:val="en-US" w:eastAsia="zh-CN"/>
              </w:rPr>
              <w:t xml:space="preserve">4871.66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pStyle w:val="15"/>
              <w:rPr>
                <w:rFonts w:hint="default"/>
                <w:lang w:val="en-US" w:eastAsia="uk-UA"/>
              </w:rPr>
            </w:pPr>
            <w:r>
              <w:rPr>
                <w:rFonts w:hint="default"/>
                <w:lang w:val="en-US" w:eastAsia="zh-CN"/>
              </w:rPr>
              <w:t>546.87</w:t>
            </w:r>
          </w:p>
        </w:tc>
        <w:tc>
          <w:tcPr>
            <w:tcW w:w="1361" w:type="dxa"/>
            <w:vAlign w:val="top"/>
          </w:tcPr>
          <w:p>
            <w:pPr>
              <w:pStyle w:val="15"/>
              <w:rPr>
                <w:rFonts w:hint="default"/>
                <w:lang w:val="en-US" w:eastAsia="uk-UA"/>
              </w:rPr>
            </w:pPr>
            <w:r>
              <w:rPr>
                <w:rFonts w:hint="default"/>
                <w:lang w:val="en-US" w:eastAsia="zh-CN"/>
              </w:rPr>
              <w:t>546.87</w:t>
            </w:r>
          </w:p>
        </w:tc>
        <w:tc>
          <w:tcPr>
            <w:tcW w:w="1361" w:type="dxa"/>
            <w:vAlign w:val="top"/>
          </w:tcPr>
          <w:p>
            <w:pPr>
              <w:pStyle w:val="15"/>
              <w:rPr>
                <w:rFonts w:hint="default"/>
                <w:lang w:val="en-US"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pStyle w:val="15"/>
              <w:rPr>
                <w:rFonts w:hint="default"/>
                <w:lang w:val="en-US" w:eastAsia="uk-UA"/>
              </w:rPr>
            </w:pPr>
            <w:r>
              <w:rPr>
                <w:rFonts w:hint="default"/>
                <w:lang w:val="en-US" w:eastAsia="zh-CN"/>
              </w:rPr>
              <w:t>90.33</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90.33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2130304</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水利行业业务管理</w:t>
            </w:r>
          </w:p>
        </w:tc>
        <w:tc>
          <w:tcPr>
            <w:tcW w:w="1361" w:type="dxa"/>
            <w:vAlign w:val="top"/>
          </w:tcPr>
          <w:p>
            <w:pPr>
              <w:pStyle w:val="15"/>
              <w:rPr>
                <w:rFonts w:hint="default"/>
                <w:lang w:val="en-US" w:eastAsia="uk-UA"/>
              </w:rPr>
            </w:pPr>
            <w:r>
              <w:rPr>
                <w:rFonts w:hint="default"/>
                <w:lang w:val="en-US" w:eastAsia="zh-CN"/>
              </w:rPr>
              <w:t>5.44</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5.44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水利工程建设</w:t>
            </w:r>
          </w:p>
        </w:tc>
        <w:tc>
          <w:tcPr>
            <w:tcW w:w="1361" w:type="dxa"/>
            <w:vAlign w:val="top"/>
          </w:tcPr>
          <w:p>
            <w:pPr>
              <w:pStyle w:val="15"/>
              <w:rPr>
                <w:rFonts w:hint="default"/>
                <w:lang w:val="en-US" w:eastAsia="uk-UA"/>
              </w:rPr>
            </w:pPr>
            <w:r>
              <w:rPr>
                <w:rFonts w:hint="default"/>
                <w:lang w:val="en-US" w:eastAsia="zh-CN"/>
              </w:rPr>
              <w:t>4000.60</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4000.60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2130306</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水利工程运行与维护</w:t>
            </w:r>
          </w:p>
        </w:tc>
        <w:tc>
          <w:tcPr>
            <w:tcW w:w="1361" w:type="dxa"/>
            <w:vAlign w:val="top"/>
          </w:tcPr>
          <w:p>
            <w:pPr>
              <w:pStyle w:val="15"/>
              <w:rPr>
                <w:rFonts w:hint="default"/>
                <w:lang w:val="en-US" w:eastAsia="uk-UA"/>
              </w:rPr>
            </w:pPr>
            <w:r>
              <w:rPr>
                <w:rFonts w:hint="default"/>
                <w:lang w:val="en-US" w:eastAsia="zh-CN"/>
              </w:rPr>
              <w:t xml:space="preserve">145.44 </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 xml:space="preserve">145.44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2130314</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防汛</w:t>
            </w:r>
          </w:p>
        </w:tc>
        <w:tc>
          <w:tcPr>
            <w:tcW w:w="1361" w:type="dxa"/>
            <w:vAlign w:val="top"/>
          </w:tcPr>
          <w:p>
            <w:pPr>
              <w:pStyle w:val="15"/>
              <w:rPr>
                <w:rFonts w:hint="default"/>
                <w:lang w:val="en-US" w:eastAsia="uk-UA"/>
              </w:rPr>
            </w:pPr>
            <w:r>
              <w:rPr>
                <w:rFonts w:hint="default"/>
                <w:lang w:val="en-US" w:eastAsia="zh-CN"/>
              </w:rPr>
              <w:t xml:space="preserve">47.52 </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 xml:space="preserve">47.52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江河湖库水系综合整治</w:t>
            </w:r>
          </w:p>
        </w:tc>
        <w:tc>
          <w:tcPr>
            <w:tcW w:w="1361" w:type="dxa"/>
            <w:vAlign w:val="top"/>
          </w:tcPr>
          <w:p>
            <w:pPr>
              <w:pStyle w:val="15"/>
              <w:rPr>
                <w:rFonts w:hint="default"/>
                <w:lang w:val="en-US" w:eastAsia="uk-UA"/>
              </w:rPr>
            </w:pPr>
            <w:r>
              <w:rPr>
                <w:rFonts w:hint="default"/>
                <w:lang w:val="en-US" w:eastAsia="zh-CN"/>
              </w:rPr>
              <w:t>38.73</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zh-CN"/>
              </w:rPr>
            </w:pPr>
            <w:r>
              <w:rPr>
                <w:rFonts w:hint="default"/>
                <w:lang w:val="en-US" w:eastAsia="zh-CN"/>
              </w:rPr>
              <w:t>38.73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2130335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农村人畜饮水</w:t>
            </w:r>
          </w:p>
        </w:tc>
        <w:tc>
          <w:tcPr>
            <w:tcW w:w="1361" w:type="dxa"/>
            <w:vAlign w:val="top"/>
          </w:tcPr>
          <w:p>
            <w:pPr>
              <w:pStyle w:val="15"/>
              <w:rPr>
                <w:rFonts w:hint="default"/>
                <w:lang w:val="en-US" w:eastAsia="uk-UA"/>
              </w:rPr>
            </w:pPr>
            <w:r>
              <w:rPr>
                <w:rFonts w:hint="default"/>
                <w:lang w:val="en-US" w:eastAsia="zh-CN"/>
              </w:rPr>
              <w:t>3.60</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uk-UA"/>
              </w:rPr>
            </w:pPr>
            <w:r>
              <w:rPr>
                <w:rFonts w:hint="default"/>
                <w:lang w:val="en-US" w:eastAsia="zh-CN"/>
              </w:rPr>
              <w:t>3.60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其他水利支出</w:t>
            </w:r>
          </w:p>
        </w:tc>
        <w:tc>
          <w:tcPr>
            <w:tcW w:w="1361" w:type="dxa"/>
            <w:vAlign w:val="top"/>
          </w:tcPr>
          <w:p>
            <w:pPr>
              <w:pStyle w:val="15"/>
              <w:rPr>
                <w:rFonts w:hint="default"/>
                <w:lang w:val="en-US" w:eastAsia="uk-UA"/>
              </w:rPr>
            </w:pPr>
            <w:r>
              <w:rPr>
                <w:rFonts w:hint="default"/>
                <w:lang w:val="en-US" w:eastAsia="zh-CN"/>
              </w:rPr>
              <w:t xml:space="preserve">540.00 </w:t>
            </w:r>
          </w:p>
        </w:tc>
        <w:tc>
          <w:tcPr>
            <w:tcW w:w="1361" w:type="dxa"/>
            <w:vAlign w:val="top"/>
          </w:tcPr>
          <w:p>
            <w:pPr>
              <w:pStyle w:val="15"/>
              <w:rPr>
                <w:rFonts w:hint="default"/>
                <w:lang w:val="en-US" w:eastAsia="uk-UA"/>
              </w:rPr>
            </w:pPr>
          </w:p>
        </w:tc>
        <w:tc>
          <w:tcPr>
            <w:tcW w:w="1361" w:type="dxa"/>
            <w:vAlign w:val="top"/>
          </w:tcPr>
          <w:p>
            <w:pPr>
              <w:pStyle w:val="15"/>
              <w:rPr>
                <w:rFonts w:hint="default"/>
                <w:lang w:val="en-US" w:eastAsia="uk-UA"/>
              </w:rPr>
            </w:pPr>
            <w:r>
              <w:rPr>
                <w:rFonts w:hint="default"/>
                <w:lang w:val="en-US" w:eastAsia="zh-CN"/>
              </w:rPr>
              <w:t xml:space="preserve">540.00 </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r>
              <w:rPr>
                <w:rFonts w:hint="default"/>
                <w:lang w:val="en-US" w:eastAsia="zh-CN"/>
              </w:rPr>
              <w:t>6.02</w:t>
            </w:r>
          </w:p>
        </w:tc>
        <w:tc>
          <w:tcPr>
            <w:tcW w:w="1361" w:type="dxa"/>
            <w:vAlign w:val="top"/>
          </w:tcPr>
          <w:p>
            <w:pPr>
              <w:pStyle w:val="15"/>
              <w:rPr>
                <w:rFonts w:hint="default"/>
                <w:lang w:val="en-US" w:eastAsia="uk-U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top"/>
          </w:tcPr>
          <w:p>
            <w:pPr>
              <w:pStyle w:val="15"/>
              <w:rPr>
                <w:rFonts w:hint="default"/>
                <w:lang w:val="en-US" w:eastAsia="uk-UA"/>
              </w:rPr>
            </w:pPr>
            <w:r>
              <w:rPr>
                <w:rFonts w:hint="default"/>
                <w:lang w:val="en-US" w:eastAsia="zh-CN"/>
              </w:rPr>
              <w:t>5438.56</w:t>
            </w:r>
          </w:p>
        </w:tc>
        <w:tc>
          <w:tcPr>
            <w:tcW w:w="3402" w:type="dxa"/>
            <w:vAlign w:val="center"/>
          </w:tcPr>
          <w:p>
            <w:pPr>
              <w:pStyle w:val="16"/>
            </w:pPr>
            <w:r>
              <w:t>一、一般公共服务支出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top"/>
          </w:tcPr>
          <w:p>
            <w:pPr>
              <w:pStyle w:val="15"/>
              <w:rPr>
                <w:rFonts w:hint="default"/>
                <w:lang w:val="en-US" w:eastAsia="zh-CN"/>
              </w:rPr>
            </w:pPr>
            <w:r>
              <w:rPr>
                <w:rFonts w:hint="default"/>
                <w:lang w:val="en-US" w:eastAsia="zh-CN"/>
              </w:rPr>
              <w:t>425.34</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top"/>
          </w:tcPr>
          <w:p>
            <w:pPr>
              <w:pStyle w:val="15"/>
              <w:rPr>
                <w:rFonts w:hint="default"/>
                <w:lang w:val="en-US" w:eastAsia="zh-CN"/>
              </w:rPr>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pStyle w:val="15"/>
              <w:rPr>
                <w:rFonts w:hint="default"/>
                <w:lang w:val="en-US" w:eastAsia="uk-UA"/>
              </w:rPr>
            </w:pPr>
            <w:r>
              <w:rPr>
                <w:rFonts w:hint="default"/>
                <w:lang w:val="en-US" w:eastAsia="zh-CN"/>
              </w:rPr>
              <w:t xml:space="preserve">435.51 </w:t>
            </w:r>
          </w:p>
        </w:tc>
        <w:tc>
          <w:tcPr>
            <w:tcW w:w="1474" w:type="dxa"/>
            <w:vAlign w:val="top"/>
          </w:tcPr>
          <w:p>
            <w:pPr>
              <w:pStyle w:val="15"/>
              <w:rPr>
                <w:rFonts w:hint="default"/>
                <w:lang w:val="en-US" w:eastAsia="uk-UA"/>
              </w:rPr>
            </w:pPr>
            <w:r>
              <w:rPr>
                <w:rFonts w:hint="default"/>
                <w:lang w:val="en-US" w:eastAsia="zh-CN"/>
              </w:rPr>
              <w:t>10.17</w:t>
            </w:r>
          </w:p>
        </w:tc>
        <w:tc>
          <w:tcPr>
            <w:tcW w:w="1474" w:type="dxa"/>
            <w:vAlign w:val="top"/>
          </w:tcPr>
          <w:p>
            <w:pPr>
              <w:pStyle w:val="15"/>
              <w:rPr>
                <w:rFonts w:hint="default"/>
                <w:lang w:val="en-US" w:eastAsia="zh-CN"/>
              </w:rPr>
            </w:pPr>
            <w:r>
              <w:rPr>
                <w:rFonts w:hint="default"/>
                <w:lang w:val="en-US" w:eastAsia="zh-CN"/>
              </w:rPr>
              <w:t xml:space="preserve">425.34 </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top"/>
          </w:tcPr>
          <w:p>
            <w:pPr>
              <w:pStyle w:val="15"/>
              <w:rPr>
                <w:rFonts w:hint="default"/>
                <w:lang w:val="en-US" w:eastAsia="zh-CN"/>
              </w:rPr>
            </w:pPr>
          </w:p>
        </w:tc>
        <w:tc>
          <w:tcPr>
            <w:tcW w:w="1474" w:type="dxa"/>
            <w:vAlign w:val="top"/>
          </w:tcPr>
          <w:p>
            <w:pPr>
              <w:pStyle w:val="15"/>
              <w:rPr>
                <w:rFonts w:hint="default"/>
                <w:lang w:val="en-US" w:eastAsia="zh-CN"/>
              </w:rPr>
            </w:pPr>
          </w:p>
        </w:tc>
        <w:tc>
          <w:tcPr>
            <w:tcW w:w="1474" w:type="dxa"/>
            <w:vAlign w:val="top"/>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pStyle w:val="15"/>
              <w:rPr>
                <w:rFonts w:hint="default"/>
                <w:lang w:val="en-US" w:eastAsia="uk-UA"/>
              </w:rPr>
            </w:pPr>
            <w:r>
              <w:rPr>
                <w:rFonts w:hint="default"/>
                <w:lang w:val="en-US" w:eastAsia="zh-CN"/>
              </w:rPr>
              <w:t>3.84</w:t>
            </w:r>
          </w:p>
        </w:tc>
        <w:tc>
          <w:tcPr>
            <w:tcW w:w="1474" w:type="dxa"/>
            <w:vAlign w:val="top"/>
          </w:tcPr>
          <w:p>
            <w:pPr>
              <w:pStyle w:val="15"/>
              <w:rPr>
                <w:rFonts w:hint="default"/>
                <w:lang w:val="en-US" w:eastAsia="uk-UA"/>
              </w:rPr>
            </w:pPr>
            <w:r>
              <w:rPr>
                <w:rFonts w:hint="default"/>
                <w:lang w:val="en-US" w:eastAsia="zh-CN"/>
              </w:rPr>
              <w:t>3.84</w:t>
            </w:r>
          </w:p>
        </w:tc>
        <w:tc>
          <w:tcPr>
            <w:tcW w:w="1474" w:type="dxa"/>
            <w:vAlign w:val="top"/>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top"/>
          </w:tcPr>
          <w:p>
            <w:pPr>
              <w:pStyle w:val="15"/>
              <w:rPr>
                <w:rFonts w:hint="default"/>
                <w:lang w:val="en-US" w:eastAsia="uk-UA"/>
              </w:rPr>
            </w:pPr>
            <w:r>
              <w:rPr>
                <w:rFonts w:hint="default"/>
                <w:lang w:val="en-US" w:eastAsia="zh-CN"/>
              </w:rPr>
              <w:t xml:space="preserve">5418.53 </w:t>
            </w:r>
          </w:p>
        </w:tc>
        <w:tc>
          <w:tcPr>
            <w:tcW w:w="1474" w:type="dxa"/>
            <w:vAlign w:val="top"/>
          </w:tcPr>
          <w:p>
            <w:pPr>
              <w:pStyle w:val="15"/>
              <w:rPr>
                <w:rFonts w:hint="default"/>
                <w:lang w:val="en-US" w:eastAsia="uk-UA"/>
              </w:rPr>
            </w:pPr>
            <w:r>
              <w:rPr>
                <w:rFonts w:hint="default"/>
                <w:lang w:val="en-US" w:eastAsia="zh-CN"/>
              </w:rPr>
              <w:t xml:space="preserve">5418.53 </w:t>
            </w: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pStyle w:val="15"/>
              <w:rPr>
                <w:rFonts w:hint="default"/>
                <w:lang w:val="en-US" w:eastAsia="uk-UA"/>
              </w:rPr>
            </w:pPr>
            <w:r>
              <w:rPr>
                <w:rFonts w:hint="default"/>
                <w:lang w:val="en-US" w:eastAsia="zh-CN"/>
              </w:rPr>
              <w:t>6.02</w:t>
            </w:r>
          </w:p>
        </w:tc>
        <w:tc>
          <w:tcPr>
            <w:tcW w:w="1474" w:type="dxa"/>
            <w:vAlign w:val="top"/>
          </w:tcPr>
          <w:p>
            <w:pPr>
              <w:pStyle w:val="15"/>
              <w:rPr>
                <w:rFonts w:hint="default"/>
                <w:lang w:val="en-US" w:eastAsia="uk-UA"/>
              </w:rPr>
            </w:pPr>
            <w:r>
              <w:rPr>
                <w:rFonts w:hint="default"/>
                <w:lang w:val="en-US" w:eastAsia="zh-CN"/>
              </w:rPr>
              <w:t>6.02</w:t>
            </w: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rPr>
                <w:rFonts w:hint="default"/>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rPr>
                <w:rFonts w:hint="default"/>
                <w:b/>
                <w:bCs/>
                <w:lang w:val="en-US" w:eastAsia="zh-CN"/>
              </w:rPr>
            </w:pPr>
          </w:p>
        </w:tc>
        <w:tc>
          <w:tcPr>
            <w:tcW w:w="3402" w:type="dxa"/>
            <w:vAlign w:val="center"/>
          </w:tcPr>
          <w:p>
            <w:pPr>
              <w:pStyle w:val="16"/>
            </w:pPr>
            <w:r>
              <w:t>三十、抗疫特别国债安排的支出</w:t>
            </w:r>
          </w:p>
        </w:tc>
        <w:tc>
          <w:tcPr>
            <w:tcW w:w="1474" w:type="dxa"/>
            <w:vAlign w:val="center"/>
          </w:tcPr>
          <w:p>
            <w:pPr>
              <w:pStyle w:val="15"/>
              <w:rPr>
                <w:rFonts w:hint="default"/>
                <w:b/>
                <w:bCs/>
                <w:lang w:val="en-US" w:eastAsia="zh-CN"/>
              </w:rPr>
            </w:pPr>
          </w:p>
        </w:tc>
        <w:tc>
          <w:tcPr>
            <w:tcW w:w="1474" w:type="dxa"/>
            <w:vAlign w:val="center"/>
          </w:tcPr>
          <w:p>
            <w:pPr>
              <w:pStyle w:val="15"/>
              <w:rPr>
                <w:rFonts w:hint="default"/>
                <w:b/>
                <w:bCs/>
                <w:lang w:val="en-US" w:eastAsia="zh-CN"/>
              </w:rPr>
            </w:pPr>
          </w:p>
        </w:tc>
        <w:tc>
          <w:tcPr>
            <w:tcW w:w="1474" w:type="dxa"/>
            <w:vAlign w:val="center"/>
          </w:tcPr>
          <w:p>
            <w:pPr>
              <w:pStyle w:val="15"/>
              <w:rPr>
                <w:rFonts w:hint="default"/>
                <w:b/>
                <w:bCs/>
                <w:lang w:val="en-US" w:eastAsia="zh-CN"/>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pStyle w:val="15"/>
              <w:rPr>
                <w:rFonts w:hint="default"/>
                <w:b/>
                <w:bCs/>
                <w:lang w:val="en-US" w:eastAsia="zh-CN"/>
              </w:rPr>
            </w:pPr>
            <w:r>
              <w:rPr>
                <w:rFonts w:hint="default"/>
                <w:b/>
                <w:bCs/>
                <w:lang w:val="en-US" w:eastAsia="zh-CN"/>
              </w:rPr>
              <w:t>5863.90</w:t>
            </w:r>
          </w:p>
        </w:tc>
        <w:tc>
          <w:tcPr>
            <w:tcW w:w="3402" w:type="dxa"/>
            <w:vAlign w:val="center"/>
          </w:tcPr>
          <w:p>
            <w:pPr>
              <w:pStyle w:val="18"/>
            </w:pPr>
            <w:r>
              <w:t>本年支出合计</w:t>
            </w:r>
          </w:p>
        </w:tc>
        <w:tc>
          <w:tcPr>
            <w:tcW w:w="1474" w:type="dxa"/>
            <w:vAlign w:val="top"/>
          </w:tcPr>
          <w:p>
            <w:pPr>
              <w:pStyle w:val="15"/>
              <w:rPr>
                <w:rFonts w:hint="default"/>
                <w:b/>
                <w:bCs/>
                <w:lang w:val="en-US" w:eastAsia="uk-UA"/>
              </w:rPr>
            </w:pPr>
            <w:r>
              <w:rPr>
                <w:rFonts w:hint="default"/>
                <w:b/>
                <w:bCs/>
                <w:lang w:val="en-US" w:eastAsia="zh-CN"/>
              </w:rPr>
              <w:t xml:space="preserve">5863.90 </w:t>
            </w:r>
          </w:p>
        </w:tc>
        <w:tc>
          <w:tcPr>
            <w:tcW w:w="1474" w:type="dxa"/>
            <w:vAlign w:val="top"/>
          </w:tcPr>
          <w:p>
            <w:pPr>
              <w:pStyle w:val="15"/>
              <w:rPr>
                <w:rFonts w:hint="default"/>
                <w:b/>
                <w:bCs/>
                <w:lang w:val="en-US" w:eastAsia="uk-UA"/>
              </w:rPr>
            </w:pPr>
            <w:r>
              <w:rPr>
                <w:rFonts w:hint="default"/>
                <w:b/>
                <w:bCs/>
                <w:lang w:val="en-US" w:eastAsia="zh-CN"/>
              </w:rPr>
              <w:t xml:space="preserve">5438.56 </w:t>
            </w:r>
          </w:p>
        </w:tc>
        <w:tc>
          <w:tcPr>
            <w:tcW w:w="1474" w:type="dxa"/>
            <w:vAlign w:val="top"/>
          </w:tcPr>
          <w:p>
            <w:pPr>
              <w:pStyle w:val="15"/>
              <w:rPr>
                <w:rFonts w:hint="default"/>
                <w:b/>
                <w:bCs/>
                <w:lang w:val="en-US" w:eastAsia="zh-CN"/>
              </w:rPr>
            </w:pPr>
            <w:r>
              <w:rPr>
                <w:rFonts w:hint="default"/>
                <w:b/>
                <w:bCs/>
                <w:lang w:val="en-US" w:eastAsia="zh-CN"/>
              </w:rPr>
              <w:t xml:space="preserve">425.34 </w:t>
            </w: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pStyle w:val="15"/>
              <w:rPr>
                <w:rFonts w:hint="default"/>
                <w:b/>
                <w:bCs/>
                <w:lang w:val="en-US" w:eastAsia="zh-CN"/>
              </w:rPr>
            </w:pPr>
          </w:p>
        </w:tc>
        <w:tc>
          <w:tcPr>
            <w:tcW w:w="3402" w:type="dxa"/>
            <w:vAlign w:val="center"/>
          </w:tcPr>
          <w:p>
            <w:pPr>
              <w:pStyle w:val="16"/>
            </w:pPr>
            <w:r>
              <w:t>年末财政拨款结转和结余</w:t>
            </w: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pStyle w:val="15"/>
              <w:rPr>
                <w:rFonts w:hint="default"/>
                <w:b/>
                <w:bCs/>
                <w:lang w:val="en-US" w:eastAsia="zh-CN"/>
              </w:rPr>
            </w:pPr>
            <w:r>
              <w:rPr>
                <w:rFonts w:hint="default"/>
                <w:b/>
                <w:bCs/>
                <w:lang w:val="en-US" w:eastAsia="zh-CN"/>
              </w:rPr>
              <w:t xml:space="preserve">5863.90 </w:t>
            </w:r>
          </w:p>
        </w:tc>
        <w:tc>
          <w:tcPr>
            <w:tcW w:w="3402" w:type="dxa"/>
            <w:vAlign w:val="center"/>
          </w:tcPr>
          <w:p>
            <w:pPr>
              <w:pStyle w:val="18"/>
            </w:pPr>
            <w:r>
              <w:t>支出总计</w:t>
            </w:r>
          </w:p>
        </w:tc>
        <w:tc>
          <w:tcPr>
            <w:tcW w:w="1474" w:type="dxa"/>
            <w:vAlign w:val="top"/>
          </w:tcPr>
          <w:p>
            <w:pPr>
              <w:pStyle w:val="15"/>
              <w:rPr>
                <w:rFonts w:hint="default"/>
                <w:b/>
                <w:bCs/>
                <w:lang w:val="en-US" w:eastAsia="uk-UA"/>
              </w:rPr>
            </w:pPr>
            <w:r>
              <w:rPr>
                <w:rFonts w:hint="default"/>
                <w:b/>
                <w:bCs/>
                <w:lang w:val="en-US" w:eastAsia="zh-CN"/>
              </w:rPr>
              <w:t xml:space="preserve">5863.90 </w:t>
            </w:r>
          </w:p>
        </w:tc>
        <w:tc>
          <w:tcPr>
            <w:tcW w:w="1474" w:type="dxa"/>
            <w:vAlign w:val="top"/>
          </w:tcPr>
          <w:p>
            <w:pPr>
              <w:pStyle w:val="15"/>
              <w:rPr>
                <w:rFonts w:hint="default"/>
                <w:b/>
                <w:bCs/>
                <w:lang w:val="en-US" w:eastAsia="uk-UA"/>
              </w:rPr>
            </w:pPr>
            <w:r>
              <w:rPr>
                <w:rFonts w:hint="default"/>
                <w:b/>
                <w:bCs/>
                <w:lang w:val="en-US" w:eastAsia="zh-CN"/>
              </w:rPr>
              <w:t xml:space="preserve">5438.56 </w:t>
            </w:r>
          </w:p>
        </w:tc>
        <w:tc>
          <w:tcPr>
            <w:tcW w:w="1474" w:type="dxa"/>
            <w:vAlign w:val="top"/>
          </w:tcPr>
          <w:p>
            <w:pPr>
              <w:pStyle w:val="15"/>
              <w:rPr>
                <w:rFonts w:hint="default"/>
                <w:b/>
                <w:bCs/>
                <w:lang w:val="en-US" w:eastAsia="zh-CN"/>
              </w:rPr>
            </w:pPr>
            <w:r>
              <w:rPr>
                <w:rFonts w:hint="default"/>
                <w:b/>
                <w:bCs/>
                <w:lang w:val="en-US" w:eastAsia="zh-CN"/>
              </w:rPr>
              <w:t xml:space="preserve">425.34 </w:t>
            </w:r>
          </w:p>
        </w:tc>
        <w:tc>
          <w:tcPr>
            <w:tcW w:w="1474" w:type="dxa"/>
            <w:vAlign w:val="top"/>
          </w:tcPr>
          <w:p>
            <w:pPr>
              <w:jc w:val="cente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top"/>
          </w:tcPr>
          <w:p>
            <w:pPr>
              <w:pStyle w:val="15"/>
              <w:rPr>
                <w:rFonts w:hint="default"/>
                <w:b/>
                <w:bCs/>
                <w:lang w:val="en-US" w:eastAsia="zh-CN"/>
              </w:rPr>
            </w:pPr>
            <w:r>
              <w:rPr>
                <w:rFonts w:hint="default"/>
                <w:b/>
                <w:bCs/>
                <w:lang w:val="en-US" w:eastAsia="zh-CN"/>
              </w:rPr>
              <w:t xml:space="preserve">5438.56 </w:t>
            </w:r>
          </w:p>
        </w:tc>
        <w:tc>
          <w:tcPr>
            <w:tcW w:w="2551" w:type="dxa"/>
            <w:vAlign w:val="top"/>
          </w:tcPr>
          <w:p>
            <w:pPr>
              <w:pStyle w:val="15"/>
              <w:rPr>
                <w:rFonts w:hint="default"/>
                <w:b/>
                <w:bCs/>
                <w:lang w:val="en-US" w:eastAsia="zh-CN"/>
              </w:rPr>
            </w:pPr>
            <w:r>
              <w:rPr>
                <w:rFonts w:hint="default"/>
                <w:b/>
                <w:bCs/>
                <w:lang w:val="en-US" w:eastAsia="zh-CN"/>
              </w:rPr>
              <w:t>566.90</w:t>
            </w:r>
          </w:p>
        </w:tc>
        <w:tc>
          <w:tcPr>
            <w:tcW w:w="2551" w:type="dxa"/>
            <w:vAlign w:val="top"/>
          </w:tcPr>
          <w:p>
            <w:pPr>
              <w:pStyle w:val="15"/>
              <w:rPr>
                <w:rFonts w:hint="default"/>
                <w:b/>
                <w:bCs/>
                <w:lang w:val="en-US" w:eastAsia="zh-CN"/>
              </w:rPr>
            </w:pPr>
            <w:r>
              <w:rPr>
                <w:rFonts w:hint="default"/>
                <w:b/>
                <w:bCs/>
                <w:lang w:val="en-US" w:eastAsia="zh-CN"/>
              </w:rPr>
              <w:t xml:space="preserve">4871.66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1" w:type="dxa"/>
            <w:vAlign w:val="top"/>
          </w:tcPr>
          <w:p>
            <w:pPr>
              <w:pStyle w:val="15"/>
              <w:rPr>
                <w:rFonts w:hint="default"/>
                <w:b w:val="0"/>
                <w:bCs w:val="0"/>
                <w:lang w:val="en-US" w:eastAsia="zh-CN"/>
              </w:rPr>
            </w:pPr>
            <w:r>
              <w:rPr>
                <w:rFonts w:hint="default"/>
                <w:b w:val="0"/>
                <w:bCs w:val="0"/>
                <w:lang w:val="en-US" w:eastAsia="zh-CN"/>
              </w:rPr>
              <w:t>3.84</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1" w:type="dxa"/>
            <w:vAlign w:val="top"/>
          </w:tcPr>
          <w:p>
            <w:pPr>
              <w:pStyle w:val="15"/>
              <w:rPr>
                <w:rFonts w:hint="default"/>
                <w:b w:val="0"/>
                <w:bCs w:val="0"/>
                <w:lang w:val="en-US" w:eastAsia="zh-CN"/>
              </w:rPr>
            </w:pPr>
            <w:r>
              <w:rPr>
                <w:rFonts w:hint="default"/>
                <w:b w:val="0"/>
                <w:bCs w:val="0"/>
                <w:lang w:val="en-US" w:eastAsia="zh-CN"/>
              </w:rPr>
              <w:t>3.84</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1" w:type="dxa"/>
            <w:vAlign w:val="top"/>
          </w:tcPr>
          <w:p>
            <w:pPr>
              <w:pStyle w:val="15"/>
              <w:rPr>
                <w:rFonts w:hint="default"/>
                <w:b w:val="0"/>
                <w:bCs w:val="0"/>
                <w:lang w:val="en-US" w:eastAsia="zh-CN"/>
              </w:rPr>
            </w:pPr>
            <w:r>
              <w:rPr>
                <w:rFonts w:hint="default"/>
                <w:b w:val="0"/>
                <w:bCs w:val="0"/>
                <w:lang w:val="en-US" w:eastAsia="zh-CN"/>
              </w:rPr>
              <w:t>3.84</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农林水支出</w:t>
            </w:r>
          </w:p>
        </w:tc>
        <w:tc>
          <w:tcPr>
            <w:tcW w:w="2551" w:type="dxa"/>
            <w:vAlign w:val="top"/>
          </w:tcPr>
          <w:p>
            <w:pPr>
              <w:pStyle w:val="15"/>
              <w:rPr>
                <w:rFonts w:hint="default"/>
                <w:b w:val="0"/>
                <w:bCs w:val="0"/>
                <w:lang w:val="en-US" w:eastAsia="uk-UA"/>
              </w:rPr>
            </w:pPr>
            <w:r>
              <w:rPr>
                <w:rFonts w:hint="default"/>
                <w:b w:val="0"/>
                <w:bCs w:val="0"/>
                <w:lang w:val="en-US" w:eastAsia="zh-CN"/>
              </w:rPr>
              <w:t xml:space="preserve">5418.53 </w:t>
            </w:r>
          </w:p>
        </w:tc>
        <w:tc>
          <w:tcPr>
            <w:tcW w:w="2551" w:type="dxa"/>
            <w:vAlign w:val="top"/>
          </w:tcPr>
          <w:p>
            <w:pPr>
              <w:pStyle w:val="15"/>
              <w:rPr>
                <w:rFonts w:hint="default"/>
                <w:b w:val="0"/>
                <w:bCs w:val="0"/>
                <w:lang w:val="en-US" w:eastAsia="uk-UA"/>
              </w:rPr>
            </w:pPr>
            <w:r>
              <w:rPr>
                <w:rFonts w:hint="default"/>
                <w:b w:val="0"/>
                <w:bCs w:val="0"/>
                <w:lang w:val="en-US" w:eastAsia="zh-CN"/>
              </w:rPr>
              <w:t>546.87</w:t>
            </w:r>
          </w:p>
        </w:tc>
        <w:tc>
          <w:tcPr>
            <w:tcW w:w="2551" w:type="dxa"/>
            <w:vAlign w:val="top"/>
          </w:tcPr>
          <w:p>
            <w:pPr>
              <w:pStyle w:val="15"/>
              <w:rPr>
                <w:rFonts w:hint="default"/>
                <w:b w:val="0"/>
                <w:bCs w:val="0"/>
                <w:lang w:val="en-US" w:eastAsia="uk-UA"/>
              </w:rPr>
            </w:pPr>
            <w:r>
              <w:rPr>
                <w:rFonts w:hint="default"/>
                <w:b w:val="0"/>
                <w:bCs w:val="0"/>
                <w:lang w:val="en-US" w:eastAsia="zh-CN"/>
              </w:rPr>
              <w:t xml:space="preserve">4871.66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w:t>
            </w:r>
          </w:p>
        </w:tc>
        <w:tc>
          <w:tcPr>
            <w:tcW w:w="2551" w:type="dxa"/>
            <w:vAlign w:val="top"/>
          </w:tcPr>
          <w:p>
            <w:pPr>
              <w:pStyle w:val="15"/>
              <w:rPr>
                <w:rFonts w:hint="default"/>
                <w:b w:val="0"/>
                <w:bCs w:val="0"/>
                <w:lang w:val="en-US" w:eastAsia="uk-UA"/>
              </w:rPr>
            </w:pPr>
            <w:r>
              <w:rPr>
                <w:rFonts w:hint="default"/>
                <w:b w:val="0"/>
                <w:bCs w:val="0"/>
                <w:lang w:val="en-US" w:eastAsia="zh-CN"/>
              </w:rPr>
              <w:t xml:space="preserve">5418.53 </w:t>
            </w:r>
          </w:p>
        </w:tc>
        <w:tc>
          <w:tcPr>
            <w:tcW w:w="2551" w:type="dxa"/>
            <w:vAlign w:val="top"/>
          </w:tcPr>
          <w:p>
            <w:pPr>
              <w:pStyle w:val="15"/>
              <w:rPr>
                <w:rFonts w:hint="default"/>
                <w:b w:val="0"/>
                <w:bCs w:val="0"/>
                <w:lang w:val="en-US" w:eastAsia="uk-UA"/>
              </w:rPr>
            </w:pPr>
            <w:r>
              <w:rPr>
                <w:rFonts w:hint="default"/>
                <w:b w:val="0"/>
                <w:bCs w:val="0"/>
                <w:lang w:val="en-US" w:eastAsia="zh-CN"/>
              </w:rPr>
              <w:t>546.87</w:t>
            </w:r>
          </w:p>
        </w:tc>
        <w:tc>
          <w:tcPr>
            <w:tcW w:w="2551" w:type="dxa"/>
            <w:vAlign w:val="top"/>
          </w:tcPr>
          <w:p>
            <w:pPr>
              <w:pStyle w:val="15"/>
              <w:rPr>
                <w:rFonts w:hint="default"/>
                <w:b w:val="0"/>
                <w:bCs w:val="0"/>
                <w:lang w:val="en-US" w:eastAsia="uk-UA"/>
              </w:rPr>
            </w:pPr>
            <w:r>
              <w:rPr>
                <w:rFonts w:hint="default"/>
                <w:b w:val="0"/>
                <w:bCs w:val="0"/>
                <w:lang w:val="en-US" w:eastAsia="zh-CN"/>
              </w:rPr>
              <w:t xml:space="preserve">4871.66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pStyle w:val="15"/>
              <w:rPr>
                <w:rFonts w:hint="default"/>
                <w:b w:val="0"/>
                <w:bCs w:val="0"/>
                <w:lang w:val="en-US" w:eastAsia="uk-UA"/>
              </w:rPr>
            </w:pPr>
            <w:r>
              <w:rPr>
                <w:rFonts w:hint="default"/>
                <w:b w:val="0"/>
                <w:bCs w:val="0"/>
                <w:lang w:val="en-US" w:eastAsia="zh-CN"/>
              </w:rPr>
              <w:t xml:space="preserve">546.87 </w:t>
            </w:r>
          </w:p>
        </w:tc>
        <w:tc>
          <w:tcPr>
            <w:tcW w:w="2551" w:type="dxa"/>
            <w:vAlign w:val="top"/>
          </w:tcPr>
          <w:p>
            <w:pPr>
              <w:pStyle w:val="15"/>
              <w:rPr>
                <w:rFonts w:hint="default"/>
                <w:b w:val="0"/>
                <w:bCs w:val="0"/>
                <w:lang w:val="en-US" w:eastAsia="uk-UA"/>
              </w:rPr>
            </w:pPr>
            <w:r>
              <w:rPr>
                <w:rFonts w:hint="default"/>
                <w:b w:val="0"/>
                <w:bCs w:val="0"/>
                <w:lang w:val="en-US" w:eastAsia="zh-CN"/>
              </w:rPr>
              <w:t>546.87</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pStyle w:val="15"/>
              <w:rPr>
                <w:rFonts w:hint="default"/>
                <w:b w:val="0"/>
                <w:bCs w:val="0"/>
                <w:lang w:val="en-US" w:eastAsia="uk-UA"/>
              </w:rPr>
            </w:pPr>
            <w:r>
              <w:rPr>
                <w:rFonts w:hint="default"/>
                <w:b w:val="0"/>
                <w:bCs w:val="0"/>
                <w:lang w:val="en-US" w:eastAsia="zh-CN"/>
              </w:rPr>
              <w:t>90.33</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90.33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2130304</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水利行业业务管理</w:t>
            </w:r>
          </w:p>
        </w:tc>
        <w:tc>
          <w:tcPr>
            <w:tcW w:w="2551" w:type="dxa"/>
            <w:vAlign w:val="top"/>
          </w:tcPr>
          <w:p>
            <w:pPr>
              <w:pStyle w:val="15"/>
              <w:rPr>
                <w:rFonts w:hint="default"/>
                <w:b w:val="0"/>
                <w:bCs w:val="0"/>
                <w:lang w:val="en-US" w:eastAsia="uk-UA"/>
              </w:rPr>
            </w:pPr>
            <w:r>
              <w:rPr>
                <w:rFonts w:hint="default"/>
                <w:b w:val="0"/>
                <w:bCs w:val="0"/>
                <w:lang w:val="en-US" w:eastAsia="zh-CN"/>
              </w:rPr>
              <w:t>5.44</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水利工程建设</w:t>
            </w:r>
          </w:p>
        </w:tc>
        <w:tc>
          <w:tcPr>
            <w:tcW w:w="2551" w:type="dxa"/>
            <w:vAlign w:val="top"/>
          </w:tcPr>
          <w:p>
            <w:pPr>
              <w:pStyle w:val="15"/>
              <w:rPr>
                <w:rFonts w:hint="default"/>
                <w:b w:val="0"/>
                <w:bCs w:val="0"/>
                <w:lang w:val="en-US" w:eastAsia="uk-UA"/>
              </w:rPr>
            </w:pPr>
            <w:r>
              <w:rPr>
                <w:rFonts w:hint="default"/>
                <w:b w:val="0"/>
                <w:bCs w:val="0"/>
                <w:lang w:val="en-US" w:eastAsia="zh-CN"/>
              </w:rPr>
              <w:t>4000.60</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4000.60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2130306</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水利工程运行与维护</w:t>
            </w:r>
          </w:p>
        </w:tc>
        <w:tc>
          <w:tcPr>
            <w:tcW w:w="2551" w:type="dxa"/>
            <w:vAlign w:val="top"/>
          </w:tcPr>
          <w:p>
            <w:pPr>
              <w:pStyle w:val="15"/>
              <w:rPr>
                <w:rFonts w:hint="default"/>
                <w:b w:val="0"/>
                <w:bCs w:val="0"/>
                <w:lang w:val="en-US" w:eastAsia="uk-UA"/>
              </w:rPr>
            </w:pPr>
            <w:r>
              <w:rPr>
                <w:rFonts w:hint="default"/>
                <w:b w:val="0"/>
                <w:bCs w:val="0"/>
                <w:lang w:val="en-US" w:eastAsia="zh-CN"/>
              </w:rPr>
              <w:t xml:space="preserve">145.44 </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 xml:space="preserve">145.44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2130314</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防汛</w:t>
            </w:r>
          </w:p>
        </w:tc>
        <w:tc>
          <w:tcPr>
            <w:tcW w:w="2551" w:type="dxa"/>
            <w:vAlign w:val="top"/>
          </w:tcPr>
          <w:p>
            <w:pPr>
              <w:pStyle w:val="15"/>
              <w:rPr>
                <w:rFonts w:hint="default"/>
                <w:b w:val="0"/>
                <w:bCs w:val="0"/>
                <w:lang w:val="en-US" w:eastAsia="uk-UA"/>
              </w:rPr>
            </w:pPr>
            <w:r>
              <w:rPr>
                <w:rFonts w:hint="default"/>
                <w:b w:val="0"/>
                <w:bCs w:val="0"/>
                <w:lang w:val="en-US" w:eastAsia="zh-CN"/>
              </w:rPr>
              <w:t xml:space="preserve">47.52 </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 xml:space="preserve">47.52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2130319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江河湖库水系综合整治</w:t>
            </w:r>
          </w:p>
        </w:tc>
        <w:tc>
          <w:tcPr>
            <w:tcW w:w="2551" w:type="dxa"/>
            <w:vAlign w:val="top"/>
          </w:tcPr>
          <w:p>
            <w:pPr>
              <w:pStyle w:val="15"/>
              <w:rPr>
                <w:rFonts w:hint="default"/>
                <w:b w:val="0"/>
                <w:bCs w:val="0"/>
                <w:lang w:val="en-US" w:eastAsia="uk-UA"/>
              </w:rPr>
            </w:pPr>
            <w:r>
              <w:rPr>
                <w:rFonts w:hint="default"/>
                <w:b w:val="0"/>
                <w:bCs w:val="0"/>
                <w:lang w:val="en-US" w:eastAsia="zh-CN"/>
              </w:rPr>
              <w:t>38.73</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38.73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2130335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农村人畜饮水</w:t>
            </w:r>
          </w:p>
        </w:tc>
        <w:tc>
          <w:tcPr>
            <w:tcW w:w="2551" w:type="dxa"/>
            <w:vAlign w:val="top"/>
          </w:tcPr>
          <w:p>
            <w:pPr>
              <w:pStyle w:val="15"/>
              <w:rPr>
                <w:rFonts w:hint="default"/>
                <w:b w:val="0"/>
                <w:bCs w:val="0"/>
                <w:lang w:val="en-US" w:eastAsia="uk-UA"/>
              </w:rPr>
            </w:pPr>
            <w:r>
              <w:rPr>
                <w:rFonts w:hint="default"/>
                <w:b w:val="0"/>
                <w:bCs w:val="0"/>
                <w:lang w:val="en-US" w:eastAsia="zh-CN"/>
              </w:rPr>
              <w:t>3.60</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2130399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其他水利支出</w:t>
            </w:r>
          </w:p>
        </w:tc>
        <w:tc>
          <w:tcPr>
            <w:tcW w:w="2551" w:type="dxa"/>
            <w:vAlign w:val="top"/>
          </w:tcPr>
          <w:p>
            <w:pPr>
              <w:pStyle w:val="15"/>
              <w:rPr>
                <w:rFonts w:hint="default"/>
                <w:b w:val="0"/>
                <w:bCs w:val="0"/>
                <w:lang w:val="en-US" w:eastAsia="uk-UA"/>
              </w:rPr>
            </w:pPr>
            <w:r>
              <w:rPr>
                <w:rFonts w:hint="default"/>
                <w:b w:val="0"/>
                <w:bCs w:val="0"/>
                <w:lang w:val="en-US" w:eastAsia="zh-CN"/>
              </w:rPr>
              <w:t xml:space="preserve">540.00 </w:t>
            </w:r>
          </w:p>
        </w:tc>
        <w:tc>
          <w:tcPr>
            <w:tcW w:w="2551" w:type="dxa"/>
            <w:vAlign w:val="top"/>
          </w:tcPr>
          <w:p>
            <w:pPr>
              <w:pStyle w:val="15"/>
              <w:rPr>
                <w:rFonts w:hint="default"/>
                <w:b w:val="0"/>
                <w:bCs w:val="0"/>
                <w:lang w:val="en-US" w:eastAsia="uk-UA"/>
              </w:rPr>
            </w:pPr>
          </w:p>
        </w:tc>
        <w:tc>
          <w:tcPr>
            <w:tcW w:w="2551" w:type="dxa"/>
            <w:vAlign w:val="top"/>
          </w:tcPr>
          <w:p>
            <w:pPr>
              <w:pStyle w:val="15"/>
              <w:rPr>
                <w:rFonts w:hint="default"/>
                <w:b w:val="0"/>
                <w:bCs w:val="0"/>
                <w:lang w:val="en-US" w:eastAsia="uk-UA"/>
              </w:rPr>
            </w:pPr>
            <w:r>
              <w:rPr>
                <w:rFonts w:hint="default"/>
                <w:b w:val="0"/>
                <w:bCs w:val="0"/>
                <w:lang w:val="en-US" w:eastAsia="zh-CN"/>
              </w:rPr>
              <w:t xml:space="preserve">540.00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top"/>
          </w:tcPr>
          <w:p>
            <w:pPr>
              <w:pStyle w:val="15"/>
              <w:rPr>
                <w:rFonts w:hint="default"/>
                <w:b/>
                <w:bCs/>
                <w:lang w:val="en-US" w:eastAsia="zh-CN"/>
              </w:rPr>
            </w:pPr>
            <w:r>
              <w:rPr>
                <w:rFonts w:hint="default"/>
                <w:b/>
                <w:bCs/>
                <w:lang w:val="en-US" w:eastAsia="zh-CN"/>
              </w:rPr>
              <w:t>566.90</w:t>
            </w:r>
          </w:p>
        </w:tc>
        <w:tc>
          <w:tcPr>
            <w:tcW w:w="2551" w:type="dxa"/>
            <w:vAlign w:val="top"/>
          </w:tcPr>
          <w:p>
            <w:pPr>
              <w:pStyle w:val="15"/>
              <w:rPr>
                <w:rFonts w:hint="default"/>
                <w:b/>
                <w:bCs/>
                <w:lang w:val="en-US" w:eastAsia="zh-CN"/>
              </w:rPr>
            </w:pPr>
            <w:r>
              <w:rPr>
                <w:rFonts w:hint="default"/>
                <w:b/>
                <w:bCs/>
                <w:lang w:val="en-US" w:eastAsia="zh-CN"/>
              </w:rPr>
              <w:t>515.45</w:t>
            </w:r>
          </w:p>
        </w:tc>
        <w:tc>
          <w:tcPr>
            <w:tcW w:w="2552" w:type="dxa"/>
            <w:vAlign w:val="top"/>
          </w:tcPr>
          <w:p>
            <w:pPr>
              <w:pStyle w:val="15"/>
              <w:rPr>
                <w:rFonts w:hint="default"/>
                <w:b/>
                <w:bCs/>
                <w:lang w:val="en-US" w:eastAsia="zh-CN"/>
              </w:rPr>
            </w:pPr>
            <w:r>
              <w:rPr>
                <w:rFonts w:hint="default"/>
                <w:b/>
                <w:bCs/>
                <w:lang w:val="en-US" w:eastAsia="zh-CN"/>
              </w:rPr>
              <w:t>51.45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pStyle w:val="15"/>
              <w:rPr>
                <w:rFonts w:hint="default"/>
                <w:b w:val="0"/>
                <w:bCs w:val="0"/>
                <w:lang w:val="en-US" w:eastAsia="uk-UA"/>
              </w:rPr>
            </w:pPr>
            <w:r>
              <w:rPr>
                <w:rFonts w:hint="default"/>
                <w:b w:val="0"/>
                <w:bCs w:val="0"/>
                <w:lang w:val="en-US" w:eastAsia="zh-CN"/>
              </w:rPr>
              <w:t>511.82</w:t>
            </w:r>
          </w:p>
        </w:tc>
        <w:tc>
          <w:tcPr>
            <w:tcW w:w="2551" w:type="dxa"/>
            <w:vAlign w:val="top"/>
          </w:tcPr>
          <w:p>
            <w:pPr>
              <w:pStyle w:val="15"/>
              <w:rPr>
                <w:rFonts w:hint="default"/>
                <w:b w:val="0"/>
                <w:bCs w:val="0"/>
                <w:lang w:val="en-US" w:eastAsia="uk-UA"/>
              </w:rPr>
            </w:pPr>
            <w:r>
              <w:rPr>
                <w:rFonts w:hint="default"/>
                <w:b w:val="0"/>
                <w:bCs w:val="0"/>
                <w:lang w:val="en-US" w:eastAsia="zh-CN"/>
              </w:rPr>
              <w:t>511.82</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pStyle w:val="15"/>
              <w:rPr>
                <w:rFonts w:hint="default"/>
                <w:b w:val="0"/>
                <w:bCs w:val="0"/>
                <w:lang w:val="en-US" w:eastAsia="uk-UA"/>
              </w:rPr>
            </w:pPr>
            <w:r>
              <w:rPr>
                <w:rFonts w:hint="default"/>
                <w:b w:val="0"/>
                <w:bCs w:val="0"/>
                <w:lang w:val="en-US" w:eastAsia="zh-CN"/>
              </w:rPr>
              <w:t>455.93</w:t>
            </w:r>
          </w:p>
        </w:tc>
        <w:tc>
          <w:tcPr>
            <w:tcW w:w="2551" w:type="dxa"/>
            <w:vAlign w:val="top"/>
          </w:tcPr>
          <w:p>
            <w:pPr>
              <w:pStyle w:val="15"/>
              <w:rPr>
                <w:rFonts w:hint="default"/>
                <w:b w:val="0"/>
                <w:bCs w:val="0"/>
                <w:lang w:val="en-US" w:eastAsia="uk-UA"/>
              </w:rPr>
            </w:pPr>
            <w:r>
              <w:rPr>
                <w:rFonts w:hint="default"/>
                <w:b w:val="0"/>
                <w:bCs w:val="0"/>
                <w:lang w:val="en-US" w:eastAsia="zh-CN"/>
              </w:rPr>
              <w:t>455.93</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pStyle w:val="15"/>
              <w:rPr>
                <w:rFonts w:hint="default"/>
                <w:b w:val="0"/>
                <w:bCs w:val="0"/>
                <w:lang w:val="en-US" w:eastAsia="uk-UA"/>
              </w:rPr>
            </w:pPr>
            <w:r>
              <w:rPr>
                <w:rFonts w:hint="default"/>
                <w:b w:val="0"/>
                <w:bCs w:val="0"/>
                <w:lang w:val="en-US" w:eastAsia="zh-CN"/>
              </w:rPr>
              <w:t>23.91</w:t>
            </w:r>
          </w:p>
        </w:tc>
        <w:tc>
          <w:tcPr>
            <w:tcW w:w="2551" w:type="dxa"/>
            <w:vAlign w:val="top"/>
          </w:tcPr>
          <w:p>
            <w:pPr>
              <w:pStyle w:val="15"/>
              <w:rPr>
                <w:rFonts w:hint="default"/>
                <w:b w:val="0"/>
                <w:bCs w:val="0"/>
                <w:lang w:val="en-US" w:eastAsia="uk-UA"/>
              </w:rPr>
            </w:pPr>
            <w:r>
              <w:rPr>
                <w:rFonts w:hint="default"/>
                <w:b w:val="0"/>
                <w:bCs w:val="0"/>
                <w:lang w:val="en-US" w:eastAsia="zh-CN"/>
              </w:rPr>
              <w:t>23.91</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奖金</w:t>
            </w:r>
          </w:p>
        </w:tc>
        <w:tc>
          <w:tcPr>
            <w:tcW w:w="2551" w:type="dxa"/>
            <w:vAlign w:val="top"/>
          </w:tcPr>
          <w:p>
            <w:pPr>
              <w:pStyle w:val="15"/>
              <w:rPr>
                <w:rFonts w:hint="default"/>
                <w:b w:val="0"/>
                <w:bCs w:val="0"/>
                <w:lang w:val="en-US" w:eastAsia="uk-UA"/>
              </w:rPr>
            </w:pPr>
            <w:r>
              <w:rPr>
                <w:rFonts w:hint="default"/>
                <w:b w:val="0"/>
                <w:bCs w:val="0"/>
                <w:lang w:val="en-US" w:eastAsia="zh-CN"/>
              </w:rPr>
              <w:t>2.10</w:t>
            </w:r>
          </w:p>
        </w:tc>
        <w:tc>
          <w:tcPr>
            <w:tcW w:w="2551" w:type="dxa"/>
            <w:vAlign w:val="top"/>
          </w:tcPr>
          <w:p>
            <w:pPr>
              <w:pStyle w:val="15"/>
              <w:rPr>
                <w:rFonts w:hint="default"/>
                <w:b w:val="0"/>
                <w:bCs w:val="0"/>
                <w:lang w:val="en-US" w:eastAsia="uk-UA"/>
              </w:rPr>
            </w:pPr>
            <w:r>
              <w:rPr>
                <w:rFonts w:hint="default"/>
                <w:b w:val="0"/>
                <w:bCs w:val="0"/>
                <w:lang w:val="en-US" w:eastAsia="zh-CN"/>
              </w:rPr>
              <w:t>2.10</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pStyle w:val="15"/>
              <w:rPr>
                <w:rFonts w:hint="default"/>
                <w:b w:val="0"/>
                <w:bCs w:val="0"/>
                <w:lang w:val="en-US" w:eastAsia="uk-UA"/>
              </w:rPr>
            </w:pPr>
            <w:r>
              <w:rPr>
                <w:rFonts w:hint="default"/>
                <w:b w:val="0"/>
                <w:bCs w:val="0"/>
                <w:lang w:val="en-US" w:eastAsia="zh-CN"/>
              </w:rPr>
              <w:t>9.34</w:t>
            </w:r>
          </w:p>
        </w:tc>
        <w:tc>
          <w:tcPr>
            <w:tcW w:w="2551" w:type="dxa"/>
            <w:vAlign w:val="top"/>
          </w:tcPr>
          <w:p>
            <w:pPr>
              <w:pStyle w:val="15"/>
              <w:rPr>
                <w:rFonts w:hint="default"/>
                <w:b w:val="0"/>
                <w:bCs w:val="0"/>
                <w:lang w:val="en-US" w:eastAsia="uk-UA"/>
              </w:rPr>
            </w:pPr>
            <w:r>
              <w:rPr>
                <w:rFonts w:hint="default"/>
                <w:b w:val="0"/>
                <w:bCs w:val="0"/>
                <w:lang w:val="en-US" w:eastAsia="zh-CN"/>
              </w:rPr>
              <w:t>9.34</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1" w:type="dxa"/>
            <w:vAlign w:val="top"/>
          </w:tcPr>
          <w:p>
            <w:pPr>
              <w:pStyle w:val="15"/>
              <w:rPr>
                <w:rFonts w:hint="default"/>
                <w:b w:val="0"/>
                <w:bCs w:val="0"/>
                <w:lang w:val="en-US" w:eastAsia="uk-UA"/>
              </w:rPr>
            </w:pPr>
            <w:r>
              <w:rPr>
                <w:rFonts w:hint="default"/>
                <w:b w:val="0"/>
                <w:bCs w:val="0"/>
                <w:lang w:val="en-US" w:eastAsia="zh-CN"/>
              </w:rPr>
              <w:t>10.17</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2"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pStyle w:val="15"/>
              <w:rPr>
                <w:rFonts w:hint="default"/>
                <w:b w:val="0"/>
                <w:bCs w:val="0"/>
                <w:lang w:val="en-US" w:eastAsia="uk-UA"/>
              </w:rPr>
            </w:pPr>
            <w:r>
              <w:rPr>
                <w:rFonts w:hint="default"/>
                <w:b w:val="0"/>
                <w:bCs w:val="0"/>
                <w:lang w:val="en-US" w:eastAsia="zh-CN"/>
              </w:rPr>
              <w:t>0.51</w:t>
            </w:r>
          </w:p>
        </w:tc>
        <w:tc>
          <w:tcPr>
            <w:tcW w:w="2551" w:type="dxa"/>
            <w:vAlign w:val="top"/>
          </w:tcPr>
          <w:p>
            <w:pPr>
              <w:pStyle w:val="15"/>
              <w:rPr>
                <w:rFonts w:hint="default"/>
                <w:b w:val="0"/>
                <w:bCs w:val="0"/>
                <w:lang w:val="en-US" w:eastAsia="uk-UA"/>
              </w:rPr>
            </w:pPr>
            <w:r>
              <w:rPr>
                <w:rFonts w:hint="default"/>
                <w:b w:val="0"/>
                <w:bCs w:val="0"/>
                <w:lang w:val="en-US" w:eastAsia="zh-CN"/>
              </w:rPr>
              <w:t>0.51</w:t>
            </w:r>
          </w:p>
        </w:tc>
        <w:tc>
          <w:tcPr>
            <w:tcW w:w="2552"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1" w:type="dxa"/>
            <w:vAlign w:val="top"/>
          </w:tcPr>
          <w:p>
            <w:pPr>
              <w:pStyle w:val="15"/>
              <w:rPr>
                <w:rFonts w:hint="default"/>
                <w:b w:val="0"/>
                <w:bCs w:val="0"/>
                <w:lang w:val="en-US" w:eastAsia="uk-UA"/>
              </w:rPr>
            </w:pPr>
            <w:r>
              <w:rPr>
                <w:rFonts w:hint="default"/>
                <w:b w:val="0"/>
                <w:bCs w:val="0"/>
                <w:lang w:val="en-US" w:eastAsia="zh-CN"/>
              </w:rPr>
              <w:t>6.02</w:t>
            </w:r>
          </w:p>
        </w:tc>
        <w:tc>
          <w:tcPr>
            <w:tcW w:w="2552" w:type="dxa"/>
            <w:vAlign w:val="top"/>
          </w:tcPr>
          <w:p>
            <w:pPr>
              <w:pStyle w:val="15"/>
              <w:rPr>
                <w:rFonts w:hint="default"/>
                <w:b w:val="0"/>
                <w:bCs w:val="0"/>
                <w:lang w:val="en-US"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pStyle w:val="15"/>
              <w:rPr>
                <w:rFonts w:hint="default"/>
                <w:b w:val="0"/>
                <w:bCs w:val="0"/>
                <w:lang w:val="en-US" w:eastAsia="uk-UA"/>
              </w:rPr>
            </w:pPr>
            <w:r>
              <w:rPr>
                <w:rFonts w:hint="default"/>
                <w:b w:val="0"/>
                <w:bCs w:val="0"/>
                <w:lang w:val="en-US" w:eastAsia="zh-CN"/>
              </w:rPr>
              <w:t>51.45</w:t>
            </w:r>
          </w:p>
        </w:tc>
        <w:tc>
          <w:tcPr>
            <w:tcW w:w="2551" w:type="dxa"/>
            <w:vAlign w:val="top"/>
          </w:tcPr>
          <w:p>
            <w:pPr>
              <w:pStyle w:val="15"/>
              <w:rPr>
                <w:rFonts w:hint="default"/>
                <w:b w:val="0"/>
                <w:bCs w:val="0"/>
                <w:lang w:val="en-US" w:eastAsia="uk-UA"/>
              </w:rPr>
            </w:pPr>
          </w:p>
        </w:tc>
        <w:tc>
          <w:tcPr>
            <w:tcW w:w="2552" w:type="dxa"/>
            <w:vAlign w:val="top"/>
          </w:tcPr>
          <w:p>
            <w:pPr>
              <w:pStyle w:val="15"/>
              <w:rPr>
                <w:rFonts w:hint="default"/>
                <w:b w:val="0"/>
                <w:bCs w:val="0"/>
                <w:lang w:val="en-US" w:eastAsia="uk-UA"/>
              </w:rPr>
            </w:pPr>
            <w:r>
              <w:rPr>
                <w:rFonts w:hint="default"/>
                <w:b w:val="0"/>
                <w:bCs w:val="0"/>
                <w:lang w:val="en-US" w:eastAsia="zh-CN"/>
              </w:rPr>
              <w:t>51.45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pStyle w:val="15"/>
              <w:rPr>
                <w:rFonts w:hint="default"/>
                <w:b w:val="0"/>
                <w:bCs w:val="0"/>
                <w:lang w:val="en-US" w:eastAsia="uk-UA"/>
              </w:rPr>
            </w:pPr>
            <w:r>
              <w:rPr>
                <w:rFonts w:hint="default"/>
                <w:b w:val="0"/>
                <w:bCs w:val="0"/>
                <w:lang w:val="en-US" w:eastAsia="zh-CN"/>
              </w:rPr>
              <w:t>13.62</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pStyle w:val="15"/>
              <w:rPr>
                <w:rFonts w:hint="default"/>
                <w:b w:val="0"/>
                <w:bCs w:val="0"/>
                <w:lang w:val="en-US" w:eastAsia="uk-UA"/>
              </w:rPr>
            </w:pPr>
            <w:r>
              <w:rPr>
                <w:rFonts w:hint="default"/>
                <w:b w:val="0"/>
                <w:bCs w:val="0"/>
                <w:lang w:val="en-US" w:eastAsia="zh-CN"/>
              </w:rPr>
              <w:t>0.36</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pStyle w:val="15"/>
              <w:rPr>
                <w:rFonts w:hint="default"/>
                <w:b w:val="0"/>
                <w:bCs w:val="0"/>
                <w:lang w:val="en-US" w:eastAsia="uk-UA"/>
              </w:rPr>
            </w:pPr>
            <w:r>
              <w:rPr>
                <w:rFonts w:hint="default"/>
                <w:b w:val="0"/>
                <w:bCs w:val="0"/>
                <w:lang w:val="en-US" w:eastAsia="zh-CN"/>
              </w:rPr>
              <w:t>2.08</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差旅费</w:t>
            </w:r>
          </w:p>
        </w:tc>
        <w:tc>
          <w:tcPr>
            <w:tcW w:w="2551" w:type="dxa"/>
            <w:vAlign w:val="top"/>
          </w:tcPr>
          <w:p>
            <w:pPr>
              <w:pStyle w:val="15"/>
              <w:rPr>
                <w:rFonts w:hint="default"/>
                <w:b w:val="0"/>
                <w:bCs w:val="0"/>
                <w:lang w:val="en-US" w:eastAsia="uk-UA"/>
              </w:rPr>
            </w:pPr>
            <w:r>
              <w:rPr>
                <w:rFonts w:hint="default"/>
                <w:b w:val="0"/>
                <w:bCs w:val="0"/>
                <w:lang w:val="en-US" w:eastAsia="zh-CN"/>
              </w:rPr>
              <w:t>7.10</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公务接待费</w:t>
            </w:r>
          </w:p>
        </w:tc>
        <w:tc>
          <w:tcPr>
            <w:tcW w:w="2551" w:type="dxa"/>
            <w:vAlign w:val="top"/>
          </w:tcPr>
          <w:p>
            <w:pPr>
              <w:pStyle w:val="15"/>
              <w:rPr>
                <w:rFonts w:hint="default"/>
                <w:b w:val="0"/>
                <w:bCs w:val="0"/>
                <w:lang w:val="en-US" w:eastAsia="uk-UA"/>
              </w:rPr>
            </w:pPr>
            <w:r>
              <w:rPr>
                <w:rFonts w:hint="default"/>
                <w:b w:val="0"/>
                <w:bCs w:val="0"/>
                <w:lang w:val="en-US" w:eastAsia="zh-CN"/>
              </w:rPr>
              <w:t>2.00</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pStyle w:val="15"/>
              <w:rPr>
                <w:rFonts w:hint="default"/>
                <w:b w:val="0"/>
                <w:bCs w:val="0"/>
                <w:lang w:val="en-US" w:eastAsia="uk-UA"/>
              </w:rPr>
            </w:pPr>
            <w:r>
              <w:rPr>
                <w:rFonts w:hint="default"/>
                <w:b w:val="0"/>
                <w:bCs w:val="0"/>
                <w:lang w:val="en-US" w:eastAsia="zh-CN"/>
              </w:rPr>
              <w:t>3.84</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uk-UA"/>
              </w:rPr>
            </w:pPr>
            <w:r>
              <w:rPr>
                <w:rFonts w:hint="default"/>
                <w:b w:val="0"/>
                <w:bCs w:val="0"/>
                <w:lang w:val="en-US" w:eastAsia="zh-C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pStyle w:val="15"/>
              <w:rPr>
                <w:rFonts w:hint="default"/>
                <w:b w:val="0"/>
                <w:bCs w:val="0"/>
                <w:lang w:val="en-US" w:eastAsia="zh-CN"/>
              </w:rPr>
            </w:pPr>
            <w:r>
              <w:rPr>
                <w:rFonts w:hint="default"/>
                <w:b w:val="0"/>
                <w:bCs w:val="0"/>
                <w:lang w:val="en-US" w:eastAsia="zh-CN"/>
              </w:rPr>
              <w:t>8.47</w:t>
            </w:r>
          </w:p>
        </w:tc>
        <w:tc>
          <w:tcPr>
            <w:tcW w:w="2551" w:type="dxa"/>
            <w:vAlign w:val="top"/>
          </w:tcPr>
          <w:p>
            <w:pPr>
              <w:pStyle w:val="15"/>
              <w:rPr>
                <w:rFonts w:hint="default"/>
                <w:b w:val="0"/>
                <w:bCs w:val="0"/>
                <w:lang w:val="en-US" w:eastAsia="zh-CN"/>
              </w:rPr>
            </w:pPr>
          </w:p>
        </w:tc>
        <w:tc>
          <w:tcPr>
            <w:tcW w:w="2552" w:type="dxa"/>
            <w:vAlign w:val="top"/>
          </w:tcPr>
          <w:p>
            <w:pPr>
              <w:pStyle w:val="15"/>
              <w:rPr>
                <w:rFonts w:hint="default"/>
                <w:b w:val="0"/>
                <w:bCs w:val="0"/>
                <w:lang w:val="en-US" w:eastAsia="zh-CN"/>
              </w:rPr>
            </w:pPr>
            <w:r>
              <w:rPr>
                <w:rFonts w:hint="default"/>
                <w:b w:val="0"/>
                <w:bCs w:val="0"/>
                <w:lang w:val="en-US" w:eastAsia="zh-CN"/>
              </w:rP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pStyle w:val="15"/>
              <w:rPr>
                <w:rFonts w:hint="default"/>
                <w:b w:val="0"/>
                <w:bCs w:val="0"/>
                <w:lang w:val="en-US" w:eastAsia="uk-UA"/>
              </w:rPr>
            </w:pPr>
            <w:r>
              <w:rPr>
                <w:rFonts w:hint="default"/>
                <w:b w:val="0"/>
                <w:bCs w:val="0"/>
                <w:lang w:val="en-US" w:eastAsia="zh-CN"/>
              </w:rPr>
              <w:t>10.00</w:t>
            </w:r>
          </w:p>
        </w:tc>
        <w:tc>
          <w:tcPr>
            <w:tcW w:w="2551" w:type="dxa"/>
            <w:vAlign w:val="top"/>
          </w:tcPr>
          <w:p>
            <w:pPr>
              <w:pStyle w:val="15"/>
              <w:rPr>
                <w:rFonts w:hint="default"/>
                <w:b w:val="0"/>
                <w:bCs w:val="0"/>
                <w:lang w:val="en-US" w:eastAsia="uk-UA"/>
              </w:rPr>
            </w:pPr>
          </w:p>
        </w:tc>
        <w:tc>
          <w:tcPr>
            <w:tcW w:w="2552" w:type="dxa"/>
            <w:vAlign w:val="top"/>
          </w:tcPr>
          <w:p>
            <w:pPr>
              <w:pStyle w:val="15"/>
              <w:rPr>
                <w:rFonts w:hint="default"/>
                <w:b w:val="0"/>
                <w:bCs w:val="0"/>
                <w:lang w:val="en-US" w:eastAsia="zh-CN"/>
              </w:rPr>
            </w:pPr>
            <w:r>
              <w:rPr>
                <w:rFonts w:hint="default"/>
                <w:b w:val="0"/>
                <w:bCs w:val="0"/>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pStyle w:val="15"/>
              <w:rPr>
                <w:rFonts w:hint="default"/>
                <w:b w:val="0"/>
                <w:bCs w:val="0"/>
                <w:lang w:val="en-US" w:eastAsia="uk-UA"/>
              </w:rPr>
            </w:pPr>
            <w:r>
              <w:rPr>
                <w:rFonts w:hint="default"/>
                <w:b w:val="0"/>
                <w:bCs w:val="0"/>
                <w:lang w:val="en-US" w:eastAsia="zh-CN"/>
              </w:rPr>
              <w:t>3.42</w:t>
            </w:r>
          </w:p>
        </w:tc>
        <w:tc>
          <w:tcPr>
            <w:tcW w:w="2551" w:type="dxa"/>
            <w:vAlign w:val="top"/>
          </w:tcPr>
          <w:p>
            <w:pPr>
              <w:pStyle w:val="15"/>
              <w:rPr>
                <w:rFonts w:hint="default"/>
                <w:b w:val="0"/>
                <w:bCs w:val="0"/>
                <w:lang w:val="en-US" w:eastAsia="uk-UA"/>
              </w:rPr>
            </w:pPr>
          </w:p>
        </w:tc>
        <w:tc>
          <w:tcPr>
            <w:tcW w:w="2552" w:type="dxa"/>
            <w:vAlign w:val="top"/>
          </w:tcPr>
          <w:p>
            <w:pPr>
              <w:pStyle w:val="15"/>
              <w:rPr>
                <w:rFonts w:hint="default"/>
                <w:b w:val="0"/>
                <w:bCs w:val="0"/>
                <w:lang w:val="en-US" w:eastAsia="zh-CN"/>
              </w:rPr>
            </w:pPr>
            <w:r>
              <w:rPr>
                <w:rFonts w:hint="default"/>
                <w:b w:val="0"/>
                <w:bCs w:val="0"/>
                <w:lang w:val="en-US" w:eastAsia="zh-CN"/>
              </w:rPr>
              <w:t>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pStyle w:val="15"/>
              <w:rPr>
                <w:rFonts w:hint="default"/>
                <w:b w:val="0"/>
                <w:bCs w:val="0"/>
                <w:lang w:val="en-US" w:eastAsia="uk-UA"/>
              </w:rPr>
            </w:pPr>
            <w:r>
              <w:rPr>
                <w:rFonts w:hint="default"/>
                <w:b w:val="0"/>
                <w:bCs w:val="0"/>
                <w:lang w:val="en-US" w:eastAsia="zh-CN"/>
              </w:rPr>
              <w:t>0.56</w:t>
            </w:r>
          </w:p>
        </w:tc>
        <w:tc>
          <w:tcPr>
            <w:tcW w:w="2551" w:type="dxa"/>
            <w:vAlign w:val="top"/>
          </w:tcPr>
          <w:p>
            <w:pPr>
              <w:pStyle w:val="15"/>
              <w:rPr>
                <w:rFonts w:hint="default"/>
                <w:b w:val="0"/>
                <w:bCs w:val="0"/>
                <w:lang w:val="en-US" w:eastAsia="uk-UA"/>
              </w:rPr>
            </w:pPr>
          </w:p>
        </w:tc>
        <w:tc>
          <w:tcPr>
            <w:tcW w:w="2552" w:type="dxa"/>
            <w:vAlign w:val="top"/>
          </w:tcPr>
          <w:p>
            <w:pPr>
              <w:pStyle w:val="15"/>
              <w:rPr>
                <w:rFonts w:hint="default"/>
                <w:b w:val="0"/>
                <w:bCs w:val="0"/>
                <w:lang w:val="en-US" w:eastAsia="zh-CN"/>
              </w:rPr>
            </w:pPr>
            <w:r>
              <w:rPr>
                <w:rFonts w:hint="default"/>
                <w:b w:val="0"/>
                <w:bCs w:val="0"/>
                <w:lang w:val="en-US" w:eastAsia="zh-CN"/>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pStyle w:val="15"/>
              <w:rPr>
                <w:rFonts w:hint="default"/>
                <w:b w:val="0"/>
                <w:bCs w:val="0"/>
                <w:lang w:val="en-US" w:eastAsia="uk-UA"/>
              </w:rPr>
            </w:pPr>
            <w:r>
              <w:rPr>
                <w:rFonts w:hint="default"/>
                <w:b w:val="0"/>
                <w:bCs w:val="0"/>
                <w:lang w:val="en-US" w:eastAsia="zh-CN"/>
              </w:rPr>
              <w:t>3.63</w:t>
            </w:r>
          </w:p>
        </w:tc>
        <w:tc>
          <w:tcPr>
            <w:tcW w:w="2551" w:type="dxa"/>
            <w:vAlign w:val="top"/>
          </w:tcPr>
          <w:p>
            <w:pPr>
              <w:pStyle w:val="15"/>
              <w:rPr>
                <w:rFonts w:hint="default"/>
                <w:b w:val="0"/>
                <w:bCs w:val="0"/>
                <w:lang w:val="en-US" w:eastAsia="uk-UA"/>
              </w:rPr>
            </w:pPr>
            <w:r>
              <w:rPr>
                <w:rFonts w:hint="default"/>
                <w:b w:val="0"/>
                <w:bCs w:val="0"/>
                <w:lang w:val="en-US" w:eastAsia="zh-CN"/>
              </w:rPr>
              <w:t>3.63</w:t>
            </w:r>
          </w:p>
        </w:tc>
        <w:tc>
          <w:tcPr>
            <w:tcW w:w="2552" w:type="dxa"/>
            <w:vAlign w:val="top"/>
          </w:tcPr>
          <w:p>
            <w:pPr>
              <w:pStyle w:val="15"/>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pStyle w:val="15"/>
              <w:rPr>
                <w:rFonts w:hint="default"/>
                <w:b w:val="0"/>
                <w:bCs w:val="0"/>
                <w:lang w:val="en-US" w:eastAsia="uk-UA"/>
              </w:rPr>
            </w:pPr>
            <w:r>
              <w:rPr>
                <w:rFonts w:hint="default"/>
                <w:b w:val="0"/>
                <w:bCs w:val="0"/>
                <w:lang w:val="en-US" w:eastAsia="zh-CN"/>
              </w:rPr>
              <w:t>3.63</w:t>
            </w:r>
          </w:p>
        </w:tc>
        <w:tc>
          <w:tcPr>
            <w:tcW w:w="2551" w:type="dxa"/>
            <w:vAlign w:val="top"/>
          </w:tcPr>
          <w:p>
            <w:pPr>
              <w:pStyle w:val="15"/>
              <w:rPr>
                <w:rFonts w:hint="default"/>
                <w:b w:val="0"/>
                <w:bCs w:val="0"/>
                <w:lang w:val="en-US" w:eastAsia="uk-UA"/>
              </w:rPr>
            </w:pPr>
            <w:r>
              <w:rPr>
                <w:rFonts w:hint="default"/>
                <w:b w:val="0"/>
                <w:bCs w:val="0"/>
                <w:lang w:val="en-US" w:eastAsia="zh-CN"/>
              </w:rPr>
              <w:t>3.63</w:t>
            </w:r>
          </w:p>
        </w:tc>
        <w:tc>
          <w:tcPr>
            <w:tcW w:w="2552" w:type="dxa"/>
            <w:vAlign w:val="top"/>
          </w:tcPr>
          <w:p>
            <w:pPr>
              <w:pStyle w:val="15"/>
              <w:rPr>
                <w:rFonts w:hint="default"/>
                <w:b w:val="0"/>
                <w:bCs w:val="0"/>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p>
        </w:tc>
        <w:tc>
          <w:tcPr>
            <w:tcW w:w="4535" w:type="dxa"/>
            <w:vAlign w:val="top"/>
          </w:tcPr>
          <w:p>
            <w:pPr>
              <w:pStyle w:val="18"/>
              <w:rPr>
                <w:rFonts w:hint="eastAsia"/>
                <w:lang w:val="en-US" w:eastAsia="zh-CN"/>
              </w:rPr>
            </w:pPr>
            <w:r>
              <w:rPr>
                <w:rFonts w:hint="default"/>
                <w:lang w:val="en-US" w:eastAsia="zh-CN"/>
              </w:rPr>
              <w:t>合计</w:t>
            </w:r>
          </w:p>
        </w:tc>
        <w:tc>
          <w:tcPr>
            <w:tcW w:w="2551" w:type="dxa"/>
            <w:vAlign w:val="top"/>
          </w:tcPr>
          <w:p>
            <w:pPr>
              <w:pStyle w:val="15"/>
              <w:rPr>
                <w:rFonts w:hint="eastAsia"/>
                <w:b/>
                <w:bCs/>
                <w:lang w:val="en-US" w:eastAsia="zh-CN"/>
              </w:rPr>
            </w:pPr>
            <w:r>
              <w:rPr>
                <w:rFonts w:hint="default"/>
                <w:b/>
                <w:bCs/>
                <w:lang w:val="en-US" w:eastAsia="zh-CN"/>
              </w:rPr>
              <w:t xml:space="preserve">425.34 </w:t>
            </w:r>
          </w:p>
        </w:tc>
        <w:tc>
          <w:tcPr>
            <w:tcW w:w="2551" w:type="dxa"/>
            <w:vAlign w:val="top"/>
          </w:tcPr>
          <w:p>
            <w:pPr>
              <w:pStyle w:val="15"/>
              <w:rPr>
                <w:rFonts w:hint="eastAsia"/>
                <w:b/>
                <w:bCs/>
                <w:lang w:val="en-US" w:eastAsia="zh-CN"/>
              </w:rPr>
            </w:pPr>
          </w:p>
        </w:tc>
        <w:tc>
          <w:tcPr>
            <w:tcW w:w="2551" w:type="dxa"/>
            <w:vAlign w:val="top"/>
          </w:tcPr>
          <w:p>
            <w:pPr>
              <w:pStyle w:val="15"/>
              <w:rPr>
                <w:rFonts w:hint="eastAsia"/>
                <w:b/>
                <w:bCs/>
                <w:lang w:val="en-US" w:eastAsia="zh-CN"/>
              </w:rPr>
            </w:pPr>
            <w:r>
              <w:rPr>
                <w:rFonts w:hint="default"/>
                <w:b/>
                <w:bCs/>
                <w:lang w:val="en-US" w:eastAsia="zh-CN"/>
              </w:rPr>
              <w:t xml:space="preserve">425.34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pStyle w:val="15"/>
              <w:rPr>
                <w:rFonts w:hint="eastAsia"/>
                <w:b w:val="0"/>
                <w:bCs w:val="0"/>
                <w:lang w:val="en-US" w:eastAsia="zh-CN"/>
              </w:rPr>
            </w:pPr>
            <w:r>
              <w:rPr>
                <w:rFonts w:hint="default"/>
                <w:b w:val="0"/>
                <w:bCs w:val="0"/>
                <w:lang w:val="en-US" w:eastAsia="zh-CN"/>
              </w:rPr>
              <w:t xml:space="preserve">425.34 </w:t>
            </w:r>
          </w:p>
        </w:tc>
        <w:tc>
          <w:tcPr>
            <w:tcW w:w="2551" w:type="dxa"/>
            <w:vAlign w:val="top"/>
          </w:tcPr>
          <w:p>
            <w:pPr>
              <w:pStyle w:val="15"/>
              <w:rPr>
                <w:rFonts w:hint="eastAsia"/>
                <w:b w:val="0"/>
                <w:bCs w:val="0"/>
                <w:lang w:val="en-US" w:eastAsia="zh-CN"/>
              </w:rPr>
            </w:pPr>
          </w:p>
        </w:tc>
        <w:tc>
          <w:tcPr>
            <w:tcW w:w="2551" w:type="dxa"/>
            <w:vAlign w:val="top"/>
          </w:tcPr>
          <w:p>
            <w:pPr>
              <w:pStyle w:val="15"/>
              <w:rPr>
                <w:rFonts w:hint="eastAsia"/>
                <w:b w:val="0"/>
                <w:bCs w:val="0"/>
                <w:lang w:val="en-US" w:eastAsia="zh-CN"/>
              </w:rPr>
            </w:pPr>
            <w:r>
              <w:rPr>
                <w:rFonts w:hint="default"/>
                <w:b w:val="0"/>
                <w:bCs w:val="0"/>
                <w:lang w:val="en-US" w:eastAsia="zh-CN"/>
              </w:rPr>
              <w:t xml:space="preserve">425.34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大中型水库移民后期扶持基金支出</w:t>
            </w:r>
          </w:p>
        </w:tc>
        <w:tc>
          <w:tcPr>
            <w:tcW w:w="2551" w:type="dxa"/>
            <w:vAlign w:val="top"/>
          </w:tcPr>
          <w:p>
            <w:pPr>
              <w:pStyle w:val="15"/>
              <w:rPr>
                <w:rFonts w:hint="eastAsia"/>
                <w:b w:val="0"/>
                <w:bCs w:val="0"/>
                <w:lang w:val="en-US" w:eastAsia="zh-CN"/>
              </w:rPr>
            </w:pPr>
            <w:r>
              <w:rPr>
                <w:rFonts w:hint="default"/>
                <w:b w:val="0"/>
                <w:bCs w:val="0"/>
                <w:lang w:val="en-US" w:eastAsia="zh-CN"/>
              </w:rPr>
              <w:t xml:space="preserve">425.34 </w:t>
            </w:r>
          </w:p>
        </w:tc>
        <w:tc>
          <w:tcPr>
            <w:tcW w:w="2551" w:type="dxa"/>
            <w:vAlign w:val="top"/>
          </w:tcPr>
          <w:p>
            <w:pPr>
              <w:pStyle w:val="15"/>
              <w:rPr>
                <w:rFonts w:hint="eastAsia"/>
                <w:b w:val="0"/>
                <w:bCs w:val="0"/>
                <w:lang w:val="en-US" w:eastAsia="zh-CN"/>
              </w:rPr>
            </w:pPr>
          </w:p>
        </w:tc>
        <w:tc>
          <w:tcPr>
            <w:tcW w:w="2551" w:type="dxa"/>
            <w:vAlign w:val="top"/>
          </w:tcPr>
          <w:p>
            <w:pPr>
              <w:pStyle w:val="15"/>
              <w:rPr>
                <w:rFonts w:hint="eastAsia"/>
                <w:b w:val="0"/>
                <w:bCs w:val="0"/>
                <w:lang w:val="en-US" w:eastAsia="zh-CN"/>
              </w:rPr>
            </w:pPr>
            <w:r>
              <w:rPr>
                <w:rFonts w:hint="default"/>
                <w:b w:val="0"/>
                <w:bCs w:val="0"/>
                <w:lang w:val="en-US" w:eastAsia="zh-CN"/>
              </w:rPr>
              <w:t xml:space="preserve">425.34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移民补助</w:t>
            </w:r>
          </w:p>
        </w:tc>
        <w:tc>
          <w:tcPr>
            <w:tcW w:w="2551" w:type="dxa"/>
            <w:vAlign w:val="top"/>
          </w:tcPr>
          <w:p>
            <w:pPr>
              <w:pStyle w:val="15"/>
              <w:rPr>
                <w:rFonts w:hint="eastAsia"/>
                <w:b w:val="0"/>
                <w:bCs w:val="0"/>
                <w:lang w:val="en-US" w:eastAsia="zh-CN"/>
              </w:rPr>
            </w:pPr>
            <w:r>
              <w:rPr>
                <w:rFonts w:hint="default"/>
                <w:b w:val="0"/>
                <w:bCs w:val="0"/>
                <w:lang w:val="en-US" w:eastAsia="zh-CN"/>
              </w:rPr>
              <w:t xml:space="preserve">189.74 </w:t>
            </w:r>
          </w:p>
        </w:tc>
        <w:tc>
          <w:tcPr>
            <w:tcW w:w="2551" w:type="dxa"/>
            <w:vAlign w:val="top"/>
          </w:tcPr>
          <w:p>
            <w:pPr>
              <w:pStyle w:val="15"/>
              <w:rPr>
                <w:rFonts w:hint="eastAsia"/>
                <w:b w:val="0"/>
                <w:bCs w:val="0"/>
                <w:lang w:val="en-US" w:eastAsia="zh-CN"/>
              </w:rPr>
            </w:pPr>
          </w:p>
        </w:tc>
        <w:tc>
          <w:tcPr>
            <w:tcW w:w="2551" w:type="dxa"/>
            <w:vAlign w:val="top"/>
          </w:tcPr>
          <w:p>
            <w:pPr>
              <w:pStyle w:val="15"/>
              <w:rPr>
                <w:rFonts w:hint="eastAsia"/>
                <w:b w:val="0"/>
                <w:bCs w:val="0"/>
                <w:lang w:val="en-US" w:eastAsia="zh-CN"/>
              </w:rPr>
            </w:pPr>
            <w:r>
              <w:rPr>
                <w:rFonts w:hint="default"/>
                <w:b w:val="0"/>
                <w:bCs w:val="0"/>
                <w:lang w:val="en-US" w:eastAsia="zh-CN"/>
              </w:rPr>
              <w:t xml:space="preserve">189.74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2082202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基础设施建设和经济发展</w:t>
            </w:r>
          </w:p>
        </w:tc>
        <w:tc>
          <w:tcPr>
            <w:tcW w:w="2551" w:type="dxa"/>
            <w:vAlign w:val="top"/>
          </w:tcPr>
          <w:p>
            <w:pPr>
              <w:pStyle w:val="15"/>
              <w:rPr>
                <w:rFonts w:hint="eastAsia"/>
                <w:b w:val="0"/>
                <w:bCs w:val="0"/>
                <w:lang w:val="en-US" w:eastAsia="zh-CN"/>
              </w:rPr>
            </w:pPr>
            <w:r>
              <w:rPr>
                <w:rFonts w:hint="default"/>
                <w:b w:val="0"/>
                <w:bCs w:val="0"/>
                <w:lang w:val="en-US" w:eastAsia="zh-CN"/>
              </w:rPr>
              <w:t xml:space="preserve">235.60 </w:t>
            </w:r>
          </w:p>
        </w:tc>
        <w:tc>
          <w:tcPr>
            <w:tcW w:w="2551" w:type="dxa"/>
            <w:vAlign w:val="top"/>
          </w:tcPr>
          <w:p>
            <w:pPr>
              <w:pStyle w:val="15"/>
              <w:rPr>
                <w:rFonts w:hint="eastAsia"/>
                <w:b w:val="0"/>
                <w:bCs w:val="0"/>
                <w:lang w:val="en-US" w:eastAsia="zh-CN"/>
              </w:rPr>
            </w:pPr>
          </w:p>
        </w:tc>
        <w:tc>
          <w:tcPr>
            <w:tcW w:w="2551" w:type="dxa"/>
            <w:vAlign w:val="top"/>
          </w:tcPr>
          <w:p>
            <w:pPr>
              <w:pStyle w:val="15"/>
              <w:rPr>
                <w:rFonts w:hint="eastAsia"/>
                <w:b w:val="0"/>
                <w:bCs w:val="0"/>
                <w:lang w:val="en-US" w:eastAsia="zh-CN"/>
              </w:rPr>
            </w:pPr>
            <w:r>
              <w:rPr>
                <w:rFonts w:hint="default"/>
                <w:b w:val="0"/>
                <w:bCs w:val="0"/>
                <w:lang w:val="en-US" w:eastAsia="zh-CN"/>
              </w:rPr>
              <w:t xml:space="preserve">235.60 </w:t>
            </w:r>
          </w:p>
        </w:tc>
      </w:tr>
    </w:tbl>
    <w:p>
      <w:pPr>
        <w:jc w:val="center"/>
        <w:outlineLvl w:val="1"/>
        <w:rPr>
          <w:rFonts w:ascii="方正小标宋_GBK" w:hAnsi="方正小标宋_GBK" w:eastAsia="方正小标宋_GBK" w:cs="方正小标宋_GBK"/>
          <w:color w:val="000000"/>
          <w:sz w:val="36"/>
        </w:rPr>
      </w:pPr>
      <w:bookmarkStart w:id="6" w:name="_Toc_2_2_0000000008"/>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16.40</w:t>
            </w:r>
          </w:p>
        </w:tc>
        <w:tc>
          <w:tcPr>
            <w:tcW w:w="2381" w:type="dxa"/>
            <w:vAlign w:val="center"/>
          </w:tcPr>
          <w:p>
            <w:pPr>
              <w:pStyle w:val="19"/>
              <w:rPr>
                <w:rFonts w:hint="default" w:eastAsia="方正书宋_GBK"/>
                <w:lang w:val="en-US" w:eastAsia="zh-CN"/>
              </w:rPr>
            </w:pPr>
            <w:r>
              <w:rPr>
                <w:rFonts w:hint="eastAsia"/>
                <w:lang w:val="en-US" w:eastAsia="zh-CN"/>
              </w:rPr>
              <w:t>16.40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b/>
                <w:bCs/>
                <w:lang w:val="en-US" w:eastAsia="zh-CN"/>
              </w:rPr>
            </w:pPr>
            <w:r>
              <w:rPr>
                <w:rFonts w:hint="eastAsia"/>
                <w:b/>
                <w:bCs/>
                <w:lang w:val="en-US" w:eastAsia="zh-CN"/>
              </w:rPr>
              <w:t>16.40</w:t>
            </w:r>
          </w:p>
        </w:tc>
        <w:tc>
          <w:tcPr>
            <w:tcW w:w="2381" w:type="dxa"/>
            <w:vAlign w:val="center"/>
          </w:tcPr>
          <w:p>
            <w:pPr>
              <w:pStyle w:val="15"/>
              <w:rPr>
                <w:rFonts w:hint="default" w:eastAsia="方正书宋_GBK"/>
                <w:b/>
                <w:bCs/>
                <w:lang w:val="en-US" w:eastAsia="zh-CN"/>
              </w:rPr>
            </w:pPr>
            <w:r>
              <w:rPr>
                <w:rFonts w:hint="eastAsia"/>
                <w:b/>
                <w:bCs/>
                <w:lang w:val="en-US" w:eastAsia="zh-CN"/>
              </w:rPr>
              <w:t>16.40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eastAsia="方正书宋_GBK"/>
                <w:lang w:val="en-US" w:eastAsia="zh-CN"/>
              </w:rPr>
            </w:pPr>
            <w:r>
              <w:rPr>
                <w:rFonts w:hint="eastAsia"/>
                <w:lang w:val="en-US" w:eastAsia="zh-CN"/>
              </w:rPr>
              <w:t>14.40</w:t>
            </w:r>
          </w:p>
        </w:tc>
        <w:tc>
          <w:tcPr>
            <w:tcW w:w="2381" w:type="dxa"/>
            <w:vAlign w:val="center"/>
          </w:tcPr>
          <w:p>
            <w:pPr>
              <w:pStyle w:val="15"/>
              <w:rPr>
                <w:rFonts w:hint="default" w:eastAsia="方正书宋_GBK"/>
                <w:lang w:val="en-US" w:eastAsia="zh-CN"/>
              </w:rPr>
            </w:pPr>
            <w:r>
              <w:rPr>
                <w:rFonts w:hint="eastAsia"/>
                <w:lang w:val="en-US"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rPr>
                <w:rFonts w:ascii="方正书宋_GBK" w:hAnsi="方正书宋_GBK" w:eastAsia="方正书宋_GBK" w:cs="方正书宋_GBK"/>
                <w:color w:val="0000FF"/>
                <w:sz w:val="21"/>
                <w:szCs w:val="24"/>
                <w:lang w:val="en-US" w:eastAsia="uk-UA" w:bidi="ar-SA"/>
              </w:rPr>
            </w:pPr>
          </w:p>
        </w:tc>
        <w:tc>
          <w:tcPr>
            <w:tcW w:w="2381" w:type="dxa"/>
            <w:vAlign w:val="center"/>
          </w:tcPr>
          <w:p>
            <w:pPr>
              <w:pStyle w:val="15"/>
              <w:rPr>
                <w:rFonts w:ascii="方正书宋_GBK" w:hAnsi="方正书宋_GBK" w:eastAsia="方正书宋_GBK" w:cs="方正书宋_GBK"/>
                <w:color w:val="0000FF"/>
                <w:sz w:val="21"/>
                <w:szCs w:val="24"/>
                <w:lang w:val="en-US" w:eastAsia="uk-UA" w:bidi="ar-SA"/>
              </w:rPr>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b w:val="0"/>
                <w:bCs w:val="0"/>
                <w:lang w:val="en-US" w:eastAsia="zh-CN"/>
              </w:rPr>
            </w:pPr>
            <w:r>
              <w:rPr>
                <w:rFonts w:hint="eastAsia"/>
                <w:b w:val="0"/>
                <w:bCs w:val="0"/>
                <w:lang w:val="en-US" w:eastAsia="zh-CN"/>
              </w:rPr>
              <w:t>14.40</w:t>
            </w:r>
          </w:p>
        </w:tc>
        <w:tc>
          <w:tcPr>
            <w:tcW w:w="2381" w:type="dxa"/>
            <w:vAlign w:val="center"/>
          </w:tcPr>
          <w:p>
            <w:pPr>
              <w:pStyle w:val="15"/>
              <w:rPr>
                <w:rFonts w:hint="default"/>
                <w:b w:val="0"/>
                <w:bCs w:val="0"/>
                <w:lang w:val="en-US" w:eastAsia="zh-CN"/>
              </w:rPr>
            </w:pPr>
            <w:r>
              <w:rPr>
                <w:rFonts w:hint="eastAsia"/>
                <w:b w:val="0"/>
                <w:bCs w:val="0"/>
                <w:lang w:val="en-US"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b w:val="0"/>
                <w:bCs w:val="0"/>
                <w:lang w:val="en-US" w:eastAsia="zh-CN"/>
              </w:rPr>
            </w:pPr>
            <w:r>
              <w:rPr>
                <w:rFonts w:hint="eastAsia"/>
                <w:b w:val="0"/>
                <w:bCs w:val="0"/>
                <w:lang w:val="en-US" w:eastAsia="zh-CN"/>
              </w:rPr>
              <w:t>2.00</w:t>
            </w:r>
          </w:p>
        </w:tc>
        <w:tc>
          <w:tcPr>
            <w:tcW w:w="2381" w:type="dxa"/>
            <w:vAlign w:val="center"/>
          </w:tcPr>
          <w:p>
            <w:pPr>
              <w:pStyle w:val="15"/>
              <w:rPr>
                <w:rFonts w:hint="default"/>
                <w:b w:val="0"/>
                <w:bCs w:val="0"/>
                <w:lang w:val="en-US" w:eastAsia="zh-CN"/>
              </w:rPr>
            </w:pPr>
            <w:r>
              <w:rPr>
                <w:rFonts w:hint="eastAsia"/>
                <w:b w:val="0"/>
                <w:bCs w:val="0"/>
                <w:lang w:val="en-US" w:eastAsia="zh-CN"/>
              </w:rPr>
              <w:t>2.00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rPr>
                <w:rFonts w:hint="default"/>
                <w:b w:val="0"/>
                <w:bCs w:val="0"/>
                <w:lang w:val="en-US" w:eastAsia="uk-UA"/>
              </w:rPr>
            </w:pPr>
          </w:p>
        </w:tc>
        <w:tc>
          <w:tcPr>
            <w:tcW w:w="2381" w:type="dxa"/>
            <w:vAlign w:val="center"/>
          </w:tcPr>
          <w:p>
            <w:pPr>
              <w:pStyle w:val="15"/>
              <w:rPr>
                <w:rFonts w:hint="default"/>
                <w:b w:val="0"/>
                <w:bCs w:val="0"/>
                <w:lang w:val="en-US" w:eastAsia="uk-UA"/>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rPr>
                <w:rFonts w:ascii="方正书宋_GBK" w:hAnsi="方正书宋_GBK" w:eastAsia="方正书宋_GBK" w:cs="方正书宋_GBK"/>
                <w:sz w:val="21"/>
                <w:szCs w:val="24"/>
                <w:lang w:val="en-US" w:eastAsia="uk-UA" w:bidi="ar-SA"/>
              </w:rPr>
            </w:pPr>
          </w:p>
        </w:tc>
        <w:tc>
          <w:tcPr>
            <w:tcW w:w="2381" w:type="dxa"/>
            <w:vAlign w:val="center"/>
          </w:tcPr>
          <w:p>
            <w:pPr>
              <w:pStyle w:val="15"/>
              <w:rPr>
                <w:rFonts w:ascii="方正书宋_GBK" w:hAnsi="方正书宋_GBK" w:eastAsia="方正书宋_GBK" w:cs="方正书宋_GBK"/>
                <w:sz w:val="21"/>
                <w:szCs w:val="24"/>
                <w:lang w:val="en-US" w:eastAsia="uk-UA" w:bidi="ar-SA"/>
              </w:rPr>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val="en-US" w:eastAsia="zh-CN"/>
        </w:rPr>
        <w:t>涞水县水利</w:t>
      </w:r>
      <w:r>
        <w:rPr>
          <w:rFonts w:ascii="方正小标宋_GBK" w:hAnsi="方正小标宋_GBK" w:eastAsia="方正小标宋_GBK" w:cs="方正小标宋_GBK"/>
          <w:color w:val="000000"/>
          <w:sz w:val="44"/>
        </w:rPr>
        <w:t>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涞水县水利</w:t>
      </w:r>
      <w:r>
        <w:rPr>
          <w:rFonts w:eastAsia="方正仿宋_GBK"/>
          <w:color w:val="000000"/>
          <w:sz w:val="28"/>
        </w:rPr>
        <w:t>局2022年部门预算公开如下：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涞水县水利局</w:t>
      </w:r>
      <w:r>
        <w:t>部门职责</w:t>
      </w:r>
    </w:p>
    <w:p>
      <w:pPr>
        <w:pStyle w:val="21"/>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w:t>
      </w:r>
      <w:r>
        <w:rPr>
          <w:rFonts w:hint="eastAsia" w:cs="Times New Roman"/>
          <w:lang w:eastAsia="zh-CN"/>
        </w:rPr>
        <w:t>《中华人民共和国水法》</w:t>
      </w:r>
      <w:r>
        <w:rPr>
          <w:rFonts w:hint="eastAsia" w:ascii="Times New Roman" w:hAnsi="Times New Roman" w:cs="Times New Roman"/>
          <w:lang w:eastAsia="zh-CN"/>
        </w:rPr>
        <w:t>、《防洪法》、《水土保持法》法律法规的宣传贯彻、组织实施和水行政复议。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1"/>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1"/>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left"/>
              <w:rPr>
                <w:rFonts w:hint="eastAsia" w:eastAsia="方正书宋_GBK"/>
                <w:lang w:eastAsia="zh-CN"/>
              </w:rPr>
            </w:pPr>
            <w:r>
              <w:rPr>
                <w:rFonts w:hint="eastAsia"/>
                <w:lang w:val="en-US" w:eastAsia="zh-CN"/>
              </w:rPr>
              <w:t>涞水县水利</w:t>
            </w:r>
            <w:r>
              <w:t>局</w:t>
            </w:r>
            <w:r>
              <w:rPr>
                <w:rFonts w:hint="eastAsia"/>
                <w:lang w:eastAsia="zh-CN"/>
              </w:rPr>
              <w:t>（</w:t>
            </w:r>
            <w:r>
              <w:rPr>
                <w:rFonts w:hint="eastAsia"/>
                <w:lang w:val="en-US" w:eastAsia="zh-CN"/>
              </w:rPr>
              <w:t>本级</w:t>
            </w:r>
            <w:r>
              <w:rPr>
                <w:rFonts w:hint="eastAsia"/>
                <w:lang w:eastAsia="zh-CN"/>
              </w:rPr>
              <w:t>）</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left"/>
              <w:rPr>
                <w:rFonts w:hint="default"/>
                <w:lang w:val="en-US" w:eastAsia="zh-CN"/>
              </w:rPr>
            </w:pPr>
            <w:bookmarkStart w:id="9" w:name="_Toc_3_3_0000000011"/>
            <w:r>
              <w:rPr>
                <w:rFonts w:hint="eastAsia"/>
                <w:lang w:val="en-US" w:eastAsia="zh-CN"/>
              </w:rPr>
              <w:t>涞水县水利局事业</w:t>
            </w:r>
          </w:p>
        </w:tc>
        <w:tc>
          <w:tcPr>
            <w:tcW w:w="1843" w:type="dxa"/>
            <w:vAlign w:val="center"/>
          </w:tcPr>
          <w:p>
            <w:pPr>
              <w:pStyle w:val="17"/>
              <w:rPr>
                <w:rFonts w:hint="default" w:eastAsia="方正书宋_GBK"/>
                <w:lang w:val="en-US" w:eastAsia="zh-CN"/>
              </w:rPr>
            </w:pPr>
            <w:r>
              <w:rPr>
                <w:rFonts w:hint="eastAsia"/>
                <w:lang w:val="en-US" w:eastAsia="zh-CN"/>
              </w:rPr>
              <w:t>事业</w:t>
            </w:r>
          </w:p>
        </w:tc>
        <w:tc>
          <w:tcPr>
            <w:tcW w:w="2126" w:type="dxa"/>
            <w:vAlign w:val="center"/>
          </w:tcPr>
          <w:p>
            <w:pPr>
              <w:pStyle w:val="17"/>
              <w:rPr>
                <w:rFonts w:hint="eastAsia" w:eastAsia="方正书宋_GBK"/>
                <w:lang w:val="en-US" w:eastAsia="zh-CN"/>
              </w:rPr>
            </w:pPr>
            <w:r>
              <w:rPr>
                <w:rFonts w:hint="eastAsia"/>
                <w:lang w:val="en-US" w:eastAsia="zh-CN"/>
              </w:rPr>
              <w:t>股级</w:t>
            </w:r>
          </w:p>
        </w:tc>
        <w:tc>
          <w:tcPr>
            <w:tcW w:w="3827" w:type="dxa"/>
            <w:vAlign w:val="center"/>
          </w:tcPr>
          <w:p>
            <w:pPr>
              <w:pStyle w:val="17"/>
              <w:rPr>
                <w:rFonts w:hint="default" w:eastAsia="方正书宋_GBK"/>
                <w:lang w:val="en-US" w:eastAsia="zh-CN"/>
              </w:rPr>
            </w:pPr>
            <w:r>
              <w:rPr>
                <w:rFonts w:hint="eastAsia"/>
                <w:lang w:val="en-US" w:eastAsia="zh-CN"/>
              </w:rPr>
              <w:t>财政性资金基本保证</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预算收入总额5863.90万元。均为财政拨款收入。2022年度预算收入5863.90万元中：一般公共预算拨款5438.56万元，政府性基金预算拨款425.34万元，国有资本经营预算拨款0万元，上级补助收入0万元，事业收入0万元，经营收入0万元，附属单位上缴收入0万元，其他收入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2022年预算支出总额5863.90万元，其中：基本支出566.90万元（人员经费：515.45万元，日常公用经费：51.45万元），项目支出5297.00万元，上缴上级支出0万元，经营支出0万元，对附属单位补助支出0万元。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本年度预算收支安排5863.90万元，较上年4115.38万元增加1748.52万元，增长42.49%。其中:基本支出减少31.44万元，减少5.20%。主要是人员减少6人；项目支出增加1779.96万元，增长47.69%。主要2022年上级下达的水利专款增加较多。</w:t>
      </w: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pPr>
      <w:r>
        <w:rPr>
          <w:rFonts w:hint="eastAsia" w:eastAsia="方正仿宋_GBK"/>
          <w:color w:val="000000"/>
          <w:sz w:val="28"/>
        </w:rPr>
        <w:t>2022年</w:t>
      </w:r>
      <w:r>
        <w:rPr>
          <w:rFonts w:hint="eastAsia" w:eastAsia="方正仿宋_GBK"/>
          <w:color w:val="000000"/>
          <w:sz w:val="28"/>
          <w:lang w:val="en-US" w:eastAsia="zh-CN"/>
        </w:rPr>
        <w:t>涞水县水利</w:t>
      </w:r>
      <w:r>
        <w:rPr>
          <w:rFonts w:hint="eastAsia" w:eastAsia="方正仿宋_GBK"/>
          <w:color w:val="000000"/>
          <w:sz w:val="28"/>
        </w:rPr>
        <w:t>局部门预算安排机关运行经费支出</w:t>
      </w:r>
      <w:r>
        <w:rPr>
          <w:rFonts w:hint="eastAsia" w:eastAsia="方正仿宋_GBK"/>
          <w:color w:val="000000"/>
          <w:sz w:val="28"/>
          <w:lang w:val="en-US" w:eastAsia="zh-CN"/>
        </w:rPr>
        <w:t>51.45</w:t>
      </w:r>
      <w:r>
        <w:rPr>
          <w:rFonts w:hint="eastAsia" w:eastAsia="方正仿宋_GBK"/>
          <w:color w:val="000000"/>
          <w:sz w:val="28"/>
        </w:rPr>
        <w:t>万元，其中包括</w:t>
      </w:r>
      <w:r>
        <w:rPr>
          <w:rFonts w:hint="eastAsia" w:ascii="Times New Roman" w:hAnsi="Times New Roman" w:eastAsia="方正仿宋_GBK" w:cs="Times New Roman"/>
          <w:color w:val="000000"/>
          <w:sz w:val="28"/>
        </w:rPr>
        <w:t>办公费</w:t>
      </w:r>
      <w:r>
        <w:rPr>
          <w:rFonts w:hint="eastAsia" w:ascii="Times New Roman" w:hAnsi="Times New Roman" w:eastAsia="方正仿宋_GBK" w:cs="Times New Roman"/>
          <w:color w:val="000000"/>
          <w:sz w:val="28"/>
          <w:lang w:val="en-US" w:eastAsia="zh-CN"/>
        </w:rPr>
        <w:t>13.62</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邮电费0.36万元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取暖费2.08万元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差旅费</w:t>
      </w:r>
      <w:r>
        <w:rPr>
          <w:rFonts w:hint="eastAsia" w:ascii="Times New Roman" w:hAnsi="Times New Roman" w:eastAsia="方正仿宋_GBK" w:cs="Times New Roman"/>
          <w:color w:val="000000"/>
          <w:sz w:val="28"/>
          <w:lang w:val="en-US" w:eastAsia="zh-CN"/>
        </w:rPr>
        <w:t>7.1</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公务接待费2万元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公务用车运行维护费</w:t>
      </w:r>
      <w:r>
        <w:rPr>
          <w:rFonts w:hint="eastAsia" w:ascii="Times New Roman" w:hAnsi="Times New Roman" w:eastAsia="方正仿宋_GBK" w:cs="Times New Roman"/>
          <w:color w:val="000000"/>
          <w:sz w:val="28"/>
          <w:lang w:val="en-US" w:eastAsia="zh-CN"/>
        </w:rPr>
        <w:t>10.00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公务交通补贴</w:t>
      </w:r>
      <w:r>
        <w:rPr>
          <w:rFonts w:hint="eastAsia" w:ascii="Times New Roman" w:hAnsi="Times New Roman" w:eastAsia="方正仿宋_GBK" w:cs="Times New Roman"/>
          <w:color w:val="000000"/>
          <w:sz w:val="28"/>
          <w:lang w:val="en-US" w:eastAsia="zh-CN"/>
        </w:rPr>
        <w:t>3.42</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工会经费</w:t>
      </w:r>
      <w:r>
        <w:rPr>
          <w:rFonts w:hint="eastAsia" w:ascii="Times New Roman" w:hAnsi="Times New Roman" w:eastAsia="方正仿宋_GBK" w:cs="Times New Roman"/>
          <w:color w:val="000000"/>
          <w:sz w:val="28"/>
          <w:lang w:val="en-US" w:eastAsia="zh-CN"/>
        </w:rPr>
        <w:t>3.84</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职工福利费</w:t>
      </w:r>
      <w:r>
        <w:rPr>
          <w:rFonts w:hint="eastAsia" w:ascii="Times New Roman" w:hAnsi="Times New Roman" w:eastAsia="方正仿宋_GBK" w:cs="Times New Roman"/>
          <w:color w:val="000000"/>
          <w:sz w:val="28"/>
          <w:lang w:val="en-US" w:eastAsia="zh-CN"/>
        </w:rPr>
        <w:t>8.47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其他商品和服务支出0.56万元</w:t>
      </w:r>
      <w:r>
        <w:rPr>
          <w:rFonts w:hint="eastAsia" w:ascii="Times New Roman" w:hAnsi="Times New Roman" w:eastAsia="方正仿宋_GBK" w:cs="Times New Roman"/>
          <w:color w:val="000000"/>
          <w:sz w:val="28"/>
        </w:rPr>
        <w:t>。</w:t>
      </w:r>
    </w:p>
    <w:p>
      <w:pPr>
        <w:spacing w:before="10" w:after="10" w:line="360" w:lineRule="auto"/>
        <w:ind w:firstLine="640"/>
        <w:outlineLvl w:val="2"/>
        <w:rPr>
          <w:rFonts w:ascii="黑体" w:hAnsi="黑体" w:eastAsia="黑体" w:cs="黑体"/>
          <w:color w:val="000000"/>
          <w:sz w:val="32"/>
        </w:rPr>
      </w:pPr>
      <w:bookmarkStart w:id="11" w:name="_Toc_3_3_0000000013"/>
    </w:p>
    <w:p>
      <w:pPr>
        <w:numPr>
          <w:ilvl w:val="0"/>
          <w:numId w:val="1"/>
        </w:numPr>
        <w:spacing w:before="10" w:after="10" w:line="360" w:lineRule="auto"/>
        <w:ind w:firstLine="640"/>
        <w:outlineLvl w:val="2"/>
        <w:rPr>
          <w:rFonts w:hint="eastAsia" w:ascii="Times New Roman" w:hAnsi="Times New Roman" w:eastAsia="方正仿宋_GBK" w:cs="Times New Roman"/>
          <w:color w:val="000000"/>
          <w:sz w:val="28"/>
          <w:lang w:val="en-US" w:eastAsia="zh-CN"/>
        </w:rPr>
      </w:pPr>
      <w:r>
        <w:rPr>
          <w:rFonts w:ascii="黑体" w:hAnsi="黑体" w:eastAsia="黑体" w:cs="黑体"/>
          <w:color w:val="000000"/>
          <w:sz w:val="32"/>
        </w:rPr>
        <w:t>财政拨款“三公”经费预算情况及增减变化原因</w:t>
      </w:r>
      <w:bookmarkEnd w:id="11"/>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2022年涞水县水利局部门预算“三公”经费支出16.40万元，其中：公车运行维护费14.40万元，公务接待费2.00万元，预计接待20批次，共计328人，因公出国出境0万元。2021年我单位预算安排“三公”经费支出16.40万元，其中：公车运行维护费14.40万元，公务接待费2.00万元，因公出国出境0万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2022年我局严格控制“三公”经费支出，严格执行八项规定，公务用车维护费、公务接待费、因公出国出境与2021部门预算一致。</w:t>
      </w:r>
    </w:p>
    <w:tbl>
      <w:tblPr>
        <w:tblStyle w:val="8"/>
        <w:tblpPr w:leftFromText="180" w:rightFromText="180" w:vertAnchor="text" w:horzAnchor="page" w:tblpX="1547" w:tblpY="508"/>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rPr>
            </w:pPr>
            <w:r>
              <w:rPr>
                <w:rFonts w:hint="eastAsia"/>
              </w:rPr>
              <w:t>项目名称</w:t>
            </w:r>
          </w:p>
        </w:tc>
        <w:tc>
          <w:tcPr>
            <w:tcW w:w="171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202</w:t>
            </w:r>
            <w:r>
              <w:rPr>
                <w:rFonts w:hint="eastAsia"/>
                <w:lang w:eastAsia="zh-CN"/>
              </w:rPr>
              <w:t>1</w:t>
            </w:r>
            <w:r>
              <w:rPr>
                <w:rFonts w:hint="eastAsia"/>
              </w:rPr>
              <w:t>年度预算</w:t>
            </w:r>
          </w:p>
        </w:tc>
        <w:tc>
          <w:tcPr>
            <w:tcW w:w="171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202</w:t>
            </w:r>
            <w:r>
              <w:rPr>
                <w:rFonts w:hint="eastAsia"/>
                <w:lang w:eastAsia="zh-CN"/>
              </w:rPr>
              <w:t>2</w:t>
            </w:r>
            <w:r>
              <w:rPr>
                <w:rFonts w:hint="eastAsia"/>
              </w:rPr>
              <w:t>年度预算</w:t>
            </w:r>
          </w:p>
        </w:tc>
        <w:tc>
          <w:tcPr>
            <w:tcW w:w="117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增减金额</w:t>
            </w:r>
          </w:p>
        </w:tc>
        <w:tc>
          <w:tcPr>
            <w:tcW w:w="3108"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因公出国经费</w:t>
            </w:r>
          </w:p>
        </w:tc>
        <w:tc>
          <w:tcPr>
            <w:tcW w:w="171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171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117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公务用车购置经费</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117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lang w:eastAsia="zh-CN"/>
              </w:rPr>
            </w:pPr>
            <w:r>
              <w:rPr>
                <w:rFonts w:hint="eastAsia"/>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公务用车运行经费</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14.4</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14.4</w:t>
            </w:r>
          </w:p>
        </w:tc>
        <w:tc>
          <w:tcPr>
            <w:tcW w:w="117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公务接待费支出</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2.00</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2.00</w:t>
            </w:r>
          </w:p>
        </w:tc>
        <w:tc>
          <w:tcPr>
            <w:tcW w:w="117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lang w:eastAsia="zh-CN"/>
              </w:rPr>
            </w:pPr>
            <w:r>
              <w:rPr>
                <w:rFonts w:hint="eastAsia"/>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pStyle w:val="16"/>
              <w:jc w:val="center"/>
              <w:rPr>
                <w:rFonts w:hint="eastAsia"/>
              </w:rPr>
            </w:pPr>
            <w:r>
              <w:rPr>
                <w:rFonts w:hint="eastAsia"/>
              </w:rPr>
              <w:t>合计</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16.4</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16.4</w:t>
            </w:r>
          </w:p>
        </w:tc>
        <w:tc>
          <w:tcPr>
            <w:tcW w:w="1177" w:type="dxa"/>
            <w:tcBorders>
              <w:top w:val="nil"/>
              <w:left w:val="nil"/>
              <w:bottom w:val="single" w:color="auto" w:sz="4" w:space="0"/>
              <w:right w:val="single" w:color="auto" w:sz="4" w:space="0"/>
            </w:tcBorders>
            <w:vAlign w:val="center"/>
          </w:tcPr>
          <w:p>
            <w:pPr>
              <w:pStyle w:val="16"/>
              <w:jc w:val="right"/>
              <w:rPr>
                <w:rFonts w:hint="eastAsia"/>
                <w:lang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bl>
    <w:p>
      <w:pPr>
        <w:numPr>
          <w:ilvl w:val="0"/>
          <w:numId w:val="0"/>
        </w:numPr>
        <w:spacing w:before="10" w:after="10" w:line="360" w:lineRule="auto"/>
        <w:outlineLvl w:val="2"/>
        <w:rPr>
          <w:rFonts w:ascii="黑体" w:hAnsi="黑体" w:eastAsia="黑体" w:cs="黑体"/>
          <w:color w:val="000000"/>
          <w:sz w:val="32"/>
        </w:rPr>
      </w:pPr>
    </w:p>
    <w:p>
      <w:pPr>
        <w:pStyle w:val="24"/>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2022年，在县委、县政府的正确领导下，我局紧紧围绕我县发展规划和总体部署，进一步推进水利工程项目建设进展，努力做到“水利工程补短板，水利行业强监管”的总体要求。2022年主要做好以下水利工作：</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1、按要求完成工程建设任务。</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2、积极谋划项目，争取上级专项资金的支持。</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3、进一步抓好防汛抗旱工作。</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4、加强水资源管理，大力推进农业、工业节水。</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5、继续落实河长制责任，推进河湖清理深度治理。</w:t>
      </w:r>
    </w:p>
    <w:p>
      <w:pPr>
        <w:pStyle w:val="25"/>
      </w:pPr>
      <w:r>
        <w:rPr>
          <w:rFonts w:hint="eastAsia" w:ascii="Times New Roman" w:hAnsi="Times New Roman" w:cs="Times New Roman"/>
          <w:lang w:val="en-US" w:eastAsia="zh-CN"/>
        </w:rPr>
        <w:t>6、严格</w:t>
      </w:r>
      <w:bookmarkStart w:id="17" w:name="_GoBack"/>
      <w:bookmarkEnd w:id="17"/>
      <w:r>
        <w:rPr>
          <w:rFonts w:hint="eastAsia" w:cs="Times New Roman"/>
          <w:lang w:val="en-US" w:eastAsia="zh-CN"/>
        </w:rPr>
        <w:t>水行政执法</w:t>
      </w:r>
      <w:r>
        <w:rPr>
          <w:rFonts w:hint="eastAsia" w:ascii="Times New Roman" w:hAnsi="Times New Roman" w:cs="Times New Roman"/>
          <w:lang w:val="en-US" w:eastAsia="zh-CN"/>
        </w:rPr>
        <w:t>，保护水生态环境。</w:t>
      </w:r>
    </w:p>
    <w:p>
      <w:pPr>
        <w:spacing w:line="500" w:lineRule="exact"/>
        <w:ind w:firstLine="560"/>
      </w:pPr>
      <w:r>
        <w:rPr>
          <w:rFonts w:eastAsia="方正仿宋_GBK"/>
          <w:color w:val="000000"/>
          <w:sz w:val="28"/>
        </w:rPr>
        <w:t>（二）分项绩效目标</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1、确保城区居民饮用合格江水。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绩效目标：完成上级核定消纳江水量420万方的任务，确保城区居民喝上合格江水。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绩效指标：按时缴纳引江水费，不超过年初预算数，使公众满意度在90%以上。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2、加强对山洪灾害的预警，确保全县人民安全度汛。</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绩效目标：确保该系统发挥正常预警作用，确保人民群众生命财产安全。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绩效指标：加强有效预警预报，确保正常运行，公众满意度在90%以上。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3、2021年继续对大中型水库移民进行直补资金发放和项目建设。</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绩效目标：按时发放移民直补资金，落实水库移民政策，对水库移民村基础设施进行有效改善。</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绩效指标：水库移民按照每人每年600元标准及时足额发放，加强项目管理，不断提高水库移民的生产生活水平，使水库移民满意度不低于90%。</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4、积极推进峨峪水库除险加固工程。</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绩效目标：消除病险水库的安全隐患，确保水库安全运行。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绩效指标：确保工程质量合格，减少事故发生。公众满意度在90%以上。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5、农村饮水安全水质监测。</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绩效目标：计划对农村生活用水进行水质监测,确保饮水安全。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绩效指标：完成20个村饮水监测，使农村饮水得到安全保障。使公众满意度在90%以上。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6、全面落实河长制工作制度，积极推进河湖综合治理。</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绩效目标：加强对河湖管理，全面落实河长责任制。</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绩效指标：加强对河湖巡查及视频监测，发现问题及时处理。公众满意度在90%以上。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7、宋各庄、垒子、蔡家井三座水库进行日常维修养护。</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绩效目标：加强水库日常维养，发现问题及时处理，确保水库安全运行。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绩效指标：清理水库护坡，维修维养启闭机闸门，不超出年初预算数。使公众满意度在90%以上。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8、落实安全度汛防护措施。</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绩效目标：全面落实防汛责任，确保人民群众的生命财产安全。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绩效指标：及时购置水库必备防汛物资，不超年初预算数，及时发布水情预报。使公众满意度在90%以上。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9、做好水利工程前期工作,科学合理编制各项方案。</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绩效目标：加强对水利工项目前期工作的落实，确保水利工程稳步实施。</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绩效指标：完成河道保护与利用治理规划、南拒马河生态补水及调蓄补水、河湖健康评价等项目的方案编制工作，确保工程项目顺利实施。使公众满意度在90%以上。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10、做好中小河流治理后续项目</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绩效目标：加强拒马河两岸护堤建设，确保人民群众生命财产安全。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绩效指标：完善拒马河满金峪至北庄段护堤建设，资金不超过年初预算数，群众满意度在90%以上。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11、进行8座水库复核划界。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绩效目标：依法有序管理水库，保障水利工程设施完整。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绩效指标：完成8座水库复核划界，资金不超过年初预算数，群众满意度在90%以上。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12、消防设施维修及消防用水。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绩效目标：保障城镇消防设施的正常运行，确保群众生命财产安全。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绩效指标：维修消防设施10处以上，资金不超过年初预算数，群众满意度在90%以上。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13、农村生活水源江水置换项目</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绩效目标：保障农村生活用水安全，建设水厂及配水管网。</w:t>
      </w:r>
    </w:p>
    <w:p>
      <w:pPr>
        <w:pStyle w:val="26"/>
        <w:rPr>
          <w:rFonts w:ascii="Times New Roman" w:hAnsi="Times New Roman" w:cs="Times New Roman"/>
        </w:rPr>
      </w:pPr>
      <w:r>
        <w:rPr>
          <w:rFonts w:hint="eastAsia" w:ascii="Times New Roman" w:hAnsi="Times New Roman" w:cs="Times New Roman"/>
          <w:lang w:val="en-US" w:eastAsia="zh-CN"/>
        </w:rPr>
        <w:t>绩效指标：实现农村生活水源置换，将地下水换为南水北调江水，资金不超过年初预算数，群众满意度在90%以上。</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、完善制度建设。</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完善预算绩效管理制度。加强项目的预算绩效管理，紧紧围绕年初制定的绩效目标，真正实现花钱必有效，充分发挥资金的最大效益，防治浪费财政资金。倒排工期，为全年预算绩效目标奠定制度基础。</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、加强支出管理。</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通过优化支出结构，编细遍实预算，加快履行政府采购手续，尽快启动项目，及时指出资金，确保水利工程如期完工。加强项目督导检查，加快预算执行，及时解决存在的问题，提高资金的使用效率。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、加强绩效运行监控。</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按要求开展绩效运行监控，发现问题及时采取措解决，确保绩效目标如期保质实现。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、做好绩效自评</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按要求开展上年度部门预算绩效自评和重点评价工作，对评价中发现的问题及时整改，调整优化支出结构，提高财政资金使用效益。</w:t>
      </w:r>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left="0" w:leftChars="0" w:firstLine="479" w:firstLineChars="171"/>
        <w:jc w:val="both"/>
        <w:outlineLvl w:val="3"/>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2021年大中型水库移民后扶基金项目（冀财农【2021】78号</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ascii="方正书宋_GBK" w:hAnsi="方正书宋_GBK" w:eastAsia="方正书宋_GBK" w:cs="方正书宋_GBK"/>
                <w:sz w:val="21"/>
                <w:szCs w:val="24"/>
                <w:lang w:val="en-US" w:eastAsia="uk-UA" w:bidi="ar-SA"/>
              </w:rPr>
            </w:pPr>
            <w:r>
              <w:t>1.</w:t>
            </w:r>
            <w:r>
              <w:rPr>
                <w:rFonts w:hint="eastAsia"/>
              </w:rPr>
              <w:t>根据河北省财政厅</w:t>
            </w:r>
            <w:r>
              <w:t>2021</w:t>
            </w:r>
            <w:r>
              <w:rPr>
                <w:rFonts w:hint="eastAsia"/>
              </w:rPr>
              <w:t>年大中型水库移民后扶基金项目（冀财农【</w:t>
            </w:r>
            <w:r>
              <w:t>2021</w:t>
            </w:r>
            <w:r>
              <w:rPr>
                <w:rFonts w:hint="eastAsia"/>
              </w:rPr>
              <w:t>】</w:t>
            </w:r>
            <w:r>
              <w:t>78</w:t>
            </w:r>
            <w:r>
              <w:rPr>
                <w:rFonts w:hint="eastAsia"/>
              </w:rPr>
              <w:t>号）文件通知，对涞水县安阳村进行基础设施建设。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美丽乡村建设数量</w:t>
            </w:r>
          </w:p>
        </w:tc>
        <w:tc>
          <w:tcPr>
            <w:tcW w:w="2835" w:type="dxa"/>
            <w:vAlign w:val="center"/>
          </w:tcPr>
          <w:p>
            <w:pPr>
              <w:pStyle w:val="16"/>
            </w:pPr>
            <w:r>
              <w:rPr>
                <w:rFonts w:hint="eastAsia"/>
              </w:rPr>
              <w:t>美丽乡村建设数量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完成及时率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完成及时率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资金成本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资金成本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89</w:t>
            </w:r>
            <w:r>
              <w:rPr>
                <w:rFonts w:hint="eastAsia"/>
              </w:rP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基础设施完好率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基础设施完好率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95%</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268"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268"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hint="eastAsia"/>
                <w:lang w:val="en-US" w:eastAsia="uk-UA"/>
              </w:rPr>
            </w:pPr>
            <w:r>
              <w:rPr>
                <w:rFonts w:hint="eastAsia"/>
              </w:rPr>
              <w:t>服务对象满意度指标</w:t>
            </w:r>
          </w:p>
        </w:tc>
        <w:tc>
          <w:tcPr>
            <w:tcW w:w="2835" w:type="dxa"/>
            <w:vAlign w:val="center"/>
          </w:tcPr>
          <w:p>
            <w:pPr>
              <w:pStyle w:val="16"/>
              <w:rPr>
                <w:rFonts w:hint="eastAsia"/>
                <w:lang w:val="en-US" w:eastAsia="uk-UA"/>
              </w:rPr>
            </w:pPr>
            <w:r>
              <w:rPr>
                <w:rFonts w:hint="eastAsia"/>
              </w:rPr>
              <w:t>满意率</w:t>
            </w:r>
          </w:p>
        </w:tc>
        <w:tc>
          <w:tcPr>
            <w:tcW w:w="2835" w:type="dxa"/>
            <w:vAlign w:val="center"/>
          </w:tcPr>
          <w:p>
            <w:pPr>
              <w:pStyle w:val="16"/>
              <w:rPr>
                <w:rFonts w:hint="eastAsia"/>
                <w:lang w:val="en-US" w:eastAsia="uk-UA"/>
              </w:rPr>
            </w:pPr>
            <w:r>
              <w:rPr>
                <w:rFonts w:hint="eastAsia"/>
              </w:rPr>
              <w:t>满意率</w:t>
            </w:r>
          </w:p>
        </w:tc>
        <w:tc>
          <w:tcPr>
            <w:tcW w:w="2551" w:type="dxa"/>
            <w:vAlign w:val="center"/>
          </w:tcPr>
          <w:p>
            <w:pPr>
              <w:pStyle w:val="16"/>
              <w:rPr>
                <w:rFonts w:hint="eastAsia"/>
                <w:lang w:val="en-US" w:eastAsia="uk-UA"/>
              </w:rPr>
            </w:pPr>
            <w:r>
              <w:rPr>
                <w:rFonts w:hint="eastAsia"/>
              </w:rPr>
              <w:t>≥90%</w:t>
            </w:r>
          </w:p>
        </w:tc>
        <w:tc>
          <w:tcPr>
            <w:tcW w:w="2268" w:type="dxa"/>
            <w:vAlign w:val="center"/>
          </w:tcPr>
          <w:p>
            <w:pPr>
              <w:pStyle w:val="16"/>
              <w:rPr>
                <w:rFonts w:hint="eastAsia"/>
                <w:lang w:val="en-US" w:eastAsia="uk-UA"/>
              </w:rPr>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2021年大中型水库移民后扶项目(冀财农</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rPr>
        <w:t>127号)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水库移民村基础设施建设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美丽乡村建设村数量</w:t>
            </w:r>
          </w:p>
        </w:tc>
        <w:tc>
          <w:tcPr>
            <w:tcW w:w="2835" w:type="dxa"/>
            <w:vAlign w:val="center"/>
          </w:tcPr>
          <w:p>
            <w:pPr>
              <w:pStyle w:val="16"/>
            </w:pPr>
            <w:r>
              <w:rPr>
                <w:rFonts w:hint="eastAsia"/>
              </w:rPr>
              <w:t>美丽乡村建设村数量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建设工作完成率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工作及时率</w:t>
            </w:r>
          </w:p>
        </w:tc>
        <w:tc>
          <w:tcPr>
            <w:tcW w:w="2835" w:type="dxa"/>
            <w:vAlign w:val="center"/>
          </w:tcPr>
          <w:p>
            <w:pPr>
              <w:pStyle w:val="16"/>
            </w:pPr>
            <w:r>
              <w:rPr>
                <w:rFonts w:hint="eastAsia"/>
              </w:rPr>
              <w:t>建设工作及时率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25.75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完善道路交通建设</w:t>
            </w:r>
          </w:p>
        </w:tc>
        <w:tc>
          <w:tcPr>
            <w:tcW w:w="2835" w:type="dxa"/>
            <w:vAlign w:val="center"/>
          </w:tcPr>
          <w:p>
            <w:pPr>
              <w:pStyle w:val="16"/>
            </w:pPr>
            <w:r>
              <w:rPr>
                <w:rFonts w:hint="eastAsia"/>
              </w:rPr>
              <w:t>完善道路交通建设</w:t>
            </w:r>
          </w:p>
        </w:tc>
        <w:tc>
          <w:tcPr>
            <w:tcW w:w="2551" w:type="dxa"/>
            <w:vAlign w:val="center"/>
          </w:tcPr>
          <w:p>
            <w:pPr>
              <w:pStyle w:val="16"/>
            </w:pPr>
            <w:r>
              <w:rPr>
                <w:rFonts w:hint="eastAsia"/>
              </w:rPr>
              <w:t>完善道路建设</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2021年第八批政府债券资金（江水置换项目）</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rPr>
        <w:t>冀财债【2021】57号</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1.2021-2022</w:t>
            </w:r>
            <w:r>
              <w:rPr>
                <w:rFonts w:hint="eastAsia"/>
              </w:rPr>
              <w:t>年农村生活水源置换涉及</w:t>
            </w:r>
            <w:r>
              <w:t>8</w:t>
            </w:r>
            <w:r>
              <w:rPr>
                <w:rFonts w:hint="eastAsia"/>
              </w:rPr>
              <w:t>个乡镇、</w:t>
            </w:r>
            <w:r>
              <w:t>113</w:t>
            </w:r>
            <w:r>
              <w:rPr>
                <w:rFonts w:hint="eastAsia"/>
              </w:rPr>
              <w:t>个行政村，将生活地下水源改为南水北调江水，受益人口</w:t>
            </w:r>
            <w:r>
              <w:t>15.5</w:t>
            </w:r>
            <w:r>
              <w:rPr>
                <w:rFonts w:hint="eastAsia"/>
              </w:rPr>
              <w:t>万人。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铺设管网长度</w:t>
            </w:r>
          </w:p>
        </w:tc>
        <w:tc>
          <w:tcPr>
            <w:tcW w:w="2835" w:type="dxa"/>
            <w:vAlign w:val="center"/>
          </w:tcPr>
          <w:p>
            <w:pPr>
              <w:pStyle w:val="16"/>
            </w:pPr>
            <w:r>
              <w:rPr>
                <w:rFonts w:hint="eastAsia"/>
              </w:rPr>
              <w:t>铺设管网长度</w:t>
            </w:r>
          </w:p>
        </w:tc>
        <w:tc>
          <w:tcPr>
            <w:tcW w:w="2551" w:type="dxa"/>
            <w:vAlign w:val="center"/>
          </w:tcPr>
          <w:p>
            <w:pPr>
              <w:pStyle w:val="16"/>
            </w:pPr>
            <w:r>
              <w:rPr>
                <w:rFonts w:hint="eastAsia"/>
              </w:rPr>
              <w:t>≥</w:t>
            </w:r>
            <w:r>
              <w:t>123642</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任务完成及时率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8376.56</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资金使用效率</w:t>
            </w:r>
          </w:p>
        </w:tc>
        <w:tc>
          <w:tcPr>
            <w:tcW w:w="2835" w:type="dxa"/>
            <w:vAlign w:val="center"/>
          </w:tcPr>
          <w:p>
            <w:pPr>
              <w:pStyle w:val="16"/>
            </w:pPr>
            <w:r>
              <w:rPr>
                <w:rFonts w:hint="eastAsia"/>
              </w:rPr>
              <w:t>资金使用效率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2021年度省级地下水超采综合治理项目（冀财农【2020】146号）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编制地下水利用与保护规划方案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方案编制数量</w:t>
            </w:r>
          </w:p>
        </w:tc>
        <w:tc>
          <w:tcPr>
            <w:tcW w:w="2835" w:type="dxa"/>
            <w:vAlign w:val="center"/>
          </w:tcPr>
          <w:p>
            <w:pPr>
              <w:pStyle w:val="16"/>
            </w:pPr>
            <w:r>
              <w:rPr>
                <w:rFonts w:hint="eastAsia"/>
              </w:rPr>
              <w:t>方案编制数量</w:t>
            </w:r>
          </w:p>
        </w:tc>
        <w:tc>
          <w:tcPr>
            <w:tcW w:w="2551" w:type="dxa"/>
            <w:vAlign w:val="center"/>
          </w:tcPr>
          <w:p>
            <w:pPr>
              <w:pStyle w:val="16"/>
            </w:pPr>
            <w:r>
              <w:rPr>
                <w:rFonts w:hint="eastAsia"/>
              </w:rPr>
              <w:t>≥</w:t>
            </w:r>
            <w:r>
              <w:t>1</w:t>
            </w:r>
            <w:r>
              <w:rPr>
                <w:rFonts w:hint="eastAsia"/>
              </w:rPr>
              <w:t>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方案编制完成率</w:t>
            </w:r>
          </w:p>
        </w:tc>
        <w:tc>
          <w:tcPr>
            <w:tcW w:w="2835" w:type="dxa"/>
            <w:vAlign w:val="center"/>
          </w:tcPr>
          <w:p>
            <w:pPr>
              <w:pStyle w:val="16"/>
            </w:pPr>
            <w:r>
              <w:rPr>
                <w:rFonts w:hint="eastAsia"/>
              </w:rPr>
              <w:t>方案编制完成率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方案编制及时率</w:t>
            </w:r>
          </w:p>
        </w:tc>
        <w:tc>
          <w:tcPr>
            <w:tcW w:w="2835" w:type="dxa"/>
            <w:vAlign w:val="center"/>
          </w:tcPr>
          <w:p>
            <w:pPr>
              <w:pStyle w:val="16"/>
            </w:pPr>
            <w:r>
              <w:rPr>
                <w:rFonts w:hint="eastAsia"/>
              </w:rPr>
              <w:t>方案编制及时率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64</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地下水位止跌回升</w:t>
            </w:r>
          </w:p>
        </w:tc>
        <w:tc>
          <w:tcPr>
            <w:tcW w:w="2835" w:type="dxa"/>
            <w:vAlign w:val="center"/>
          </w:tcPr>
          <w:p>
            <w:pPr>
              <w:pStyle w:val="16"/>
            </w:pPr>
            <w:r>
              <w:rPr>
                <w:rFonts w:hint="eastAsia"/>
              </w:rPr>
              <w:t>地下水位止跌回升</w:t>
            </w:r>
          </w:p>
        </w:tc>
        <w:tc>
          <w:tcPr>
            <w:tcW w:w="2551" w:type="dxa"/>
            <w:vAlign w:val="center"/>
          </w:tcPr>
          <w:p>
            <w:pPr>
              <w:pStyle w:val="16"/>
            </w:pPr>
            <w:r>
              <w:rPr>
                <w:rFonts w:hint="eastAsia"/>
              </w:rPr>
              <w:t>地下水位止跌回升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2021年农业生产和水利救灾资金（冀财农【2021】120号）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w:t>
            </w:r>
            <w:r>
              <w:t>2021</w:t>
            </w:r>
            <w:r>
              <w:rPr>
                <w:rFonts w:hint="eastAsia"/>
              </w:rPr>
              <w:t>年农业生产和水利救灾资金（冀财农【</w:t>
            </w:r>
            <w:r>
              <w:t>2021</w:t>
            </w:r>
            <w:r>
              <w:rPr>
                <w:rFonts w:hint="eastAsia"/>
              </w:rPr>
              <w:t>】</w:t>
            </w:r>
            <w:r>
              <w:t>120</w:t>
            </w:r>
            <w:r>
              <w:rPr>
                <w:rFonts w:hint="eastAsia"/>
              </w:rPr>
              <w:t>号）文件通知，加固护村坝一处。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加固护村坝数量</w:t>
            </w:r>
          </w:p>
        </w:tc>
        <w:tc>
          <w:tcPr>
            <w:tcW w:w="2835" w:type="dxa"/>
            <w:vAlign w:val="center"/>
          </w:tcPr>
          <w:p>
            <w:pPr>
              <w:pStyle w:val="16"/>
            </w:pPr>
            <w:r>
              <w:rPr>
                <w:rFonts w:hint="eastAsia"/>
              </w:rPr>
              <w:t>加固护村坝数量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40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降低事故发生率</w:t>
            </w:r>
          </w:p>
        </w:tc>
        <w:tc>
          <w:tcPr>
            <w:tcW w:w="2835" w:type="dxa"/>
            <w:vAlign w:val="center"/>
          </w:tcPr>
          <w:p>
            <w:pPr>
              <w:pStyle w:val="16"/>
            </w:pPr>
            <w:r>
              <w:rPr>
                <w:rFonts w:hint="eastAsia"/>
              </w:rPr>
              <w:t>降低事故发生率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2021年省级地下水超采综合治理（冀财农【2021】68号）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编制“十四五”节水规划报告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编制节水规划报告数</w:t>
            </w:r>
          </w:p>
        </w:tc>
        <w:tc>
          <w:tcPr>
            <w:tcW w:w="2835" w:type="dxa"/>
            <w:vAlign w:val="center"/>
          </w:tcPr>
          <w:p>
            <w:pPr>
              <w:pStyle w:val="16"/>
            </w:pPr>
            <w:r>
              <w:rPr>
                <w:rFonts w:hint="eastAsia"/>
              </w:rPr>
              <w:t>编制节水规划报告数</w:t>
            </w:r>
          </w:p>
        </w:tc>
        <w:tc>
          <w:tcPr>
            <w:tcW w:w="2551" w:type="dxa"/>
            <w:vAlign w:val="center"/>
          </w:tcPr>
          <w:p>
            <w:pPr>
              <w:pStyle w:val="16"/>
            </w:pPr>
            <w:r>
              <w:rPr>
                <w:rFonts w:hint="eastAsia"/>
              </w:rPr>
              <w:t>≥</w:t>
            </w:r>
            <w:r>
              <w:t>1</w:t>
            </w:r>
            <w:r>
              <w:rPr>
                <w:rFonts w:hint="eastAsia"/>
              </w:rPr>
              <w:t>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达到编制要求</w:t>
            </w:r>
          </w:p>
        </w:tc>
        <w:tc>
          <w:tcPr>
            <w:tcW w:w="2835" w:type="dxa"/>
            <w:vAlign w:val="center"/>
          </w:tcPr>
          <w:p>
            <w:pPr>
              <w:pStyle w:val="16"/>
            </w:pPr>
            <w:r>
              <w:rPr>
                <w:rFonts w:hint="eastAsia"/>
              </w:rPr>
              <w:t>达到高起点、高标准、优质完成率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编制完成率</w:t>
            </w:r>
          </w:p>
        </w:tc>
        <w:tc>
          <w:tcPr>
            <w:tcW w:w="2835" w:type="dxa"/>
            <w:vAlign w:val="center"/>
          </w:tcPr>
          <w:p>
            <w:pPr>
              <w:pStyle w:val="16"/>
            </w:pPr>
            <w:r>
              <w:rPr>
                <w:rFonts w:hint="eastAsia"/>
              </w:rPr>
              <w:t>编制完成率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31.8</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改善生态环境质量</w:t>
            </w:r>
          </w:p>
        </w:tc>
        <w:tc>
          <w:tcPr>
            <w:tcW w:w="2835" w:type="dxa"/>
            <w:vAlign w:val="center"/>
          </w:tcPr>
          <w:p>
            <w:pPr>
              <w:pStyle w:val="16"/>
            </w:pPr>
            <w:r>
              <w:rPr>
                <w:rFonts w:hint="eastAsia"/>
              </w:rPr>
              <w:t>改善生态环境质量</w:t>
            </w:r>
          </w:p>
        </w:tc>
        <w:tc>
          <w:tcPr>
            <w:tcW w:w="2551" w:type="dxa"/>
            <w:vAlign w:val="center"/>
          </w:tcPr>
          <w:p>
            <w:pPr>
              <w:pStyle w:val="16"/>
            </w:pPr>
            <w:r>
              <w:rPr>
                <w:rFonts w:hint="eastAsia"/>
              </w:rPr>
              <w:t>地下水止跌回升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lang w:val="en-US" w:eastAsia="uk-UA"/>
        </w:rPr>
      </w:pPr>
      <w: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2021年省级地下水超采综合治理项目（冀财农【2020】】156号）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根据河北省财政厅关于调整</w:t>
            </w:r>
            <w:r>
              <w:t>2021</w:t>
            </w:r>
            <w:r>
              <w:rPr>
                <w:rFonts w:hint="eastAsia"/>
              </w:rPr>
              <w:t>年省级地下水超采综合治理专项资金的通知，对地下水安装在线监测设备。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设备数量</w:t>
            </w:r>
          </w:p>
        </w:tc>
        <w:tc>
          <w:tcPr>
            <w:tcW w:w="2835" w:type="dxa"/>
            <w:vAlign w:val="center"/>
          </w:tcPr>
          <w:p>
            <w:pPr>
              <w:pStyle w:val="16"/>
            </w:pPr>
            <w:r>
              <w:rPr>
                <w:rFonts w:hint="eastAsia"/>
              </w:rPr>
              <w:t>设备安装数量</w:t>
            </w:r>
          </w:p>
        </w:tc>
        <w:tc>
          <w:tcPr>
            <w:tcW w:w="2551" w:type="dxa"/>
            <w:vAlign w:val="center"/>
          </w:tcPr>
          <w:p>
            <w:pPr>
              <w:pStyle w:val="16"/>
            </w:pPr>
            <w:r>
              <w:t>1</w:t>
            </w:r>
            <w:r>
              <w:rPr>
                <w:rFonts w:hint="eastAsia"/>
              </w:rPr>
              <w:t>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安装设备完成率</w:t>
            </w:r>
          </w:p>
        </w:tc>
        <w:tc>
          <w:tcPr>
            <w:tcW w:w="2835" w:type="dxa"/>
            <w:vAlign w:val="center"/>
          </w:tcPr>
          <w:p>
            <w:pPr>
              <w:pStyle w:val="16"/>
            </w:pPr>
            <w:r>
              <w:rPr>
                <w:rFonts w:hint="eastAsia"/>
              </w:rPr>
              <w:t>设备安装完成率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安装及时率</w:t>
            </w:r>
          </w:p>
        </w:tc>
        <w:tc>
          <w:tcPr>
            <w:tcW w:w="2835" w:type="dxa"/>
            <w:vAlign w:val="center"/>
          </w:tcPr>
          <w:p>
            <w:pPr>
              <w:pStyle w:val="16"/>
            </w:pPr>
            <w:r>
              <w:rPr>
                <w:rFonts w:hint="eastAsia"/>
              </w:rPr>
              <w:t>设备安装及时率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1.32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地下水水位下降减缓率</w:t>
            </w:r>
          </w:p>
        </w:tc>
        <w:tc>
          <w:tcPr>
            <w:tcW w:w="2835" w:type="dxa"/>
            <w:vAlign w:val="center"/>
          </w:tcPr>
          <w:p>
            <w:pPr>
              <w:pStyle w:val="16"/>
            </w:pPr>
            <w:r>
              <w:rPr>
                <w:rFonts w:hint="eastAsia"/>
              </w:rPr>
              <w:t>地下水水位下降减缓率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2021年省级地下水超采综合治理项目（冀财农【2021】59号）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根据省财政厅</w:t>
            </w:r>
            <w:r>
              <w:t>2021</w:t>
            </w:r>
            <w:r>
              <w:rPr>
                <w:rFonts w:hint="eastAsia"/>
              </w:rPr>
              <w:t>年省级地下水超采综合治理项目（冀财农【</w:t>
            </w:r>
            <w:r>
              <w:t>2021</w:t>
            </w:r>
            <w:r>
              <w:rPr>
                <w:rFonts w:hint="eastAsia"/>
              </w:rPr>
              <w:t>】</w:t>
            </w:r>
            <w:r>
              <w:t>59</w:t>
            </w:r>
            <w:r>
              <w:rPr>
                <w:rFonts w:hint="eastAsia"/>
              </w:rPr>
              <w:t>号）文件通知，我县需进行节水规划编制工作。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编制方案数量</w:t>
            </w:r>
          </w:p>
        </w:tc>
        <w:tc>
          <w:tcPr>
            <w:tcW w:w="2835" w:type="dxa"/>
            <w:vAlign w:val="center"/>
          </w:tcPr>
          <w:p>
            <w:pPr>
              <w:pStyle w:val="16"/>
            </w:pPr>
            <w:r>
              <w:rPr>
                <w:rFonts w:hint="eastAsia"/>
              </w:rPr>
              <w:t>编制方案数量</w:t>
            </w:r>
          </w:p>
        </w:tc>
        <w:tc>
          <w:tcPr>
            <w:tcW w:w="2551" w:type="dxa"/>
            <w:vAlign w:val="center"/>
          </w:tcPr>
          <w:p>
            <w:pPr>
              <w:pStyle w:val="16"/>
            </w:pPr>
            <w:r>
              <w:rPr>
                <w:rFonts w:hint="eastAsia"/>
              </w:rPr>
              <w:t>≥</w:t>
            </w:r>
            <w:r>
              <w:t>1</w:t>
            </w:r>
            <w:r>
              <w:rPr>
                <w:rFonts w:hint="eastAsia"/>
              </w:rPr>
              <w:t>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编制工作完成率</w:t>
            </w:r>
          </w:p>
        </w:tc>
        <w:tc>
          <w:tcPr>
            <w:tcW w:w="2835" w:type="dxa"/>
            <w:vAlign w:val="center"/>
          </w:tcPr>
          <w:p>
            <w:pPr>
              <w:pStyle w:val="16"/>
            </w:pPr>
            <w:r>
              <w:rPr>
                <w:rFonts w:hint="eastAsia"/>
              </w:rPr>
              <w:t>编制工作完成率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编制及时率</w:t>
            </w:r>
          </w:p>
        </w:tc>
        <w:tc>
          <w:tcPr>
            <w:tcW w:w="2835" w:type="dxa"/>
            <w:vAlign w:val="center"/>
          </w:tcPr>
          <w:p>
            <w:pPr>
              <w:pStyle w:val="16"/>
            </w:pPr>
            <w:r>
              <w:rPr>
                <w:rFonts w:hint="eastAsia"/>
              </w:rPr>
              <w:t>编制及时率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8</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水资源利用率</w:t>
            </w:r>
          </w:p>
        </w:tc>
        <w:tc>
          <w:tcPr>
            <w:tcW w:w="2835" w:type="dxa"/>
            <w:vAlign w:val="center"/>
          </w:tcPr>
          <w:p>
            <w:pPr>
              <w:pStyle w:val="16"/>
            </w:pPr>
            <w:r>
              <w:rPr>
                <w:rFonts w:hint="eastAsia"/>
              </w:rPr>
              <w:t>水资源利用率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tabs>
          <w:tab w:val="left" w:pos="838"/>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2021年省级水库移民后期扶持基金项目（冀财农【2020】147号）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建设美丽乡村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美丽乡村建设数量</w:t>
            </w:r>
          </w:p>
        </w:tc>
        <w:tc>
          <w:tcPr>
            <w:tcW w:w="2835" w:type="dxa"/>
            <w:vAlign w:val="center"/>
          </w:tcPr>
          <w:p>
            <w:pPr>
              <w:pStyle w:val="16"/>
            </w:pPr>
            <w:r>
              <w:rPr>
                <w:rFonts w:hint="eastAsia"/>
              </w:rPr>
              <w:t>美丽乡村建设数量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建设工作完成率</w:t>
            </w:r>
          </w:p>
        </w:tc>
        <w:tc>
          <w:tcPr>
            <w:tcW w:w="2835" w:type="dxa"/>
            <w:vAlign w:val="center"/>
          </w:tcPr>
          <w:p>
            <w:pPr>
              <w:pStyle w:val="16"/>
            </w:pPr>
            <w:r>
              <w:rPr>
                <w:rFonts w:hint="eastAsia"/>
              </w:rPr>
              <w:t>建设工作完成率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各项任务完成及时率（</w:t>
            </w:r>
            <w:r>
              <w:t>%</w:t>
            </w:r>
            <w:r>
              <w:rPr>
                <w:rFonts w:hint="eastAsia"/>
              </w:rPr>
              <w:t>）</w:t>
            </w:r>
          </w:p>
        </w:tc>
        <w:tc>
          <w:tcPr>
            <w:tcW w:w="2835" w:type="dxa"/>
            <w:vAlign w:val="center"/>
          </w:tcPr>
          <w:p>
            <w:pPr>
              <w:pStyle w:val="16"/>
            </w:pPr>
            <w:r>
              <w:rPr>
                <w:rFonts w:hint="eastAsia"/>
              </w:rPr>
              <w:t>各项任务完成及时率（</w:t>
            </w:r>
            <w:r>
              <w:t>%</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1.19</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优化美丽乡村建设</w:t>
            </w:r>
          </w:p>
        </w:tc>
        <w:tc>
          <w:tcPr>
            <w:tcW w:w="2835" w:type="dxa"/>
            <w:vAlign w:val="center"/>
          </w:tcPr>
          <w:p>
            <w:pPr>
              <w:pStyle w:val="16"/>
            </w:pPr>
            <w:r>
              <w:rPr>
                <w:rFonts w:hint="eastAsia"/>
              </w:rPr>
              <w:t>优化美丽乡村建设</w:t>
            </w:r>
          </w:p>
        </w:tc>
        <w:tc>
          <w:tcPr>
            <w:tcW w:w="2551" w:type="dxa"/>
            <w:vAlign w:val="center"/>
          </w:tcPr>
          <w:p>
            <w:pPr>
              <w:pStyle w:val="16"/>
            </w:pPr>
            <w:r>
              <w:rPr>
                <w:rFonts w:hint="eastAsia"/>
              </w:rPr>
              <w:t>优化美丽乡村建设</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bookmarkStart w:id="13" w:name="_Toc_3_3_0000000015"/>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2021年水库移民直补项目（冀财农[2020]126号）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发放移民直补资金，改善基础设施建设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美丽乡村建设数量</w:t>
            </w:r>
          </w:p>
        </w:tc>
        <w:tc>
          <w:tcPr>
            <w:tcW w:w="2835" w:type="dxa"/>
            <w:vAlign w:val="center"/>
          </w:tcPr>
          <w:p>
            <w:pPr>
              <w:pStyle w:val="16"/>
            </w:pPr>
            <w:r>
              <w:rPr>
                <w:rFonts w:hint="eastAsia"/>
              </w:rPr>
              <w:t>美丽乡村建设数量</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建设完成率</w:t>
            </w:r>
          </w:p>
        </w:tc>
        <w:tc>
          <w:tcPr>
            <w:tcW w:w="2835" w:type="dxa"/>
            <w:vAlign w:val="center"/>
          </w:tcPr>
          <w:p>
            <w:pPr>
              <w:pStyle w:val="16"/>
            </w:pPr>
            <w:r>
              <w:rPr>
                <w:rFonts w:hint="eastAsia"/>
              </w:rPr>
              <w:t>建设完成率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建设及时率</w:t>
            </w:r>
          </w:p>
        </w:tc>
        <w:tc>
          <w:tcPr>
            <w:tcW w:w="2835" w:type="dxa"/>
            <w:vAlign w:val="center"/>
          </w:tcPr>
          <w:p>
            <w:pPr>
              <w:pStyle w:val="16"/>
            </w:pPr>
            <w:r>
              <w:rPr>
                <w:rFonts w:hint="eastAsia"/>
              </w:rPr>
              <w:t>建设工作及时率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23.37</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完善美丽乡村建设</w:t>
            </w:r>
          </w:p>
        </w:tc>
        <w:tc>
          <w:tcPr>
            <w:tcW w:w="2835" w:type="dxa"/>
            <w:vAlign w:val="center"/>
          </w:tcPr>
          <w:p>
            <w:pPr>
              <w:pStyle w:val="16"/>
            </w:pPr>
            <w:r>
              <w:rPr>
                <w:rFonts w:hint="eastAsia"/>
              </w:rPr>
              <w:t>完善美丽乡村建设</w:t>
            </w:r>
          </w:p>
        </w:tc>
        <w:tc>
          <w:tcPr>
            <w:tcW w:w="2551" w:type="dxa"/>
            <w:vAlign w:val="center"/>
          </w:tcPr>
          <w:p>
            <w:pPr>
              <w:pStyle w:val="16"/>
            </w:pPr>
            <w:r>
              <w:rPr>
                <w:rFonts w:hint="eastAsia"/>
              </w:rPr>
              <w:t>完善美丽乡村建设</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2022年度省级地下水超采综合治理专项资金（冀财农【2021】144号）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年度省级地下水超采综合治理专项资金的通知，用于我县地下水超采综合治理工作。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地下水回升</w:t>
            </w:r>
          </w:p>
        </w:tc>
        <w:tc>
          <w:tcPr>
            <w:tcW w:w="2835" w:type="dxa"/>
            <w:vAlign w:val="center"/>
          </w:tcPr>
          <w:p>
            <w:pPr>
              <w:pStyle w:val="16"/>
            </w:pPr>
            <w:r>
              <w:rPr>
                <w:rFonts w:hint="eastAsia"/>
              </w:rPr>
              <w:t>地下水位止跌回升</w:t>
            </w:r>
          </w:p>
        </w:tc>
        <w:tc>
          <w:tcPr>
            <w:tcW w:w="2551" w:type="dxa"/>
            <w:vAlign w:val="center"/>
          </w:tcPr>
          <w:p>
            <w:pPr>
              <w:pStyle w:val="16"/>
            </w:pPr>
            <w:r>
              <w:rPr>
                <w:rFonts w:hint="eastAsia"/>
              </w:rPr>
              <w:t>≥</w:t>
            </w:r>
            <w:r>
              <w:t>0.1</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超采综合治理工作完成率</w:t>
            </w:r>
          </w:p>
        </w:tc>
        <w:tc>
          <w:tcPr>
            <w:tcW w:w="2835" w:type="dxa"/>
            <w:vAlign w:val="center"/>
          </w:tcPr>
          <w:p>
            <w:pPr>
              <w:pStyle w:val="16"/>
            </w:pPr>
            <w:r>
              <w:rPr>
                <w:rFonts w:hint="eastAsia"/>
              </w:rPr>
              <w:t>超采综合治理工作完成率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工作及时率</w:t>
            </w:r>
          </w:p>
        </w:tc>
        <w:tc>
          <w:tcPr>
            <w:tcW w:w="2835" w:type="dxa"/>
            <w:vAlign w:val="center"/>
          </w:tcPr>
          <w:p>
            <w:pPr>
              <w:pStyle w:val="16"/>
            </w:pPr>
            <w:r>
              <w:rPr>
                <w:rFonts w:hint="eastAsia"/>
              </w:rPr>
              <w:t>工作完成及时率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315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有效减少地下水开采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2022年省级地下水超采综合治理专项资金（冀财农【2021】151号）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年度省级地下水超采综合治理专项资金的通知，用于我县地下水超采综合治理工作。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地下水位止跌回升</w:t>
            </w:r>
          </w:p>
        </w:tc>
        <w:tc>
          <w:tcPr>
            <w:tcW w:w="2835" w:type="dxa"/>
            <w:vAlign w:val="center"/>
          </w:tcPr>
          <w:p>
            <w:pPr>
              <w:pStyle w:val="16"/>
            </w:pPr>
            <w:r>
              <w:rPr>
                <w:rFonts w:hint="eastAsia"/>
              </w:rPr>
              <w:t>地下水位止跌回升</w:t>
            </w:r>
          </w:p>
        </w:tc>
        <w:tc>
          <w:tcPr>
            <w:tcW w:w="2551" w:type="dxa"/>
            <w:vAlign w:val="center"/>
          </w:tcPr>
          <w:p>
            <w:pPr>
              <w:pStyle w:val="16"/>
            </w:pPr>
            <w:r>
              <w:rPr>
                <w:rFonts w:hint="eastAsia"/>
              </w:rPr>
              <w:t>≥</w:t>
            </w:r>
            <w:r>
              <w:t>0.1</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地下水超采治理工作完成率</w:t>
            </w:r>
          </w:p>
        </w:tc>
        <w:tc>
          <w:tcPr>
            <w:tcW w:w="2835" w:type="dxa"/>
            <w:vAlign w:val="center"/>
          </w:tcPr>
          <w:p>
            <w:pPr>
              <w:pStyle w:val="16"/>
            </w:pPr>
            <w:r>
              <w:rPr>
                <w:rFonts w:hint="eastAsia"/>
              </w:rPr>
              <w:t>超采治理工作完成率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工作完成及时率</w:t>
            </w:r>
          </w:p>
        </w:tc>
        <w:tc>
          <w:tcPr>
            <w:tcW w:w="2835" w:type="dxa"/>
            <w:vAlign w:val="center"/>
          </w:tcPr>
          <w:p>
            <w:pPr>
              <w:pStyle w:val="16"/>
            </w:pPr>
            <w:r>
              <w:rPr>
                <w:rFonts w:hint="eastAsia"/>
              </w:rPr>
              <w:t>工作完成及时率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225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减少地下水开采量</w:t>
            </w:r>
          </w:p>
        </w:tc>
        <w:tc>
          <w:tcPr>
            <w:tcW w:w="2835" w:type="dxa"/>
            <w:vAlign w:val="center"/>
          </w:tcPr>
          <w:p>
            <w:pPr>
              <w:pStyle w:val="16"/>
            </w:pPr>
            <w:r>
              <w:rPr>
                <w:rFonts w:hint="eastAsia"/>
              </w:rPr>
              <w:t>减少地下水开采量</w:t>
            </w:r>
          </w:p>
        </w:tc>
        <w:tc>
          <w:tcPr>
            <w:tcW w:w="2551" w:type="dxa"/>
            <w:vAlign w:val="center"/>
          </w:tcPr>
          <w:p>
            <w:pPr>
              <w:pStyle w:val="16"/>
            </w:pPr>
            <w:r>
              <w:rPr>
                <w:rFonts w:hint="eastAsia"/>
              </w:rPr>
              <w:t>有效减少地下水开采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2022年省级水库移民扶持基金项目（冀财农【2021】150号）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年省级水库移民扶持基金预算的通知，用于发放我县水库移民补助和工程建设。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发放补助项目数量</w:t>
            </w:r>
          </w:p>
        </w:tc>
        <w:tc>
          <w:tcPr>
            <w:tcW w:w="2835" w:type="dxa"/>
            <w:vAlign w:val="center"/>
          </w:tcPr>
          <w:p>
            <w:pPr>
              <w:pStyle w:val="16"/>
            </w:pPr>
            <w:r>
              <w:rPr>
                <w:rFonts w:hint="eastAsia"/>
              </w:rPr>
              <w:t>发放补助项目数量</w:t>
            </w:r>
          </w:p>
        </w:tc>
        <w:tc>
          <w:tcPr>
            <w:tcW w:w="2551" w:type="dxa"/>
            <w:vAlign w:val="center"/>
          </w:tcPr>
          <w:p>
            <w:pPr>
              <w:pStyle w:val="16"/>
            </w:pPr>
            <w:r>
              <w:rPr>
                <w:rFonts w:hint="eastAsia"/>
              </w:rPr>
              <w:t>≥</w:t>
            </w:r>
            <w:r>
              <w:t>1</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发放及时率</w:t>
            </w:r>
          </w:p>
        </w:tc>
        <w:tc>
          <w:tcPr>
            <w:tcW w:w="2835" w:type="dxa"/>
            <w:vAlign w:val="center"/>
          </w:tcPr>
          <w:p>
            <w:pPr>
              <w:pStyle w:val="16"/>
            </w:pPr>
            <w:r>
              <w:rPr>
                <w:rFonts w:hint="eastAsia"/>
              </w:rPr>
              <w:t>发放及时率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47</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提高移民村幸福指数</w:t>
            </w:r>
          </w:p>
        </w:tc>
        <w:tc>
          <w:tcPr>
            <w:tcW w:w="2835" w:type="dxa"/>
            <w:vAlign w:val="center"/>
          </w:tcPr>
          <w:p>
            <w:pPr>
              <w:pStyle w:val="16"/>
            </w:pPr>
            <w:r>
              <w:rPr>
                <w:rFonts w:hint="eastAsia"/>
              </w:rPr>
              <w:t>提高移民村幸福指数</w:t>
            </w:r>
          </w:p>
        </w:tc>
        <w:tc>
          <w:tcPr>
            <w:tcW w:w="2551" w:type="dxa"/>
            <w:vAlign w:val="center"/>
          </w:tcPr>
          <w:p>
            <w:pPr>
              <w:pStyle w:val="16"/>
            </w:pPr>
            <w:r>
              <w:rPr>
                <w:rFonts w:hint="eastAsia"/>
              </w:rPr>
              <w:t>有效提高移民村民众幸福指数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2022年省级水利发展资金（冀财农【2021】152号）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根据河北省财政厅关于提前下达</w:t>
            </w:r>
            <w:r>
              <w:t>2022</w:t>
            </w:r>
            <w:r>
              <w:rPr>
                <w:rFonts w:hint="eastAsia"/>
              </w:rPr>
              <w:t>年省级水利发展资金预算的通知，用于我县水利工程建设。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水利工程建设数量</w:t>
            </w:r>
          </w:p>
        </w:tc>
        <w:tc>
          <w:tcPr>
            <w:tcW w:w="2835" w:type="dxa"/>
            <w:vAlign w:val="center"/>
          </w:tcPr>
          <w:p>
            <w:pPr>
              <w:pStyle w:val="16"/>
            </w:pPr>
            <w:r>
              <w:rPr>
                <w:rFonts w:hint="eastAsia"/>
              </w:rPr>
              <w:t>水利工程建设数量</w:t>
            </w:r>
          </w:p>
        </w:tc>
        <w:tc>
          <w:tcPr>
            <w:tcW w:w="2551" w:type="dxa"/>
            <w:vAlign w:val="center"/>
          </w:tcPr>
          <w:p>
            <w:pPr>
              <w:pStyle w:val="16"/>
            </w:pPr>
            <w:r>
              <w:rPr>
                <w:rFonts w:hint="eastAsia"/>
              </w:rPr>
              <w:t>≥</w:t>
            </w:r>
            <w:r>
              <w:t>1</w:t>
            </w:r>
            <w:r>
              <w:rPr>
                <w:rFonts w:hint="eastAsia"/>
              </w:rPr>
              <w:t>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工作及时率</w:t>
            </w:r>
          </w:p>
        </w:tc>
        <w:tc>
          <w:tcPr>
            <w:tcW w:w="2835" w:type="dxa"/>
            <w:vAlign w:val="center"/>
          </w:tcPr>
          <w:p>
            <w:pPr>
              <w:pStyle w:val="16"/>
            </w:pPr>
            <w:r>
              <w:rPr>
                <w:rFonts w:hint="eastAsia"/>
              </w:rPr>
              <w:t>工作及时率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117</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生态环境质量改善</w:t>
            </w:r>
          </w:p>
        </w:tc>
        <w:tc>
          <w:tcPr>
            <w:tcW w:w="2835" w:type="dxa"/>
            <w:vAlign w:val="center"/>
          </w:tcPr>
          <w:p>
            <w:pPr>
              <w:pStyle w:val="16"/>
            </w:pPr>
            <w:r>
              <w:rPr>
                <w:rFonts w:hint="eastAsia"/>
              </w:rPr>
              <w:t>生态环境质量改善</w:t>
            </w:r>
          </w:p>
        </w:tc>
        <w:tc>
          <w:tcPr>
            <w:tcW w:w="2551" w:type="dxa"/>
            <w:vAlign w:val="center"/>
          </w:tcPr>
          <w:p>
            <w:pPr>
              <w:pStyle w:val="16"/>
            </w:pPr>
            <w:r>
              <w:rPr>
                <w:rFonts w:hint="eastAsia"/>
              </w:rPr>
              <w:t>促进生态环境质量有效改善</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2022年中央水库移民基金项目（冀财农【2021】123号）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及时发放水库移民补贴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发放数量</w:t>
            </w:r>
          </w:p>
        </w:tc>
        <w:tc>
          <w:tcPr>
            <w:tcW w:w="2835" w:type="dxa"/>
            <w:vAlign w:val="center"/>
          </w:tcPr>
          <w:p>
            <w:pPr>
              <w:pStyle w:val="16"/>
            </w:pPr>
            <w:r>
              <w:rPr>
                <w:rFonts w:hint="eastAsia"/>
              </w:rPr>
              <w:t>发放水库移民数量</w:t>
            </w:r>
          </w:p>
        </w:tc>
        <w:tc>
          <w:tcPr>
            <w:tcW w:w="2551" w:type="dxa"/>
            <w:vAlign w:val="center"/>
          </w:tcPr>
          <w:p>
            <w:pPr>
              <w:pStyle w:val="16"/>
            </w:pPr>
            <w:r>
              <w:rPr>
                <w:rFonts w:hint="eastAsia"/>
              </w:rPr>
              <w:t>≤</w:t>
            </w:r>
            <w:r>
              <w:t>2514</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覆盖率（</w:t>
            </w:r>
            <w:r>
              <w:t>%</w:t>
            </w:r>
            <w:r>
              <w:rPr>
                <w:rFonts w:hint="eastAsia"/>
              </w:rPr>
              <w:t>）</w:t>
            </w:r>
          </w:p>
        </w:tc>
        <w:tc>
          <w:tcPr>
            <w:tcW w:w="2835" w:type="dxa"/>
            <w:vAlign w:val="center"/>
          </w:tcPr>
          <w:p>
            <w:pPr>
              <w:pStyle w:val="16"/>
            </w:pPr>
            <w:r>
              <w:rPr>
                <w:rFonts w:hint="eastAsia"/>
              </w:rPr>
              <w:t>覆盖率（</w:t>
            </w:r>
            <w:r>
              <w:t>%</w:t>
            </w:r>
            <w:r>
              <w:rPr>
                <w:rFonts w:hint="eastAsia"/>
              </w:rPr>
              <w:t>）</w:t>
            </w:r>
          </w:p>
        </w:tc>
        <w:tc>
          <w:tcPr>
            <w:tcW w:w="2551" w:type="dxa"/>
            <w:vAlign w:val="center"/>
          </w:tcPr>
          <w:p>
            <w:pPr>
              <w:pStyle w:val="16"/>
            </w:pPr>
            <w: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及时率</w:t>
            </w:r>
          </w:p>
        </w:tc>
        <w:tc>
          <w:tcPr>
            <w:tcW w:w="2835" w:type="dxa"/>
            <w:vAlign w:val="center"/>
          </w:tcPr>
          <w:p>
            <w:pPr>
              <w:pStyle w:val="16"/>
            </w:pPr>
            <w:r>
              <w:rPr>
                <w:rFonts w:hint="eastAsia"/>
              </w:rPr>
              <w:t>发放及时率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不超预算数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移民增收</w:t>
            </w:r>
          </w:p>
        </w:tc>
        <w:tc>
          <w:tcPr>
            <w:tcW w:w="2835" w:type="dxa"/>
            <w:vAlign w:val="center"/>
          </w:tcPr>
          <w:p>
            <w:pPr>
              <w:pStyle w:val="16"/>
            </w:pPr>
            <w:r>
              <w:rPr>
                <w:rFonts w:hint="eastAsia"/>
              </w:rPr>
              <w:t>移民增收</w:t>
            </w:r>
          </w:p>
        </w:tc>
        <w:tc>
          <w:tcPr>
            <w:tcW w:w="2551" w:type="dxa"/>
            <w:vAlign w:val="center"/>
          </w:tcPr>
          <w:p>
            <w:pPr>
              <w:pStyle w:val="16"/>
            </w:pPr>
            <w:r>
              <w:t>600</w:t>
            </w:r>
            <w:r>
              <w:rPr>
                <w:rFonts w:hint="eastAsia"/>
              </w:rPr>
              <w:t>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2022年中央水利发展资金（冀财农【2021】130号）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建设水厂</w:t>
            </w:r>
            <w:r>
              <w:t>1</w:t>
            </w:r>
            <w:r>
              <w:rPr>
                <w:rFonts w:hint="eastAsia"/>
              </w:rPr>
              <w:t>座修建管网</w:t>
            </w:r>
            <w:r>
              <w:t>532km</w:t>
            </w:r>
            <w:r>
              <w:rPr>
                <w:rFonts w:hint="eastAsia"/>
              </w:rPr>
              <w:t>，置换农村生活水源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建水厂数量</w:t>
            </w:r>
          </w:p>
        </w:tc>
        <w:tc>
          <w:tcPr>
            <w:tcW w:w="2835" w:type="dxa"/>
            <w:vAlign w:val="center"/>
          </w:tcPr>
          <w:p>
            <w:pPr>
              <w:pStyle w:val="16"/>
            </w:pPr>
            <w:r>
              <w:rPr>
                <w:rFonts w:hint="eastAsia"/>
              </w:rPr>
              <w:t>建水厂数量</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及时率</w:t>
            </w:r>
          </w:p>
        </w:tc>
        <w:tc>
          <w:tcPr>
            <w:tcW w:w="2835" w:type="dxa"/>
            <w:vAlign w:val="center"/>
          </w:tcPr>
          <w:p>
            <w:pPr>
              <w:pStyle w:val="16"/>
            </w:pPr>
            <w:r>
              <w:rPr>
                <w:rFonts w:hint="eastAsia"/>
              </w:rPr>
              <w:t>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不超预算数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村级巡河员补助</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根据保定市巡河员管理办法，为提高农村环境卫生水平，改善人居环境，加快水生态文明建设，配备</w:t>
            </w:r>
            <w:r>
              <w:t>149</w:t>
            </w:r>
            <w:r>
              <w:rPr>
                <w:rFonts w:hint="eastAsia"/>
              </w:rPr>
              <w:t>名村级巡河员，协助村级河长治理保护河道。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发放巡河员补助数量</w:t>
            </w:r>
          </w:p>
        </w:tc>
        <w:tc>
          <w:tcPr>
            <w:tcW w:w="2835" w:type="dxa"/>
            <w:vAlign w:val="center"/>
          </w:tcPr>
          <w:p>
            <w:pPr>
              <w:pStyle w:val="16"/>
            </w:pPr>
            <w:r>
              <w:rPr>
                <w:rFonts w:hint="eastAsia"/>
              </w:rPr>
              <w:t>发放巡河员补助数量</w:t>
            </w:r>
          </w:p>
        </w:tc>
        <w:tc>
          <w:tcPr>
            <w:tcW w:w="2551" w:type="dxa"/>
            <w:vAlign w:val="center"/>
          </w:tcPr>
          <w:p>
            <w:pPr>
              <w:pStyle w:val="16"/>
            </w:pPr>
            <w:r>
              <w:t>194</w:t>
            </w:r>
            <w:r>
              <w:rPr>
                <w:rFonts w:hint="eastAsia"/>
              </w:rPr>
              <w:t>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巡河工作完成率</w:t>
            </w:r>
          </w:p>
        </w:tc>
        <w:tc>
          <w:tcPr>
            <w:tcW w:w="2835" w:type="dxa"/>
            <w:vAlign w:val="center"/>
          </w:tcPr>
          <w:p>
            <w:pPr>
              <w:pStyle w:val="16"/>
            </w:pPr>
            <w:r>
              <w:rPr>
                <w:rFonts w:hint="eastAsia"/>
              </w:rPr>
              <w:t>巡河工作完成率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发放补助及时率</w:t>
            </w:r>
          </w:p>
        </w:tc>
        <w:tc>
          <w:tcPr>
            <w:tcW w:w="2835" w:type="dxa"/>
            <w:vAlign w:val="center"/>
          </w:tcPr>
          <w:p>
            <w:pPr>
              <w:pStyle w:val="16"/>
            </w:pPr>
            <w:r>
              <w:rPr>
                <w:rFonts w:hint="eastAsia"/>
              </w:rPr>
              <w:t>发放补助及时率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58.2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改善河道环境质量</w:t>
            </w:r>
          </w:p>
        </w:tc>
        <w:tc>
          <w:tcPr>
            <w:tcW w:w="2835" w:type="dxa"/>
            <w:vAlign w:val="center"/>
          </w:tcPr>
          <w:p>
            <w:pPr>
              <w:pStyle w:val="16"/>
            </w:pPr>
            <w:r>
              <w:rPr>
                <w:rFonts w:hint="eastAsia"/>
              </w:rPr>
              <w:t>改善河道环境质量</w:t>
            </w:r>
          </w:p>
        </w:tc>
        <w:tc>
          <w:tcPr>
            <w:tcW w:w="2551" w:type="dxa"/>
            <w:vAlign w:val="center"/>
          </w:tcPr>
          <w:p>
            <w:pPr>
              <w:pStyle w:val="16"/>
            </w:pPr>
            <w:r>
              <w:rPr>
                <w:rFonts w:hint="eastAsia"/>
              </w:rPr>
              <w:t>改善河道环境质量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党校土方运输费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根据县政府领导工作安排，将党校新址土方运输至南拒马河东关段，用于河道治理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土方运输量</w:t>
            </w:r>
          </w:p>
        </w:tc>
        <w:tc>
          <w:tcPr>
            <w:tcW w:w="2835" w:type="dxa"/>
            <w:vAlign w:val="center"/>
          </w:tcPr>
          <w:p>
            <w:pPr>
              <w:pStyle w:val="16"/>
            </w:pPr>
            <w:r>
              <w:rPr>
                <w:rFonts w:hint="eastAsia"/>
              </w:rPr>
              <w:t>土方运输量</w:t>
            </w:r>
          </w:p>
        </w:tc>
        <w:tc>
          <w:tcPr>
            <w:tcW w:w="2551" w:type="dxa"/>
            <w:vAlign w:val="center"/>
          </w:tcPr>
          <w:p>
            <w:pPr>
              <w:pStyle w:val="16"/>
            </w:pPr>
            <w:r>
              <w:t>1.7</w:t>
            </w:r>
            <w:r>
              <w:rPr>
                <w:rFonts w:hint="eastAsia"/>
              </w:rPr>
              <w:t>万立方</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运输及时率</w:t>
            </w:r>
          </w:p>
        </w:tc>
        <w:tc>
          <w:tcPr>
            <w:tcW w:w="2835" w:type="dxa"/>
            <w:vAlign w:val="center"/>
          </w:tcPr>
          <w:p>
            <w:pPr>
              <w:pStyle w:val="16"/>
            </w:pPr>
            <w:r>
              <w:rPr>
                <w:rFonts w:hint="eastAsia"/>
              </w:rPr>
              <w:t>运输及时率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t>38.73</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改善生态环境质量</w:t>
            </w:r>
          </w:p>
        </w:tc>
        <w:tc>
          <w:tcPr>
            <w:tcW w:w="2835" w:type="dxa"/>
            <w:vAlign w:val="center"/>
          </w:tcPr>
          <w:p>
            <w:pPr>
              <w:pStyle w:val="16"/>
            </w:pPr>
            <w:r>
              <w:rPr>
                <w:rFonts w:hint="eastAsia"/>
              </w:rPr>
              <w:t>改善生态环境质量</w:t>
            </w:r>
          </w:p>
        </w:tc>
        <w:tc>
          <w:tcPr>
            <w:tcW w:w="2551" w:type="dxa"/>
            <w:vAlign w:val="center"/>
          </w:tcPr>
          <w:p>
            <w:pPr>
              <w:pStyle w:val="16"/>
            </w:pPr>
            <w:r>
              <w:rPr>
                <w:rFonts w:hint="eastAsia"/>
              </w:rPr>
              <w:t>改善生态环境质量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法律顾问费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1.2022</w:t>
            </w:r>
            <w:r>
              <w:rPr>
                <w:rFonts w:hint="eastAsia"/>
              </w:rPr>
              <w:t>年度依法行政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提供法律咨询数量</w:t>
            </w:r>
          </w:p>
        </w:tc>
        <w:tc>
          <w:tcPr>
            <w:tcW w:w="2835" w:type="dxa"/>
            <w:vAlign w:val="center"/>
          </w:tcPr>
          <w:p>
            <w:pPr>
              <w:pStyle w:val="16"/>
            </w:pPr>
            <w:r>
              <w:rPr>
                <w:rFonts w:hint="eastAsia"/>
              </w:rPr>
              <w:t>提供法律咨询数量</w:t>
            </w:r>
          </w:p>
        </w:tc>
        <w:tc>
          <w:tcPr>
            <w:tcW w:w="2551" w:type="dxa"/>
            <w:vAlign w:val="center"/>
          </w:tcPr>
          <w:p>
            <w:pPr>
              <w:pStyle w:val="16"/>
            </w:pPr>
            <w:r>
              <w:rPr>
                <w:rFonts w:hint="eastAsia"/>
              </w:rPr>
              <w:t>≥</w:t>
            </w:r>
            <w:r>
              <w:t>10</w:t>
            </w:r>
            <w:r>
              <w:rPr>
                <w:rFonts w:hint="eastAsia"/>
              </w:rPr>
              <w:t>件</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矛盾纠纷调处率</w:t>
            </w:r>
          </w:p>
        </w:tc>
        <w:tc>
          <w:tcPr>
            <w:tcW w:w="2835" w:type="dxa"/>
            <w:vAlign w:val="center"/>
          </w:tcPr>
          <w:p>
            <w:pPr>
              <w:pStyle w:val="16"/>
            </w:pPr>
            <w:r>
              <w:rPr>
                <w:rFonts w:hint="eastAsia"/>
              </w:rPr>
              <w:t>矛盾纠纷调处率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事件处理及时率</w:t>
            </w:r>
          </w:p>
        </w:tc>
        <w:tc>
          <w:tcPr>
            <w:tcW w:w="2835" w:type="dxa"/>
            <w:vAlign w:val="center"/>
          </w:tcPr>
          <w:p>
            <w:pPr>
              <w:pStyle w:val="16"/>
            </w:pPr>
            <w:r>
              <w:rPr>
                <w:rFonts w:hint="eastAsia"/>
              </w:rPr>
              <w:t>事件处理及时率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t>2</w:t>
            </w:r>
            <w:r>
              <w:rPr>
                <w:rFonts w:hint="eastAsia"/>
              </w:rPr>
              <w:t>万元</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化解矛盾率</w:t>
            </w:r>
          </w:p>
        </w:tc>
        <w:tc>
          <w:tcPr>
            <w:tcW w:w="2835" w:type="dxa"/>
            <w:vAlign w:val="center"/>
          </w:tcPr>
          <w:p>
            <w:pPr>
              <w:pStyle w:val="16"/>
            </w:pPr>
            <w:r>
              <w:rPr>
                <w:rFonts w:hint="eastAsia"/>
              </w:rPr>
              <w:t>化解矛盾率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合同方案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防汛经费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确保全县人民安全度汛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发布雨水情信息</w:t>
            </w:r>
          </w:p>
        </w:tc>
        <w:tc>
          <w:tcPr>
            <w:tcW w:w="2835" w:type="dxa"/>
            <w:vAlign w:val="center"/>
          </w:tcPr>
          <w:p>
            <w:pPr>
              <w:pStyle w:val="16"/>
            </w:pPr>
            <w:r>
              <w:rPr>
                <w:rFonts w:hint="eastAsia"/>
              </w:rPr>
              <w:t>发布雨水情信息</w:t>
            </w:r>
          </w:p>
        </w:tc>
        <w:tc>
          <w:tcPr>
            <w:tcW w:w="2551" w:type="dxa"/>
            <w:vAlign w:val="center"/>
          </w:tcPr>
          <w:p>
            <w:pPr>
              <w:pStyle w:val="16"/>
            </w:pPr>
            <w:r>
              <w:rPr>
                <w:rFonts w:hint="eastAsia"/>
              </w:rPr>
              <w:t>≥</w:t>
            </w:r>
            <w:r>
              <w:t>100</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业务工作完成率（</w:t>
            </w:r>
            <w:r>
              <w:t>%</w:t>
            </w:r>
            <w:r>
              <w:rPr>
                <w:rFonts w:hint="eastAsia"/>
              </w:rPr>
              <w:t>）</w:t>
            </w:r>
          </w:p>
        </w:tc>
        <w:tc>
          <w:tcPr>
            <w:tcW w:w="2835" w:type="dxa"/>
            <w:vAlign w:val="center"/>
          </w:tcPr>
          <w:p>
            <w:pPr>
              <w:pStyle w:val="16"/>
            </w:pPr>
            <w:r>
              <w:rPr>
                <w:rFonts w:hint="eastAsia"/>
              </w:rPr>
              <w:t>业务工作完成率（</w:t>
            </w:r>
            <w:r>
              <w:t>%</w:t>
            </w:r>
            <w:r>
              <w:rPr>
                <w:rFonts w:hint="eastAsia"/>
              </w:rPr>
              <w:t>）</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上报及时率</w:t>
            </w:r>
          </w:p>
        </w:tc>
        <w:tc>
          <w:tcPr>
            <w:tcW w:w="2835" w:type="dxa"/>
            <w:vAlign w:val="center"/>
          </w:tcPr>
          <w:p>
            <w:pPr>
              <w:pStyle w:val="16"/>
            </w:pPr>
            <w:r>
              <w:rPr>
                <w:rFonts w:hint="eastAsia"/>
              </w:rPr>
              <w:t>上报及时率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10</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安全事件发生率</w:t>
            </w:r>
          </w:p>
        </w:tc>
        <w:tc>
          <w:tcPr>
            <w:tcW w:w="2835" w:type="dxa"/>
            <w:vAlign w:val="center"/>
          </w:tcPr>
          <w:p>
            <w:pPr>
              <w:pStyle w:val="16"/>
            </w:pPr>
            <w:r>
              <w:rPr>
                <w:rFonts w:hint="eastAsia"/>
              </w:rPr>
              <w:t>安全事件发生率</w:t>
            </w:r>
          </w:p>
        </w:tc>
        <w:tc>
          <w:tcPr>
            <w:tcW w:w="2551" w:type="dxa"/>
            <w:vAlign w:val="center"/>
          </w:tcPr>
          <w:p>
            <w:pPr>
              <w:pStyle w:val="16"/>
            </w:pPr>
            <w:r>
              <w:rPr>
                <w:rFonts w:hint="eastAsia"/>
              </w:rPr>
              <w:t>通过预警等技术支撑，减少事故发生</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活动参与人员满意度</w:t>
            </w:r>
          </w:p>
        </w:tc>
        <w:tc>
          <w:tcPr>
            <w:tcW w:w="2835" w:type="dxa"/>
            <w:vAlign w:val="center"/>
          </w:tcPr>
          <w:p>
            <w:pPr>
              <w:pStyle w:val="16"/>
            </w:pPr>
            <w:r>
              <w:rPr>
                <w:rFonts w:hint="eastAsia"/>
              </w:rPr>
              <w:t>活动参与人员满意度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更新河长公示牌</w:t>
            </w:r>
            <w:r>
              <w:t>50</w:t>
            </w:r>
            <w:r>
              <w:rPr>
                <w:rFonts w:hint="eastAsia"/>
              </w:rPr>
              <w:t>块及河湖长日常公用经费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公示牌更新数量</w:t>
            </w:r>
          </w:p>
        </w:tc>
        <w:tc>
          <w:tcPr>
            <w:tcW w:w="2835" w:type="dxa"/>
            <w:vAlign w:val="center"/>
          </w:tcPr>
          <w:p>
            <w:pPr>
              <w:pStyle w:val="16"/>
            </w:pPr>
            <w:r>
              <w:rPr>
                <w:rFonts w:hint="eastAsia"/>
              </w:rPr>
              <w:t>公示牌更新数量</w:t>
            </w:r>
          </w:p>
        </w:tc>
        <w:tc>
          <w:tcPr>
            <w:tcW w:w="2551" w:type="dxa"/>
            <w:vAlign w:val="center"/>
          </w:tcPr>
          <w:p>
            <w:pPr>
              <w:pStyle w:val="16"/>
            </w:pPr>
            <w:r>
              <w:t>50</w:t>
            </w:r>
            <w:r>
              <w:rPr>
                <w:rFonts w:hint="eastAsia"/>
              </w:rPr>
              <w:t>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更新完成率</w:t>
            </w:r>
          </w:p>
        </w:tc>
        <w:tc>
          <w:tcPr>
            <w:tcW w:w="2835" w:type="dxa"/>
            <w:vAlign w:val="center"/>
          </w:tcPr>
          <w:p>
            <w:pPr>
              <w:pStyle w:val="16"/>
            </w:pPr>
            <w:r>
              <w:rPr>
                <w:rFonts w:hint="eastAsia"/>
              </w:rPr>
              <w:t>更新完成率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更新及时率</w:t>
            </w:r>
          </w:p>
        </w:tc>
        <w:tc>
          <w:tcPr>
            <w:tcW w:w="2835" w:type="dxa"/>
            <w:vAlign w:val="center"/>
          </w:tcPr>
          <w:p>
            <w:pPr>
              <w:pStyle w:val="16"/>
            </w:pPr>
            <w:r>
              <w:rPr>
                <w:rFonts w:hint="eastAsia"/>
              </w:rPr>
              <w:t>更新及时率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t>15</w:t>
            </w:r>
            <w:r>
              <w:rPr>
                <w:rFonts w:hint="eastAsia"/>
              </w:rPr>
              <w:t>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改善河湖环境质量</w:t>
            </w:r>
          </w:p>
        </w:tc>
        <w:tc>
          <w:tcPr>
            <w:tcW w:w="2835" w:type="dxa"/>
            <w:vAlign w:val="center"/>
          </w:tcPr>
          <w:p>
            <w:pPr>
              <w:pStyle w:val="16"/>
            </w:pPr>
            <w:r>
              <w:rPr>
                <w:rFonts w:hint="eastAsia"/>
              </w:rPr>
              <w:t>改善河湖环境质量</w:t>
            </w:r>
          </w:p>
        </w:tc>
        <w:tc>
          <w:tcPr>
            <w:tcW w:w="2551" w:type="dxa"/>
            <w:vAlign w:val="center"/>
          </w:tcPr>
          <w:p>
            <w:pPr>
              <w:pStyle w:val="16"/>
            </w:pPr>
            <w:r>
              <w:rPr>
                <w:rFonts w:hint="eastAsia"/>
              </w:rPr>
              <w:t>改善河湖环境质量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河长制宣传费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按照市河长制办公室关于进一步加强宣传工作切实提高群众知晓率和参与度的通知要求，在全县</w:t>
            </w:r>
            <w:r>
              <w:t>194</w:t>
            </w:r>
            <w:r>
              <w:rPr>
                <w:rFonts w:hint="eastAsia"/>
              </w:rPr>
              <w:t>个沿河村庄每村刷写两条墙体标语。</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刷写标语数量</w:t>
            </w:r>
          </w:p>
        </w:tc>
        <w:tc>
          <w:tcPr>
            <w:tcW w:w="2835" w:type="dxa"/>
            <w:vAlign w:val="center"/>
          </w:tcPr>
          <w:p>
            <w:pPr>
              <w:pStyle w:val="16"/>
            </w:pPr>
            <w:r>
              <w:rPr>
                <w:rFonts w:hint="eastAsia"/>
              </w:rPr>
              <w:t>刷写标语数量</w:t>
            </w:r>
          </w:p>
        </w:tc>
        <w:tc>
          <w:tcPr>
            <w:tcW w:w="2551" w:type="dxa"/>
            <w:vAlign w:val="center"/>
          </w:tcPr>
          <w:p>
            <w:pPr>
              <w:pStyle w:val="16"/>
            </w:pPr>
            <w:r>
              <w:t>388</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刷写工作完成率</w:t>
            </w:r>
          </w:p>
        </w:tc>
        <w:tc>
          <w:tcPr>
            <w:tcW w:w="2835" w:type="dxa"/>
            <w:vAlign w:val="center"/>
          </w:tcPr>
          <w:p>
            <w:pPr>
              <w:pStyle w:val="16"/>
            </w:pPr>
            <w:r>
              <w:rPr>
                <w:rFonts w:hint="eastAsia"/>
              </w:rPr>
              <w:t>刷写工作完成率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刷写及时率</w:t>
            </w:r>
          </w:p>
        </w:tc>
        <w:tc>
          <w:tcPr>
            <w:tcW w:w="2835" w:type="dxa"/>
            <w:vAlign w:val="center"/>
          </w:tcPr>
          <w:p>
            <w:pPr>
              <w:pStyle w:val="16"/>
            </w:pPr>
            <w:r>
              <w:rPr>
                <w:rFonts w:hint="eastAsia"/>
              </w:rPr>
              <w:t>刷写及时率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15.13</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提高群众对河道管理知晓率</w:t>
            </w:r>
          </w:p>
        </w:tc>
        <w:tc>
          <w:tcPr>
            <w:tcW w:w="2835" w:type="dxa"/>
            <w:vAlign w:val="center"/>
          </w:tcPr>
          <w:p>
            <w:pPr>
              <w:pStyle w:val="16"/>
            </w:pPr>
            <w:r>
              <w:rPr>
                <w:rFonts w:hint="eastAsia"/>
              </w:rPr>
              <w:t>提高群众对河道管理知晓率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河湖健康评价经费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根据河北省河湖长制办公室引发的《关于组织开展河湖健康评价工作的通知》需对我县北易水河开展河湖健康评价。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河湖健康评价报告数量</w:t>
            </w:r>
          </w:p>
        </w:tc>
        <w:tc>
          <w:tcPr>
            <w:tcW w:w="2835" w:type="dxa"/>
            <w:vAlign w:val="center"/>
          </w:tcPr>
          <w:p>
            <w:pPr>
              <w:pStyle w:val="16"/>
            </w:pPr>
            <w:r>
              <w:rPr>
                <w:rFonts w:hint="eastAsia"/>
              </w:rPr>
              <w:t>河湖健康评价报告数量</w:t>
            </w:r>
          </w:p>
        </w:tc>
        <w:tc>
          <w:tcPr>
            <w:tcW w:w="2551" w:type="dxa"/>
            <w:vAlign w:val="center"/>
          </w:tcPr>
          <w:p>
            <w:pPr>
              <w:pStyle w:val="16"/>
            </w:pPr>
            <w:r>
              <w:rPr>
                <w:rFonts w:hint="eastAsia"/>
              </w:rPr>
              <w:t>≥</w:t>
            </w:r>
            <w:r>
              <w:t>2</w:t>
            </w:r>
            <w:r>
              <w:rPr>
                <w:rFonts w:hint="eastAsia"/>
              </w:rPr>
              <w:t>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河湖健康评价工作完成率</w:t>
            </w:r>
          </w:p>
        </w:tc>
        <w:tc>
          <w:tcPr>
            <w:tcW w:w="2835" w:type="dxa"/>
            <w:vAlign w:val="center"/>
          </w:tcPr>
          <w:p>
            <w:pPr>
              <w:pStyle w:val="16"/>
            </w:pPr>
            <w:r>
              <w:rPr>
                <w:rFonts w:hint="eastAsia"/>
              </w:rPr>
              <w:t>河湖健康评价工作完成率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健康评价及时率</w:t>
            </w:r>
          </w:p>
        </w:tc>
        <w:tc>
          <w:tcPr>
            <w:tcW w:w="2835" w:type="dxa"/>
            <w:vAlign w:val="center"/>
          </w:tcPr>
          <w:p>
            <w:pPr>
              <w:pStyle w:val="16"/>
            </w:pPr>
            <w:r>
              <w:rPr>
                <w:rFonts w:hint="eastAsia"/>
              </w:rPr>
              <w:t>健康评价及时率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t>5.44</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改善生态环境质量</w:t>
            </w:r>
          </w:p>
        </w:tc>
        <w:tc>
          <w:tcPr>
            <w:tcW w:w="2835" w:type="dxa"/>
            <w:vAlign w:val="center"/>
          </w:tcPr>
          <w:p>
            <w:pPr>
              <w:pStyle w:val="16"/>
            </w:pPr>
            <w:r>
              <w:rPr>
                <w:rFonts w:hint="eastAsia"/>
              </w:rPr>
              <w:t>改善生态环境质量</w:t>
            </w:r>
          </w:p>
        </w:tc>
        <w:tc>
          <w:tcPr>
            <w:tcW w:w="2551" w:type="dxa"/>
            <w:vAlign w:val="center"/>
          </w:tcPr>
          <w:p>
            <w:pPr>
              <w:pStyle w:val="16"/>
            </w:pPr>
            <w:r>
              <w:rPr>
                <w:rFonts w:hint="eastAsia"/>
              </w:rPr>
              <w:t>改善生态环境质量</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河湖智能视频监控系统购买服务及终端设备购置费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支付三方服务费及购置终端设备等，对我县河道进行监控管理。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设备正常运行率</w:t>
            </w:r>
          </w:p>
        </w:tc>
        <w:tc>
          <w:tcPr>
            <w:tcW w:w="2835" w:type="dxa"/>
            <w:vAlign w:val="center"/>
          </w:tcPr>
          <w:p>
            <w:pPr>
              <w:pStyle w:val="16"/>
            </w:pPr>
            <w:r>
              <w:rPr>
                <w:rFonts w:hint="eastAsia"/>
              </w:rPr>
              <w:t>设备正常运行率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设备畅通率</w:t>
            </w:r>
          </w:p>
        </w:tc>
        <w:tc>
          <w:tcPr>
            <w:tcW w:w="2835" w:type="dxa"/>
            <w:vAlign w:val="center"/>
          </w:tcPr>
          <w:p>
            <w:pPr>
              <w:pStyle w:val="16"/>
            </w:pPr>
            <w:r>
              <w:rPr>
                <w:rFonts w:hint="eastAsia"/>
              </w:rPr>
              <w:t>设备畅通率、上传及时率、数据准确率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设备维修及时率</w:t>
            </w:r>
          </w:p>
        </w:tc>
        <w:tc>
          <w:tcPr>
            <w:tcW w:w="2835" w:type="dxa"/>
            <w:vAlign w:val="center"/>
          </w:tcPr>
          <w:p>
            <w:pPr>
              <w:pStyle w:val="16"/>
            </w:pPr>
            <w:r>
              <w:rPr>
                <w:rFonts w:hint="eastAsia"/>
              </w:rPr>
              <w:t>设备维修及时率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21.3</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设备全年安全运行天数</w:t>
            </w:r>
          </w:p>
        </w:tc>
        <w:tc>
          <w:tcPr>
            <w:tcW w:w="2835" w:type="dxa"/>
            <w:vAlign w:val="center"/>
          </w:tcPr>
          <w:p>
            <w:pPr>
              <w:pStyle w:val="16"/>
            </w:pPr>
            <w:r>
              <w:rPr>
                <w:rFonts w:hint="eastAsia"/>
              </w:rPr>
              <w:t>设备全年安全运行天数</w:t>
            </w:r>
          </w:p>
        </w:tc>
        <w:tc>
          <w:tcPr>
            <w:tcW w:w="2551" w:type="dxa"/>
            <w:vAlign w:val="center"/>
          </w:tcPr>
          <w:p>
            <w:pPr>
              <w:pStyle w:val="16"/>
            </w:pPr>
            <w:r>
              <w:rPr>
                <w:rFonts w:hint="eastAsia"/>
              </w:rPr>
              <w:t>≥</w:t>
            </w:r>
            <w:r>
              <w:t>300</w:t>
            </w:r>
            <w:r>
              <w:rPr>
                <w:rFonts w:hint="eastAsia"/>
              </w:rPr>
              <w:t>天</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群众满意率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农村饮水安全水质检测费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为保障农村饮水水质安全，按照冀水农【</w:t>
            </w:r>
            <w:r>
              <w:t>2018</w:t>
            </w:r>
            <w:r>
              <w:rPr>
                <w:rFonts w:hint="eastAsia"/>
              </w:rPr>
              <w:t>】</w:t>
            </w:r>
            <w:r>
              <w:t>38</w:t>
            </w:r>
            <w:r>
              <w:rPr>
                <w:rFonts w:hint="eastAsia"/>
              </w:rPr>
              <w:t>号文件要求，委托具有</w:t>
            </w:r>
            <w:r>
              <w:t>CMA</w:t>
            </w:r>
            <w:r>
              <w:rPr>
                <w:rFonts w:hint="eastAsia"/>
              </w:rPr>
              <w:t>资质的专业水质检测机构对</w:t>
            </w:r>
            <w:r>
              <w:t>20</w:t>
            </w:r>
            <w:r>
              <w:rPr>
                <w:rFonts w:hint="eastAsia"/>
              </w:rPr>
              <w:t>个村村内饮水水质进行取样检测。</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进行水质检测村数量</w:t>
            </w:r>
          </w:p>
        </w:tc>
        <w:tc>
          <w:tcPr>
            <w:tcW w:w="2835" w:type="dxa"/>
            <w:vAlign w:val="center"/>
          </w:tcPr>
          <w:p>
            <w:pPr>
              <w:pStyle w:val="16"/>
            </w:pPr>
            <w:r>
              <w:rPr>
                <w:rFonts w:hint="eastAsia"/>
              </w:rPr>
              <w:t>进行水质检测村数量</w:t>
            </w:r>
          </w:p>
        </w:tc>
        <w:tc>
          <w:tcPr>
            <w:tcW w:w="2551" w:type="dxa"/>
            <w:vAlign w:val="center"/>
          </w:tcPr>
          <w:p>
            <w:pPr>
              <w:pStyle w:val="16"/>
            </w:pPr>
            <w:r>
              <w:t>20</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检测工作完成率</w:t>
            </w:r>
          </w:p>
        </w:tc>
        <w:tc>
          <w:tcPr>
            <w:tcW w:w="2835" w:type="dxa"/>
            <w:vAlign w:val="center"/>
          </w:tcPr>
          <w:p>
            <w:pPr>
              <w:pStyle w:val="16"/>
            </w:pPr>
            <w:r>
              <w:rPr>
                <w:rFonts w:hint="eastAsia"/>
              </w:rPr>
              <w:t>检测工作完成率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检测及时率</w:t>
            </w:r>
          </w:p>
        </w:tc>
        <w:tc>
          <w:tcPr>
            <w:tcW w:w="2835" w:type="dxa"/>
            <w:vAlign w:val="center"/>
          </w:tcPr>
          <w:p>
            <w:pPr>
              <w:pStyle w:val="16"/>
            </w:pPr>
            <w:r>
              <w:rPr>
                <w:rFonts w:hint="eastAsia"/>
              </w:rPr>
              <w:t>检测及时率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3.6</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水质达标率</w:t>
            </w:r>
          </w:p>
        </w:tc>
        <w:tc>
          <w:tcPr>
            <w:tcW w:w="2835" w:type="dxa"/>
            <w:vAlign w:val="center"/>
          </w:tcPr>
          <w:p>
            <w:pPr>
              <w:pStyle w:val="16"/>
            </w:pPr>
            <w:r>
              <w:rPr>
                <w:rFonts w:hint="eastAsia"/>
              </w:rPr>
              <w:t>水质达标率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山洪灾害防治非工程措施项目</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我县需对部分老化山洪灾害设备更新、维修及款项用于群防群测经费，及时准确发布预警信息。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发布预警信息</w:t>
            </w:r>
          </w:p>
        </w:tc>
        <w:tc>
          <w:tcPr>
            <w:tcW w:w="2835" w:type="dxa"/>
            <w:vAlign w:val="center"/>
          </w:tcPr>
          <w:p>
            <w:pPr>
              <w:pStyle w:val="16"/>
            </w:pPr>
            <w:r>
              <w:rPr>
                <w:rFonts w:hint="eastAsia"/>
              </w:rPr>
              <w:t>发布预警信息</w:t>
            </w:r>
          </w:p>
        </w:tc>
        <w:tc>
          <w:tcPr>
            <w:tcW w:w="2551" w:type="dxa"/>
            <w:vAlign w:val="center"/>
          </w:tcPr>
          <w:p>
            <w:pPr>
              <w:pStyle w:val="16"/>
            </w:pPr>
            <w:r>
              <w:rPr>
                <w:rFonts w:hint="eastAsia"/>
              </w:rPr>
              <w:t>≥</w:t>
            </w:r>
            <w:r>
              <w:t>20</w:t>
            </w:r>
            <w:r>
              <w:rPr>
                <w:rFonts w:hint="eastAsia"/>
              </w:rPr>
              <w:t>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预警准确率</w:t>
            </w:r>
          </w:p>
        </w:tc>
        <w:tc>
          <w:tcPr>
            <w:tcW w:w="2835" w:type="dxa"/>
            <w:vAlign w:val="center"/>
          </w:tcPr>
          <w:p>
            <w:pPr>
              <w:pStyle w:val="16"/>
            </w:pPr>
            <w:r>
              <w:rPr>
                <w:rFonts w:hint="eastAsia"/>
              </w:rPr>
              <w:t>预警信息准确率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预警发布及时率</w:t>
            </w:r>
          </w:p>
        </w:tc>
        <w:tc>
          <w:tcPr>
            <w:tcW w:w="2835" w:type="dxa"/>
            <w:vAlign w:val="center"/>
          </w:tcPr>
          <w:p>
            <w:pPr>
              <w:pStyle w:val="16"/>
            </w:pPr>
            <w:r>
              <w:rPr>
                <w:rFonts w:hint="eastAsia"/>
              </w:rPr>
              <w:t>预警发布及时率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t>15</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降低事故发生率</w:t>
            </w:r>
          </w:p>
        </w:tc>
        <w:tc>
          <w:tcPr>
            <w:tcW w:w="2835" w:type="dxa"/>
            <w:vAlign w:val="center"/>
          </w:tcPr>
          <w:p>
            <w:pPr>
              <w:pStyle w:val="16"/>
            </w:pPr>
            <w:r>
              <w:rPr>
                <w:rFonts w:hint="eastAsia"/>
              </w:rPr>
              <w:t>降低事故发生率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消防设施维修及消防用水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消防设施的维护及消防用水资金。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维修数量</w:t>
            </w:r>
          </w:p>
        </w:tc>
        <w:tc>
          <w:tcPr>
            <w:tcW w:w="2835" w:type="dxa"/>
            <w:vAlign w:val="center"/>
          </w:tcPr>
          <w:p>
            <w:pPr>
              <w:pStyle w:val="16"/>
            </w:pPr>
            <w:r>
              <w:rPr>
                <w:rFonts w:hint="eastAsia"/>
              </w:rPr>
              <w:t>维修数量</w:t>
            </w:r>
          </w:p>
        </w:tc>
        <w:tc>
          <w:tcPr>
            <w:tcW w:w="2551" w:type="dxa"/>
            <w:vAlign w:val="center"/>
          </w:tcPr>
          <w:p>
            <w:pPr>
              <w:pStyle w:val="16"/>
            </w:pPr>
            <w:r>
              <w:rPr>
                <w:rFonts w:hint="eastAsia"/>
              </w:rPr>
              <w:t>≥</w:t>
            </w:r>
            <w:r>
              <w:t>10</w:t>
            </w:r>
            <w:r>
              <w:rPr>
                <w:rFonts w:hint="eastAsia"/>
              </w:rPr>
              <w:t>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消防设施维护工作完成率</w:t>
            </w:r>
          </w:p>
        </w:tc>
        <w:tc>
          <w:tcPr>
            <w:tcW w:w="2835" w:type="dxa"/>
            <w:vAlign w:val="center"/>
          </w:tcPr>
          <w:p>
            <w:pPr>
              <w:pStyle w:val="16"/>
            </w:pPr>
            <w:r>
              <w:rPr>
                <w:rFonts w:hint="eastAsia"/>
              </w:rPr>
              <w:t>消防设施维护工作完成率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设施维护及时率</w:t>
            </w:r>
          </w:p>
        </w:tc>
        <w:tc>
          <w:tcPr>
            <w:tcW w:w="2835" w:type="dxa"/>
            <w:vAlign w:val="center"/>
          </w:tcPr>
          <w:p>
            <w:pPr>
              <w:pStyle w:val="16"/>
            </w:pPr>
            <w:r>
              <w:rPr>
                <w:rFonts w:hint="eastAsia"/>
              </w:rPr>
              <w:t>设施维护及时率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不超预算数</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公共服务的改善与提升</w:t>
            </w:r>
          </w:p>
        </w:tc>
        <w:tc>
          <w:tcPr>
            <w:tcW w:w="2835" w:type="dxa"/>
            <w:vAlign w:val="center"/>
          </w:tcPr>
          <w:p>
            <w:pPr>
              <w:pStyle w:val="16"/>
            </w:pPr>
            <w:r>
              <w:rPr>
                <w:rFonts w:hint="eastAsia"/>
              </w:rPr>
              <w:t>公共服务的改善与提升</w:t>
            </w:r>
          </w:p>
        </w:tc>
        <w:tc>
          <w:tcPr>
            <w:tcW w:w="2551" w:type="dxa"/>
            <w:vAlign w:val="center"/>
          </w:tcPr>
          <w:p>
            <w:pPr>
              <w:pStyle w:val="16"/>
            </w:pPr>
            <w:r>
              <w:rPr>
                <w:rFonts w:hint="eastAsia"/>
              </w:rPr>
              <w:t>公共服务的改善与提升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小型水库雨水情和安全监测服务费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安装水库水雨情监测设施，保障小型水库安全运行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监测水库数量</w:t>
            </w:r>
          </w:p>
        </w:tc>
        <w:tc>
          <w:tcPr>
            <w:tcW w:w="2835" w:type="dxa"/>
            <w:vAlign w:val="center"/>
          </w:tcPr>
          <w:p>
            <w:pPr>
              <w:pStyle w:val="16"/>
            </w:pPr>
            <w:r>
              <w:rPr>
                <w:rFonts w:hint="eastAsia"/>
              </w:rPr>
              <w:t>监测水库数量</w:t>
            </w:r>
          </w:p>
        </w:tc>
        <w:tc>
          <w:tcPr>
            <w:tcW w:w="2551" w:type="dxa"/>
            <w:vAlign w:val="center"/>
          </w:tcPr>
          <w:p>
            <w:pPr>
              <w:pStyle w:val="16"/>
            </w:pPr>
            <w:r>
              <w:t>8</w:t>
            </w:r>
            <w:r>
              <w:rPr>
                <w:rFonts w:hint="eastAsia"/>
              </w:rPr>
              <w:t>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工作完成率</w:t>
            </w:r>
          </w:p>
        </w:tc>
        <w:tc>
          <w:tcPr>
            <w:tcW w:w="2835" w:type="dxa"/>
            <w:vAlign w:val="center"/>
          </w:tcPr>
          <w:p>
            <w:pPr>
              <w:pStyle w:val="16"/>
            </w:pPr>
            <w:r>
              <w:rPr>
                <w:rFonts w:hint="eastAsia"/>
              </w:rPr>
              <w:t>工作完成率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资料上报及时率</w:t>
            </w:r>
          </w:p>
        </w:tc>
        <w:tc>
          <w:tcPr>
            <w:tcW w:w="2835" w:type="dxa"/>
            <w:vAlign w:val="center"/>
          </w:tcPr>
          <w:p>
            <w:pPr>
              <w:pStyle w:val="16"/>
            </w:pPr>
            <w:r>
              <w:rPr>
                <w:rFonts w:hint="eastAsia"/>
              </w:rPr>
              <w:t>资料上报及时率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1.22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事故下降率（</w:t>
            </w:r>
            <w:r>
              <w:t>%</w:t>
            </w:r>
            <w:r>
              <w:rPr>
                <w:rFonts w:hint="eastAsia"/>
              </w:rPr>
              <w:t>）</w:t>
            </w:r>
          </w:p>
        </w:tc>
        <w:tc>
          <w:tcPr>
            <w:tcW w:w="2835" w:type="dxa"/>
            <w:vAlign w:val="center"/>
          </w:tcPr>
          <w:p>
            <w:pPr>
              <w:pStyle w:val="16"/>
            </w:pPr>
            <w:r>
              <w:rPr>
                <w:rFonts w:hint="eastAsia"/>
              </w:rPr>
              <w:t>事故下降率（</w:t>
            </w:r>
            <w:r>
              <w:t>%</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涞水县2021年省级水库移民扶持基金项目（冀财农【2021】41号</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修建</w:t>
            </w:r>
            <w:r>
              <w:t>6428</w:t>
            </w:r>
            <w:r>
              <w:rPr>
                <w:rFonts w:hint="eastAsia"/>
              </w:rPr>
              <w:t>平米道路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修建道路</w:t>
            </w:r>
          </w:p>
        </w:tc>
        <w:tc>
          <w:tcPr>
            <w:tcW w:w="2835" w:type="dxa"/>
            <w:vAlign w:val="center"/>
          </w:tcPr>
          <w:p>
            <w:pPr>
              <w:pStyle w:val="16"/>
            </w:pPr>
            <w:r>
              <w:rPr>
                <w:rFonts w:hint="eastAsia"/>
              </w:rPr>
              <w:t>修建道路</w:t>
            </w:r>
          </w:p>
        </w:tc>
        <w:tc>
          <w:tcPr>
            <w:tcW w:w="2551" w:type="dxa"/>
            <w:vAlign w:val="center"/>
          </w:tcPr>
          <w:p>
            <w:pPr>
              <w:pStyle w:val="16"/>
            </w:pPr>
            <w:r>
              <w:t>1714.5</w:t>
            </w:r>
            <w:r>
              <w:rPr>
                <w:rFonts w:hint="eastAsia"/>
              </w:rPr>
              <w:t>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按期完成率</w:t>
            </w:r>
          </w:p>
        </w:tc>
        <w:tc>
          <w:tcPr>
            <w:tcW w:w="2835" w:type="dxa"/>
            <w:vAlign w:val="center"/>
          </w:tcPr>
          <w:p>
            <w:pPr>
              <w:pStyle w:val="16"/>
            </w:pPr>
            <w:r>
              <w:rPr>
                <w:rFonts w:hint="eastAsia"/>
              </w:rPr>
              <w:t>按期完成率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资金成本</w:t>
            </w:r>
          </w:p>
        </w:tc>
        <w:tc>
          <w:tcPr>
            <w:tcW w:w="2835" w:type="dxa"/>
            <w:vAlign w:val="center"/>
          </w:tcPr>
          <w:p>
            <w:pPr>
              <w:pStyle w:val="16"/>
            </w:pPr>
            <w:r>
              <w:rPr>
                <w:rFonts w:hint="eastAsia"/>
              </w:rPr>
              <w:t>资金成本</w:t>
            </w:r>
          </w:p>
        </w:tc>
        <w:tc>
          <w:tcPr>
            <w:tcW w:w="2551" w:type="dxa"/>
            <w:vAlign w:val="center"/>
          </w:tcPr>
          <w:p>
            <w:pPr>
              <w:pStyle w:val="16"/>
            </w:pPr>
            <w:r>
              <w:rPr>
                <w:rFonts w:hint="eastAsia"/>
              </w:rPr>
              <w:t>≤</w:t>
            </w:r>
            <w:r>
              <w:t>62.22</w:t>
            </w:r>
            <w:r>
              <w:rPr>
                <w:rFonts w:hint="eastAsia"/>
              </w:rPr>
              <w:t>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对区域出行的影响</w:t>
            </w:r>
          </w:p>
        </w:tc>
        <w:tc>
          <w:tcPr>
            <w:tcW w:w="2835" w:type="dxa"/>
            <w:vAlign w:val="center"/>
          </w:tcPr>
          <w:p>
            <w:pPr>
              <w:pStyle w:val="16"/>
            </w:pPr>
            <w:r>
              <w:rPr>
                <w:rFonts w:hint="eastAsia"/>
              </w:rPr>
              <w:t>对区域出行的影响</w:t>
            </w:r>
          </w:p>
        </w:tc>
        <w:tc>
          <w:tcPr>
            <w:tcW w:w="2551" w:type="dxa"/>
            <w:vAlign w:val="center"/>
          </w:tcPr>
          <w:p>
            <w:pPr>
              <w:pStyle w:val="16"/>
            </w:pPr>
            <w:r>
              <w:rPr>
                <w:rFonts w:hint="eastAsia"/>
              </w:rPr>
              <w:t>有效改善出行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r>
        <w:rPr>
          <w:rFonts w:eastAsia="方正仿宋_GBK"/>
          <w:color w:val="000000"/>
          <w:sz w:val="28"/>
        </w:rPr>
        <w:t>2022年，</w:t>
      </w:r>
      <w:r>
        <w:rPr>
          <w:rFonts w:hint="eastAsia" w:eastAsia="方正仿宋_GBK"/>
          <w:color w:val="000000"/>
          <w:sz w:val="28"/>
          <w:lang w:val="en-US" w:eastAsia="zh-CN"/>
        </w:rPr>
        <w:t>涞水县水利局</w:t>
      </w:r>
      <w:r>
        <w:rPr>
          <w:rFonts w:eastAsia="方正仿宋_GBK"/>
          <w:color w:val="000000"/>
          <w:sz w:val="28"/>
        </w:rPr>
        <w:t>安排政府采购预算</w:t>
      </w:r>
      <w:r>
        <w:rPr>
          <w:rFonts w:hint="eastAsia" w:eastAsia="方正仿宋_GBK"/>
          <w:color w:val="000000"/>
          <w:sz w:val="28"/>
          <w:lang w:val="en-US" w:eastAsia="zh-CN"/>
        </w:rPr>
        <w:t>1548.3</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1031"/>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1031" w:type="dxa"/>
            <w:vAlign w:val="center"/>
          </w:tcPr>
          <w:p>
            <w:pPr>
              <w:pStyle w:val="14"/>
            </w:pPr>
            <w:r>
              <w:t>一般公共预算拨款</w:t>
            </w:r>
          </w:p>
        </w:tc>
        <w:tc>
          <w:tcPr>
            <w:tcW w:w="897"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rPr>
                <w:rFonts w:hint="eastAsia"/>
                <w:lang w:val="en-US" w:eastAsia="zh-CN"/>
              </w:rPr>
              <w:t>1548.30</w:t>
            </w:r>
          </w:p>
        </w:tc>
        <w:tc>
          <w:tcPr>
            <w:tcW w:w="1031" w:type="dxa"/>
            <w:vAlign w:val="center"/>
          </w:tcPr>
          <w:p>
            <w:pPr>
              <w:pStyle w:val="19"/>
              <w:rPr>
                <w:rFonts w:hint="default"/>
                <w:lang w:val="en-US"/>
              </w:rPr>
            </w:pPr>
            <w:r>
              <w:rPr>
                <w:rFonts w:hint="eastAsia" w:ascii="方正书宋_GBK" w:eastAsia="方正书宋_GBK"/>
                <w:b/>
                <w:lang w:val="en-US" w:eastAsia="zh-CN"/>
              </w:rPr>
              <w:t>1231.8</w:t>
            </w:r>
            <w:r>
              <w:rPr>
                <w:rFonts w:hint="eastAsia"/>
                <w:b/>
                <w:lang w:val="en-US" w:eastAsia="zh-CN"/>
              </w:rPr>
              <w:t>0</w:t>
            </w:r>
          </w:p>
        </w:tc>
        <w:tc>
          <w:tcPr>
            <w:tcW w:w="897" w:type="dxa"/>
            <w:vAlign w:val="center"/>
          </w:tcPr>
          <w:p>
            <w:pPr>
              <w:pStyle w:val="19"/>
              <w:rPr>
                <w:rFonts w:hint="default"/>
                <w:lang w:val="en-US"/>
              </w:rPr>
            </w:pPr>
            <w:r>
              <w:rPr>
                <w:rFonts w:hint="eastAsia" w:ascii="方正书宋_GBK" w:eastAsia="方正书宋_GBK"/>
                <w:b/>
                <w:lang w:val="en-US" w:eastAsia="zh-CN"/>
              </w:rPr>
              <w:t>316.5</w:t>
            </w:r>
            <w:r>
              <w:rPr>
                <w:rFonts w:hint="eastAsia"/>
                <w:b/>
                <w:lang w:val="en-US" w:eastAsia="zh-CN"/>
              </w:rPr>
              <w:t>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1548.30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lang w:val="en-US" w:eastAsia="zh-CN"/>
              </w:rPr>
              <w:t>涞水县水利</w:t>
            </w:r>
            <w:r>
              <w:t>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1548.30</w:t>
            </w:r>
          </w:p>
        </w:tc>
        <w:tc>
          <w:tcPr>
            <w:tcW w:w="1031" w:type="dxa"/>
            <w:vAlign w:val="center"/>
          </w:tcPr>
          <w:p>
            <w:pPr>
              <w:pStyle w:val="19"/>
              <w:rPr>
                <w:rFonts w:hint="default"/>
                <w:lang w:val="en-US"/>
              </w:rPr>
            </w:pPr>
            <w:r>
              <w:rPr>
                <w:rFonts w:hint="eastAsia" w:ascii="方正书宋_GBK" w:eastAsia="方正书宋_GBK"/>
                <w:b/>
                <w:lang w:val="en-US" w:eastAsia="zh-CN"/>
              </w:rPr>
              <w:t>1231.8</w:t>
            </w:r>
            <w:r>
              <w:rPr>
                <w:rFonts w:hint="eastAsia"/>
                <w:b/>
                <w:lang w:val="en-US" w:eastAsia="zh-CN"/>
              </w:rPr>
              <w:t>0</w:t>
            </w:r>
          </w:p>
        </w:tc>
        <w:tc>
          <w:tcPr>
            <w:tcW w:w="897" w:type="dxa"/>
            <w:vAlign w:val="center"/>
          </w:tcPr>
          <w:p>
            <w:pPr>
              <w:pStyle w:val="19"/>
              <w:rPr>
                <w:rFonts w:hint="default"/>
                <w:lang w:val="en-US"/>
              </w:rPr>
            </w:pPr>
            <w:r>
              <w:rPr>
                <w:rFonts w:hint="eastAsia" w:ascii="方正书宋_GBK" w:eastAsia="方正书宋_GBK"/>
                <w:b/>
                <w:lang w:val="en-US" w:eastAsia="zh-CN"/>
              </w:rPr>
              <w:t>316.5</w:t>
            </w:r>
            <w:r>
              <w:rPr>
                <w:rFonts w:hint="eastAsia"/>
                <w:b/>
                <w:lang w:val="en-US" w:eastAsia="zh-CN"/>
              </w:rPr>
              <w:t>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1548.30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2022年中央水利发展资金</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409</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409</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409</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409</w:t>
            </w:r>
          </w:p>
        </w:tc>
        <w:tc>
          <w:tcPr>
            <w:tcW w:w="897"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409.0</w:t>
            </w:r>
            <w:r>
              <w:rPr>
                <w:rFonts w:ascii="方正书宋_GBK" w:hAnsi="方正书宋_GBK" w:eastAsia="方正书宋_GBK" w:cs="方正书宋_GBK"/>
                <w:b w:val="0"/>
                <w:bCs/>
                <w:sz w:val="21"/>
                <w:szCs w:val="24"/>
                <w:lang w:val="en-US" w:eastAsia="uk-UA"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2022年中央水利发展资金</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70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仪器仪表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A0210</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70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70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70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2022年省级水利发展资金</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117</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117</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117</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117</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2022年中央水库移民基金项目（冀财农【2021】123号）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227.5</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227.5</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227.5</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227.5</w:t>
            </w: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2022年度省级地下水超采综合治理专项资金（冀财农【2021】144号）</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315</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信息技术咨询服务</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C0208</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315</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315</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315</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2022年度省级地下水超采综合治理专项资金（冀财农【2020】151号）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225</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信息技术咨询服务</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C0208</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225</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225</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225</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大中型水库移民后扶基金项目（冀财农【2021】78号）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89</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89</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89</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89</w:t>
            </w: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省级地下水超采综合治理项目</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95.8</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信息技术咨询服务</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C0208</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个</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95.8</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95.8</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95.8</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95.8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eastAsia="方正仿宋_GBK"/>
          <w:color w:val="000000"/>
          <w:sz w:val="32"/>
        </w:rPr>
      </w:pPr>
      <w:r>
        <w:rPr>
          <w:rFonts w:eastAsia="方正仿宋_GBK"/>
          <w:color w:val="000000"/>
          <w:sz w:val="32"/>
        </w:rPr>
        <w:br w:type="page"/>
      </w:r>
    </w:p>
    <w:p>
      <w:pPr>
        <w:spacing w:before="10" w:after="10"/>
        <w:ind w:firstLine="640"/>
        <w:outlineLvl w:val="2"/>
      </w:pPr>
      <w:bookmarkStart w:id="14" w:name="_Toc_3_3_0000000016"/>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val="en-US" w:eastAsia="zh-CN"/>
        </w:rPr>
        <w:t>涞水县水利</w:t>
      </w:r>
      <w:r>
        <w:rPr>
          <w:rFonts w:eastAsia="方正仿宋_GBK"/>
          <w:color w:val="000000"/>
          <w:sz w:val="28"/>
        </w:rPr>
        <w:t>局（含所属单位）上年末固定资产金额为</w:t>
      </w:r>
      <w:r>
        <w:rPr>
          <w:rFonts w:hint="eastAsia" w:eastAsia="方正仿宋_GBK"/>
          <w:color w:val="000000"/>
          <w:sz w:val="28"/>
          <w:lang w:val="en-US" w:eastAsia="zh-CN"/>
        </w:rPr>
        <w:t>6000.66</w:t>
      </w:r>
      <w:r>
        <w:rPr>
          <w:rFonts w:eastAsia="方正仿宋_GBK"/>
          <w:color w:val="000000"/>
          <w:sz w:val="28"/>
        </w:rPr>
        <w:t>万元（详见下表）。</w:t>
      </w:r>
      <w:r>
        <w:rPr>
          <w:rFonts w:hint="eastAsia" w:eastAsia="方正仿宋_GBK" w:cs="Times New Roman"/>
          <w:color w:val="000000"/>
          <w:sz w:val="28"/>
          <w:lang w:val="en-US" w:eastAsia="zh-CN"/>
        </w:rPr>
        <w:t>2022年我部门无购置固定资产情况</w:t>
      </w:r>
      <w:r>
        <w:rPr>
          <w:rFonts w:hint="eastAsia" w:ascii="Times New Roman" w:hAnsi="Times New Roman" w:eastAsia="方正仿宋_GBK" w:cs="Times New Roman"/>
          <w:color w:val="000000"/>
          <w:sz w:val="28"/>
          <w:lang w:val="en-US" w:eastAsia="zh-CN"/>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jc w:val="center"/>
        <w:rPr>
          <w:rFonts w:hint="default" w:ascii="方正小标宋_GBK" w:hAnsi="方正小标宋_GBK" w:eastAsia="方正小标宋_GBK" w:cs="方正小标宋_GBK"/>
          <w:color w:val="000000"/>
          <w:sz w:val="32"/>
          <w:szCs w:val="32"/>
          <w:lang w:val="en-US" w:eastAsia="zh-CN"/>
        </w:rPr>
      </w:pPr>
      <w:r>
        <w:rPr>
          <w:rFonts w:hint="eastAsia" w:ascii="方正小标宋_GBK" w:hAnsi="方正小标宋_GBK" w:eastAsia="方正小标宋_GBK" w:cs="方正小标宋_GBK"/>
          <w:color w:val="000000"/>
          <w:sz w:val="32"/>
          <w:szCs w:val="32"/>
          <w:lang w:val="en-US" w:eastAsia="zh-CN"/>
        </w:rPr>
        <w:t>截止时间：2021年12月31日</w:t>
      </w:r>
    </w:p>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5110"/>
        <w:gridCol w:w="2205"/>
        <w:gridCol w:w="5584"/>
      </w:tblGrid>
      <w:tr>
        <w:tblPrEx>
          <w:tblCellMar>
            <w:top w:w="0" w:type="dxa"/>
            <w:left w:w="108" w:type="dxa"/>
            <w:bottom w:w="0" w:type="dxa"/>
            <w:right w:w="108" w:type="dxa"/>
          </w:tblCellMar>
        </w:tblPrEx>
        <w:trPr>
          <w:trHeight w:val="1129" w:hRule="atLeast"/>
        </w:trPr>
        <w:tc>
          <w:tcPr>
            <w:tcW w:w="511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项 </w:t>
            </w:r>
            <w:r>
              <w:rPr>
                <w:rFonts w:hint="eastAsia"/>
                <w:lang w:val="en-US" w:eastAsia="zh-CN"/>
              </w:rPr>
              <w:t xml:space="preserve">   </w:t>
            </w:r>
            <w:r>
              <w:rPr>
                <w:rFonts w:hint="eastAsia"/>
              </w:rPr>
              <w:t xml:space="preserve"> 目</w:t>
            </w:r>
          </w:p>
        </w:tc>
        <w:tc>
          <w:tcPr>
            <w:tcW w:w="2205" w:type="dxa"/>
            <w:tcBorders>
              <w:top w:val="single" w:color="auto" w:sz="4" w:space="0"/>
              <w:left w:val="nil"/>
              <w:bottom w:val="nil"/>
              <w:right w:val="single" w:color="auto" w:sz="4" w:space="0"/>
            </w:tcBorders>
            <w:vAlign w:val="center"/>
          </w:tcPr>
          <w:p>
            <w:pPr>
              <w:pStyle w:val="14"/>
            </w:pPr>
            <w:r>
              <w:rPr>
                <w:rFonts w:hint="eastAsia"/>
              </w:rPr>
              <w:t>数量</w:t>
            </w:r>
          </w:p>
        </w:tc>
        <w:tc>
          <w:tcPr>
            <w:tcW w:w="5584"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439" w:hRule="atLeast"/>
        </w:trPr>
        <w:tc>
          <w:tcPr>
            <w:tcW w:w="5110" w:type="dxa"/>
            <w:tcBorders>
              <w:top w:val="single" w:color="auto" w:sz="4" w:space="0"/>
              <w:left w:val="single" w:color="auto" w:sz="4" w:space="0"/>
              <w:bottom w:val="single" w:color="auto" w:sz="4" w:space="0"/>
              <w:right w:val="single" w:color="auto" w:sz="4" w:space="0"/>
            </w:tcBorders>
            <w:vAlign w:val="center"/>
          </w:tcPr>
          <w:p>
            <w:pPr>
              <w:pStyle w:val="14"/>
              <w:rPr>
                <w:rFonts w:hint="default" w:eastAsia="方正书宋_GBK"/>
                <w:lang w:val="en-US" w:eastAsia="zh-CN"/>
              </w:rPr>
            </w:pPr>
            <w:r>
              <w:rPr>
                <w:rFonts w:hint="eastAsia"/>
                <w:lang w:val="en-US" w:eastAsia="zh-CN"/>
              </w:rPr>
              <w:t>固定资产总额</w:t>
            </w:r>
          </w:p>
        </w:tc>
        <w:tc>
          <w:tcPr>
            <w:tcW w:w="2205" w:type="dxa"/>
            <w:tcBorders>
              <w:top w:val="single" w:color="auto" w:sz="4" w:space="0"/>
              <w:left w:val="nil"/>
              <w:bottom w:val="nil"/>
              <w:right w:val="single" w:color="auto" w:sz="4" w:space="0"/>
            </w:tcBorders>
            <w:vAlign w:val="center"/>
          </w:tcPr>
          <w:p>
            <w:pPr>
              <w:pStyle w:val="14"/>
              <w:rPr>
                <w:rFonts w:hint="default" w:eastAsia="方正书宋_GBK"/>
                <w:lang w:val="en-US" w:eastAsia="zh-CN"/>
              </w:rPr>
            </w:pPr>
            <w:r>
              <w:rPr>
                <w:rFonts w:hint="eastAsia"/>
                <w:lang w:val="en-US" w:eastAsia="zh-CN"/>
              </w:rPr>
              <w:t>--</w:t>
            </w:r>
          </w:p>
        </w:tc>
        <w:tc>
          <w:tcPr>
            <w:tcW w:w="5584" w:type="dxa"/>
            <w:tcBorders>
              <w:top w:val="single" w:color="auto" w:sz="4" w:space="0"/>
              <w:left w:val="nil"/>
              <w:bottom w:val="single" w:color="auto" w:sz="4" w:space="0"/>
              <w:right w:val="single" w:color="auto" w:sz="4" w:space="0"/>
            </w:tcBorders>
            <w:vAlign w:val="center"/>
          </w:tcPr>
          <w:p>
            <w:pPr>
              <w:pStyle w:val="14"/>
              <w:rPr>
                <w:rFonts w:hint="default" w:eastAsia="方正书宋_GBK"/>
                <w:lang w:val="en-US" w:eastAsia="zh-CN"/>
              </w:rPr>
            </w:pPr>
            <w:r>
              <w:rPr>
                <w:rFonts w:hint="eastAsia"/>
                <w:lang w:val="en-US" w:eastAsia="zh-CN"/>
              </w:rPr>
              <w:t>6000.66</w:t>
            </w:r>
          </w:p>
        </w:tc>
      </w:tr>
      <w:tr>
        <w:tblPrEx>
          <w:tblCellMar>
            <w:top w:w="0" w:type="dxa"/>
            <w:left w:w="108" w:type="dxa"/>
            <w:bottom w:w="0" w:type="dxa"/>
            <w:right w:w="108" w:type="dxa"/>
          </w:tblCellMar>
        </w:tblPrEx>
        <w:trPr>
          <w:trHeight w:val="398" w:hRule="atLeast"/>
        </w:trPr>
        <w:tc>
          <w:tcPr>
            <w:tcW w:w="5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1、房屋（平方米）</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5179.9</w:t>
            </w:r>
          </w:p>
        </w:tc>
        <w:tc>
          <w:tcPr>
            <w:tcW w:w="55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188.43</w:t>
            </w:r>
          </w:p>
        </w:tc>
      </w:tr>
      <w:tr>
        <w:tblPrEx>
          <w:tblCellMar>
            <w:top w:w="0" w:type="dxa"/>
            <w:left w:w="108" w:type="dxa"/>
            <w:bottom w:w="0" w:type="dxa"/>
            <w:right w:w="108" w:type="dxa"/>
          </w:tblCellMar>
        </w:tblPrEx>
        <w:trPr>
          <w:trHeight w:val="398" w:hRule="atLeast"/>
        </w:trPr>
        <w:tc>
          <w:tcPr>
            <w:tcW w:w="5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630" w:firstLineChars="3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其中：办公用房（平方米）</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800</w:t>
            </w:r>
          </w:p>
        </w:tc>
        <w:tc>
          <w:tcPr>
            <w:tcW w:w="55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38.64</w:t>
            </w:r>
          </w:p>
        </w:tc>
      </w:tr>
      <w:tr>
        <w:tblPrEx>
          <w:tblCellMar>
            <w:top w:w="0" w:type="dxa"/>
            <w:left w:w="108" w:type="dxa"/>
            <w:bottom w:w="0" w:type="dxa"/>
            <w:right w:w="108" w:type="dxa"/>
          </w:tblCellMar>
        </w:tblPrEx>
        <w:trPr>
          <w:trHeight w:val="379" w:hRule="atLeast"/>
        </w:trPr>
        <w:tc>
          <w:tcPr>
            <w:tcW w:w="5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2、车辆（台、辆）</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w:t>
            </w:r>
          </w:p>
        </w:tc>
        <w:tc>
          <w:tcPr>
            <w:tcW w:w="55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112.69</w:t>
            </w:r>
          </w:p>
        </w:tc>
      </w:tr>
      <w:tr>
        <w:tblPrEx>
          <w:tblCellMar>
            <w:top w:w="0" w:type="dxa"/>
            <w:left w:w="108" w:type="dxa"/>
            <w:bottom w:w="0" w:type="dxa"/>
            <w:right w:w="108" w:type="dxa"/>
          </w:tblCellMar>
        </w:tblPrEx>
        <w:trPr>
          <w:trHeight w:val="379" w:hRule="atLeast"/>
        </w:trPr>
        <w:tc>
          <w:tcPr>
            <w:tcW w:w="5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3、单价在100万元以上的设备</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55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177.6</w:t>
            </w:r>
          </w:p>
        </w:tc>
      </w:tr>
      <w:tr>
        <w:tblPrEx>
          <w:tblCellMar>
            <w:top w:w="0" w:type="dxa"/>
            <w:left w:w="108" w:type="dxa"/>
            <w:bottom w:w="0" w:type="dxa"/>
            <w:right w:w="108" w:type="dxa"/>
          </w:tblCellMar>
        </w:tblPrEx>
        <w:trPr>
          <w:trHeight w:val="379" w:hRule="atLeast"/>
        </w:trPr>
        <w:tc>
          <w:tcPr>
            <w:tcW w:w="5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4、其他固定资产</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w:t>
            </w:r>
          </w:p>
        </w:tc>
        <w:tc>
          <w:tcPr>
            <w:tcW w:w="55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5521.94</w:t>
            </w:r>
          </w:p>
        </w:tc>
      </w:tr>
    </w:tbl>
    <w:p>
      <w:pPr>
        <w:rPr>
          <w:rFonts w:ascii="黑体" w:hAnsi="黑体" w:eastAsia="黑体" w:cs="黑体"/>
          <w:color w:val="000000"/>
          <w:sz w:val="32"/>
        </w:rPr>
      </w:pPr>
      <w:bookmarkStart w:id="15" w:name="_Toc_3_3_0000000017"/>
      <w:r>
        <w:rPr>
          <w:rFonts w:ascii="黑体" w:hAnsi="黑体" w:eastAsia="黑体" w:cs="黑体"/>
          <w:color w:val="000000"/>
          <w:sz w:val="32"/>
        </w:rPr>
        <w:br w:type="page"/>
      </w: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w:t>
      </w:r>
      <w:r>
        <w:rPr>
          <w:rFonts w:eastAsia="方正仿宋_GBK"/>
          <w:color w:val="000000"/>
          <w:sz w:val="28"/>
        </w:rPr>
        <w:t>财政预算管理的“三公”经费，是指</w:t>
      </w:r>
      <w:r>
        <w:rPr>
          <w:rFonts w:hint="eastAsia" w:eastAsia="方正仿宋_GBK"/>
          <w:color w:val="000000"/>
          <w:sz w:val="28"/>
        </w:rPr>
        <w:t>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1CD1B"/>
    <w:multiLevelType w:val="singleLevel"/>
    <w:tmpl w:val="D7F1CD1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730019"/>
    <w:rsid w:val="03200287"/>
    <w:rsid w:val="054B4674"/>
    <w:rsid w:val="0D977B84"/>
    <w:rsid w:val="11C95F9C"/>
    <w:rsid w:val="15665AAF"/>
    <w:rsid w:val="19080062"/>
    <w:rsid w:val="1F001077"/>
    <w:rsid w:val="20B72FDC"/>
    <w:rsid w:val="220628F4"/>
    <w:rsid w:val="249A7070"/>
    <w:rsid w:val="2E222699"/>
    <w:rsid w:val="3525658C"/>
    <w:rsid w:val="37CF26CA"/>
    <w:rsid w:val="48BA73C9"/>
    <w:rsid w:val="4A6E08DD"/>
    <w:rsid w:val="5AF97C08"/>
    <w:rsid w:val="5B01542B"/>
    <w:rsid w:val="5D67410E"/>
    <w:rsid w:val="618868A7"/>
    <w:rsid w:val="65DC0F6F"/>
    <w:rsid w:val="769A08AD"/>
    <w:rsid w:val="7A782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55A60376-5F1A-4B58-BE70-A0B8CD8AC393}">
  <ds:schemaRefs/>
</ds:datastoreItem>
</file>

<file path=customXml/itemProps10.xml><?xml version="1.0" encoding="utf-8"?>
<ds:datastoreItem xmlns:ds="http://schemas.openxmlformats.org/officeDocument/2006/customXml" ds:itemID="{240D75C0-5405-407A-9D88-451A6C53325C}">
  <ds:schemaRefs/>
</ds:datastoreItem>
</file>

<file path=customXml/itemProps11.xml><?xml version="1.0" encoding="utf-8"?>
<ds:datastoreItem xmlns:ds="http://schemas.openxmlformats.org/officeDocument/2006/customXml" ds:itemID="{DFFE41CD-7795-417D-8B3D-7B7E92ADCE28}">
  <ds:schemaRefs/>
</ds:datastoreItem>
</file>

<file path=customXml/itemProps12.xml><?xml version="1.0" encoding="utf-8"?>
<ds:datastoreItem xmlns:ds="http://schemas.openxmlformats.org/officeDocument/2006/customXml" ds:itemID="{DD8D39B1-E032-4B64-9020-66CD65ABCD3B}">
  <ds:schemaRefs/>
</ds:datastoreItem>
</file>

<file path=customXml/itemProps13.xml><?xml version="1.0" encoding="utf-8"?>
<ds:datastoreItem xmlns:ds="http://schemas.openxmlformats.org/officeDocument/2006/customXml" ds:itemID="{6C8F0DDD-DA95-49D7-BEC9-54BED6023821}">
  <ds:schemaRefs/>
</ds:datastoreItem>
</file>

<file path=customXml/itemProps14.xml><?xml version="1.0" encoding="utf-8"?>
<ds:datastoreItem xmlns:ds="http://schemas.openxmlformats.org/officeDocument/2006/customXml" ds:itemID="{BAA19A8D-5B92-489B-B169-BAD91A103344}">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127F30A9-AC64-4000-970B-04BBBAF6782F}">
  <ds:schemaRefs/>
</ds:datastoreItem>
</file>

<file path=customXml/itemProps17.xml><?xml version="1.0" encoding="utf-8"?>
<ds:datastoreItem xmlns:ds="http://schemas.openxmlformats.org/officeDocument/2006/customXml" ds:itemID="{328F8FAA-F9B6-48DE-ABD9-772610F9386F}">
  <ds:schemaRefs/>
</ds:datastoreItem>
</file>

<file path=customXml/itemProps18.xml><?xml version="1.0" encoding="utf-8"?>
<ds:datastoreItem xmlns:ds="http://schemas.openxmlformats.org/officeDocument/2006/customXml" ds:itemID="{927546BB-28A9-4183-9889-130B2B46E760}">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FF40C868-CD10-4565-BD6F-28B55B247751}">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CB6B8C05-D526-4E72-8AB4-B1FB0F487636}">
  <ds:schemaRefs/>
</ds:datastoreItem>
</file>

<file path=customXml/itemProps22.xml><?xml version="1.0" encoding="utf-8"?>
<ds:datastoreItem xmlns:ds="http://schemas.openxmlformats.org/officeDocument/2006/customXml" ds:itemID="{5EFC46A3-03BA-4ECF-B65E-51918400F753}">
  <ds:schemaRefs/>
</ds:datastoreItem>
</file>

<file path=customXml/itemProps23.xml><?xml version="1.0" encoding="utf-8"?>
<ds:datastoreItem xmlns:ds="http://schemas.openxmlformats.org/officeDocument/2006/customXml" ds:itemID="{4074F53B-6AA8-493B-96FF-0D7EB858216C}">
  <ds:schemaRefs/>
</ds:datastoreItem>
</file>

<file path=customXml/itemProps24.xml><?xml version="1.0" encoding="utf-8"?>
<ds:datastoreItem xmlns:ds="http://schemas.openxmlformats.org/officeDocument/2006/customXml" ds:itemID="{989DA21E-0CDF-4E3D-84F6-1D172BF7F4B9}">
  <ds:schemaRefs/>
</ds:datastoreItem>
</file>

<file path=customXml/itemProps25.xml><?xml version="1.0" encoding="utf-8"?>
<ds:datastoreItem xmlns:ds="http://schemas.openxmlformats.org/officeDocument/2006/customXml" ds:itemID="{C66F43F9-0AB8-4241-BA67-D8AE60CF6C21}">
  <ds:schemaRefs/>
</ds:datastoreItem>
</file>

<file path=customXml/itemProps26.xml><?xml version="1.0" encoding="utf-8"?>
<ds:datastoreItem xmlns:ds="http://schemas.openxmlformats.org/officeDocument/2006/customXml" ds:itemID="{C486A553-0F69-4945-B340-E49BCA32411A}">
  <ds:schemaRefs/>
</ds:datastoreItem>
</file>

<file path=customXml/itemProps27.xml><?xml version="1.0" encoding="utf-8"?>
<ds:datastoreItem xmlns:ds="http://schemas.openxmlformats.org/officeDocument/2006/customXml" ds:itemID="{BC8B0B68-B399-4D6D-AE2B-284CCF1A5CB6}">
  <ds:schemaRefs/>
</ds:datastoreItem>
</file>

<file path=customXml/itemProps28.xml><?xml version="1.0" encoding="utf-8"?>
<ds:datastoreItem xmlns:ds="http://schemas.openxmlformats.org/officeDocument/2006/customXml" ds:itemID="{C593EC27-B89C-46A8-9CF9-3B5AE2B23C20}">
  <ds:schemaRefs/>
</ds:datastoreItem>
</file>

<file path=customXml/itemProps29.xml><?xml version="1.0" encoding="utf-8"?>
<ds:datastoreItem xmlns:ds="http://schemas.openxmlformats.org/officeDocument/2006/customXml" ds:itemID="{1C4E702D-2594-4689-8404-84AFD7E73E52}">
  <ds:schemaRefs/>
</ds:datastoreItem>
</file>

<file path=customXml/itemProps3.xml><?xml version="1.0" encoding="utf-8"?>
<ds:datastoreItem xmlns:ds="http://schemas.openxmlformats.org/officeDocument/2006/customXml" ds:itemID="{F2B0114A-1BF3-408C-A937-DBD594359DD7}">
  <ds:schemaRefs/>
</ds:datastoreItem>
</file>

<file path=customXml/itemProps30.xml><?xml version="1.0" encoding="utf-8"?>
<ds:datastoreItem xmlns:ds="http://schemas.openxmlformats.org/officeDocument/2006/customXml" ds:itemID="{3300B263-A8B2-4577-A8B1-07D060066AC1}">
  <ds:schemaRefs/>
</ds:datastoreItem>
</file>

<file path=customXml/itemProps31.xml><?xml version="1.0" encoding="utf-8"?>
<ds:datastoreItem xmlns:ds="http://schemas.openxmlformats.org/officeDocument/2006/customXml" ds:itemID="{526561F4-D429-4474-A75E-30A59CF88000}">
  <ds:schemaRefs/>
</ds:datastoreItem>
</file>

<file path=customXml/itemProps32.xml><?xml version="1.0" encoding="utf-8"?>
<ds:datastoreItem xmlns:ds="http://schemas.openxmlformats.org/officeDocument/2006/customXml" ds:itemID="{B9E9C162-3959-4E09-8552-3788A3BCB94D}">
  <ds:schemaRefs/>
</ds:datastoreItem>
</file>

<file path=customXml/itemProps33.xml><?xml version="1.0" encoding="utf-8"?>
<ds:datastoreItem xmlns:ds="http://schemas.openxmlformats.org/officeDocument/2006/customXml" ds:itemID="{66CC41B6-D28D-4EED-B564-F0D3D013B8B1}">
  <ds:schemaRefs/>
</ds:datastoreItem>
</file>

<file path=customXml/itemProps34.xml><?xml version="1.0" encoding="utf-8"?>
<ds:datastoreItem xmlns:ds="http://schemas.openxmlformats.org/officeDocument/2006/customXml" ds:itemID="{335668B4-649C-41E0-BC80-7D94ABF681A2}">
  <ds:schemaRefs/>
</ds:datastoreItem>
</file>

<file path=customXml/itemProps35.xml><?xml version="1.0" encoding="utf-8"?>
<ds:datastoreItem xmlns:ds="http://schemas.openxmlformats.org/officeDocument/2006/customXml" ds:itemID="{B52E45D6-0F3C-4B21-B161-FA591631F8EB}">
  <ds:schemaRefs/>
</ds:datastoreItem>
</file>

<file path=customXml/itemProps36.xml><?xml version="1.0" encoding="utf-8"?>
<ds:datastoreItem xmlns:ds="http://schemas.openxmlformats.org/officeDocument/2006/customXml" ds:itemID="{D5DDAF8B-C90E-40EE-B940-CCD547411B81}">
  <ds:schemaRefs/>
</ds:datastoreItem>
</file>

<file path=customXml/itemProps37.xml><?xml version="1.0" encoding="utf-8"?>
<ds:datastoreItem xmlns:ds="http://schemas.openxmlformats.org/officeDocument/2006/customXml" ds:itemID="{8807E301-CE3E-48B0-8F1B-BE48F29E1736}">
  <ds:schemaRefs/>
</ds:datastoreItem>
</file>

<file path=customXml/itemProps38.xml><?xml version="1.0" encoding="utf-8"?>
<ds:datastoreItem xmlns:ds="http://schemas.openxmlformats.org/officeDocument/2006/customXml" ds:itemID="{C864F1CC-9C8C-41E6-8FD8-C85E12A44050}">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F249A3C-5046-4792-B1C7-86A45BD0F7B3}">
  <ds:schemaRefs/>
</ds:datastoreItem>
</file>

<file path=customXml/itemProps5.xml><?xml version="1.0" encoding="utf-8"?>
<ds:datastoreItem xmlns:ds="http://schemas.openxmlformats.org/officeDocument/2006/customXml" ds:itemID="{907DF196-29BA-4F64-A2E6-9B891D8DA970}">
  <ds:schemaRefs/>
</ds:datastoreItem>
</file>

<file path=customXml/itemProps6.xml><?xml version="1.0" encoding="utf-8"?>
<ds:datastoreItem xmlns:ds="http://schemas.openxmlformats.org/officeDocument/2006/customXml" ds:itemID="{4D21B174-EFD5-481F-8023-ECD2C99EA6A5}">
  <ds:schemaRefs/>
</ds:datastoreItem>
</file>

<file path=customXml/itemProps7.xml><?xml version="1.0" encoding="utf-8"?>
<ds:datastoreItem xmlns:ds="http://schemas.openxmlformats.org/officeDocument/2006/customXml" ds:itemID="{B8034E79-3EC9-4FB4-8900-8DB566ED87F2}">
  <ds:schemaRefs/>
</ds:datastoreItem>
</file>

<file path=customXml/itemProps8.xml><?xml version="1.0" encoding="utf-8"?>
<ds:datastoreItem xmlns:ds="http://schemas.openxmlformats.org/officeDocument/2006/customXml" ds:itemID="{82063DCE-E0D9-4D45-94AB-06A5849F123C}">
  <ds:schemaRefs/>
</ds:datastoreItem>
</file>

<file path=customXml/itemProps9.xml><?xml version="1.0" encoding="utf-8"?>
<ds:datastoreItem xmlns:ds="http://schemas.openxmlformats.org/officeDocument/2006/customXml" ds:itemID="{7DA1E944-597F-4D9A-ADC8-E3A5D62388E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15009</Words>
  <Characters>17806</Characters>
  <Lines>107</Lines>
  <Paragraphs>30</Paragraphs>
  <TotalTime>2</TotalTime>
  <ScaleCrop>false</ScaleCrop>
  <LinksUpToDate>false</LinksUpToDate>
  <CharactersWithSpaces>18101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2024-01-31T04:07:36Z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