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涞水县统计局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val="en-US" w:eastAsia="zh-CN"/>
        </w:rPr>
        <w:t>0</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2</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9</w:t>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30</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126"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rPr>
                <w:rFonts w:hint="default" w:ascii="方正书宋_GBK" w:hAnsi="方正书宋_GBK" w:eastAsia="方正书宋_GBK" w:cs="方正书宋_GBK"/>
                <w:sz w:val="21"/>
                <w:szCs w:val="24"/>
                <w:lang w:val="en-US" w:eastAsia="zh-CN" w:bidi="ar-SA"/>
              </w:rPr>
            </w:pPr>
            <w:r>
              <w:t>39</w:t>
            </w:r>
            <w:r>
              <w:rPr>
                <w:rFonts w:hint="eastAsia"/>
                <w:lang w:val="en-US" w:eastAsia="zh-CN"/>
              </w:rPr>
              <w:t>4.74</w:t>
            </w:r>
          </w:p>
        </w:tc>
        <w:tc>
          <w:tcPr>
            <w:tcW w:w="4535" w:type="dxa"/>
            <w:vAlign w:val="center"/>
          </w:tcPr>
          <w:p>
            <w:pPr>
              <w:pStyle w:val="16"/>
            </w:pPr>
            <w:r>
              <w:t>一、一般公共服务支出</w:t>
            </w:r>
          </w:p>
        </w:tc>
        <w:tc>
          <w:tcPr>
            <w:tcW w:w="2126"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366.06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rPr>
                <w:rFonts w:ascii="方正书宋_GBK" w:hAnsi="方正书宋_GBK" w:eastAsia="方正书宋_GBK" w:cs="方正书宋_GBK"/>
                <w:sz w:val="21"/>
                <w:szCs w:val="24"/>
                <w:lang w:val="en-US" w:eastAsia="uk-UA" w:bidi="ar-SA"/>
              </w:rPr>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rFonts w:hint="default"/>
                <w:lang w:val="en-US"/>
              </w:rPr>
            </w:pPr>
            <w:r>
              <w:rPr>
                <w:rFonts w:hint="eastAsia"/>
                <w:lang w:val="en-US" w:eastAsia="zh-CN"/>
              </w:rPr>
              <w:t>13.82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rFonts w:hint="default"/>
                <w:lang w:val="en-US"/>
              </w:rPr>
            </w:pPr>
            <w:r>
              <w:rPr>
                <w:rFonts w:hint="eastAsia"/>
                <w:lang w:val="en-US" w:eastAsia="zh-CN"/>
              </w:rPr>
              <w:t>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rFonts w:hint="default" w:eastAsia="方正书宋_GBK"/>
                <w:lang w:val="en-US" w:eastAsia="zh-CN"/>
              </w:rPr>
            </w:pPr>
            <w:r>
              <w:rPr>
                <w:rFonts w:hint="eastAsia"/>
                <w:lang w:val="en-US" w:eastAsia="zh-CN"/>
              </w:rPr>
              <w:t>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394.74</w:t>
            </w:r>
          </w:p>
        </w:tc>
        <w:tc>
          <w:tcPr>
            <w:tcW w:w="4535" w:type="dxa"/>
            <w:vAlign w:val="center"/>
          </w:tcPr>
          <w:p>
            <w:pPr>
              <w:pStyle w:val="18"/>
            </w:pPr>
            <w:r>
              <w:t>本年支出合计</w:t>
            </w:r>
          </w:p>
        </w:tc>
        <w:tc>
          <w:tcPr>
            <w:tcW w:w="2126" w:type="dxa"/>
            <w:vAlign w:val="center"/>
          </w:tcPr>
          <w:p>
            <w:pPr>
              <w:pStyle w:val="19"/>
            </w:pPr>
            <w:r>
              <w:t>394.74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394.74</w:t>
            </w:r>
          </w:p>
        </w:tc>
        <w:tc>
          <w:tcPr>
            <w:tcW w:w="4535" w:type="dxa"/>
            <w:vAlign w:val="center"/>
          </w:tcPr>
          <w:p>
            <w:pPr>
              <w:pStyle w:val="18"/>
            </w:pPr>
            <w:r>
              <w:t>支出总计</w:t>
            </w:r>
          </w:p>
        </w:tc>
        <w:tc>
          <w:tcPr>
            <w:tcW w:w="2126" w:type="dxa"/>
            <w:vAlign w:val="center"/>
          </w:tcPr>
          <w:p>
            <w:pPr>
              <w:pStyle w:val="19"/>
            </w:pPr>
            <w:r>
              <w:t>394.74</w:t>
            </w:r>
          </w:p>
        </w:tc>
      </w:tr>
    </w:tbl>
    <w:p>
      <w:pPr>
        <w:sectPr>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3132"/>
        <w:gridCol w:w="1020"/>
        <w:gridCol w:w="1005"/>
        <w:gridCol w:w="1290"/>
        <w:gridCol w:w="1080"/>
        <w:gridCol w:w="840"/>
        <w:gridCol w:w="750"/>
        <w:gridCol w:w="855"/>
        <w:gridCol w:w="1410"/>
        <w:gridCol w:w="765"/>
        <w:gridCol w:w="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29" w:type="dxa"/>
            <w:gridSpan w:val="5"/>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3210"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4532"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4124" w:type="dxa"/>
            <w:gridSpan w:val="2"/>
            <w:vAlign w:val="center"/>
          </w:tcPr>
          <w:p>
            <w:pPr>
              <w:pStyle w:val="14"/>
            </w:pPr>
            <w:r>
              <w:t>功能分类科目</w:t>
            </w:r>
          </w:p>
        </w:tc>
        <w:tc>
          <w:tcPr>
            <w:tcW w:w="1020" w:type="dxa"/>
            <w:vMerge w:val="restart"/>
            <w:vAlign w:val="center"/>
          </w:tcPr>
          <w:p>
            <w:pPr>
              <w:pStyle w:val="14"/>
            </w:pPr>
            <w:r>
              <w:t>合计</w:t>
            </w:r>
          </w:p>
        </w:tc>
        <w:tc>
          <w:tcPr>
            <w:tcW w:w="7995" w:type="dxa"/>
            <w:gridSpan w:val="8"/>
            <w:vAlign w:val="center"/>
          </w:tcPr>
          <w:p>
            <w:pPr>
              <w:pStyle w:val="14"/>
            </w:pPr>
            <w:r>
              <w:t>本年收入</w:t>
            </w:r>
          </w:p>
        </w:tc>
        <w:tc>
          <w:tcPr>
            <w:tcW w:w="752"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3132" w:type="dxa"/>
            <w:vAlign w:val="center"/>
          </w:tcPr>
          <w:p>
            <w:pPr>
              <w:pStyle w:val="14"/>
            </w:pPr>
            <w:r>
              <w:t>科目名称</w:t>
            </w:r>
          </w:p>
        </w:tc>
        <w:tc>
          <w:tcPr>
            <w:tcW w:w="1020" w:type="dxa"/>
            <w:vMerge w:val="continue"/>
          </w:tcPr>
          <w:p/>
        </w:tc>
        <w:tc>
          <w:tcPr>
            <w:tcW w:w="1005" w:type="dxa"/>
            <w:vAlign w:val="center"/>
          </w:tcPr>
          <w:p>
            <w:pPr>
              <w:pStyle w:val="14"/>
            </w:pPr>
            <w:r>
              <w:t>小计</w:t>
            </w:r>
          </w:p>
        </w:tc>
        <w:tc>
          <w:tcPr>
            <w:tcW w:w="1290" w:type="dxa"/>
            <w:vAlign w:val="center"/>
          </w:tcPr>
          <w:p>
            <w:pPr>
              <w:pStyle w:val="14"/>
            </w:pPr>
            <w:r>
              <w:t>财政拨款 收入</w:t>
            </w:r>
          </w:p>
        </w:tc>
        <w:tc>
          <w:tcPr>
            <w:tcW w:w="1080" w:type="dxa"/>
            <w:vAlign w:val="center"/>
          </w:tcPr>
          <w:p>
            <w:pPr>
              <w:pStyle w:val="14"/>
            </w:pPr>
            <w:r>
              <w:t>财政专户 收入</w:t>
            </w:r>
          </w:p>
        </w:tc>
        <w:tc>
          <w:tcPr>
            <w:tcW w:w="840" w:type="dxa"/>
            <w:vAlign w:val="center"/>
          </w:tcPr>
          <w:p>
            <w:pPr>
              <w:pStyle w:val="14"/>
            </w:pPr>
            <w:r>
              <w:t>事业收入</w:t>
            </w:r>
          </w:p>
        </w:tc>
        <w:tc>
          <w:tcPr>
            <w:tcW w:w="750" w:type="dxa"/>
            <w:vAlign w:val="center"/>
          </w:tcPr>
          <w:p>
            <w:pPr>
              <w:pStyle w:val="14"/>
            </w:pPr>
            <w:r>
              <w:t>经营收入</w:t>
            </w:r>
          </w:p>
        </w:tc>
        <w:tc>
          <w:tcPr>
            <w:tcW w:w="855" w:type="dxa"/>
            <w:vAlign w:val="center"/>
          </w:tcPr>
          <w:p>
            <w:pPr>
              <w:pStyle w:val="14"/>
            </w:pPr>
            <w:r>
              <w:t>上级补助收入</w:t>
            </w:r>
          </w:p>
        </w:tc>
        <w:tc>
          <w:tcPr>
            <w:tcW w:w="1410" w:type="dxa"/>
            <w:vAlign w:val="center"/>
          </w:tcPr>
          <w:p>
            <w:pPr>
              <w:pStyle w:val="14"/>
            </w:pPr>
            <w:r>
              <w:t>附属单位上缴收入</w:t>
            </w:r>
          </w:p>
        </w:tc>
        <w:tc>
          <w:tcPr>
            <w:tcW w:w="765" w:type="dxa"/>
            <w:vAlign w:val="center"/>
          </w:tcPr>
          <w:p>
            <w:pPr>
              <w:pStyle w:val="14"/>
            </w:pPr>
            <w:r>
              <w:t>其他收入</w:t>
            </w:r>
          </w:p>
        </w:tc>
        <w:tc>
          <w:tcPr>
            <w:tcW w:w="75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3132" w:type="dxa"/>
            <w:vAlign w:val="center"/>
          </w:tcPr>
          <w:p>
            <w:pPr>
              <w:pStyle w:val="14"/>
            </w:pPr>
            <w:r>
              <w:t>2</w:t>
            </w:r>
          </w:p>
        </w:tc>
        <w:tc>
          <w:tcPr>
            <w:tcW w:w="1020" w:type="dxa"/>
            <w:vAlign w:val="center"/>
          </w:tcPr>
          <w:p>
            <w:pPr>
              <w:pStyle w:val="14"/>
            </w:pPr>
            <w:r>
              <w:t>3</w:t>
            </w:r>
          </w:p>
        </w:tc>
        <w:tc>
          <w:tcPr>
            <w:tcW w:w="1005" w:type="dxa"/>
            <w:vAlign w:val="center"/>
          </w:tcPr>
          <w:p>
            <w:pPr>
              <w:pStyle w:val="14"/>
            </w:pPr>
            <w:r>
              <w:t>4</w:t>
            </w:r>
          </w:p>
        </w:tc>
        <w:tc>
          <w:tcPr>
            <w:tcW w:w="1290" w:type="dxa"/>
            <w:vAlign w:val="center"/>
          </w:tcPr>
          <w:p>
            <w:pPr>
              <w:pStyle w:val="14"/>
            </w:pPr>
            <w:r>
              <w:t>5</w:t>
            </w:r>
          </w:p>
        </w:tc>
        <w:tc>
          <w:tcPr>
            <w:tcW w:w="1080" w:type="dxa"/>
            <w:vAlign w:val="center"/>
          </w:tcPr>
          <w:p>
            <w:pPr>
              <w:pStyle w:val="14"/>
            </w:pPr>
            <w:r>
              <w:t>6</w:t>
            </w:r>
          </w:p>
        </w:tc>
        <w:tc>
          <w:tcPr>
            <w:tcW w:w="840" w:type="dxa"/>
            <w:vAlign w:val="center"/>
          </w:tcPr>
          <w:p>
            <w:pPr>
              <w:pStyle w:val="14"/>
            </w:pPr>
            <w:r>
              <w:t>7</w:t>
            </w:r>
          </w:p>
        </w:tc>
        <w:tc>
          <w:tcPr>
            <w:tcW w:w="750" w:type="dxa"/>
            <w:vAlign w:val="center"/>
          </w:tcPr>
          <w:p>
            <w:pPr>
              <w:pStyle w:val="14"/>
            </w:pPr>
            <w:r>
              <w:t>8</w:t>
            </w:r>
          </w:p>
        </w:tc>
        <w:tc>
          <w:tcPr>
            <w:tcW w:w="855" w:type="dxa"/>
            <w:vAlign w:val="center"/>
          </w:tcPr>
          <w:p>
            <w:pPr>
              <w:pStyle w:val="14"/>
            </w:pPr>
            <w:r>
              <w:t>9</w:t>
            </w:r>
          </w:p>
        </w:tc>
        <w:tc>
          <w:tcPr>
            <w:tcW w:w="1410" w:type="dxa"/>
            <w:vAlign w:val="center"/>
          </w:tcPr>
          <w:p>
            <w:pPr>
              <w:pStyle w:val="14"/>
            </w:pPr>
            <w:r>
              <w:t>10</w:t>
            </w:r>
          </w:p>
        </w:tc>
        <w:tc>
          <w:tcPr>
            <w:tcW w:w="765" w:type="dxa"/>
            <w:vAlign w:val="center"/>
          </w:tcPr>
          <w:p>
            <w:pPr>
              <w:pStyle w:val="14"/>
            </w:pPr>
            <w:r>
              <w:t>11</w:t>
            </w:r>
          </w:p>
        </w:tc>
        <w:tc>
          <w:tcPr>
            <w:tcW w:w="752"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w:t>
            </w:r>
          </w:p>
        </w:tc>
        <w:tc>
          <w:tcPr>
            <w:tcW w:w="992" w:type="dxa"/>
            <w:vAlign w:val="center"/>
          </w:tcPr>
          <w:p>
            <w:pPr>
              <w:pStyle w:val="20"/>
            </w:pPr>
          </w:p>
        </w:tc>
        <w:tc>
          <w:tcPr>
            <w:tcW w:w="3132" w:type="dxa"/>
            <w:vAlign w:val="center"/>
          </w:tcPr>
          <w:p>
            <w:pPr>
              <w:pStyle w:val="18"/>
            </w:pPr>
            <w:r>
              <w:rPr>
                <w:rFonts w:hint="eastAsia" w:ascii="宋体" w:hAnsi="宋体" w:eastAsia="宋体" w:cs="宋体"/>
                <w:sz w:val="21"/>
                <w:szCs w:val="21"/>
              </w:rPr>
              <w:t>合计</w:t>
            </w:r>
          </w:p>
        </w:tc>
        <w:tc>
          <w:tcPr>
            <w:tcW w:w="1020"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b/>
                <w:bCs/>
                <w:i w:val="0"/>
                <w:iCs w:val="0"/>
                <w:color w:val="000000"/>
                <w:kern w:val="0"/>
                <w:sz w:val="21"/>
                <w:szCs w:val="21"/>
                <w:u w:val="none"/>
                <w:lang w:val="en-US" w:eastAsia="zh-CN" w:bidi="ar"/>
              </w:rPr>
              <w:t>394.74</w:t>
            </w:r>
          </w:p>
        </w:tc>
        <w:tc>
          <w:tcPr>
            <w:tcW w:w="100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b/>
                <w:bCs/>
                <w:i w:val="0"/>
                <w:iCs w:val="0"/>
                <w:color w:val="000000"/>
                <w:kern w:val="0"/>
                <w:sz w:val="21"/>
                <w:szCs w:val="21"/>
                <w:u w:val="none"/>
                <w:lang w:val="en-US" w:eastAsia="zh-CN" w:bidi="ar"/>
              </w:rPr>
              <w:t>394.74</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b/>
                <w:bCs/>
                <w:i w:val="0"/>
                <w:iCs w:val="0"/>
                <w:color w:val="000000"/>
                <w:kern w:val="0"/>
                <w:sz w:val="21"/>
                <w:szCs w:val="21"/>
                <w:u w:val="none"/>
                <w:lang w:val="en-US" w:eastAsia="zh-CN" w:bidi="ar"/>
              </w:rPr>
              <w:t>394.74</w:t>
            </w:r>
          </w:p>
        </w:tc>
        <w:tc>
          <w:tcPr>
            <w:tcW w:w="1080" w:type="dxa"/>
            <w:vAlign w:val="center"/>
          </w:tcPr>
          <w:p>
            <w:pPr>
              <w:pStyle w:val="19"/>
              <w:jc w:val="right"/>
            </w:pPr>
          </w:p>
        </w:tc>
        <w:tc>
          <w:tcPr>
            <w:tcW w:w="840" w:type="dxa"/>
            <w:vAlign w:val="center"/>
          </w:tcPr>
          <w:p>
            <w:pPr>
              <w:pStyle w:val="19"/>
            </w:pPr>
          </w:p>
        </w:tc>
        <w:tc>
          <w:tcPr>
            <w:tcW w:w="750" w:type="dxa"/>
            <w:vAlign w:val="center"/>
          </w:tcPr>
          <w:p>
            <w:pPr>
              <w:pStyle w:val="19"/>
            </w:pPr>
          </w:p>
        </w:tc>
        <w:tc>
          <w:tcPr>
            <w:tcW w:w="855" w:type="dxa"/>
            <w:vAlign w:val="center"/>
          </w:tcPr>
          <w:p>
            <w:pPr>
              <w:pStyle w:val="19"/>
            </w:pPr>
          </w:p>
        </w:tc>
        <w:tc>
          <w:tcPr>
            <w:tcW w:w="1410" w:type="dxa"/>
            <w:vAlign w:val="center"/>
          </w:tcPr>
          <w:p>
            <w:pPr>
              <w:pStyle w:val="19"/>
            </w:pPr>
          </w:p>
        </w:tc>
        <w:tc>
          <w:tcPr>
            <w:tcW w:w="765" w:type="dxa"/>
            <w:vAlign w:val="center"/>
          </w:tcPr>
          <w:p>
            <w:pPr>
              <w:pStyle w:val="19"/>
            </w:pPr>
          </w:p>
        </w:tc>
        <w:tc>
          <w:tcPr>
            <w:tcW w:w="7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201</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一般公共服务支出</w:t>
            </w:r>
          </w:p>
        </w:tc>
        <w:tc>
          <w:tcPr>
            <w:tcW w:w="1020"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366.06</w:t>
            </w:r>
          </w:p>
        </w:tc>
        <w:tc>
          <w:tcPr>
            <w:tcW w:w="100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366.06</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366.06</w:t>
            </w:r>
          </w:p>
        </w:tc>
        <w:tc>
          <w:tcPr>
            <w:tcW w:w="1080" w:type="dxa"/>
            <w:vAlign w:val="center"/>
          </w:tcPr>
          <w:p>
            <w:pPr>
              <w:pStyle w:val="15"/>
              <w:jc w:val="right"/>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20105</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统计信息事务</w:t>
            </w:r>
          </w:p>
        </w:tc>
        <w:tc>
          <w:tcPr>
            <w:tcW w:w="1020"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265.64</w:t>
            </w:r>
          </w:p>
        </w:tc>
        <w:tc>
          <w:tcPr>
            <w:tcW w:w="100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265.64</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265.64</w:t>
            </w:r>
          </w:p>
        </w:tc>
        <w:tc>
          <w:tcPr>
            <w:tcW w:w="1080" w:type="dxa"/>
            <w:vAlign w:val="center"/>
          </w:tcPr>
          <w:p>
            <w:pPr>
              <w:pStyle w:val="15"/>
              <w:jc w:val="right"/>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2010501</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行政运行</w:t>
            </w:r>
          </w:p>
        </w:tc>
        <w:tc>
          <w:tcPr>
            <w:tcW w:w="1020"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5.5</w:t>
            </w:r>
          </w:p>
        </w:tc>
        <w:tc>
          <w:tcPr>
            <w:tcW w:w="100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5.5</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5.5</w:t>
            </w:r>
          </w:p>
        </w:tc>
        <w:tc>
          <w:tcPr>
            <w:tcW w:w="1080" w:type="dxa"/>
            <w:vAlign w:val="center"/>
          </w:tcPr>
          <w:p>
            <w:pPr>
              <w:pStyle w:val="15"/>
              <w:jc w:val="right"/>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2010502</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一般行政管理事务</w:t>
            </w:r>
          </w:p>
        </w:tc>
        <w:tc>
          <w:tcPr>
            <w:tcW w:w="1020"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52</w:t>
            </w:r>
          </w:p>
        </w:tc>
        <w:tc>
          <w:tcPr>
            <w:tcW w:w="100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52</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52</w:t>
            </w:r>
          </w:p>
        </w:tc>
        <w:tc>
          <w:tcPr>
            <w:tcW w:w="1080" w:type="dxa"/>
            <w:vAlign w:val="center"/>
          </w:tcPr>
          <w:p>
            <w:pPr>
              <w:pStyle w:val="15"/>
              <w:jc w:val="right"/>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2010507</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专项普查活动</w:t>
            </w:r>
          </w:p>
        </w:tc>
        <w:tc>
          <w:tcPr>
            <w:tcW w:w="1020"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42.92</w:t>
            </w:r>
          </w:p>
        </w:tc>
        <w:tc>
          <w:tcPr>
            <w:tcW w:w="100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42.92</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42.92</w:t>
            </w:r>
          </w:p>
        </w:tc>
        <w:tc>
          <w:tcPr>
            <w:tcW w:w="1080" w:type="dxa"/>
            <w:vAlign w:val="center"/>
          </w:tcPr>
          <w:p>
            <w:pPr>
              <w:pStyle w:val="15"/>
              <w:jc w:val="right"/>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2010508</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统计抽样调查</w:t>
            </w:r>
          </w:p>
        </w:tc>
        <w:tc>
          <w:tcPr>
            <w:tcW w:w="1020"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13.82</w:t>
            </w:r>
          </w:p>
        </w:tc>
        <w:tc>
          <w:tcPr>
            <w:tcW w:w="100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13.82</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13.82</w:t>
            </w:r>
          </w:p>
        </w:tc>
        <w:tc>
          <w:tcPr>
            <w:tcW w:w="1080" w:type="dxa"/>
            <w:vAlign w:val="center"/>
          </w:tcPr>
          <w:p>
            <w:pPr>
              <w:pStyle w:val="15"/>
              <w:jc w:val="right"/>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208</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社会保障和就业支出</w:t>
            </w:r>
          </w:p>
        </w:tc>
        <w:tc>
          <w:tcPr>
            <w:tcW w:w="1020"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13.82</w:t>
            </w:r>
          </w:p>
        </w:tc>
        <w:tc>
          <w:tcPr>
            <w:tcW w:w="100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13.82</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13.82</w:t>
            </w:r>
          </w:p>
        </w:tc>
        <w:tc>
          <w:tcPr>
            <w:tcW w:w="1080" w:type="dxa"/>
            <w:vAlign w:val="center"/>
          </w:tcPr>
          <w:p>
            <w:pPr>
              <w:pStyle w:val="15"/>
              <w:jc w:val="right"/>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7"/>
            </w:pPr>
            <w:r>
              <w:rPr>
                <w:rFonts w:hint="eastAsia" w:ascii="宋体" w:hAnsi="宋体" w:eastAsia="宋体" w:cs="宋体"/>
                <w:sz w:val="21"/>
                <w:szCs w:val="21"/>
              </w:rPr>
              <w:t>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20805</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行政事业单位养老支出</w:t>
            </w:r>
          </w:p>
        </w:tc>
        <w:tc>
          <w:tcPr>
            <w:tcW w:w="1020"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13.82</w:t>
            </w:r>
          </w:p>
        </w:tc>
        <w:tc>
          <w:tcPr>
            <w:tcW w:w="100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13.82</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13.82</w:t>
            </w:r>
          </w:p>
        </w:tc>
        <w:tc>
          <w:tcPr>
            <w:tcW w:w="1080" w:type="dxa"/>
            <w:vAlign w:val="center"/>
          </w:tcPr>
          <w:p>
            <w:pPr>
              <w:pStyle w:val="15"/>
              <w:jc w:val="right"/>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2080505</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机关事业单位基本养老保险缴费支出</w:t>
            </w:r>
          </w:p>
        </w:tc>
        <w:tc>
          <w:tcPr>
            <w:tcW w:w="1020"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7.03</w:t>
            </w:r>
          </w:p>
        </w:tc>
        <w:tc>
          <w:tcPr>
            <w:tcW w:w="100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7.03</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7.03</w:t>
            </w:r>
          </w:p>
        </w:tc>
        <w:tc>
          <w:tcPr>
            <w:tcW w:w="1080" w:type="dxa"/>
            <w:vAlign w:val="center"/>
          </w:tcPr>
          <w:p>
            <w:pPr>
              <w:pStyle w:val="15"/>
              <w:jc w:val="right"/>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210</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卫生健康支出</w:t>
            </w:r>
          </w:p>
        </w:tc>
        <w:tc>
          <w:tcPr>
            <w:tcW w:w="1020"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7.03</w:t>
            </w:r>
          </w:p>
        </w:tc>
        <w:tc>
          <w:tcPr>
            <w:tcW w:w="100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7.03</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7.03</w:t>
            </w:r>
          </w:p>
        </w:tc>
        <w:tc>
          <w:tcPr>
            <w:tcW w:w="1080" w:type="dxa"/>
            <w:vAlign w:val="center"/>
          </w:tcPr>
          <w:p>
            <w:pPr>
              <w:pStyle w:val="15"/>
              <w:jc w:val="right"/>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21011</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行政事业单位医疗</w:t>
            </w:r>
          </w:p>
        </w:tc>
        <w:tc>
          <w:tcPr>
            <w:tcW w:w="1020"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5.31</w:t>
            </w:r>
          </w:p>
        </w:tc>
        <w:tc>
          <w:tcPr>
            <w:tcW w:w="100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5.31</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5.31</w:t>
            </w:r>
          </w:p>
        </w:tc>
        <w:tc>
          <w:tcPr>
            <w:tcW w:w="1080" w:type="dxa"/>
            <w:vAlign w:val="center"/>
          </w:tcPr>
          <w:p>
            <w:pPr>
              <w:pStyle w:val="15"/>
              <w:jc w:val="right"/>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2101101</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行政单位医疗</w:t>
            </w:r>
          </w:p>
        </w:tc>
        <w:tc>
          <w:tcPr>
            <w:tcW w:w="1020"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1.72</w:t>
            </w:r>
          </w:p>
        </w:tc>
        <w:tc>
          <w:tcPr>
            <w:tcW w:w="100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1.72</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1.72</w:t>
            </w:r>
          </w:p>
        </w:tc>
        <w:tc>
          <w:tcPr>
            <w:tcW w:w="1080" w:type="dxa"/>
            <w:vAlign w:val="center"/>
          </w:tcPr>
          <w:p>
            <w:pPr>
              <w:pStyle w:val="15"/>
              <w:jc w:val="right"/>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221</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住房保障支出</w:t>
            </w:r>
          </w:p>
        </w:tc>
        <w:tc>
          <w:tcPr>
            <w:tcW w:w="1020"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7.83</w:t>
            </w:r>
          </w:p>
        </w:tc>
        <w:tc>
          <w:tcPr>
            <w:tcW w:w="100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7.83</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7.83</w:t>
            </w:r>
          </w:p>
        </w:tc>
        <w:tc>
          <w:tcPr>
            <w:tcW w:w="1080" w:type="dxa"/>
            <w:vAlign w:val="center"/>
          </w:tcPr>
          <w:p>
            <w:pPr>
              <w:pStyle w:val="15"/>
              <w:jc w:val="right"/>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22102</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住房改革支出</w:t>
            </w:r>
          </w:p>
        </w:tc>
        <w:tc>
          <w:tcPr>
            <w:tcW w:w="1020"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7.83</w:t>
            </w:r>
          </w:p>
        </w:tc>
        <w:tc>
          <w:tcPr>
            <w:tcW w:w="100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7.83</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7.83</w:t>
            </w:r>
          </w:p>
        </w:tc>
        <w:tc>
          <w:tcPr>
            <w:tcW w:w="1080" w:type="dxa"/>
            <w:vAlign w:val="center"/>
          </w:tcPr>
          <w:p>
            <w:pPr>
              <w:pStyle w:val="15"/>
              <w:jc w:val="right"/>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2210201</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住房公积金</w:t>
            </w:r>
          </w:p>
        </w:tc>
        <w:tc>
          <w:tcPr>
            <w:tcW w:w="1020"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7.83</w:t>
            </w:r>
          </w:p>
        </w:tc>
        <w:tc>
          <w:tcPr>
            <w:tcW w:w="100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7.83</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7.83</w:t>
            </w:r>
          </w:p>
        </w:tc>
        <w:tc>
          <w:tcPr>
            <w:tcW w:w="1080" w:type="dxa"/>
            <w:vAlign w:val="center"/>
          </w:tcPr>
          <w:p>
            <w:pPr>
              <w:pStyle w:val="15"/>
              <w:jc w:val="right"/>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722"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rPr>
                <w:rFonts w:hint="eastAsia"/>
              </w:rPr>
              <w:t>合计</w:t>
            </w:r>
          </w:p>
        </w:tc>
        <w:tc>
          <w:tcPr>
            <w:tcW w:w="1361" w:type="dxa"/>
            <w:vAlign w:val="center"/>
          </w:tcPr>
          <w:p>
            <w:pPr>
              <w:keepNext w:val="0"/>
              <w:keepLines w:val="0"/>
              <w:widowControl/>
              <w:suppressLineNumbers w:val="0"/>
              <w:jc w:val="right"/>
              <w:textAlignment w:val="top"/>
            </w:pPr>
            <w:r>
              <w:rPr>
                <w:rFonts w:hint="eastAsia" w:ascii="宋体" w:hAnsi="宋体" w:eastAsia="宋体" w:cs="宋体"/>
                <w:b/>
                <w:bCs/>
                <w:i w:val="0"/>
                <w:iCs w:val="0"/>
                <w:color w:val="000000"/>
                <w:kern w:val="0"/>
                <w:sz w:val="21"/>
                <w:szCs w:val="21"/>
                <w:u w:val="none"/>
                <w:lang w:val="en-US" w:eastAsia="zh-CN" w:bidi="ar"/>
              </w:rPr>
              <w:t>394.74</w:t>
            </w: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b/>
                <w:bCs/>
                <w:i w:val="0"/>
                <w:iCs w:val="0"/>
                <w:color w:val="000000"/>
                <w:kern w:val="0"/>
                <w:sz w:val="21"/>
                <w:szCs w:val="21"/>
                <w:u w:val="none"/>
                <w:lang w:val="en-US" w:eastAsia="zh-CN" w:bidi="ar"/>
              </w:rPr>
              <w:t>268.16</w:t>
            </w: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b/>
                <w:bCs/>
                <w:i w:val="0"/>
                <w:iCs w:val="0"/>
                <w:color w:val="000000"/>
                <w:kern w:val="0"/>
                <w:sz w:val="21"/>
                <w:szCs w:val="21"/>
                <w:u w:val="none"/>
                <w:lang w:val="en-US" w:eastAsia="zh-CN" w:bidi="ar"/>
              </w:rPr>
              <w:t>126.58</w:t>
            </w:r>
          </w:p>
        </w:tc>
        <w:tc>
          <w:tcPr>
            <w:tcW w:w="1361" w:type="dxa"/>
            <w:vAlign w:val="center"/>
          </w:tcPr>
          <w:p>
            <w:pPr>
              <w:pStyle w:val="19"/>
              <w:jc w:val="right"/>
            </w:pPr>
          </w:p>
        </w:tc>
        <w:tc>
          <w:tcPr>
            <w:tcW w:w="1361" w:type="dxa"/>
            <w:vAlign w:val="center"/>
          </w:tcPr>
          <w:p>
            <w:pPr>
              <w:pStyle w:val="19"/>
              <w:jc w:val="right"/>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一般公共服务支出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366.06</w:t>
            </w: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i w:val="0"/>
                <w:iCs w:val="0"/>
                <w:color w:val="000000"/>
                <w:kern w:val="0"/>
                <w:sz w:val="21"/>
                <w:szCs w:val="21"/>
                <w:u w:val="none"/>
                <w:lang w:val="en-US" w:eastAsia="zh-CN" w:bidi="ar"/>
              </w:rPr>
              <w:t>239.48</w:t>
            </w: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i w:val="0"/>
                <w:iCs w:val="0"/>
                <w:color w:val="000000"/>
                <w:kern w:val="0"/>
                <w:sz w:val="21"/>
                <w:szCs w:val="21"/>
                <w:u w:val="none"/>
                <w:lang w:val="en-US" w:eastAsia="zh-CN" w:bidi="ar"/>
              </w:rPr>
              <w:t>126.58</w:t>
            </w:r>
          </w:p>
        </w:tc>
        <w:tc>
          <w:tcPr>
            <w:tcW w:w="1361" w:type="dxa"/>
            <w:vAlign w:val="center"/>
          </w:tcPr>
          <w:p>
            <w:pPr>
              <w:pStyle w:val="15"/>
              <w:jc w:val="right"/>
            </w:pPr>
          </w:p>
        </w:tc>
        <w:tc>
          <w:tcPr>
            <w:tcW w:w="1361" w:type="dxa"/>
            <w:vAlign w:val="center"/>
          </w:tcPr>
          <w:p>
            <w:pPr>
              <w:pStyle w:val="15"/>
              <w:jc w:val="right"/>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统计信息事务</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265.64</w:t>
            </w: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i w:val="0"/>
                <w:iCs w:val="0"/>
                <w:color w:val="000000"/>
                <w:kern w:val="0"/>
                <w:sz w:val="21"/>
                <w:szCs w:val="21"/>
                <w:u w:val="none"/>
                <w:lang w:val="en-US" w:eastAsia="zh-CN" w:bidi="ar"/>
              </w:rPr>
              <w:t>239.48</w:t>
            </w: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i w:val="0"/>
                <w:iCs w:val="0"/>
                <w:color w:val="000000"/>
                <w:kern w:val="0"/>
                <w:sz w:val="21"/>
                <w:szCs w:val="21"/>
                <w:u w:val="none"/>
                <w:lang w:val="en-US" w:eastAsia="zh-CN" w:bidi="ar"/>
              </w:rPr>
              <w:t>26.16</w:t>
            </w:r>
          </w:p>
        </w:tc>
        <w:tc>
          <w:tcPr>
            <w:tcW w:w="1361" w:type="dxa"/>
            <w:vAlign w:val="center"/>
          </w:tcPr>
          <w:p>
            <w:pPr>
              <w:pStyle w:val="15"/>
              <w:jc w:val="right"/>
            </w:pPr>
          </w:p>
        </w:tc>
        <w:tc>
          <w:tcPr>
            <w:tcW w:w="1361" w:type="dxa"/>
            <w:vAlign w:val="center"/>
          </w:tcPr>
          <w:p>
            <w:pPr>
              <w:pStyle w:val="15"/>
              <w:jc w:val="right"/>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行政运行</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5.5</w:t>
            </w:r>
          </w:p>
        </w:tc>
        <w:tc>
          <w:tcPr>
            <w:tcW w:w="1361" w:type="dxa"/>
            <w:vAlign w:val="center"/>
          </w:tcPr>
          <w:p>
            <w:pPr>
              <w:jc w:val="right"/>
              <w:rPr>
                <w:rFonts w:hint="eastAsia" w:asciiTheme="minorEastAsia" w:hAnsiTheme="minorEastAsia" w:eastAsiaTheme="minorEastAsia" w:cstheme="minorEastAsia"/>
                <w:sz w:val="21"/>
                <w:szCs w:val="21"/>
              </w:rPr>
            </w:pP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i w:val="0"/>
                <w:iCs w:val="0"/>
                <w:color w:val="000000"/>
                <w:kern w:val="0"/>
                <w:sz w:val="21"/>
                <w:szCs w:val="21"/>
                <w:u w:val="none"/>
                <w:lang w:val="en-US" w:eastAsia="zh-CN" w:bidi="ar"/>
              </w:rPr>
              <w:t>5.5</w:t>
            </w:r>
          </w:p>
        </w:tc>
        <w:tc>
          <w:tcPr>
            <w:tcW w:w="1361" w:type="dxa"/>
            <w:vAlign w:val="center"/>
          </w:tcPr>
          <w:p>
            <w:pPr>
              <w:pStyle w:val="15"/>
              <w:jc w:val="right"/>
            </w:pPr>
          </w:p>
        </w:tc>
        <w:tc>
          <w:tcPr>
            <w:tcW w:w="1361" w:type="dxa"/>
            <w:vAlign w:val="center"/>
          </w:tcPr>
          <w:p>
            <w:pPr>
              <w:pStyle w:val="15"/>
              <w:jc w:val="right"/>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一般行政管理事务</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52</w:t>
            </w:r>
          </w:p>
        </w:tc>
        <w:tc>
          <w:tcPr>
            <w:tcW w:w="1361" w:type="dxa"/>
            <w:vAlign w:val="center"/>
          </w:tcPr>
          <w:p>
            <w:pPr>
              <w:jc w:val="right"/>
              <w:rPr>
                <w:rFonts w:hint="eastAsia" w:asciiTheme="minorEastAsia" w:hAnsiTheme="minorEastAsia" w:eastAsiaTheme="minorEastAsia" w:cstheme="minorEastAsia"/>
                <w:sz w:val="21"/>
                <w:szCs w:val="21"/>
              </w:rPr>
            </w:pP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i w:val="0"/>
                <w:iCs w:val="0"/>
                <w:color w:val="000000"/>
                <w:kern w:val="0"/>
                <w:sz w:val="21"/>
                <w:szCs w:val="21"/>
                <w:u w:val="none"/>
                <w:lang w:val="en-US" w:eastAsia="zh-CN" w:bidi="ar"/>
              </w:rPr>
              <w:t>52</w:t>
            </w:r>
          </w:p>
        </w:tc>
        <w:tc>
          <w:tcPr>
            <w:tcW w:w="1361" w:type="dxa"/>
            <w:vAlign w:val="center"/>
          </w:tcPr>
          <w:p>
            <w:pPr>
              <w:pStyle w:val="15"/>
              <w:jc w:val="right"/>
            </w:pPr>
          </w:p>
        </w:tc>
        <w:tc>
          <w:tcPr>
            <w:tcW w:w="1361" w:type="dxa"/>
            <w:vAlign w:val="center"/>
          </w:tcPr>
          <w:p>
            <w:pPr>
              <w:pStyle w:val="15"/>
              <w:jc w:val="right"/>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2010507</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专项普查活动</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42.92</w:t>
            </w:r>
          </w:p>
        </w:tc>
        <w:tc>
          <w:tcPr>
            <w:tcW w:w="1361" w:type="dxa"/>
            <w:vAlign w:val="center"/>
          </w:tcPr>
          <w:p>
            <w:pPr>
              <w:jc w:val="right"/>
              <w:rPr>
                <w:rFonts w:hint="eastAsia" w:asciiTheme="minorEastAsia" w:hAnsiTheme="minorEastAsia" w:eastAsiaTheme="minorEastAsia" w:cstheme="minorEastAsia"/>
                <w:sz w:val="21"/>
                <w:szCs w:val="21"/>
              </w:rPr>
            </w:pP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i w:val="0"/>
                <w:iCs w:val="0"/>
                <w:color w:val="000000"/>
                <w:kern w:val="0"/>
                <w:sz w:val="21"/>
                <w:szCs w:val="21"/>
                <w:u w:val="none"/>
                <w:lang w:val="en-US" w:eastAsia="zh-CN" w:bidi="ar"/>
              </w:rPr>
              <w:t>42.92</w:t>
            </w:r>
          </w:p>
        </w:tc>
        <w:tc>
          <w:tcPr>
            <w:tcW w:w="1361" w:type="dxa"/>
            <w:vAlign w:val="center"/>
          </w:tcPr>
          <w:p>
            <w:pPr>
              <w:pStyle w:val="15"/>
              <w:jc w:val="right"/>
            </w:pPr>
          </w:p>
        </w:tc>
        <w:tc>
          <w:tcPr>
            <w:tcW w:w="1361" w:type="dxa"/>
            <w:vAlign w:val="center"/>
          </w:tcPr>
          <w:p>
            <w:pPr>
              <w:pStyle w:val="15"/>
              <w:jc w:val="right"/>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统计抽样调查</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13.82</w:t>
            </w: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i w:val="0"/>
                <w:iCs w:val="0"/>
                <w:color w:val="000000"/>
                <w:kern w:val="0"/>
                <w:sz w:val="21"/>
                <w:szCs w:val="21"/>
                <w:u w:val="none"/>
                <w:lang w:val="en-US" w:eastAsia="zh-CN" w:bidi="ar"/>
              </w:rPr>
              <w:t>13.82</w:t>
            </w: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i w:val="0"/>
                <w:iCs w:val="0"/>
                <w:color w:val="000000"/>
                <w:kern w:val="0"/>
                <w:sz w:val="21"/>
                <w:szCs w:val="21"/>
                <w:u w:val="none"/>
                <w:lang w:val="en-US" w:eastAsia="zh-CN" w:bidi="ar"/>
              </w:rPr>
              <w:t xml:space="preserve"> </w:t>
            </w:r>
          </w:p>
        </w:tc>
        <w:tc>
          <w:tcPr>
            <w:tcW w:w="1361" w:type="dxa"/>
            <w:vAlign w:val="center"/>
          </w:tcPr>
          <w:p>
            <w:pPr>
              <w:pStyle w:val="15"/>
              <w:jc w:val="right"/>
            </w:pPr>
          </w:p>
        </w:tc>
        <w:tc>
          <w:tcPr>
            <w:tcW w:w="1361" w:type="dxa"/>
            <w:vAlign w:val="center"/>
          </w:tcPr>
          <w:p>
            <w:pPr>
              <w:pStyle w:val="15"/>
              <w:jc w:val="right"/>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社会保障和就业支出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13.82</w:t>
            </w: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i w:val="0"/>
                <w:iCs w:val="0"/>
                <w:color w:val="000000"/>
                <w:kern w:val="0"/>
                <w:sz w:val="21"/>
                <w:szCs w:val="21"/>
                <w:u w:val="none"/>
                <w:lang w:val="en-US" w:eastAsia="zh-CN" w:bidi="ar"/>
              </w:rPr>
              <w:t>13.82</w:t>
            </w: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i w:val="0"/>
                <w:iCs w:val="0"/>
                <w:color w:val="000000"/>
                <w:kern w:val="0"/>
                <w:sz w:val="21"/>
                <w:szCs w:val="21"/>
                <w:u w:val="none"/>
                <w:lang w:val="en-US" w:eastAsia="zh-CN" w:bidi="ar"/>
              </w:rPr>
              <w:t xml:space="preserve"> </w:t>
            </w:r>
          </w:p>
        </w:tc>
        <w:tc>
          <w:tcPr>
            <w:tcW w:w="1361" w:type="dxa"/>
            <w:vAlign w:val="center"/>
          </w:tcPr>
          <w:p>
            <w:pPr>
              <w:pStyle w:val="15"/>
              <w:jc w:val="right"/>
            </w:pPr>
          </w:p>
        </w:tc>
        <w:tc>
          <w:tcPr>
            <w:tcW w:w="1361" w:type="dxa"/>
            <w:vAlign w:val="center"/>
          </w:tcPr>
          <w:p>
            <w:pPr>
              <w:pStyle w:val="15"/>
              <w:jc w:val="right"/>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行政事业单位养老支出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13.82</w:t>
            </w: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i w:val="0"/>
                <w:iCs w:val="0"/>
                <w:color w:val="000000"/>
                <w:kern w:val="0"/>
                <w:sz w:val="21"/>
                <w:szCs w:val="21"/>
                <w:u w:val="none"/>
                <w:lang w:val="en-US" w:eastAsia="zh-CN" w:bidi="ar"/>
              </w:rPr>
              <w:t>13.82</w:t>
            </w:r>
          </w:p>
        </w:tc>
        <w:tc>
          <w:tcPr>
            <w:tcW w:w="1361" w:type="dxa"/>
            <w:vAlign w:val="center"/>
          </w:tcPr>
          <w:p>
            <w:pPr>
              <w:jc w:val="right"/>
              <w:rPr>
                <w:rFonts w:hint="eastAsia" w:asciiTheme="minorEastAsia" w:hAnsiTheme="minorEastAsia" w:eastAsiaTheme="minorEastAsia" w:cstheme="minorEastAsia"/>
                <w:sz w:val="21"/>
                <w:szCs w:val="21"/>
              </w:rPr>
            </w:pPr>
          </w:p>
        </w:tc>
        <w:tc>
          <w:tcPr>
            <w:tcW w:w="1361" w:type="dxa"/>
            <w:vAlign w:val="center"/>
          </w:tcPr>
          <w:p>
            <w:pPr>
              <w:pStyle w:val="15"/>
              <w:jc w:val="right"/>
            </w:pPr>
          </w:p>
        </w:tc>
        <w:tc>
          <w:tcPr>
            <w:tcW w:w="1361" w:type="dxa"/>
            <w:vAlign w:val="center"/>
          </w:tcPr>
          <w:p>
            <w:pPr>
              <w:pStyle w:val="15"/>
              <w:jc w:val="right"/>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7.03</w:t>
            </w: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i w:val="0"/>
                <w:iCs w:val="0"/>
                <w:color w:val="000000"/>
                <w:kern w:val="0"/>
                <w:sz w:val="21"/>
                <w:szCs w:val="21"/>
                <w:u w:val="none"/>
                <w:lang w:val="en-US" w:eastAsia="zh-CN" w:bidi="ar"/>
              </w:rPr>
              <w:t>7.03</w:t>
            </w:r>
          </w:p>
        </w:tc>
        <w:tc>
          <w:tcPr>
            <w:tcW w:w="1361" w:type="dxa"/>
            <w:vAlign w:val="center"/>
          </w:tcPr>
          <w:p>
            <w:pPr>
              <w:jc w:val="right"/>
              <w:rPr>
                <w:rFonts w:hint="eastAsia" w:asciiTheme="minorEastAsia" w:hAnsiTheme="minorEastAsia" w:eastAsiaTheme="minorEastAsia" w:cstheme="minorEastAsia"/>
                <w:sz w:val="21"/>
                <w:szCs w:val="21"/>
              </w:rPr>
            </w:pPr>
          </w:p>
        </w:tc>
        <w:tc>
          <w:tcPr>
            <w:tcW w:w="1361" w:type="dxa"/>
            <w:vAlign w:val="center"/>
          </w:tcPr>
          <w:p>
            <w:pPr>
              <w:pStyle w:val="15"/>
              <w:jc w:val="right"/>
            </w:pPr>
          </w:p>
        </w:tc>
        <w:tc>
          <w:tcPr>
            <w:tcW w:w="1361" w:type="dxa"/>
            <w:vAlign w:val="center"/>
          </w:tcPr>
          <w:p>
            <w:pPr>
              <w:pStyle w:val="15"/>
              <w:jc w:val="right"/>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卫生健康支出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7.03</w:t>
            </w: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i w:val="0"/>
                <w:iCs w:val="0"/>
                <w:color w:val="000000"/>
                <w:kern w:val="0"/>
                <w:sz w:val="21"/>
                <w:szCs w:val="21"/>
                <w:u w:val="none"/>
                <w:lang w:val="en-US" w:eastAsia="zh-CN" w:bidi="ar"/>
              </w:rPr>
              <w:t>7.03</w:t>
            </w:r>
          </w:p>
        </w:tc>
        <w:tc>
          <w:tcPr>
            <w:tcW w:w="1361" w:type="dxa"/>
            <w:vAlign w:val="center"/>
          </w:tcPr>
          <w:p>
            <w:pPr>
              <w:jc w:val="right"/>
              <w:rPr>
                <w:rFonts w:hint="eastAsia" w:asciiTheme="minorEastAsia" w:hAnsiTheme="minorEastAsia" w:eastAsiaTheme="minorEastAsia" w:cstheme="minorEastAsia"/>
                <w:sz w:val="21"/>
                <w:szCs w:val="21"/>
              </w:rPr>
            </w:pPr>
          </w:p>
        </w:tc>
        <w:tc>
          <w:tcPr>
            <w:tcW w:w="1361" w:type="dxa"/>
            <w:vAlign w:val="center"/>
          </w:tcPr>
          <w:p>
            <w:pPr>
              <w:pStyle w:val="15"/>
              <w:jc w:val="right"/>
            </w:pPr>
          </w:p>
        </w:tc>
        <w:tc>
          <w:tcPr>
            <w:tcW w:w="1361" w:type="dxa"/>
            <w:vAlign w:val="center"/>
          </w:tcPr>
          <w:p>
            <w:pPr>
              <w:pStyle w:val="15"/>
              <w:jc w:val="right"/>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行政事业单位医疗</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5.31</w:t>
            </w: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i w:val="0"/>
                <w:iCs w:val="0"/>
                <w:color w:val="000000"/>
                <w:kern w:val="0"/>
                <w:sz w:val="21"/>
                <w:szCs w:val="21"/>
                <w:u w:val="none"/>
                <w:lang w:val="en-US" w:eastAsia="zh-CN" w:bidi="ar"/>
              </w:rPr>
              <w:t>5.31</w:t>
            </w:r>
          </w:p>
        </w:tc>
        <w:tc>
          <w:tcPr>
            <w:tcW w:w="1361" w:type="dxa"/>
            <w:vAlign w:val="center"/>
          </w:tcPr>
          <w:p>
            <w:pPr>
              <w:jc w:val="right"/>
              <w:rPr>
                <w:rFonts w:hint="eastAsia" w:asciiTheme="minorEastAsia" w:hAnsiTheme="minorEastAsia" w:eastAsiaTheme="minorEastAsia" w:cstheme="minorEastAsia"/>
                <w:sz w:val="21"/>
                <w:szCs w:val="21"/>
              </w:rPr>
            </w:pPr>
          </w:p>
        </w:tc>
        <w:tc>
          <w:tcPr>
            <w:tcW w:w="1361" w:type="dxa"/>
            <w:vAlign w:val="center"/>
          </w:tcPr>
          <w:p>
            <w:pPr>
              <w:pStyle w:val="15"/>
              <w:jc w:val="right"/>
            </w:pPr>
          </w:p>
        </w:tc>
        <w:tc>
          <w:tcPr>
            <w:tcW w:w="1361" w:type="dxa"/>
            <w:vAlign w:val="center"/>
          </w:tcPr>
          <w:p>
            <w:pPr>
              <w:pStyle w:val="15"/>
              <w:jc w:val="right"/>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行政单位医疗</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1.72</w:t>
            </w: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i w:val="0"/>
                <w:iCs w:val="0"/>
                <w:color w:val="000000"/>
                <w:kern w:val="0"/>
                <w:sz w:val="21"/>
                <w:szCs w:val="21"/>
                <w:u w:val="none"/>
                <w:lang w:val="en-US" w:eastAsia="zh-CN" w:bidi="ar"/>
              </w:rPr>
              <w:t>1.72</w:t>
            </w:r>
          </w:p>
        </w:tc>
        <w:tc>
          <w:tcPr>
            <w:tcW w:w="1361" w:type="dxa"/>
            <w:vAlign w:val="center"/>
          </w:tcPr>
          <w:p>
            <w:pPr>
              <w:jc w:val="right"/>
              <w:rPr>
                <w:rFonts w:hint="eastAsia" w:asciiTheme="minorEastAsia" w:hAnsiTheme="minorEastAsia" w:eastAsiaTheme="minorEastAsia" w:cstheme="minorEastAsia"/>
                <w:sz w:val="21"/>
                <w:szCs w:val="21"/>
              </w:rPr>
            </w:pPr>
          </w:p>
        </w:tc>
        <w:tc>
          <w:tcPr>
            <w:tcW w:w="1361" w:type="dxa"/>
            <w:vAlign w:val="center"/>
          </w:tcPr>
          <w:p>
            <w:pPr>
              <w:pStyle w:val="15"/>
              <w:jc w:val="right"/>
            </w:pPr>
          </w:p>
        </w:tc>
        <w:tc>
          <w:tcPr>
            <w:tcW w:w="1361" w:type="dxa"/>
            <w:vAlign w:val="center"/>
          </w:tcPr>
          <w:p>
            <w:pPr>
              <w:pStyle w:val="15"/>
              <w:jc w:val="right"/>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住房保障支出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7.83</w:t>
            </w: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i w:val="0"/>
                <w:iCs w:val="0"/>
                <w:color w:val="000000"/>
                <w:kern w:val="0"/>
                <w:sz w:val="21"/>
                <w:szCs w:val="21"/>
                <w:u w:val="none"/>
                <w:lang w:val="en-US" w:eastAsia="zh-CN" w:bidi="ar"/>
              </w:rPr>
              <w:t>7.83</w:t>
            </w:r>
          </w:p>
        </w:tc>
        <w:tc>
          <w:tcPr>
            <w:tcW w:w="1361" w:type="dxa"/>
            <w:vAlign w:val="center"/>
          </w:tcPr>
          <w:p>
            <w:pPr>
              <w:jc w:val="right"/>
              <w:rPr>
                <w:rFonts w:hint="eastAsia" w:asciiTheme="minorEastAsia" w:hAnsiTheme="minorEastAsia" w:eastAsiaTheme="minorEastAsia" w:cstheme="minorEastAsia"/>
                <w:sz w:val="21"/>
                <w:szCs w:val="21"/>
              </w:rPr>
            </w:pPr>
          </w:p>
        </w:tc>
        <w:tc>
          <w:tcPr>
            <w:tcW w:w="1361" w:type="dxa"/>
            <w:vAlign w:val="center"/>
          </w:tcPr>
          <w:p>
            <w:pPr>
              <w:pStyle w:val="15"/>
              <w:jc w:val="right"/>
            </w:pPr>
          </w:p>
        </w:tc>
        <w:tc>
          <w:tcPr>
            <w:tcW w:w="1361" w:type="dxa"/>
            <w:vAlign w:val="center"/>
          </w:tcPr>
          <w:p>
            <w:pPr>
              <w:pStyle w:val="15"/>
              <w:jc w:val="right"/>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22102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住房改革支出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7.83</w:t>
            </w:r>
          </w:p>
        </w:tc>
        <w:tc>
          <w:tcPr>
            <w:tcW w:w="1361" w:type="dxa"/>
            <w:vAlign w:val="center"/>
          </w:tcPr>
          <w:p>
            <w:pPr>
              <w:keepNext w:val="0"/>
              <w:keepLines w:val="0"/>
              <w:widowControl/>
              <w:suppressLineNumbers w:val="0"/>
              <w:jc w:val="right"/>
              <w:textAlignment w:val="top"/>
              <w:rPr>
                <w:rFonts w:hint="eastAsia" w:asciiTheme="minorEastAsia" w:hAnsiTheme="minorEastAsia" w:eastAsiaTheme="minorEastAsia" w:cstheme="minorEastAsia"/>
                <w:sz w:val="21"/>
                <w:szCs w:val="21"/>
              </w:rPr>
            </w:pPr>
            <w:r>
              <w:rPr>
                <w:rFonts w:hint="eastAsia" w:ascii="宋体" w:hAnsi="宋体" w:eastAsia="宋体" w:cs="宋体"/>
                <w:i w:val="0"/>
                <w:iCs w:val="0"/>
                <w:color w:val="000000"/>
                <w:kern w:val="0"/>
                <w:sz w:val="21"/>
                <w:szCs w:val="21"/>
                <w:u w:val="none"/>
                <w:lang w:val="en-US" w:eastAsia="zh-CN" w:bidi="ar"/>
              </w:rPr>
              <w:t>7.83</w:t>
            </w:r>
          </w:p>
        </w:tc>
        <w:tc>
          <w:tcPr>
            <w:tcW w:w="1361" w:type="dxa"/>
            <w:vAlign w:val="center"/>
          </w:tcPr>
          <w:p>
            <w:pPr>
              <w:jc w:val="right"/>
              <w:rPr>
                <w:rFonts w:hint="eastAsia" w:asciiTheme="minorEastAsia" w:hAnsiTheme="minorEastAsia" w:eastAsiaTheme="minorEastAsia" w:cstheme="minorEastAsia"/>
                <w:sz w:val="21"/>
                <w:szCs w:val="21"/>
              </w:rPr>
            </w:pPr>
          </w:p>
        </w:tc>
        <w:tc>
          <w:tcPr>
            <w:tcW w:w="1361" w:type="dxa"/>
            <w:vAlign w:val="center"/>
          </w:tcPr>
          <w:p>
            <w:pPr>
              <w:pStyle w:val="15"/>
              <w:jc w:val="right"/>
            </w:pPr>
          </w:p>
        </w:tc>
        <w:tc>
          <w:tcPr>
            <w:tcW w:w="1361" w:type="dxa"/>
            <w:vAlign w:val="center"/>
          </w:tcPr>
          <w:p>
            <w:pPr>
              <w:pStyle w:val="15"/>
              <w:jc w:val="right"/>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16</w:t>
            </w:r>
          </w:p>
        </w:tc>
        <w:tc>
          <w:tcPr>
            <w:tcW w:w="992" w:type="dxa"/>
            <w:vAlign w:val="top"/>
          </w:tcPr>
          <w:p>
            <w:pPr>
              <w:keepNext w:val="0"/>
              <w:keepLines w:val="0"/>
              <w:widowControl/>
              <w:suppressLineNumbers w:val="0"/>
              <w:jc w:val="left"/>
              <w:textAlignment w:val="top"/>
              <w:rPr>
                <w:rFonts w:hint="eastAsia" w:ascii="Times New Roman" w:hAnsi="Times New Roman" w:eastAsia="Times New Roman" w:cs="Times New Roman"/>
                <w:sz w:val="24"/>
                <w:szCs w:val="24"/>
                <w:lang w:val="en-US" w:eastAsia="zh-CN" w:bidi="ar-SA"/>
              </w:rPr>
            </w:pPr>
            <w:r>
              <w:rPr>
                <w:rFonts w:hint="eastAsia" w:ascii="宋体" w:hAnsi="宋体" w:eastAsia="宋体" w:cs="宋体"/>
                <w:i w:val="0"/>
                <w:iCs w:val="0"/>
                <w:color w:val="000000"/>
                <w:kern w:val="0"/>
                <w:sz w:val="21"/>
                <w:szCs w:val="21"/>
                <w:u w:val="none"/>
                <w:lang w:val="en-US" w:eastAsia="zh-CN" w:bidi="ar"/>
              </w:rPr>
              <w:t>2210201</w:t>
            </w:r>
          </w:p>
        </w:tc>
        <w:tc>
          <w:tcPr>
            <w:tcW w:w="4536" w:type="dxa"/>
            <w:vAlign w:val="top"/>
          </w:tcPr>
          <w:p>
            <w:pPr>
              <w:keepNext w:val="0"/>
              <w:keepLines w:val="0"/>
              <w:widowControl/>
              <w:suppressLineNumbers w:val="0"/>
              <w:jc w:val="left"/>
              <w:textAlignment w:val="top"/>
              <w:rPr>
                <w:rFonts w:hint="eastAsia" w:ascii="Times New Roman" w:hAnsi="Times New Roman" w:eastAsia="Times New Roman" w:cs="Times New Roman"/>
                <w:sz w:val="24"/>
                <w:szCs w:val="24"/>
                <w:lang w:val="en-US" w:eastAsia="zh-CN" w:bidi="ar-SA"/>
              </w:rPr>
            </w:pPr>
            <w:r>
              <w:rPr>
                <w:rFonts w:hint="eastAsia" w:ascii="宋体" w:hAnsi="宋体" w:eastAsia="宋体" w:cs="宋体"/>
                <w:i w:val="0"/>
                <w:iCs w:val="0"/>
                <w:color w:val="000000"/>
                <w:kern w:val="0"/>
                <w:sz w:val="21"/>
                <w:szCs w:val="21"/>
                <w:u w:val="none"/>
                <w:lang w:val="en-US" w:eastAsia="zh-CN" w:bidi="ar"/>
              </w:rPr>
              <w:t>住房公积金</w:t>
            </w:r>
          </w:p>
        </w:tc>
        <w:tc>
          <w:tcPr>
            <w:tcW w:w="1361" w:type="dxa"/>
            <w:vAlign w:val="center"/>
          </w:tcPr>
          <w:p>
            <w:pPr>
              <w:keepNext w:val="0"/>
              <w:keepLines w:val="0"/>
              <w:widowControl/>
              <w:suppressLineNumbers w:val="0"/>
              <w:jc w:val="righ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7.83</w:t>
            </w:r>
          </w:p>
        </w:tc>
        <w:tc>
          <w:tcPr>
            <w:tcW w:w="1361" w:type="dxa"/>
            <w:vAlign w:val="center"/>
          </w:tcPr>
          <w:p>
            <w:pPr>
              <w:keepNext w:val="0"/>
              <w:keepLines w:val="0"/>
              <w:widowControl/>
              <w:suppressLineNumbers w:val="0"/>
              <w:jc w:val="righ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7.83</w:t>
            </w:r>
          </w:p>
        </w:tc>
        <w:tc>
          <w:tcPr>
            <w:tcW w:w="1361" w:type="dxa"/>
            <w:vAlign w:val="center"/>
          </w:tcPr>
          <w:p>
            <w:pPr>
              <w:jc w:val="right"/>
              <w:rPr>
                <w:rFonts w:hint="eastAsia" w:asciiTheme="minorEastAsia" w:hAnsiTheme="minorEastAsia" w:eastAsiaTheme="minorEastAsia" w:cstheme="minorEastAsia"/>
                <w:sz w:val="21"/>
                <w:szCs w:val="21"/>
              </w:rPr>
            </w:pPr>
          </w:p>
        </w:tc>
        <w:tc>
          <w:tcPr>
            <w:tcW w:w="1361" w:type="dxa"/>
            <w:vAlign w:val="center"/>
          </w:tcPr>
          <w:p>
            <w:pPr>
              <w:pStyle w:val="15"/>
              <w:jc w:val="right"/>
            </w:pPr>
          </w:p>
        </w:tc>
        <w:tc>
          <w:tcPr>
            <w:tcW w:w="1361" w:type="dxa"/>
            <w:vAlign w:val="center"/>
          </w:tcPr>
          <w:p>
            <w:pPr>
              <w:pStyle w:val="15"/>
              <w:jc w:val="right"/>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3402"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39</w:t>
            </w:r>
            <w:r>
              <w:rPr>
                <w:rFonts w:hint="eastAsia"/>
                <w:lang w:val="en-US" w:eastAsia="zh-CN"/>
              </w:rPr>
              <w:t>4.74</w:t>
            </w:r>
          </w:p>
        </w:tc>
        <w:tc>
          <w:tcPr>
            <w:tcW w:w="3402" w:type="dxa"/>
            <w:vAlign w:val="center"/>
          </w:tcPr>
          <w:p>
            <w:pPr>
              <w:pStyle w:val="16"/>
            </w:pPr>
            <w:r>
              <w:t>一、一般公共服务支出</w:t>
            </w:r>
          </w:p>
        </w:tc>
        <w:tc>
          <w:tcPr>
            <w:tcW w:w="1474" w:type="dxa"/>
            <w:vAlign w:val="center"/>
          </w:tcPr>
          <w:p>
            <w:pPr>
              <w:pStyle w:val="15"/>
            </w:pPr>
            <w:r>
              <w:rPr>
                <w:rFonts w:hint="eastAsia"/>
                <w:lang w:val="en-US" w:eastAsia="zh-CN"/>
              </w:rPr>
              <w:t>366.06</w:t>
            </w:r>
          </w:p>
        </w:tc>
        <w:tc>
          <w:tcPr>
            <w:tcW w:w="1474" w:type="dxa"/>
            <w:vAlign w:val="center"/>
          </w:tcPr>
          <w:p>
            <w:pPr>
              <w:pStyle w:val="15"/>
            </w:pPr>
            <w:r>
              <w:rPr>
                <w:rFonts w:hint="eastAsia"/>
                <w:lang w:val="en-US" w:eastAsia="zh-CN"/>
              </w:rPr>
              <w:t>366.06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rPr>
                <w:rFonts w:hint="eastAsia"/>
                <w:lang w:val="en-US" w:eastAsia="zh-CN"/>
              </w:rPr>
              <w:t>13.82</w:t>
            </w:r>
          </w:p>
        </w:tc>
        <w:tc>
          <w:tcPr>
            <w:tcW w:w="1474" w:type="dxa"/>
            <w:vAlign w:val="center"/>
          </w:tcPr>
          <w:p>
            <w:pPr>
              <w:pStyle w:val="15"/>
            </w:pPr>
            <w:r>
              <w:rPr>
                <w:rFonts w:hint="eastAsia"/>
                <w:lang w:val="en-US" w:eastAsia="zh-CN"/>
              </w:rPr>
              <w:t>13.82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rPr>
                <w:rFonts w:hint="eastAsia"/>
                <w:lang w:val="en-US" w:eastAsia="zh-CN"/>
              </w:rPr>
              <w:t>7.03</w:t>
            </w:r>
          </w:p>
        </w:tc>
        <w:tc>
          <w:tcPr>
            <w:tcW w:w="1474" w:type="dxa"/>
            <w:vAlign w:val="center"/>
          </w:tcPr>
          <w:p>
            <w:pPr>
              <w:pStyle w:val="15"/>
            </w:pPr>
            <w:r>
              <w:rPr>
                <w:rFonts w:hint="eastAsia"/>
                <w:lang w:val="en-US" w:eastAsia="zh-CN"/>
              </w:rPr>
              <w:t>7.03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7.83</w:t>
            </w:r>
          </w:p>
        </w:tc>
        <w:tc>
          <w:tcPr>
            <w:tcW w:w="1474"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7.83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eastAsia="宋体" w:cs="宋体"/>
                <w:b/>
                <w:bCs/>
                <w:sz w:val="21"/>
                <w:szCs w:val="21"/>
              </w:rPr>
              <w:t>394.74</w:t>
            </w:r>
          </w:p>
        </w:tc>
        <w:tc>
          <w:tcPr>
            <w:tcW w:w="3402" w:type="dxa"/>
            <w:vAlign w:val="center"/>
          </w:tcPr>
          <w:p>
            <w:pPr>
              <w:pStyle w:val="18"/>
            </w:pPr>
            <w:r>
              <w:t>本年支出合计</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eastAsia="宋体" w:cs="宋体"/>
                <w:b/>
                <w:bCs/>
                <w:sz w:val="21"/>
                <w:szCs w:val="21"/>
              </w:rPr>
              <w:t>394.74</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eastAsia="宋体" w:cs="宋体"/>
                <w:b/>
                <w:bCs/>
                <w:sz w:val="21"/>
                <w:szCs w:val="21"/>
              </w:rPr>
              <w:t>394.74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6"/>
            </w:pPr>
            <w:r>
              <w:t>年末财政拨款结转和结余</w:t>
            </w: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6"/>
            </w:pP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6"/>
            </w:pP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6"/>
            </w:pP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eastAsia="宋体" w:cs="宋体"/>
                <w:b/>
                <w:bCs/>
                <w:sz w:val="21"/>
                <w:szCs w:val="21"/>
              </w:rPr>
              <w:t>394.74</w:t>
            </w:r>
          </w:p>
        </w:tc>
        <w:tc>
          <w:tcPr>
            <w:tcW w:w="3402" w:type="dxa"/>
            <w:vAlign w:val="center"/>
          </w:tcPr>
          <w:p>
            <w:pPr>
              <w:pStyle w:val="18"/>
            </w:pPr>
            <w:r>
              <w:t>支出总计</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eastAsia="宋体" w:cs="宋体"/>
                <w:b/>
                <w:bCs/>
                <w:sz w:val="21"/>
                <w:szCs w:val="21"/>
              </w:rPr>
              <w:t>394.74</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eastAsia="宋体" w:cs="宋体"/>
                <w:b/>
                <w:bCs/>
                <w:sz w:val="21"/>
                <w:szCs w:val="21"/>
              </w:rPr>
              <w:t>394.74</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keepNext w:val="0"/>
              <w:keepLines w:val="0"/>
              <w:widowControl/>
              <w:suppressLineNumbers w:val="0"/>
              <w:jc w:val="right"/>
              <w:textAlignment w:val="top"/>
              <w:rPr>
                <w:rFonts w:hint="default"/>
                <w:b/>
                <w:bCs/>
                <w:lang w:val="en-US"/>
              </w:rPr>
            </w:pPr>
            <w:r>
              <w:rPr>
                <w:rFonts w:hint="eastAsia" w:ascii="宋体" w:hAnsi="宋体" w:eastAsia="宋体" w:cs="宋体"/>
                <w:b/>
                <w:bCs/>
                <w:i w:val="0"/>
                <w:iCs w:val="0"/>
                <w:color w:val="000000"/>
                <w:kern w:val="0"/>
                <w:sz w:val="21"/>
                <w:szCs w:val="21"/>
                <w:u w:val="none"/>
                <w:lang w:val="en-US" w:eastAsia="zh-CN" w:bidi="ar"/>
              </w:rPr>
              <w:t>394.74</w:t>
            </w:r>
          </w:p>
        </w:tc>
        <w:tc>
          <w:tcPr>
            <w:tcW w:w="2551" w:type="dxa"/>
            <w:vAlign w:val="center"/>
          </w:tcPr>
          <w:p>
            <w:pPr>
              <w:keepNext w:val="0"/>
              <w:keepLines w:val="0"/>
              <w:widowControl/>
              <w:suppressLineNumbers w:val="0"/>
              <w:jc w:val="right"/>
              <w:textAlignment w:val="top"/>
              <w:rPr>
                <w:rFonts w:hint="default"/>
                <w:b/>
                <w:bCs/>
                <w:lang w:val="en-US"/>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268.16</w:t>
            </w:r>
          </w:p>
        </w:tc>
        <w:tc>
          <w:tcPr>
            <w:tcW w:w="2551" w:type="dxa"/>
            <w:vAlign w:val="center"/>
          </w:tcPr>
          <w:p>
            <w:pPr>
              <w:keepNext w:val="0"/>
              <w:keepLines w:val="0"/>
              <w:widowControl/>
              <w:suppressLineNumbers w:val="0"/>
              <w:jc w:val="right"/>
              <w:textAlignment w:val="top"/>
              <w:rPr>
                <w:b/>
                <w:bCs/>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126.58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一般公共服务支出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366.06</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239.48</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126.58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统计信息事务</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265.64</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239.48</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26.16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行政运行</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5.5</w:t>
            </w:r>
          </w:p>
        </w:tc>
        <w:tc>
          <w:tcPr>
            <w:tcW w:w="2551" w:type="dxa"/>
            <w:vAlign w:val="center"/>
          </w:tcPr>
          <w:p>
            <w:pPr>
              <w:pStyle w:val="15"/>
            </w:pP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一般行政管理事务</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52</w:t>
            </w:r>
          </w:p>
        </w:tc>
        <w:tc>
          <w:tcPr>
            <w:tcW w:w="2551" w:type="dxa"/>
            <w:vAlign w:val="center"/>
          </w:tcPr>
          <w:p>
            <w:pPr>
              <w:pStyle w:val="15"/>
            </w:pP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专项普查活动</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42.92</w:t>
            </w:r>
          </w:p>
        </w:tc>
        <w:tc>
          <w:tcPr>
            <w:tcW w:w="2551" w:type="dxa"/>
            <w:vAlign w:val="center"/>
          </w:tcPr>
          <w:p>
            <w:pPr>
              <w:pStyle w:val="15"/>
            </w:pP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42.92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统计抽样调查</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13.82</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13.82</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社会保障和就业支出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13.82</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13.82</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行政事业单位养老支出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13.82</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13.82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7.03</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7.03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卫生健康支出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7.03</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7.03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行政事业单位医疗</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5.31</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5.31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行政单位医疗</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1.72</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1.72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住房保障支出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7.83</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7.83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rPr>
                <w:rFonts w:hint="eastAsia"/>
                <w:lang w:val="en-US" w:eastAsia="zh-CN"/>
              </w:rP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住房改革支出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7.83</w:t>
            </w:r>
          </w:p>
        </w:tc>
        <w:tc>
          <w:tcPr>
            <w:tcW w:w="2551" w:type="dxa"/>
            <w:vAlign w:val="center"/>
          </w:tcPr>
          <w:p>
            <w:pPr>
              <w:keepNext w:val="0"/>
              <w:keepLines w:val="0"/>
              <w:widowControl/>
              <w:suppressLineNumbers w:val="0"/>
              <w:jc w:val="right"/>
              <w:textAlignment w:val="top"/>
            </w:pPr>
            <w:r>
              <w:rPr>
                <w:rFonts w:hint="eastAsia" w:asciiTheme="minorEastAsia" w:hAnsiTheme="minorEastAsia" w:eastAsiaTheme="minorEastAsia" w:cstheme="minorEastAsia"/>
                <w:i w:val="0"/>
                <w:iCs w:val="0"/>
                <w:color w:val="000000"/>
                <w:kern w:val="0"/>
                <w:sz w:val="21"/>
                <w:szCs w:val="21"/>
                <w:u w:val="none"/>
                <w:lang w:val="en-US" w:eastAsia="zh-CN" w:bidi="ar"/>
              </w:rPr>
              <w:t>7.83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16</w:t>
            </w:r>
          </w:p>
        </w:tc>
        <w:tc>
          <w:tcPr>
            <w:tcW w:w="1191" w:type="dxa"/>
            <w:vAlign w:val="top"/>
          </w:tcPr>
          <w:p>
            <w:pPr>
              <w:keepNext w:val="0"/>
              <w:keepLines w:val="0"/>
              <w:widowControl/>
              <w:suppressLineNumbers w:val="0"/>
              <w:jc w:val="left"/>
              <w:textAlignment w:val="top"/>
              <w:rPr>
                <w:rFonts w:hint="eastAsia" w:ascii="Times New Roman" w:hAnsi="Times New Roman" w:eastAsia="Times New Roman" w:cs="Times New Roman"/>
                <w:sz w:val="24"/>
                <w:szCs w:val="24"/>
                <w:lang w:val="en-US" w:eastAsia="zh-CN" w:bidi="ar-SA"/>
              </w:rPr>
            </w:pPr>
            <w:r>
              <w:rPr>
                <w:rFonts w:hint="eastAsia" w:ascii="宋体" w:hAnsi="宋体" w:eastAsia="宋体" w:cs="宋体"/>
                <w:i w:val="0"/>
                <w:iCs w:val="0"/>
                <w:color w:val="000000"/>
                <w:kern w:val="0"/>
                <w:sz w:val="21"/>
                <w:szCs w:val="21"/>
                <w:u w:val="none"/>
                <w:lang w:val="en-US" w:eastAsia="zh-CN" w:bidi="ar"/>
              </w:rPr>
              <w:t>2210201</w:t>
            </w:r>
          </w:p>
        </w:tc>
        <w:tc>
          <w:tcPr>
            <w:tcW w:w="4535" w:type="dxa"/>
            <w:vAlign w:val="top"/>
          </w:tcPr>
          <w:p>
            <w:pPr>
              <w:keepNext w:val="0"/>
              <w:keepLines w:val="0"/>
              <w:widowControl/>
              <w:suppressLineNumbers w:val="0"/>
              <w:jc w:val="left"/>
              <w:textAlignment w:val="top"/>
              <w:rPr>
                <w:rFonts w:hint="eastAsia" w:ascii="Times New Roman" w:hAnsi="Times New Roman" w:eastAsia="Times New Roman" w:cs="Times New Roman"/>
                <w:sz w:val="24"/>
                <w:szCs w:val="24"/>
                <w:lang w:val="en-US" w:eastAsia="zh-CN" w:bidi="ar-SA"/>
              </w:rPr>
            </w:pPr>
            <w:r>
              <w:rPr>
                <w:rFonts w:hint="eastAsia" w:ascii="宋体" w:hAnsi="宋体" w:eastAsia="宋体" w:cs="宋体"/>
                <w:i w:val="0"/>
                <w:iCs w:val="0"/>
                <w:color w:val="000000"/>
                <w:kern w:val="0"/>
                <w:sz w:val="21"/>
                <w:szCs w:val="21"/>
                <w:u w:val="none"/>
                <w:lang w:val="en-US" w:eastAsia="zh-CN" w:bidi="ar"/>
              </w:rPr>
              <w:t>住房公积金</w:t>
            </w:r>
          </w:p>
        </w:tc>
        <w:tc>
          <w:tcPr>
            <w:tcW w:w="2551" w:type="dxa"/>
            <w:vAlign w:val="center"/>
          </w:tcPr>
          <w:p>
            <w:pPr>
              <w:keepNext w:val="0"/>
              <w:keepLines w:val="0"/>
              <w:widowControl/>
              <w:suppressLineNumbers w:val="0"/>
              <w:jc w:val="righ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7.83</w:t>
            </w:r>
          </w:p>
        </w:tc>
        <w:tc>
          <w:tcPr>
            <w:tcW w:w="2551" w:type="dxa"/>
            <w:vAlign w:val="center"/>
          </w:tcPr>
          <w:p>
            <w:pPr>
              <w:keepNext w:val="0"/>
              <w:keepLines w:val="0"/>
              <w:widowControl/>
              <w:suppressLineNumbers w:val="0"/>
              <w:jc w:val="righ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7.83</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keepNext w:val="0"/>
              <w:keepLines w:val="0"/>
              <w:widowControl/>
              <w:suppressLineNumbers w:val="0"/>
              <w:jc w:val="right"/>
              <w:textAlignment w:val="center"/>
              <w:rPr>
                <w:rFonts w:hint="default"/>
                <w:b/>
                <w:bCs/>
                <w:color w:val="auto"/>
                <w:lang w:val="en-US"/>
              </w:rPr>
            </w:pPr>
            <w:r>
              <w:rPr>
                <w:rFonts w:hint="eastAsia" w:ascii="方正书宋_GBK" w:hAnsi="方正书宋_GBK" w:eastAsia="方正书宋_GBK" w:cs="方正书宋_GBK"/>
                <w:b/>
                <w:bCs/>
                <w:i w:val="0"/>
                <w:iCs w:val="0"/>
                <w:color w:val="auto"/>
                <w:kern w:val="0"/>
                <w:sz w:val="21"/>
                <w:szCs w:val="21"/>
                <w:u w:val="none"/>
                <w:lang w:val="en-US" w:eastAsia="zh-CN" w:bidi="ar"/>
              </w:rPr>
              <w:t>268.16</w:t>
            </w:r>
          </w:p>
        </w:tc>
        <w:tc>
          <w:tcPr>
            <w:tcW w:w="2551" w:type="dxa"/>
            <w:vAlign w:val="center"/>
          </w:tcPr>
          <w:p>
            <w:pPr>
              <w:keepNext w:val="0"/>
              <w:keepLines w:val="0"/>
              <w:widowControl/>
              <w:suppressLineNumbers w:val="0"/>
              <w:jc w:val="right"/>
              <w:textAlignment w:val="center"/>
              <w:rPr>
                <w:rFonts w:hint="default"/>
                <w:b/>
                <w:bCs/>
                <w:color w:val="auto"/>
                <w:lang w:val="en-US"/>
              </w:rPr>
            </w:pPr>
            <w:r>
              <w:rPr>
                <w:rFonts w:hint="eastAsia" w:ascii="方正书宋_GBK" w:hAnsi="方正书宋_GBK" w:eastAsia="方正书宋_GBK" w:cs="方正书宋_GBK"/>
                <w:b/>
                <w:bCs/>
                <w:i w:val="0"/>
                <w:iCs w:val="0"/>
                <w:color w:val="auto"/>
                <w:kern w:val="0"/>
                <w:sz w:val="21"/>
                <w:szCs w:val="21"/>
                <w:u w:val="none"/>
                <w:lang w:val="en-US" w:eastAsia="zh-CN" w:bidi="ar"/>
              </w:rPr>
              <w:t>140.54</w:t>
            </w:r>
          </w:p>
        </w:tc>
        <w:tc>
          <w:tcPr>
            <w:tcW w:w="2552" w:type="dxa"/>
            <w:vAlign w:val="top"/>
          </w:tcPr>
          <w:p>
            <w:pPr>
              <w:keepNext w:val="0"/>
              <w:keepLines w:val="0"/>
              <w:widowControl/>
              <w:suppressLineNumbers w:val="0"/>
              <w:jc w:val="right"/>
              <w:textAlignment w:val="top"/>
              <w:rPr>
                <w:rFonts w:hint="default"/>
                <w:b/>
                <w:bCs/>
                <w:color w:val="auto"/>
                <w:lang w:val="en-US"/>
              </w:rPr>
            </w:pPr>
            <w:r>
              <w:rPr>
                <w:rFonts w:hint="eastAsia" w:ascii="宋体" w:hAnsi="宋体" w:eastAsia="宋体" w:cs="宋体"/>
                <w:b/>
                <w:bCs/>
                <w:i w:val="0"/>
                <w:iCs w:val="0"/>
                <w:color w:val="auto"/>
                <w:kern w:val="0"/>
                <w:sz w:val="20"/>
                <w:szCs w:val="20"/>
                <w:u w:val="none"/>
                <w:lang w:val="en-US" w:eastAsia="zh-CN" w:bidi="ar"/>
              </w:rPr>
              <w:t>127.62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工资福利支出</w:t>
            </w:r>
          </w:p>
        </w:tc>
        <w:tc>
          <w:tcPr>
            <w:tcW w:w="2551"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140.54</w:t>
            </w:r>
          </w:p>
        </w:tc>
        <w:tc>
          <w:tcPr>
            <w:tcW w:w="2551"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140.54</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基本工资</w:t>
            </w:r>
          </w:p>
        </w:tc>
        <w:tc>
          <w:tcPr>
            <w:tcW w:w="2551"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56.16</w:t>
            </w:r>
          </w:p>
        </w:tc>
        <w:tc>
          <w:tcPr>
            <w:tcW w:w="2551"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56.16</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津贴补贴</w:t>
            </w:r>
          </w:p>
        </w:tc>
        <w:tc>
          <w:tcPr>
            <w:tcW w:w="2551" w:type="dxa"/>
            <w:vAlign w:val="center"/>
          </w:tcPr>
          <w:p>
            <w:pPr>
              <w:keepNext w:val="0"/>
              <w:keepLines w:val="0"/>
              <w:widowControl/>
              <w:suppressLineNumbers w:val="0"/>
              <w:jc w:val="right"/>
              <w:textAlignment w:val="center"/>
              <w:rPr>
                <w:rFonts w:hint="default"/>
                <w:color w:val="auto"/>
                <w:lang w:val="en-US"/>
              </w:rPr>
            </w:pPr>
            <w:r>
              <w:rPr>
                <w:rFonts w:hint="default" w:ascii="方正书宋_GBK" w:hAnsi="方正书宋_GBK" w:eastAsia="方正书宋_GBK" w:cs="方正书宋_GBK"/>
                <w:i w:val="0"/>
                <w:iCs w:val="0"/>
                <w:color w:val="auto"/>
                <w:kern w:val="0"/>
                <w:sz w:val="21"/>
                <w:szCs w:val="21"/>
                <w:u w:val="none"/>
                <w:lang w:val="en-US" w:eastAsia="zh-CN" w:bidi="ar"/>
              </w:rPr>
              <w:t>22.51</w:t>
            </w:r>
          </w:p>
        </w:tc>
        <w:tc>
          <w:tcPr>
            <w:tcW w:w="2551"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22.51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奖金</w:t>
            </w:r>
          </w:p>
        </w:tc>
        <w:tc>
          <w:tcPr>
            <w:tcW w:w="2551" w:type="dxa"/>
            <w:vAlign w:val="top"/>
          </w:tcPr>
          <w:p>
            <w:pPr>
              <w:keepNext w:val="0"/>
              <w:keepLines w:val="0"/>
              <w:widowControl/>
              <w:suppressLineNumbers w:val="0"/>
              <w:jc w:val="right"/>
              <w:textAlignment w:val="top"/>
              <w:rPr>
                <w:rFonts w:hint="default"/>
                <w:color w:val="auto"/>
                <w:lang w:val="en-US"/>
              </w:rPr>
            </w:pPr>
            <w:r>
              <w:rPr>
                <w:rFonts w:hint="eastAsia" w:ascii="宋体" w:hAnsi="宋体" w:eastAsia="宋体" w:cs="宋体"/>
                <w:i w:val="0"/>
                <w:iCs w:val="0"/>
                <w:color w:val="auto"/>
                <w:kern w:val="0"/>
                <w:sz w:val="20"/>
                <w:szCs w:val="20"/>
                <w:u w:val="none"/>
                <w:lang w:val="en-US" w:eastAsia="zh-CN" w:bidi="ar"/>
              </w:rPr>
              <w:t>14.93</w:t>
            </w:r>
          </w:p>
        </w:tc>
        <w:tc>
          <w:tcPr>
            <w:tcW w:w="2551" w:type="dxa"/>
            <w:vAlign w:val="top"/>
          </w:tcPr>
          <w:p>
            <w:pPr>
              <w:keepNext w:val="0"/>
              <w:keepLines w:val="0"/>
              <w:widowControl/>
              <w:suppressLineNumbers w:val="0"/>
              <w:jc w:val="right"/>
              <w:textAlignment w:val="top"/>
              <w:rPr>
                <w:color w:val="auto"/>
              </w:rPr>
            </w:pPr>
            <w:r>
              <w:rPr>
                <w:rFonts w:hint="eastAsia" w:ascii="宋体" w:hAnsi="宋体" w:eastAsia="宋体" w:cs="宋体"/>
                <w:i w:val="0"/>
                <w:iCs w:val="0"/>
                <w:color w:val="auto"/>
                <w:kern w:val="0"/>
                <w:sz w:val="20"/>
                <w:szCs w:val="20"/>
                <w:u w:val="none"/>
                <w:lang w:val="en-US" w:eastAsia="zh-CN" w:bidi="ar"/>
              </w:rPr>
              <w:t>14.93</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color w:val="auto"/>
                <w:lang w:val="en-US"/>
              </w:rPr>
            </w:pPr>
            <w:r>
              <w:rPr>
                <w:rFonts w:hint="eastAsia" w:ascii="宋体" w:hAnsi="宋体" w:eastAsia="宋体" w:cs="宋体"/>
                <w:i w:val="0"/>
                <w:iCs w:val="0"/>
                <w:color w:val="auto"/>
                <w:kern w:val="0"/>
                <w:sz w:val="20"/>
                <w:szCs w:val="20"/>
                <w:u w:val="none"/>
                <w:lang w:val="en-US" w:eastAsia="zh-CN" w:bidi="ar"/>
              </w:rPr>
              <w:t>8.5</w:t>
            </w:r>
          </w:p>
        </w:tc>
        <w:tc>
          <w:tcPr>
            <w:tcW w:w="2551" w:type="dxa"/>
            <w:vAlign w:val="top"/>
          </w:tcPr>
          <w:p>
            <w:pPr>
              <w:keepNext w:val="0"/>
              <w:keepLines w:val="0"/>
              <w:widowControl/>
              <w:suppressLineNumbers w:val="0"/>
              <w:jc w:val="right"/>
              <w:textAlignment w:val="top"/>
              <w:rPr>
                <w:color w:val="auto"/>
              </w:rPr>
            </w:pPr>
            <w:r>
              <w:rPr>
                <w:rFonts w:hint="eastAsia" w:ascii="宋体" w:hAnsi="宋体" w:eastAsia="宋体" w:cs="宋体"/>
                <w:i w:val="0"/>
                <w:iCs w:val="0"/>
                <w:color w:val="auto"/>
                <w:kern w:val="0"/>
                <w:sz w:val="20"/>
                <w:szCs w:val="20"/>
                <w:u w:val="none"/>
                <w:lang w:val="en-US" w:eastAsia="zh-CN" w:bidi="ar"/>
              </w:rPr>
              <w:t>8.5</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2551"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13.82</w:t>
            </w:r>
          </w:p>
        </w:tc>
        <w:tc>
          <w:tcPr>
            <w:tcW w:w="2551"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13.82</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城镇职工基本医疗保险缴费</w:t>
            </w:r>
          </w:p>
        </w:tc>
        <w:tc>
          <w:tcPr>
            <w:tcW w:w="2551"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5.31</w:t>
            </w:r>
          </w:p>
        </w:tc>
        <w:tc>
          <w:tcPr>
            <w:tcW w:w="2551"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5.31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30112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color w:val="auto"/>
                <w:lang w:val="en-US"/>
              </w:rPr>
            </w:pPr>
            <w:r>
              <w:rPr>
                <w:rFonts w:hint="eastAsia" w:ascii="宋体" w:hAnsi="宋体" w:eastAsia="宋体" w:cs="宋体"/>
                <w:i w:val="0"/>
                <w:iCs w:val="0"/>
                <w:color w:val="auto"/>
                <w:kern w:val="0"/>
                <w:sz w:val="20"/>
                <w:szCs w:val="20"/>
                <w:u w:val="none"/>
                <w:lang w:val="en-US" w:eastAsia="zh-CN" w:bidi="ar"/>
              </w:rPr>
              <w:t>2.21</w:t>
            </w:r>
          </w:p>
        </w:tc>
        <w:tc>
          <w:tcPr>
            <w:tcW w:w="2551" w:type="dxa"/>
            <w:vAlign w:val="top"/>
          </w:tcPr>
          <w:p>
            <w:pPr>
              <w:keepNext w:val="0"/>
              <w:keepLines w:val="0"/>
              <w:widowControl/>
              <w:suppressLineNumbers w:val="0"/>
              <w:jc w:val="right"/>
              <w:textAlignment w:val="top"/>
              <w:rPr>
                <w:color w:val="auto"/>
              </w:rPr>
            </w:pPr>
            <w:r>
              <w:rPr>
                <w:rFonts w:hint="eastAsia" w:ascii="宋体" w:hAnsi="宋体" w:eastAsia="宋体" w:cs="宋体"/>
                <w:i w:val="0"/>
                <w:iCs w:val="0"/>
                <w:color w:val="auto"/>
                <w:kern w:val="0"/>
                <w:sz w:val="20"/>
                <w:szCs w:val="20"/>
                <w:u w:val="none"/>
                <w:lang w:val="en-US" w:eastAsia="zh-CN" w:bidi="ar"/>
              </w:rPr>
              <w:t>2.21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30113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color w:val="auto"/>
                <w:lang w:val="en-US"/>
              </w:rPr>
            </w:pPr>
            <w:r>
              <w:rPr>
                <w:rFonts w:hint="eastAsia" w:ascii="宋体" w:hAnsi="宋体" w:eastAsia="宋体" w:cs="宋体"/>
                <w:i w:val="0"/>
                <w:iCs w:val="0"/>
                <w:color w:val="auto"/>
                <w:kern w:val="0"/>
                <w:sz w:val="20"/>
                <w:szCs w:val="20"/>
                <w:u w:val="none"/>
                <w:lang w:val="en-US" w:eastAsia="zh-CN" w:bidi="ar"/>
              </w:rPr>
              <w:t>7.83</w:t>
            </w:r>
          </w:p>
        </w:tc>
        <w:tc>
          <w:tcPr>
            <w:tcW w:w="2551" w:type="dxa"/>
            <w:vAlign w:val="top"/>
          </w:tcPr>
          <w:p>
            <w:pPr>
              <w:keepNext w:val="0"/>
              <w:keepLines w:val="0"/>
              <w:widowControl/>
              <w:suppressLineNumbers w:val="0"/>
              <w:jc w:val="right"/>
              <w:textAlignment w:val="top"/>
              <w:rPr>
                <w:color w:val="auto"/>
              </w:rPr>
            </w:pPr>
            <w:r>
              <w:rPr>
                <w:rFonts w:hint="eastAsia" w:ascii="宋体" w:hAnsi="宋体" w:eastAsia="宋体" w:cs="宋体"/>
                <w:i w:val="0"/>
                <w:iCs w:val="0"/>
                <w:color w:val="auto"/>
                <w:kern w:val="0"/>
                <w:sz w:val="20"/>
                <w:szCs w:val="20"/>
                <w:u w:val="none"/>
                <w:lang w:val="en-US" w:eastAsia="zh-CN" w:bidi="ar"/>
              </w:rPr>
              <w:t>7.83</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30199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其他工资福利支出</w:t>
            </w:r>
          </w:p>
        </w:tc>
        <w:tc>
          <w:tcPr>
            <w:tcW w:w="2551" w:type="dxa"/>
            <w:vAlign w:val="top"/>
          </w:tcPr>
          <w:p>
            <w:pPr>
              <w:keepNext w:val="0"/>
              <w:keepLines w:val="0"/>
              <w:widowControl/>
              <w:suppressLineNumbers w:val="0"/>
              <w:jc w:val="right"/>
              <w:textAlignment w:val="top"/>
              <w:rPr>
                <w:rFonts w:hint="default"/>
                <w:color w:val="auto"/>
                <w:lang w:val="en-US"/>
              </w:rPr>
            </w:pPr>
            <w:r>
              <w:rPr>
                <w:rFonts w:hint="eastAsia" w:ascii="宋体" w:hAnsi="宋体" w:eastAsia="宋体" w:cs="宋体"/>
                <w:i w:val="0"/>
                <w:iCs w:val="0"/>
                <w:color w:val="auto"/>
                <w:kern w:val="0"/>
                <w:sz w:val="20"/>
                <w:szCs w:val="20"/>
                <w:u w:val="none"/>
                <w:lang w:val="en-US" w:eastAsia="zh-CN" w:bidi="ar"/>
              </w:rPr>
              <w:t>9.27</w:t>
            </w:r>
          </w:p>
        </w:tc>
        <w:tc>
          <w:tcPr>
            <w:tcW w:w="2551" w:type="dxa"/>
            <w:vAlign w:val="top"/>
          </w:tcPr>
          <w:p>
            <w:pPr>
              <w:keepNext w:val="0"/>
              <w:keepLines w:val="0"/>
              <w:widowControl/>
              <w:suppressLineNumbers w:val="0"/>
              <w:jc w:val="right"/>
              <w:textAlignment w:val="top"/>
              <w:rPr>
                <w:color w:val="auto"/>
              </w:rPr>
            </w:pPr>
            <w:r>
              <w:rPr>
                <w:rFonts w:hint="eastAsia" w:ascii="宋体" w:hAnsi="宋体" w:eastAsia="宋体" w:cs="宋体"/>
                <w:i w:val="0"/>
                <w:iCs w:val="0"/>
                <w:color w:val="auto"/>
                <w:kern w:val="0"/>
                <w:sz w:val="20"/>
                <w:szCs w:val="20"/>
                <w:u w:val="none"/>
                <w:lang w:val="en-US" w:eastAsia="zh-CN" w:bidi="ar"/>
              </w:rPr>
              <w:t>9.27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商品和服务支出</w:t>
            </w:r>
          </w:p>
        </w:tc>
        <w:tc>
          <w:tcPr>
            <w:tcW w:w="2551" w:type="dxa"/>
            <w:vAlign w:val="top"/>
          </w:tcPr>
          <w:p>
            <w:pPr>
              <w:keepNext w:val="0"/>
              <w:keepLines w:val="0"/>
              <w:widowControl/>
              <w:suppressLineNumbers w:val="0"/>
              <w:jc w:val="right"/>
              <w:textAlignment w:val="top"/>
              <w:rPr>
                <w:color w:val="auto"/>
              </w:rPr>
            </w:pPr>
            <w:r>
              <w:rPr>
                <w:rFonts w:hint="eastAsia" w:ascii="宋体" w:hAnsi="宋体" w:eastAsia="宋体" w:cs="宋体"/>
                <w:i w:val="0"/>
                <w:iCs w:val="0"/>
                <w:color w:val="auto"/>
                <w:kern w:val="0"/>
                <w:sz w:val="20"/>
                <w:szCs w:val="20"/>
                <w:u w:val="none"/>
                <w:lang w:val="en-US" w:eastAsia="zh-CN" w:bidi="ar"/>
              </w:rPr>
              <w:t>127.62</w:t>
            </w:r>
          </w:p>
        </w:tc>
        <w:tc>
          <w:tcPr>
            <w:tcW w:w="2551" w:type="dxa"/>
            <w:vAlign w:val="top"/>
          </w:tcPr>
          <w:p>
            <w:pPr>
              <w:jc w:val="right"/>
              <w:rPr>
                <w:color w:val="auto"/>
              </w:rPr>
            </w:pPr>
          </w:p>
        </w:tc>
        <w:tc>
          <w:tcPr>
            <w:tcW w:w="2552" w:type="dxa"/>
            <w:vAlign w:val="top"/>
          </w:tcPr>
          <w:p>
            <w:pPr>
              <w:keepNext w:val="0"/>
              <w:keepLines w:val="0"/>
              <w:widowControl/>
              <w:suppressLineNumbers w:val="0"/>
              <w:jc w:val="right"/>
              <w:textAlignment w:val="top"/>
            </w:pPr>
            <w:r>
              <w:rPr>
                <w:rFonts w:hint="eastAsia" w:ascii="宋体" w:hAnsi="宋体" w:eastAsia="宋体" w:cs="宋体"/>
                <w:i w:val="0"/>
                <w:iCs w:val="0"/>
                <w:color w:val="auto"/>
                <w:kern w:val="0"/>
                <w:sz w:val="20"/>
                <w:szCs w:val="20"/>
                <w:u w:val="none"/>
                <w:lang w:val="en-US" w:eastAsia="zh-CN" w:bidi="ar"/>
              </w:rPr>
              <w:t>127.62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办公费</w:t>
            </w:r>
          </w:p>
        </w:tc>
        <w:tc>
          <w:tcPr>
            <w:tcW w:w="2551"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2.86</w:t>
            </w:r>
          </w:p>
        </w:tc>
        <w:tc>
          <w:tcPr>
            <w:tcW w:w="2551" w:type="dxa"/>
            <w:vAlign w:val="top"/>
          </w:tcPr>
          <w:p>
            <w:pPr>
              <w:jc w:val="right"/>
              <w:rPr>
                <w:color w:val="auto"/>
              </w:rPr>
            </w:pPr>
          </w:p>
        </w:tc>
        <w:tc>
          <w:tcPr>
            <w:tcW w:w="2552"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邮电费</w:t>
            </w:r>
          </w:p>
        </w:tc>
        <w:tc>
          <w:tcPr>
            <w:tcW w:w="2551"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0.36</w:t>
            </w:r>
          </w:p>
        </w:tc>
        <w:tc>
          <w:tcPr>
            <w:tcW w:w="2551" w:type="dxa"/>
            <w:vAlign w:val="top"/>
          </w:tcPr>
          <w:p>
            <w:pPr>
              <w:jc w:val="right"/>
              <w:rPr>
                <w:color w:val="auto"/>
              </w:rPr>
            </w:pPr>
          </w:p>
        </w:tc>
        <w:tc>
          <w:tcPr>
            <w:tcW w:w="2552"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差旅费</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i w:val="0"/>
                <w:iCs w:val="0"/>
                <w:color w:val="auto"/>
                <w:sz w:val="21"/>
                <w:szCs w:val="21"/>
                <w:u w:val="none"/>
                <w:lang w:val="en-US" w:eastAsia="uk-UA" w:bidi="ar-SA"/>
              </w:rPr>
            </w:pPr>
            <w:r>
              <w:rPr>
                <w:rFonts w:hint="default" w:ascii="方正书宋_GBK" w:hAnsi="方正书宋_GBK" w:eastAsia="方正书宋_GBK" w:cs="方正书宋_GBK"/>
                <w:i w:val="0"/>
                <w:iCs w:val="0"/>
                <w:color w:val="auto"/>
                <w:kern w:val="0"/>
                <w:sz w:val="21"/>
                <w:szCs w:val="21"/>
                <w:u w:val="none"/>
                <w:lang w:val="en-US" w:eastAsia="zh-CN" w:bidi="ar"/>
              </w:rPr>
              <w:t>1.3</w:t>
            </w:r>
          </w:p>
        </w:tc>
        <w:tc>
          <w:tcPr>
            <w:tcW w:w="2551" w:type="dxa"/>
            <w:vAlign w:val="top"/>
          </w:tcPr>
          <w:p>
            <w:pPr>
              <w:jc w:val="right"/>
              <w:rPr>
                <w:color w:val="auto"/>
              </w:rPr>
            </w:pPr>
          </w:p>
        </w:tc>
        <w:tc>
          <w:tcPr>
            <w:tcW w:w="2552"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30226</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劳务费</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i w:val="0"/>
                <w:iCs w:val="0"/>
                <w:color w:val="auto"/>
                <w:sz w:val="21"/>
                <w:szCs w:val="21"/>
                <w:u w:val="none"/>
                <w:lang w:val="en-US" w:eastAsia="uk-UA" w:bidi="ar-SA"/>
              </w:rPr>
            </w:pPr>
            <w:r>
              <w:rPr>
                <w:rFonts w:hint="default" w:ascii="方正书宋_GBK" w:hAnsi="方正书宋_GBK" w:eastAsia="方正书宋_GBK" w:cs="方正书宋_GBK"/>
                <w:i w:val="0"/>
                <w:iCs w:val="0"/>
                <w:color w:val="auto"/>
                <w:kern w:val="0"/>
                <w:sz w:val="21"/>
                <w:szCs w:val="21"/>
                <w:u w:val="none"/>
                <w:lang w:val="en-US" w:eastAsia="zh-CN" w:bidi="ar"/>
              </w:rPr>
              <w:t>110.2</w:t>
            </w:r>
          </w:p>
        </w:tc>
        <w:tc>
          <w:tcPr>
            <w:tcW w:w="2551" w:type="dxa"/>
            <w:vAlign w:val="top"/>
          </w:tcPr>
          <w:p>
            <w:pPr>
              <w:jc w:val="right"/>
              <w:rPr>
                <w:color w:val="auto"/>
              </w:rPr>
            </w:pPr>
          </w:p>
        </w:tc>
        <w:tc>
          <w:tcPr>
            <w:tcW w:w="2552"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110.2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工会经费</w:t>
            </w:r>
          </w:p>
        </w:tc>
        <w:tc>
          <w:tcPr>
            <w:tcW w:w="2551"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1.18</w:t>
            </w:r>
          </w:p>
        </w:tc>
        <w:tc>
          <w:tcPr>
            <w:tcW w:w="2551" w:type="dxa"/>
            <w:vAlign w:val="top"/>
          </w:tcPr>
          <w:p>
            <w:pPr>
              <w:jc w:val="right"/>
              <w:rPr>
                <w:color w:val="auto"/>
              </w:rPr>
            </w:pPr>
          </w:p>
        </w:tc>
        <w:tc>
          <w:tcPr>
            <w:tcW w:w="2552"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福利费</w:t>
            </w:r>
          </w:p>
        </w:tc>
        <w:tc>
          <w:tcPr>
            <w:tcW w:w="2551"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3.1</w:t>
            </w:r>
          </w:p>
        </w:tc>
        <w:tc>
          <w:tcPr>
            <w:tcW w:w="2551" w:type="dxa"/>
            <w:vAlign w:val="top"/>
          </w:tcPr>
          <w:p>
            <w:pPr>
              <w:jc w:val="right"/>
              <w:rPr>
                <w:color w:val="auto"/>
              </w:rPr>
            </w:pPr>
          </w:p>
        </w:tc>
        <w:tc>
          <w:tcPr>
            <w:tcW w:w="2552"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30231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公务用车运行维护费</w:t>
            </w:r>
          </w:p>
        </w:tc>
        <w:tc>
          <w:tcPr>
            <w:tcW w:w="2551" w:type="dxa"/>
            <w:vAlign w:val="top"/>
          </w:tcPr>
          <w:p>
            <w:pPr>
              <w:keepNext w:val="0"/>
              <w:keepLines w:val="0"/>
              <w:widowControl/>
              <w:suppressLineNumbers w:val="0"/>
              <w:jc w:val="right"/>
              <w:textAlignment w:val="top"/>
              <w:rPr>
                <w:color w:val="auto"/>
              </w:rPr>
            </w:pPr>
            <w:r>
              <w:rPr>
                <w:rFonts w:hint="eastAsia" w:ascii="宋体" w:hAnsi="宋体" w:eastAsia="宋体" w:cs="宋体"/>
                <w:i w:val="0"/>
                <w:iCs w:val="0"/>
                <w:color w:val="auto"/>
                <w:kern w:val="0"/>
                <w:sz w:val="20"/>
                <w:szCs w:val="20"/>
                <w:u w:val="none"/>
                <w:lang w:val="en-US" w:eastAsia="zh-CN" w:bidi="ar"/>
              </w:rPr>
              <w:t>2</w:t>
            </w:r>
          </w:p>
        </w:tc>
        <w:tc>
          <w:tcPr>
            <w:tcW w:w="2551" w:type="dxa"/>
            <w:vAlign w:val="top"/>
          </w:tcPr>
          <w:p>
            <w:pPr>
              <w:jc w:val="right"/>
              <w:rPr>
                <w:color w:val="auto"/>
              </w:rPr>
            </w:pPr>
          </w:p>
        </w:tc>
        <w:tc>
          <w:tcPr>
            <w:tcW w:w="2552" w:type="dxa"/>
            <w:vAlign w:val="top"/>
          </w:tcPr>
          <w:p>
            <w:pPr>
              <w:keepNext w:val="0"/>
              <w:keepLines w:val="0"/>
              <w:widowControl/>
              <w:suppressLineNumbers w:val="0"/>
              <w:jc w:val="right"/>
              <w:textAlignment w:val="top"/>
              <w:rPr>
                <w:color w:val="auto"/>
              </w:rPr>
            </w:pPr>
            <w:r>
              <w:rPr>
                <w:rFonts w:hint="eastAsia" w:ascii="宋体" w:hAnsi="宋体" w:eastAsia="宋体" w:cs="宋体"/>
                <w:i w:val="0"/>
                <w:iCs w:val="0"/>
                <w:color w:val="auto"/>
                <w:kern w:val="0"/>
                <w:sz w:val="20"/>
                <w:szCs w:val="20"/>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20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30239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其他交通费用</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i w:val="0"/>
                <w:iCs w:val="0"/>
                <w:color w:val="auto"/>
                <w:sz w:val="21"/>
                <w:szCs w:val="21"/>
                <w:u w:val="none"/>
                <w:lang w:val="en-US" w:eastAsia="uk-UA" w:bidi="ar-SA"/>
              </w:rPr>
            </w:pPr>
            <w:r>
              <w:rPr>
                <w:rFonts w:hint="default" w:ascii="方正书宋_GBK" w:hAnsi="方正书宋_GBK" w:eastAsia="方正书宋_GBK" w:cs="方正书宋_GBK"/>
                <w:i w:val="0"/>
                <w:iCs w:val="0"/>
                <w:color w:val="auto"/>
                <w:kern w:val="0"/>
                <w:sz w:val="21"/>
                <w:szCs w:val="21"/>
                <w:u w:val="none"/>
                <w:lang w:val="en-US" w:eastAsia="zh-CN" w:bidi="ar"/>
              </w:rPr>
              <w:t>6.06</w:t>
            </w:r>
          </w:p>
        </w:tc>
        <w:tc>
          <w:tcPr>
            <w:tcW w:w="2551" w:type="dxa"/>
            <w:vAlign w:val="top"/>
          </w:tcPr>
          <w:p>
            <w:pPr>
              <w:jc w:val="right"/>
              <w:rPr>
                <w:color w:val="auto"/>
              </w:rPr>
            </w:pPr>
          </w:p>
        </w:tc>
        <w:tc>
          <w:tcPr>
            <w:tcW w:w="2552"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rPr>
                <w:rFonts w:hint="eastAsia"/>
                <w:lang w:val="en-US" w:eastAsia="zh-CN"/>
              </w:rPr>
              <w:t>21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30299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其他商品和服务支出</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i w:val="0"/>
                <w:iCs w:val="0"/>
                <w:color w:val="auto"/>
                <w:sz w:val="21"/>
                <w:szCs w:val="21"/>
                <w:u w:val="none"/>
                <w:lang w:val="en-US" w:eastAsia="uk-UA" w:bidi="ar-SA"/>
              </w:rPr>
            </w:pPr>
            <w:r>
              <w:rPr>
                <w:rFonts w:hint="default" w:ascii="方正书宋_GBK" w:hAnsi="方正书宋_GBK" w:eastAsia="方正书宋_GBK" w:cs="方正书宋_GBK"/>
                <w:i w:val="0"/>
                <w:iCs w:val="0"/>
                <w:color w:val="auto"/>
                <w:kern w:val="0"/>
                <w:sz w:val="21"/>
                <w:szCs w:val="21"/>
                <w:u w:val="none"/>
                <w:lang w:val="en-US" w:eastAsia="zh-CN" w:bidi="ar"/>
              </w:rPr>
              <w:t>0.56</w:t>
            </w:r>
          </w:p>
        </w:tc>
        <w:tc>
          <w:tcPr>
            <w:tcW w:w="2551" w:type="dxa"/>
            <w:vAlign w:val="top"/>
          </w:tcPr>
          <w:p>
            <w:pPr>
              <w:jc w:val="right"/>
              <w:rPr>
                <w:color w:val="auto"/>
              </w:rPr>
            </w:pPr>
          </w:p>
        </w:tc>
        <w:tc>
          <w:tcPr>
            <w:tcW w:w="2552" w:type="dxa"/>
            <w:vAlign w:val="center"/>
          </w:tcPr>
          <w:p>
            <w:pPr>
              <w:keepNext w:val="0"/>
              <w:keepLines w:val="0"/>
              <w:widowControl/>
              <w:suppressLineNumbers w:val="0"/>
              <w:jc w:val="right"/>
              <w:textAlignment w:val="center"/>
              <w:rPr>
                <w:color w:val="auto"/>
              </w:rPr>
            </w:pPr>
            <w:r>
              <w:rPr>
                <w:rFonts w:hint="default" w:ascii="方正书宋_GBK" w:hAnsi="方正书宋_GBK" w:eastAsia="方正书宋_GBK" w:cs="方正书宋_GBK"/>
                <w:i w:val="0"/>
                <w:iCs w:val="0"/>
                <w:color w:val="auto"/>
                <w:kern w:val="0"/>
                <w:sz w:val="21"/>
                <w:szCs w:val="21"/>
                <w:u w:val="none"/>
                <w:lang w:val="en-US" w:eastAsia="zh-CN" w:bidi="ar"/>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rPr>
                <w:rFonts w:hint="eastAsia"/>
                <w:lang w:val="en-US" w:eastAsia="zh-CN"/>
              </w:rPr>
              <w:t>22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对个人和家庭的补助</w:t>
            </w:r>
          </w:p>
        </w:tc>
        <w:tc>
          <w:tcPr>
            <w:tcW w:w="2551" w:type="dxa"/>
            <w:vAlign w:val="top"/>
          </w:tcPr>
          <w:p>
            <w:pPr>
              <w:keepNext w:val="0"/>
              <w:keepLines w:val="0"/>
              <w:widowControl/>
              <w:suppressLineNumbers w:val="0"/>
              <w:jc w:val="right"/>
              <w:textAlignment w:val="top"/>
            </w:pPr>
          </w:p>
        </w:tc>
        <w:tc>
          <w:tcPr>
            <w:tcW w:w="2551" w:type="dxa"/>
            <w:vAlign w:val="top"/>
          </w:tcPr>
          <w:p>
            <w:pPr>
              <w:keepNext w:val="0"/>
              <w:keepLines w:val="0"/>
              <w:widowControl/>
              <w:suppressLineNumbers w:val="0"/>
              <w:jc w:val="right"/>
              <w:textAlignment w:val="top"/>
            </w:pP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rPr>
                <w:rFonts w:hint="eastAsia"/>
                <w:lang w:val="en-US" w:eastAsia="zh-CN"/>
              </w:rPr>
              <w:t>23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30305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生活补助</w:t>
            </w:r>
          </w:p>
        </w:tc>
        <w:tc>
          <w:tcPr>
            <w:tcW w:w="2551" w:type="dxa"/>
            <w:vAlign w:val="top"/>
          </w:tcPr>
          <w:p>
            <w:pPr>
              <w:keepNext w:val="0"/>
              <w:keepLines w:val="0"/>
              <w:widowControl/>
              <w:suppressLineNumbers w:val="0"/>
              <w:jc w:val="right"/>
              <w:textAlignment w:val="top"/>
            </w:pPr>
          </w:p>
        </w:tc>
        <w:tc>
          <w:tcPr>
            <w:tcW w:w="2551" w:type="dxa"/>
            <w:vAlign w:val="top"/>
          </w:tcPr>
          <w:p>
            <w:pPr>
              <w:keepNext w:val="0"/>
              <w:keepLines w:val="0"/>
              <w:widowControl/>
              <w:suppressLineNumbers w:val="0"/>
              <w:jc w:val="right"/>
              <w:textAlignment w:val="top"/>
            </w:pPr>
          </w:p>
        </w:tc>
        <w:tc>
          <w:tcPr>
            <w:tcW w:w="2552" w:type="dxa"/>
            <w:vAlign w:val="top"/>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keepNext w:val="0"/>
              <w:keepLines w:val="0"/>
              <w:widowControl/>
              <w:suppressLineNumbers w:val="0"/>
              <w:jc w:val="right"/>
              <w:textAlignment w:val="center"/>
              <w:rPr>
                <w:rFonts w:hint="default" w:eastAsia="方正书宋_GBK"/>
                <w:lang w:val="en-US" w:eastAsia="zh-CN"/>
              </w:rPr>
            </w:pPr>
            <w:r>
              <w:rPr>
                <w:rFonts w:hint="default" w:ascii="方正书宋_GBK" w:hAnsi="方正书宋_GBK" w:eastAsia="方正书宋_GBK" w:cs="方正书宋_GBK"/>
                <w:b/>
                <w:bCs/>
                <w:i w:val="0"/>
                <w:iCs w:val="0"/>
                <w:color w:val="000000"/>
                <w:kern w:val="0"/>
                <w:sz w:val="21"/>
                <w:szCs w:val="21"/>
                <w:u w:val="none"/>
                <w:lang w:val="en-US" w:eastAsia="zh-CN" w:bidi="ar"/>
              </w:rPr>
              <w:t>3.9</w:t>
            </w:r>
          </w:p>
        </w:tc>
        <w:tc>
          <w:tcPr>
            <w:tcW w:w="2381" w:type="dxa"/>
            <w:vAlign w:val="center"/>
          </w:tcPr>
          <w:p>
            <w:pPr>
              <w:keepNext w:val="0"/>
              <w:keepLines w:val="0"/>
              <w:widowControl/>
              <w:suppressLineNumbers w:val="0"/>
              <w:jc w:val="right"/>
              <w:textAlignment w:val="center"/>
              <w:rPr>
                <w:rFonts w:hint="default" w:eastAsia="方正书宋_GBK"/>
                <w:lang w:val="en-US" w:eastAsia="zh-CN"/>
              </w:rPr>
            </w:pPr>
            <w:r>
              <w:rPr>
                <w:rFonts w:hint="default" w:ascii="方正书宋_GBK" w:hAnsi="方正书宋_GBK" w:eastAsia="方正书宋_GBK" w:cs="方正书宋_GBK"/>
                <w:b/>
                <w:bCs/>
                <w:i w:val="0"/>
                <w:iCs w:val="0"/>
                <w:color w:val="000000"/>
                <w:kern w:val="0"/>
                <w:sz w:val="21"/>
                <w:szCs w:val="21"/>
                <w:u w:val="none"/>
                <w:lang w:val="en-US" w:eastAsia="zh-CN" w:bidi="ar"/>
              </w:rPr>
              <w:t>3.9</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keepNext w:val="0"/>
              <w:keepLines w:val="0"/>
              <w:widowControl/>
              <w:suppressLineNumbers w:val="0"/>
              <w:jc w:val="right"/>
              <w:textAlignment w:val="center"/>
              <w:rPr>
                <w:rFonts w:hint="default" w:ascii="方正书宋_GBK" w:hAnsi="方正书宋_GBK" w:eastAsia="方正书宋_GBK" w:cs="方正书宋_GBK"/>
                <w:b/>
                <w:sz w:val="21"/>
                <w:szCs w:val="24"/>
                <w:lang w:val="en-US" w:eastAsia="zh-CN" w:bidi="ar-SA"/>
              </w:rPr>
            </w:pPr>
            <w:r>
              <w:rPr>
                <w:rFonts w:hint="default" w:ascii="方正书宋_GBK" w:hAnsi="方正书宋_GBK" w:eastAsia="方正书宋_GBK" w:cs="方正书宋_GBK"/>
                <w:b/>
                <w:bCs/>
                <w:i w:val="0"/>
                <w:iCs w:val="0"/>
                <w:color w:val="000000"/>
                <w:kern w:val="0"/>
                <w:sz w:val="21"/>
                <w:szCs w:val="21"/>
                <w:u w:val="none"/>
                <w:lang w:val="en-US" w:eastAsia="zh-CN" w:bidi="ar"/>
              </w:rPr>
              <w:t>2</w:t>
            </w:r>
            <w:r>
              <w:rPr>
                <w:rFonts w:hint="eastAsia" w:ascii="方正书宋_GBK" w:hAnsi="方正书宋_GBK" w:eastAsia="方正书宋_GBK" w:cs="方正书宋_GBK"/>
                <w:b/>
                <w:bCs/>
                <w:i w:val="0"/>
                <w:iCs w:val="0"/>
                <w:color w:val="000000"/>
                <w:kern w:val="0"/>
                <w:sz w:val="21"/>
                <w:szCs w:val="21"/>
                <w:u w:val="none"/>
                <w:lang w:val="en-US" w:eastAsia="zh-CN" w:bidi="ar"/>
              </w:rPr>
              <w:t>.6</w:t>
            </w:r>
          </w:p>
        </w:tc>
        <w:tc>
          <w:tcPr>
            <w:tcW w:w="2381" w:type="dxa"/>
            <w:vAlign w:val="center"/>
          </w:tcPr>
          <w:p>
            <w:pPr>
              <w:keepNext w:val="0"/>
              <w:keepLines w:val="0"/>
              <w:widowControl/>
              <w:suppressLineNumbers w:val="0"/>
              <w:jc w:val="right"/>
              <w:textAlignment w:val="center"/>
              <w:rPr>
                <w:rFonts w:hint="default" w:ascii="方正书宋_GBK" w:hAnsi="方正书宋_GBK" w:eastAsia="方正书宋_GBK" w:cs="方正书宋_GBK"/>
                <w:b/>
                <w:sz w:val="21"/>
                <w:szCs w:val="24"/>
                <w:lang w:val="en-US" w:eastAsia="zh-CN" w:bidi="ar-SA"/>
              </w:rPr>
            </w:pPr>
            <w:r>
              <w:rPr>
                <w:rFonts w:hint="default" w:ascii="方正书宋_GBK" w:hAnsi="方正书宋_GBK" w:eastAsia="方正书宋_GBK" w:cs="方正书宋_GBK"/>
                <w:b/>
                <w:bCs/>
                <w:i w:val="0"/>
                <w:iCs w:val="0"/>
                <w:color w:val="000000"/>
                <w:kern w:val="0"/>
                <w:sz w:val="21"/>
                <w:szCs w:val="21"/>
                <w:u w:val="none"/>
                <w:lang w:val="en-US" w:eastAsia="zh-CN" w:bidi="ar"/>
              </w:rPr>
              <w:t>2</w:t>
            </w:r>
            <w:r>
              <w:rPr>
                <w:rFonts w:hint="eastAsia" w:ascii="方正书宋_GBK" w:hAnsi="方正书宋_GBK" w:eastAsia="方正书宋_GBK" w:cs="方正书宋_GBK"/>
                <w:b/>
                <w:bCs/>
                <w:i w:val="0"/>
                <w:iCs w:val="0"/>
                <w:color w:val="000000"/>
                <w:kern w:val="0"/>
                <w:sz w:val="21"/>
                <w:szCs w:val="21"/>
                <w:u w:val="none"/>
                <w:lang w:val="en-US" w:eastAsia="zh-CN" w:bidi="ar"/>
              </w:rPr>
              <w:t>.6</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21"/>
                <w:szCs w:val="21"/>
                <w:u w:val="none"/>
                <w:lang w:val="en-US" w:eastAsia="zh-CN" w:bidi="ar"/>
              </w:rPr>
              <w:t>2.00</w:t>
            </w:r>
          </w:p>
        </w:tc>
        <w:tc>
          <w:tcPr>
            <w:tcW w:w="238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21"/>
                <w:szCs w:val="21"/>
                <w:u w:val="none"/>
                <w:lang w:val="en-US" w:eastAsia="zh-CN" w:bidi="ar"/>
              </w:rPr>
              <w:t>2.00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2.00</w:t>
            </w:r>
          </w:p>
        </w:tc>
        <w:tc>
          <w:tcPr>
            <w:tcW w:w="238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0.60</w:t>
            </w:r>
          </w:p>
        </w:tc>
        <w:tc>
          <w:tcPr>
            <w:tcW w:w="238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0.60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r>
              <w:t>四、会议费</w:t>
            </w:r>
          </w:p>
        </w:tc>
        <w:tc>
          <w:tcPr>
            <w:tcW w:w="2382" w:type="dxa"/>
            <w:vAlign w:val="center"/>
          </w:tcPr>
          <w:p>
            <w:pPr>
              <w:keepNext w:val="0"/>
              <w:keepLines w:val="0"/>
              <w:widowControl/>
              <w:suppressLineNumbers w:val="0"/>
              <w:jc w:val="right"/>
              <w:textAlignment w:val="center"/>
              <w:rPr>
                <w:rFonts w:hint="default"/>
                <w:lang w:val="en-US"/>
              </w:rPr>
            </w:pPr>
            <w:r>
              <w:rPr>
                <w:rFonts w:hint="default" w:ascii="方正书宋_GBK" w:hAnsi="方正书宋_GBK" w:eastAsia="方正书宋_GBK" w:cs="方正书宋_GBK"/>
                <w:i w:val="0"/>
                <w:iCs w:val="0"/>
                <w:color w:val="000000"/>
                <w:kern w:val="0"/>
                <w:sz w:val="21"/>
                <w:szCs w:val="21"/>
                <w:u w:val="none"/>
                <w:lang w:val="en-US" w:eastAsia="zh-CN" w:bidi="ar"/>
              </w:rPr>
              <w:t>0.6</w:t>
            </w:r>
            <w:r>
              <w:rPr>
                <w:rFonts w:hint="eastAsia" w:ascii="方正书宋_GBK" w:hAnsi="方正书宋_GBK" w:eastAsia="方正书宋_GBK" w:cs="方正书宋_GBK"/>
                <w:i w:val="0"/>
                <w:iCs w:val="0"/>
                <w:color w:val="000000"/>
                <w:kern w:val="0"/>
                <w:sz w:val="21"/>
                <w:szCs w:val="21"/>
                <w:u w:val="none"/>
                <w:lang w:val="en-US" w:eastAsia="zh-CN" w:bidi="ar"/>
              </w:rPr>
              <w:t>0</w:t>
            </w:r>
          </w:p>
        </w:tc>
        <w:tc>
          <w:tcPr>
            <w:tcW w:w="238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000000"/>
                <w:kern w:val="0"/>
                <w:sz w:val="21"/>
                <w:szCs w:val="21"/>
                <w:u w:val="none"/>
                <w:lang w:val="en-US" w:eastAsia="zh-CN" w:bidi="ar"/>
              </w:rPr>
              <w:t>0.6</w:t>
            </w:r>
            <w:r>
              <w:rPr>
                <w:rFonts w:hint="eastAsia" w:ascii="方正书宋_GBK" w:hAnsi="方正书宋_GBK" w:eastAsia="方正书宋_GBK" w:cs="方正书宋_GBK"/>
                <w:i w:val="0"/>
                <w:iCs w:val="0"/>
                <w:color w:val="000000"/>
                <w:kern w:val="0"/>
                <w:sz w:val="21"/>
                <w:szCs w:val="21"/>
                <w:u w:val="none"/>
                <w:lang w:val="en-US" w:eastAsia="zh-CN" w:bidi="ar"/>
              </w:rPr>
              <w:t>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r>
              <w:t>五、培训费</w:t>
            </w:r>
          </w:p>
        </w:tc>
        <w:tc>
          <w:tcPr>
            <w:tcW w:w="2382" w:type="dxa"/>
            <w:vAlign w:val="center"/>
          </w:tcPr>
          <w:p>
            <w:pPr>
              <w:keepNext w:val="0"/>
              <w:keepLines w:val="0"/>
              <w:widowControl/>
              <w:suppressLineNumbers w:val="0"/>
              <w:jc w:val="right"/>
              <w:textAlignment w:val="center"/>
              <w:rPr>
                <w:rFonts w:hint="default"/>
                <w:lang w:val="en-US"/>
              </w:rPr>
            </w:pPr>
            <w:r>
              <w:rPr>
                <w:rFonts w:hint="default" w:ascii="方正书宋_GBK" w:hAnsi="方正书宋_GBK" w:eastAsia="方正书宋_GBK" w:cs="方正书宋_GBK"/>
                <w:i w:val="0"/>
                <w:iCs w:val="0"/>
                <w:color w:val="000000"/>
                <w:kern w:val="0"/>
                <w:sz w:val="21"/>
                <w:szCs w:val="21"/>
                <w:u w:val="none"/>
                <w:lang w:val="en-US" w:eastAsia="zh-CN" w:bidi="ar"/>
              </w:rPr>
              <w:t>0.7</w:t>
            </w:r>
            <w:r>
              <w:rPr>
                <w:rFonts w:hint="eastAsia" w:ascii="方正书宋_GBK" w:hAnsi="方正书宋_GBK" w:eastAsia="方正书宋_GBK" w:cs="方正书宋_GBK"/>
                <w:i w:val="0"/>
                <w:iCs w:val="0"/>
                <w:color w:val="000000"/>
                <w:kern w:val="0"/>
                <w:sz w:val="21"/>
                <w:szCs w:val="21"/>
                <w:u w:val="none"/>
                <w:lang w:val="en-US" w:eastAsia="zh-CN" w:bidi="ar"/>
              </w:rPr>
              <w:t>0</w:t>
            </w:r>
          </w:p>
        </w:tc>
        <w:tc>
          <w:tcPr>
            <w:tcW w:w="238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i w:val="0"/>
                <w:iCs w:val="0"/>
                <w:color w:val="000000"/>
                <w:kern w:val="0"/>
                <w:sz w:val="21"/>
                <w:szCs w:val="21"/>
                <w:u w:val="none"/>
                <w:lang w:val="en-US" w:eastAsia="zh-CN" w:bidi="ar"/>
              </w:rPr>
              <w:t>0.7</w:t>
            </w:r>
            <w:r>
              <w:rPr>
                <w:rFonts w:hint="eastAsia" w:ascii="方正书宋_GBK" w:hAnsi="方正书宋_GBK" w:eastAsia="方正书宋_GBK" w:cs="方正书宋_GBK"/>
                <w:i w:val="0"/>
                <w:iCs w:val="0"/>
                <w:color w:val="000000"/>
                <w:kern w:val="0"/>
                <w:sz w:val="21"/>
                <w:szCs w:val="21"/>
                <w:u w:val="none"/>
                <w:lang w:val="en-US" w:eastAsia="zh-CN" w:bidi="ar"/>
              </w:rPr>
              <w:t>0</w:t>
            </w:r>
          </w:p>
        </w:tc>
        <w:tc>
          <w:tcPr>
            <w:tcW w:w="2381" w:type="dxa"/>
            <w:vAlign w:val="center"/>
          </w:tcPr>
          <w:p>
            <w:pPr>
              <w:pStyle w:val="15"/>
            </w:pPr>
          </w:p>
        </w:tc>
        <w:tc>
          <w:tcPr>
            <w:tcW w:w="2381" w:type="dxa"/>
            <w:vAlign w:val="center"/>
          </w:tcPr>
          <w:p>
            <w:pPr>
              <w:pStyle w:val="15"/>
            </w:pPr>
          </w:p>
        </w:tc>
      </w:tr>
    </w:tbl>
    <w:p>
      <w:pPr>
        <w:jc w:val="both"/>
        <w:outlineLvl w:val="0"/>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涞水县统计局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keepNext w:val="0"/>
        <w:keepLines w:val="0"/>
        <w:pageBreakBefore w:val="0"/>
        <w:kinsoku/>
        <w:wordWrap/>
        <w:overflowPunct/>
        <w:topLinePunct w:val="0"/>
        <w:autoSpaceDE/>
        <w:bidi w:val="0"/>
        <w:adjustRightInd/>
        <w:snapToGrid/>
        <w:spacing w:line="560" w:lineRule="exact"/>
        <w:ind w:firstLine="560"/>
        <w:textAlignment w:val="auto"/>
        <w:rPr>
          <w:rFonts w:hint="eastAsia" w:ascii="宋体" w:hAnsi="宋体" w:eastAsia="宋体" w:cs="宋体"/>
          <w:sz w:val="28"/>
          <w:szCs w:val="28"/>
        </w:rPr>
      </w:pPr>
      <w:bookmarkStart w:id="8" w:name="_Toc_3_3_0000000014"/>
      <w:r>
        <w:rPr>
          <w:rFonts w:hint="eastAsia" w:ascii="宋体" w:hAnsi="宋体" w:eastAsia="宋体" w:cs="宋体"/>
          <w:color w:val="000000"/>
          <w:sz w:val="28"/>
          <w:szCs w:val="28"/>
        </w:rPr>
        <w:t>按照《</w:t>
      </w:r>
      <w:r>
        <w:rPr>
          <w:rFonts w:hint="eastAsia" w:ascii="宋体" w:hAnsi="宋体" w:eastAsia="宋体" w:cs="宋体"/>
          <w:color w:val="000000"/>
          <w:sz w:val="28"/>
          <w:szCs w:val="28"/>
          <w:lang w:eastAsia="zh-CN"/>
        </w:rPr>
        <w:t>中华人民共和国</w:t>
      </w:r>
      <w:r>
        <w:rPr>
          <w:rFonts w:hint="eastAsia" w:ascii="宋体" w:hAnsi="宋体" w:eastAsia="宋体" w:cs="宋体"/>
          <w:color w:val="000000"/>
          <w:sz w:val="28"/>
          <w:szCs w:val="28"/>
        </w:rPr>
        <w:t>预算法》、《地方预决算公开操作规程》和《关于进一步推进预算公开工作的实施意见》规定，现将</w:t>
      </w:r>
      <w:r>
        <w:rPr>
          <w:rFonts w:hint="eastAsia" w:ascii="宋体" w:hAnsi="宋体" w:eastAsia="宋体" w:cs="宋体"/>
          <w:color w:val="000000"/>
          <w:sz w:val="28"/>
          <w:szCs w:val="28"/>
          <w:lang w:eastAsia="zh-CN"/>
        </w:rPr>
        <w:t>涞水县统计局</w:t>
      </w:r>
      <w:r>
        <w:rPr>
          <w:rFonts w:hint="eastAsia" w:ascii="宋体" w:hAnsi="宋体" w:eastAsia="宋体" w:cs="宋体"/>
          <w:color w:val="000000"/>
          <w:sz w:val="28"/>
          <w:szCs w:val="28"/>
        </w:rPr>
        <w:t>202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年单位预算公开如下：</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一、单位职责及机构设置情况</w:t>
      </w:r>
    </w:p>
    <w:p>
      <w:pPr>
        <w:keepNext w:val="0"/>
        <w:keepLines w:val="0"/>
        <w:pageBreakBefore w:val="0"/>
        <w:kinsoku/>
        <w:wordWrap/>
        <w:overflowPunct/>
        <w:topLinePunct w:val="0"/>
        <w:autoSpaceDE/>
        <w:bidi w:val="0"/>
        <w:adjustRightInd/>
        <w:snapToGrid/>
        <w:spacing w:line="560" w:lineRule="exact"/>
        <w:ind w:firstLine="64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单位职责：</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涞水县统计局是负责全县社会经济统计工作的职能部门，行政编制6个，事业编制7个。内设3个行政股室：办公室、综合业务股（工交基建股、贸易外经股），下管2个事业单位：农调队、普查中心。主要职责如下：</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（一）、统计调查计划；组织领导和监督检查全县各级各部门统计和国民经济核算工作，监督检查统计法律、法规实施情况。</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（二）、贯彻执行国家、省国民经济核算体系、统计指标体系和基本统计制度；管理全县各项核算制度；</w:t>
      </w:r>
      <w:r>
        <w:rPr>
          <w:rFonts w:hint="eastAsia" w:ascii="宋体" w:hAnsi="宋体" w:eastAsia="宋体" w:cs="宋体"/>
          <w:sz w:val="28"/>
          <w:szCs w:val="28"/>
          <w:lang w:eastAsia="zh-CN"/>
        </w:rPr>
        <w:t>制订</w:t>
      </w:r>
      <w:r>
        <w:rPr>
          <w:rFonts w:hint="eastAsia" w:ascii="宋体" w:hAnsi="宋体" w:eastAsia="宋体" w:cs="宋体"/>
          <w:sz w:val="28"/>
          <w:szCs w:val="28"/>
        </w:rPr>
        <w:t>全县统计调查标准和统计调查制度；组织管理、审批全县各级各部门统计调查项目（包括社会和涉外调查）、调查计划、调查方案。</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三）、组织完成国家、省、市部署的普查任务；组织全县社会经济调查，汇总、整理全县基本统计资料；对国民经济、科技进步和社会发展等情况进行统计分析、统计预测和统计监督，向县委、县政府及有关部门提供统计信息和咨询建议。</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（四）、统一核定、管理、公布、出版全县基本统计资料，定期向社会公众发布全县国民经济和社会情况统计信息。</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（五）、管理全县统计信息自动化系统和统计数据库体系。</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（六）、组织管理统计人员持证上岗，协助组织管理统计专业技术资格考试和专业技术职务评聘工作。</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（七）、协助管理各乡镇统计站统计人员。</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（八）、承办县委、县政府交办的其他事项。  </w:t>
      </w:r>
    </w:p>
    <w:p>
      <w:pPr>
        <w:keepNext w:val="0"/>
        <w:keepLines w:val="0"/>
        <w:pageBreakBefore w:val="0"/>
        <w:kinsoku/>
        <w:wordWrap/>
        <w:overflowPunct/>
        <w:topLinePunct w:val="0"/>
        <w:autoSpaceDE/>
        <w:bidi w:val="0"/>
        <w:adjustRightInd/>
        <w:snapToGrid/>
        <w:spacing w:line="560" w:lineRule="exact"/>
        <w:ind w:firstLine="640"/>
        <w:textAlignment w:val="auto"/>
        <w:rPr>
          <w:rFonts w:hint="eastAsia" w:ascii="宋体" w:hAnsi="宋体" w:eastAsia="宋体" w:cs="宋体"/>
          <w:sz w:val="28"/>
          <w:szCs w:val="28"/>
        </w:rPr>
      </w:pPr>
      <w:r>
        <w:rPr>
          <w:rFonts w:hint="eastAsia" w:ascii="宋体" w:hAnsi="宋体" w:eastAsia="宋体" w:cs="宋体"/>
          <w:b/>
          <w:color w:val="000000"/>
          <w:sz w:val="28"/>
          <w:szCs w:val="28"/>
        </w:rPr>
        <w:t>机构设置：</w:t>
      </w:r>
    </w:p>
    <w:p>
      <w:pPr>
        <w:keepNext w:val="0"/>
        <w:keepLines w:val="0"/>
        <w:pageBreakBefore w:val="0"/>
        <w:kinsoku/>
        <w:wordWrap/>
        <w:overflowPunct/>
        <w:topLinePunct w:val="0"/>
        <w:autoSpaceDE/>
        <w:bidi w:val="0"/>
        <w:adjustRightInd/>
        <w:snapToGrid/>
        <w:spacing w:line="560" w:lineRule="exact"/>
        <w:jc w:val="center"/>
        <w:textAlignment w:val="auto"/>
        <w:rPr>
          <w:sz w:val="28"/>
          <w:szCs w:val="28"/>
        </w:rPr>
      </w:pPr>
      <w:r>
        <w:rPr>
          <w:rFonts w:hint="eastAsia" w:ascii="方正小标宋_GBK" w:hAnsi="方正小标宋_GBK" w:eastAsia="方正小标宋_GBK" w:cs="方正小标宋_GBK"/>
          <w:color w:val="000000"/>
          <w:sz w:val="28"/>
          <w:szCs w:val="28"/>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keepNext w:val="0"/>
              <w:keepLines w:val="0"/>
              <w:pageBreakBefore w:val="0"/>
              <w:kinsoku/>
              <w:wordWrap/>
              <w:overflowPunct/>
              <w:topLinePunct w:val="0"/>
              <w:autoSpaceDE/>
              <w:bidi w:val="0"/>
              <w:adjustRightInd/>
              <w:snapToGrid/>
              <w:spacing w:line="560" w:lineRule="exact"/>
              <w:textAlignment w:val="auto"/>
            </w:pPr>
            <w:r>
              <w:rPr>
                <w:rFonts w:hint="eastAsia"/>
              </w:rPr>
              <w:t>单位名称</w:t>
            </w:r>
          </w:p>
        </w:tc>
        <w:tc>
          <w:tcPr>
            <w:tcW w:w="1843" w:type="dxa"/>
            <w:vAlign w:val="center"/>
          </w:tcPr>
          <w:p>
            <w:pPr>
              <w:pStyle w:val="14"/>
              <w:keepNext w:val="0"/>
              <w:keepLines w:val="0"/>
              <w:pageBreakBefore w:val="0"/>
              <w:kinsoku/>
              <w:wordWrap/>
              <w:overflowPunct/>
              <w:topLinePunct w:val="0"/>
              <w:autoSpaceDE/>
              <w:bidi w:val="0"/>
              <w:adjustRightInd/>
              <w:snapToGrid/>
              <w:spacing w:line="560" w:lineRule="exact"/>
              <w:textAlignment w:val="auto"/>
            </w:pPr>
            <w:r>
              <w:rPr>
                <w:rFonts w:hint="eastAsia"/>
              </w:rPr>
              <w:t>单位性质</w:t>
            </w:r>
          </w:p>
        </w:tc>
        <w:tc>
          <w:tcPr>
            <w:tcW w:w="2126" w:type="dxa"/>
            <w:vAlign w:val="center"/>
          </w:tcPr>
          <w:p>
            <w:pPr>
              <w:pStyle w:val="14"/>
              <w:keepNext w:val="0"/>
              <w:keepLines w:val="0"/>
              <w:pageBreakBefore w:val="0"/>
              <w:kinsoku/>
              <w:wordWrap/>
              <w:overflowPunct/>
              <w:topLinePunct w:val="0"/>
              <w:autoSpaceDE/>
              <w:bidi w:val="0"/>
              <w:adjustRightInd/>
              <w:snapToGrid/>
              <w:spacing w:line="560" w:lineRule="exact"/>
              <w:textAlignment w:val="auto"/>
            </w:pPr>
            <w:r>
              <w:rPr>
                <w:rFonts w:hint="eastAsia"/>
              </w:rPr>
              <w:t>单位规格</w:t>
            </w:r>
          </w:p>
        </w:tc>
        <w:tc>
          <w:tcPr>
            <w:tcW w:w="3827" w:type="dxa"/>
            <w:vAlign w:val="center"/>
          </w:tcPr>
          <w:p>
            <w:pPr>
              <w:pStyle w:val="14"/>
              <w:keepNext w:val="0"/>
              <w:keepLines w:val="0"/>
              <w:pageBreakBefore w:val="0"/>
              <w:kinsoku/>
              <w:wordWrap/>
              <w:overflowPunct/>
              <w:topLinePunct w:val="0"/>
              <w:autoSpaceDE/>
              <w:bidi w:val="0"/>
              <w:adjustRightInd/>
              <w:snapToGrid/>
              <w:spacing w:line="560" w:lineRule="exact"/>
              <w:textAlignment w:val="auto"/>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keepNext w:val="0"/>
              <w:keepLines w:val="0"/>
              <w:pageBreakBefore w:val="0"/>
              <w:kinsoku/>
              <w:wordWrap/>
              <w:overflowPunct/>
              <w:topLinePunct w:val="0"/>
              <w:autoSpaceDE/>
              <w:bidi w:val="0"/>
              <w:adjustRightInd/>
              <w:snapToGrid/>
              <w:spacing w:line="560" w:lineRule="exact"/>
              <w:textAlignment w:val="auto"/>
            </w:pPr>
            <w:r>
              <w:rPr>
                <w:rFonts w:hint="eastAsia"/>
                <w:lang w:eastAsia="zh-CN"/>
              </w:rPr>
              <w:t>涞水县统计</w:t>
            </w:r>
            <w:r>
              <w:rPr>
                <w:rFonts w:hint="eastAsia"/>
              </w:rPr>
              <w:t>局（本级）</w:t>
            </w:r>
          </w:p>
        </w:tc>
        <w:tc>
          <w:tcPr>
            <w:tcW w:w="1843" w:type="dxa"/>
            <w:vAlign w:val="center"/>
          </w:tcPr>
          <w:p>
            <w:pPr>
              <w:pStyle w:val="17"/>
              <w:keepNext w:val="0"/>
              <w:keepLines w:val="0"/>
              <w:pageBreakBefore w:val="0"/>
              <w:kinsoku/>
              <w:wordWrap/>
              <w:overflowPunct/>
              <w:topLinePunct w:val="0"/>
              <w:autoSpaceDE/>
              <w:bidi w:val="0"/>
              <w:adjustRightInd/>
              <w:snapToGrid/>
              <w:spacing w:line="560" w:lineRule="exact"/>
              <w:textAlignment w:val="auto"/>
            </w:pPr>
            <w:r>
              <w:rPr>
                <w:rFonts w:hint="eastAsia"/>
              </w:rPr>
              <w:t>行政</w:t>
            </w:r>
          </w:p>
        </w:tc>
        <w:tc>
          <w:tcPr>
            <w:tcW w:w="2126" w:type="dxa"/>
            <w:vAlign w:val="center"/>
          </w:tcPr>
          <w:p>
            <w:pPr>
              <w:pStyle w:val="17"/>
              <w:keepNext w:val="0"/>
              <w:keepLines w:val="0"/>
              <w:pageBreakBefore w:val="0"/>
              <w:kinsoku/>
              <w:wordWrap/>
              <w:overflowPunct/>
              <w:topLinePunct w:val="0"/>
              <w:autoSpaceDE/>
              <w:bidi w:val="0"/>
              <w:adjustRightInd/>
              <w:snapToGrid/>
              <w:spacing w:line="560" w:lineRule="exact"/>
              <w:textAlignment w:val="auto"/>
            </w:pPr>
            <w:r>
              <w:rPr>
                <w:rFonts w:hint="eastAsia"/>
              </w:rPr>
              <w:t>正科级</w:t>
            </w:r>
          </w:p>
        </w:tc>
        <w:tc>
          <w:tcPr>
            <w:tcW w:w="3827" w:type="dxa"/>
            <w:vAlign w:val="center"/>
          </w:tcPr>
          <w:p>
            <w:pPr>
              <w:pStyle w:val="17"/>
              <w:keepNext w:val="0"/>
              <w:keepLines w:val="0"/>
              <w:pageBreakBefore w:val="0"/>
              <w:kinsoku/>
              <w:wordWrap/>
              <w:overflowPunct/>
              <w:topLinePunct w:val="0"/>
              <w:autoSpaceDE/>
              <w:bidi w:val="0"/>
              <w:adjustRightInd/>
              <w:snapToGrid/>
              <w:spacing w:line="560" w:lineRule="exact"/>
              <w:textAlignment w:val="auto"/>
            </w:pPr>
            <w:r>
              <w:rPr>
                <w:rFonts w:hint="eastAsia"/>
              </w:rPr>
              <w:t>财政拨款</w:t>
            </w:r>
          </w:p>
        </w:tc>
      </w:tr>
    </w:tbl>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二、</w:t>
      </w:r>
      <w:r>
        <w:rPr>
          <w:rFonts w:hint="eastAsia" w:ascii="宋体" w:hAnsi="宋体" w:eastAsia="宋体" w:cs="宋体"/>
          <w:b/>
          <w:bCs/>
          <w:color w:val="000000"/>
          <w:sz w:val="28"/>
          <w:szCs w:val="28"/>
          <w:lang w:eastAsia="zh-CN"/>
        </w:rPr>
        <w:t>部门</w:t>
      </w:r>
      <w:r>
        <w:rPr>
          <w:rFonts w:hint="eastAsia" w:ascii="宋体" w:hAnsi="宋体" w:eastAsia="宋体" w:cs="宋体"/>
          <w:b/>
          <w:bCs/>
          <w:color w:val="000000"/>
          <w:sz w:val="28"/>
          <w:szCs w:val="28"/>
        </w:rPr>
        <w:t>预算安排的总体情况</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（一）、收入预算  </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反映当年全部收入。202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年预算总收入</w:t>
      </w:r>
      <w:r>
        <w:rPr>
          <w:rFonts w:hint="eastAsia" w:ascii="宋体" w:hAnsi="宋体" w:eastAsia="宋体" w:cs="宋体"/>
          <w:color w:val="000000"/>
          <w:sz w:val="28"/>
          <w:szCs w:val="28"/>
          <w:lang w:val="en-US" w:eastAsia="zh-CN"/>
        </w:rPr>
        <w:t>394.74</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其中：</w:t>
      </w:r>
      <w:r>
        <w:rPr>
          <w:rFonts w:hint="eastAsia" w:ascii="宋体" w:hAnsi="宋体" w:eastAsia="宋体" w:cs="宋体"/>
          <w:color w:val="000000"/>
          <w:sz w:val="28"/>
          <w:szCs w:val="28"/>
          <w:lang w:eastAsia="zh-CN"/>
        </w:rPr>
        <w:t>一、</w:t>
      </w:r>
      <w:r>
        <w:rPr>
          <w:rFonts w:hint="eastAsia" w:ascii="宋体" w:hAnsi="宋体" w:eastAsia="宋体" w:cs="宋体"/>
          <w:color w:val="000000"/>
          <w:sz w:val="28"/>
          <w:szCs w:val="28"/>
        </w:rPr>
        <w:t>财政拨款收入</w:t>
      </w:r>
      <w:r>
        <w:rPr>
          <w:rFonts w:hint="eastAsia" w:ascii="宋体" w:hAnsi="宋体" w:eastAsia="宋体" w:cs="宋体"/>
          <w:color w:val="000000"/>
          <w:sz w:val="28"/>
          <w:szCs w:val="28"/>
          <w:lang w:val="en-US" w:eastAsia="zh-CN"/>
        </w:rPr>
        <w:t>394.74</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基金预算收入0 万元 ，财政专户核拨收入0万元，其他来源收入 0万元。</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（二）、支出预算 </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本年度支出预算</w:t>
      </w:r>
      <w:r>
        <w:rPr>
          <w:rFonts w:hint="eastAsia" w:ascii="宋体" w:hAnsi="宋体" w:eastAsia="宋体" w:cs="宋体"/>
          <w:color w:val="000000"/>
          <w:sz w:val="28"/>
          <w:szCs w:val="28"/>
          <w:lang w:val="en-US" w:eastAsia="zh-CN"/>
        </w:rPr>
        <w:t>394.74</w:t>
      </w:r>
      <w:r>
        <w:rPr>
          <w:rFonts w:hint="eastAsia" w:ascii="宋体" w:hAnsi="宋体" w:eastAsia="宋体" w:cs="宋体"/>
          <w:color w:val="000000"/>
          <w:sz w:val="28"/>
          <w:szCs w:val="28"/>
        </w:rPr>
        <w:t>万元，其中：基本支出预算</w:t>
      </w:r>
      <w:r>
        <w:rPr>
          <w:rFonts w:hint="eastAsia" w:ascii="宋体" w:hAnsi="宋体" w:eastAsia="宋体" w:cs="宋体"/>
          <w:color w:val="000000"/>
          <w:sz w:val="28"/>
          <w:szCs w:val="28"/>
          <w:lang w:val="en-US" w:eastAsia="zh-CN"/>
        </w:rPr>
        <w:t>268.16</w:t>
      </w:r>
      <w:r>
        <w:rPr>
          <w:rFonts w:hint="eastAsia" w:ascii="宋体" w:hAnsi="宋体" w:eastAsia="宋体" w:cs="宋体"/>
          <w:color w:val="000000"/>
          <w:sz w:val="28"/>
          <w:szCs w:val="28"/>
        </w:rPr>
        <w:t>万元（其中人员支出预算</w:t>
      </w:r>
      <w:r>
        <w:rPr>
          <w:rFonts w:hint="eastAsia" w:ascii="宋体" w:hAnsi="宋体" w:eastAsia="宋体" w:cs="宋体"/>
          <w:color w:val="000000"/>
          <w:sz w:val="28"/>
          <w:szCs w:val="28"/>
          <w:lang w:val="en-US" w:eastAsia="zh-CN"/>
        </w:rPr>
        <w:t>140.54</w:t>
      </w:r>
      <w:r>
        <w:rPr>
          <w:rFonts w:hint="eastAsia" w:ascii="宋体" w:hAnsi="宋体" w:eastAsia="宋体" w:cs="宋体"/>
          <w:color w:val="000000"/>
          <w:sz w:val="28"/>
          <w:szCs w:val="28"/>
        </w:rPr>
        <w:t>万元，日常公用支出预算</w:t>
      </w:r>
      <w:r>
        <w:rPr>
          <w:rFonts w:hint="eastAsia" w:ascii="宋体" w:hAnsi="宋体" w:eastAsia="宋体" w:cs="宋体"/>
          <w:color w:val="000000"/>
          <w:sz w:val="28"/>
          <w:szCs w:val="28"/>
          <w:lang w:val="en-US" w:eastAsia="zh-CN"/>
        </w:rPr>
        <w:t>127.62</w:t>
      </w:r>
      <w:r>
        <w:rPr>
          <w:rFonts w:hint="eastAsia" w:ascii="宋体" w:hAnsi="宋体" w:eastAsia="宋体" w:cs="宋体"/>
          <w:color w:val="000000"/>
          <w:sz w:val="28"/>
          <w:szCs w:val="28"/>
        </w:rPr>
        <w:t>万元），项目支出预算</w:t>
      </w:r>
      <w:r>
        <w:rPr>
          <w:rFonts w:hint="eastAsia" w:ascii="宋体" w:hAnsi="宋体" w:eastAsia="宋体" w:cs="宋体"/>
          <w:color w:val="000000"/>
          <w:sz w:val="28"/>
          <w:szCs w:val="28"/>
          <w:lang w:val="en-US" w:eastAsia="zh-CN"/>
        </w:rPr>
        <w:t>126.58</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，主要是行政运行</w:t>
      </w:r>
      <w:r>
        <w:rPr>
          <w:rFonts w:hint="eastAsia" w:ascii="宋体" w:hAnsi="宋体" w:eastAsia="宋体" w:cs="宋体"/>
          <w:color w:val="000000"/>
          <w:sz w:val="28"/>
          <w:szCs w:val="28"/>
          <w:lang w:val="en-US" w:eastAsia="zh-CN"/>
        </w:rPr>
        <w:t>26.16万元，</w:t>
      </w:r>
      <w:r>
        <w:rPr>
          <w:rFonts w:hint="eastAsia" w:ascii="宋体" w:hAnsi="宋体" w:eastAsia="宋体" w:cs="宋体"/>
          <w:color w:val="000000"/>
          <w:sz w:val="28"/>
          <w:szCs w:val="28"/>
          <w:lang w:eastAsia="zh-CN"/>
        </w:rPr>
        <w:t>一般行政管理事务</w:t>
      </w:r>
      <w:r>
        <w:rPr>
          <w:rFonts w:hint="eastAsia" w:ascii="宋体" w:hAnsi="宋体" w:eastAsia="宋体" w:cs="宋体"/>
          <w:color w:val="000000"/>
          <w:sz w:val="28"/>
          <w:szCs w:val="28"/>
          <w:lang w:val="en-US" w:eastAsia="zh-CN"/>
        </w:rPr>
        <w:t>5.5万元，专项普查活动52万元，统计抽样调查42.92万元</w:t>
      </w:r>
      <w:r>
        <w:rPr>
          <w:rFonts w:hint="eastAsia" w:ascii="宋体" w:hAnsi="宋体" w:eastAsia="宋体" w:cs="宋体"/>
          <w:color w:val="000000"/>
          <w:sz w:val="28"/>
          <w:szCs w:val="28"/>
          <w:lang w:eastAsia="zh-CN"/>
        </w:rPr>
        <w:t>。</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（三）</w:t>
      </w:r>
      <w:r>
        <w:rPr>
          <w:rFonts w:hint="eastAsia" w:ascii="宋体" w:hAnsi="宋体" w:eastAsia="宋体" w:cs="宋体"/>
          <w:color w:val="000000"/>
          <w:sz w:val="28"/>
          <w:szCs w:val="28"/>
        </w:rPr>
        <w:t>、比上年增减情况</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本年对于预算收支安排</w:t>
      </w:r>
      <w:r>
        <w:rPr>
          <w:rFonts w:hint="eastAsia" w:ascii="宋体" w:hAnsi="宋体" w:eastAsia="宋体" w:cs="宋体"/>
          <w:color w:val="000000"/>
          <w:sz w:val="28"/>
          <w:szCs w:val="28"/>
          <w:lang w:val="en-US" w:eastAsia="zh-CN"/>
        </w:rPr>
        <w:t>394.74</w:t>
      </w:r>
      <w:r>
        <w:rPr>
          <w:rFonts w:hint="eastAsia" w:ascii="宋体" w:hAnsi="宋体" w:eastAsia="宋体" w:cs="宋体"/>
          <w:color w:val="000000"/>
          <w:sz w:val="28"/>
          <w:szCs w:val="28"/>
        </w:rPr>
        <w:t>万元，比上年</w:t>
      </w:r>
      <w:r>
        <w:rPr>
          <w:rFonts w:hint="eastAsia" w:ascii="宋体" w:hAnsi="宋体" w:eastAsia="宋体" w:cs="宋体"/>
          <w:color w:val="000000"/>
          <w:sz w:val="28"/>
          <w:szCs w:val="28"/>
          <w:lang w:eastAsia="zh-CN"/>
        </w:rPr>
        <w:t>增加</w:t>
      </w:r>
      <w:r>
        <w:rPr>
          <w:rFonts w:hint="eastAsia" w:ascii="宋体" w:hAnsi="宋体" w:eastAsia="宋体" w:cs="宋体"/>
          <w:color w:val="000000"/>
          <w:sz w:val="28"/>
          <w:szCs w:val="28"/>
          <w:lang w:val="en-US" w:eastAsia="zh-CN"/>
        </w:rPr>
        <w:t>79.2</w:t>
      </w:r>
      <w:r>
        <w:rPr>
          <w:rFonts w:hint="eastAsia" w:ascii="宋体" w:hAnsi="宋体" w:eastAsia="宋体" w:cs="宋体"/>
          <w:color w:val="000000"/>
          <w:sz w:val="28"/>
          <w:szCs w:val="28"/>
        </w:rPr>
        <w:t>万元。</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基本支出预算比上年</w:t>
      </w:r>
      <w:r>
        <w:rPr>
          <w:rFonts w:hint="eastAsia" w:ascii="宋体" w:hAnsi="宋体" w:eastAsia="宋体" w:cs="宋体"/>
          <w:color w:val="000000"/>
          <w:sz w:val="28"/>
          <w:szCs w:val="28"/>
          <w:lang w:eastAsia="zh-CN"/>
        </w:rPr>
        <w:t>增加</w:t>
      </w:r>
      <w:r>
        <w:rPr>
          <w:rFonts w:hint="eastAsia" w:ascii="宋体" w:hAnsi="宋体" w:eastAsia="宋体" w:cs="宋体"/>
          <w:color w:val="000000"/>
          <w:sz w:val="28"/>
          <w:szCs w:val="28"/>
          <w:lang w:val="en-US" w:eastAsia="zh-CN"/>
        </w:rPr>
        <w:t>25.12</w:t>
      </w:r>
      <w:r>
        <w:rPr>
          <w:rFonts w:hint="eastAsia" w:ascii="宋体" w:hAnsi="宋体" w:eastAsia="宋体" w:cs="宋体"/>
          <w:color w:val="000000"/>
          <w:sz w:val="28"/>
          <w:szCs w:val="28"/>
        </w:rPr>
        <w:t>万元。原因是：</w:t>
      </w:r>
      <w:r>
        <w:rPr>
          <w:rFonts w:hint="eastAsia" w:ascii="宋体" w:hAnsi="宋体" w:eastAsia="宋体" w:cs="宋体"/>
          <w:color w:val="000000"/>
          <w:sz w:val="28"/>
          <w:szCs w:val="28"/>
          <w:lang w:val="en-US" w:eastAsia="zh-CN"/>
        </w:rPr>
        <w:t>今年调入2名公务员以及</w:t>
      </w:r>
      <w:r>
        <w:rPr>
          <w:rFonts w:hint="eastAsia" w:ascii="宋体" w:hAnsi="宋体" w:eastAsia="宋体" w:cs="宋体"/>
          <w:color w:val="000000"/>
          <w:sz w:val="28"/>
          <w:szCs w:val="28"/>
          <w:lang w:eastAsia="zh-CN"/>
        </w:rPr>
        <w:t>财政开支人员工资及各项保险基数增加</w:t>
      </w:r>
      <w:r>
        <w:rPr>
          <w:rFonts w:hint="eastAsia" w:ascii="宋体" w:hAnsi="宋体" w:eastAsia="宋体" w:cs="宋体"/>
          <w:color w:val="000000"/>
          <w:sz w:val="28"/>
          <w:szCs w:val="28"/>
        </w:rPr>
        <w:t>。</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项目支出预算比上年</w:t>
      </w:r>
      <w:r>
        <w:rPr>
          <w:rFonts w:hint="eastAsia" w:ascii="宋体" w:hAnsi="宋体" w:eastAsia="宋体" w:cs="宋体"/>
          <w:color w:val="000000"/>
          <w:sz w:val="28"/>
          <w:szCs w:val="28"/>
          <w:lang w:eastAsia="zh-CN"/>
        </w:rPr>
        <w:t>增加</w:t>
      </w:r>
      <w:r>
        <w:rPr>
          <w:rFonts w:hint="eastAsia" w:ascii="宋体" w:hAnsi="宋体" w:eastAsia="宋体" w:cs="宋体"/>
          <w:color w:val="000000"/>
          <w:sz w:val="28"/>
          <w:szCs w:val="28"/>
          <w:lang w:val="en-US" w:eastAsia="zh-CN"/>
        </w:rPr>
        <w:t>54.8</w:t>
      </w:r>
      <w:r>
        <w:rPr>
          <w:rFonts w:hint="eastAsia" w:ascii="宋体" w:hAnsi="宋体" w:eastAsia="宋体" w:cs="宋体"/>
          <w:color w:val="000000"/>
          <w:sz w:val="28"/>
          <w:szCs w:val="28"/>
        </w:rPr>
        <w:t>万元。原因是：</w:t>
      </w:r>
      <w:r>
        <w:rPr>
          <w:rFonts w:hint="eastAsia" w:ascii="宋体" w:hAnsi="宋体" w:eastAsia="宋体" w:cs="宋体"/>
          <w:color w:val="000000"/>
          <w:sz w:val="28"/>
          <w:szCs w:val="28"/>
          <w:lang w:val="en-US" w:eastAsia="zh-CN"/>
        </w:rPr>
        <w:t>2023年新增第五次全国经济普查项目。</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三、机关运行经费安排情况</w:t>
      </w:r>
    </w:p>
    <w:p>
      <w:pPr>
        <w:keepNext w:val="0"/>
        <w:keepLines w:val="0"/>
        <w:pageBreakBefore w:val="0"/>
        <w:kinsoku/>
        <w:wordWrap/>
        <w:overflowPunct/>
        <w:topLinePunct w:val="0"/>
        <w:autoSpaceDE/>
        <w:autoSpaceDN w:val="0"/>
        <w:bidi w:val="0"/>
        <w:adjustRightInd/>
        <w:snapToGrid/>
        <w:spacing w:before="0" w:beforeLines="0" w:after="0" w:afterLines="0" w:line="560" w:lineRule="exact"/>
        <w:ind w:right="0" w:rightChars="0" w:firstLine="560" w:firstLineChars="200"/>
        <w:textAlignment w:val="auto"/>
        <w:rPr>
          <w:rFonts w:hint="eastAsia" w:ascii="宋体" w:hAnsi="宋体" w:eastAsia="宋体" w:cs="宋体"/>
          <w:bCs/>
          <w:sz w:val="28"/>
          <w:szCs w:val="28"/>
        </w:rPr>
      </w:pPr>
      <w:r>
        <w:rPr>
          <w:rFonts w:hint="eastAsia" w:ascii="宋体" w:hAnsi="宋体" w:eastAsia="宋体" w:cs="宋体"/>
          <w:sz w:val="28"/>
          <w:szCs w:val="28"/>
        </w:rPr>
        <w:t>本年度公用经费预算</w:t>
      </w:r>
      <w:r>
        <w:rPr>
          <w:rFonts w:hint="eastAsia" w:ascii="宋体" w:hAnsi="宋体" w:eastAsia="宋体" w:cs="宋体"/>
          <w:sz w:val="28"/>
          <w:szCs w:val="28"/>
          <w:lang w:val="en-US" w:eastAsia="zh-CN"/>
        </w:rPr>
        <w:t>127.62</w:t>
      </w:r>
      <w:r>
        <w:rPr>
          <w:rFonts w:hint="eastAsia" w:ascii="宋体" w:hAnsi="宋体" w:eastAsia="宋体" w:cs="宋体"/>
          <w:sz w:val="28"/>
          <w:szCs w:val="28"/>
        </w:rPr>
        <w:t>万元，其中：办公费2</w:t>
      </w:r>
      <w:r>
        <w:rPr>
          <w:rFonts w:hint="eastAsia" w:ascii="宋体" w:hAnsi="宋体" w:eastAsia="宋体" w:cs="宋体"/>
          <w:sz w:val="28"/>
          <w:szCs w:val="28"/>
          <w:lang w:val="en-US" w:eastAsia="zh-CN"/>
        </w:rPr>
        <w:t>.86</w:t>
      </w:r>
      <w:r>
        <w:rPr>
          <w:rFonts w:hint="eastAsia" w:ascii="宋体" w:hAnsi="宋体" w:eastAsia="宋体" w:cs="宋体"/>
          <w:sz w:val="28"/>
          <w:szCs w:val="28"/>
        </w:rPr>
        <w:t>万元，邮电费0.36万元，差旅费1.</w:t>
      </w:r>
      <w:r>
        <w:rPr>
          <w:rFonts w:hint="eastAsia" w:ascii="宋体" w:hAnsi="宋体" w:eastAsia="宋体" w:cs="宋体"/>
          <w:sz w:val="28"/>
          <w:szCs w:val="28"/>
          <w:lang w:val="en-US" w:eastAsia="zh-CN"/>
        </w:rPr>
        <w:t>3</w:t>
      </w:r>
      <w:r>
        <w:rPr>
          <w:rFonts w:hint="eastAsia" w:ascii="宋体" w:hAnsi="宋体" w:eastAsia="宋体" w:cs="宋体"/>
          <w:sz w:val="28"/>
          <w:szCs w:val="28"/>
        </w:rPr>
        <w:t>万元，劳务费</w:t>
      </w:r>
      <w:r>
        <w:rPr>
          <w:rFonts w:hint="eastAsia" w:ascii="宋体" w:hAnsi="宋体" w:eastAsia="宋体" w:cs="宋体"/>
          <w:sz w:val="28"/>
          <w:szCs w:val="28"/>
          <w:lang w:val="en-US" w:eastAsia="zh-CN"/>
        </w:rPr>
        <w:t>110.2</w:t>
      </w:r>
      <w:r>
        <w:rPr>
          <w:rFonts w:hint="eastAsia" w:ascii="宋体" w:hAnsi="宋体" w:eastAsia="宋体" w:cs="宋体"/>
          <w:sz w:val="28"/>
          <w:szCs w:val="28"/>
        </w:rPr>
        <w:t>万元，工会经费</w:t>
      </w:r>
      <w:r>
        <w:rPr>
          <w:rFonts w:hint="eastAsia" w:ascii="宋体" w:hAnsi="宋体" w:eastAsia="宋体" w:cs="宋体"/>
          <w:sz w:val="28"/>
          <w:szCs w:val="28"/>
          <w:lang w:val="en-US" w:eastAsia="zh-CN"/>
        </w:rPr>
        <w:t>1.18</w:t>
      </w:r>
      <w:r>
        <w:rPr>
          <w:rFonts w:hint="eastAsia" w:ascii="宋体" w:hAnsi="宋体" w:eastAsia="宋体" w:cs="宋体"/>
          <w:sz w:val="28"/>
          <w:szCs w:val="28"/>
        </w:rPr>
        <w:t>万元，公务</w:t>
      </w:r>
      <w:r>
        <w:rPr>
          <w:rFonts w:hint="eastAsia" w:ascii="宋体" w:hAnsi="宋体" w:eastAsia="宋体" w:cs="宋体"/>
          <w:bCs/>
          <w:sz w:val="28"/>
          <w:szCs w:val="28"/>
        </w:rPr>
        <w:t>用车运行维护费2.0万元，其他交通费用</w:t>
      </w:r>
      <w:r>
        <w:rPr>
          <w:rFonts w:hint="eastAsia" w:ascii="宋体" w:hAnsi="宋体" w:eastAsia="宋体" w:cs="宋体"/>
          <w:bCs/>
          <w:sz w:val="28"/>
          <w:szCs w:val="28"/>
          <w:lang w:val="en-US" w:eastAsia="zh-CN"/>
        </w:rPr>
        <w:t>6.06</w:t>
      </w:r>
      <w:r>
        <w:rPr>
          <w:rFonts w:hint="eastAsia" w:ascii="宋体" w:hAnsi="宋体" w:eastAsia="宋体" w:cs="宋体"/>
          <w:bCs/>
          <w:sz w:val="28"/>
          <w:szCs w:val="28"/>
        </w:rPr>
        <w:t>万元，</w:t>
      </w:r>
      <w:r>
        <w:rPr>
          <w:rFonts w:hint="eastAsia" w:ascii="宋体" w:hAnsi="宋体" w:eastAsia="宋体" w:cs="宋体"/>
          <w:bCs/>
          <w:sz w:val="28"/>
          <w:szCs w:val="28"/>
          <w:lang w:eastAsia="zh-CN"/>
        </w:rPr>
        <w:t>福利费</w:t>
      </w:r>
      <w:r>
        <w:rPr>
          <w:rFonts w:hint="eastAsia" w:ascii="宋体" w:hAnsi="宋体" w:eastAsia="宋体" w:cs="宋体"/>
          <w:bCs/>
          <w:sz w:val="28"/>
          <w:szCs w:val="28"/>
          <w:lang w:val="en-US" w:eastAsia="zh-CN"/>
        </w:rPr>
        <w:t>3.1万元，</w:t>
      </w:r>
      <w:r>
        <w:rPr>
          <w:rFonts w:hint="eastAsia" w:ascii="宋体" w:hAnsi="宋体" w:eastAsia="宋体" w:cs="宋体"/>
          <w:bCs/>
          <w:sz w:val="28"/>
          <w:szCs w:val="28"/>
        </w:rPr>
        <w:t>其他商品和服务支出</w:t>
      </w:r>
      <w:r>
        <w:rPr>
          <w:rFonts w:hint="eastAsia" w:ascii="宋体" w:hAnsi="宋体" w:eastAsia="宋体" w:cs="宋体"/>
          <w:bCs/>
          <w:sz w:val="28"/>
          <w:szCs w:val="28"/>
          <w:lang w:val="en-US" w:eastAsia="zh-CN"/>
        </w:rPr>
        <w:t>0.56</w:t>
      </w:r>
      <w:r>
        <w:rPr>
          <w:rFonts w:hint="eastAsia" w:ascii="宋体" w:hAnsi="宋体" w:eastAsia="宋体" w:cs="宋体"/>
          <w:bCs/>
          <w:sz w:val="28"/>
          <w:szCs w:val="28"/>
        </w:rPr>
        <w:t>万元。</w:t>
      </w:r>
    </w:p>
    <w:p>
      <w:pPr>
        <w:keepNext w:val="0"/>
        <w:keepLines w:val="0"/>
        <w:pageBreakBefore w:val="0"/>
        <w:kinsoku/>
        <w:wordWrap/>
        <w:overflowPunct/>
        <w:topLinePunct w:val="0"/>
        <w:autoSpaceDE/>
        <w:autoSpaceDN w:val="0"/>
        <w:bidi w:val="0"/>
        <w:adjustRightInd/>
        <w:snapToGrid/>
        <w:spacing w:before="0" w:beforeLines="0" w:after="0" w:afterLines="0" w:line="560" w:lineRule="exact"/>
        <w:ind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本年公用经费比上年</w:t>
      </w:r>
      <w:r>
        <w:rPr>
          <w:rFonts w:hint="eastAsia" w:ascii="宋体" w:hAnsi="宋体" w:eastAsia="宋体" w:cs="宋体"/>
          <w:sz w:val="28"/>
          <w:szCs w:val="28"/>
          <w:lang w:eastAsia="zh-CN"/>
        </w:rPr>
        <w:t>增加</w:t>
      </w:r>
      <w:r>
        <w:rPr>
          <w:rFonts w:hint="eastAsia" w:ascii="宋体" w:hAnsi="宋体" w:eastAsia="宋体" w:cs="宋体"/>
          <w:sz w:val="28"/>
          <w:szCs w:val="28"/>
          <w:lang w:val="en-US" w:eastAsia="zh-CN"/>
        </w:rPr>
        <w:t>13.43</w:t>
      </w:r>
      <w:r>
        <w:rPr>
          <w:rFonts w:hint="eastAsia" w:ascii="宋体" w:hAnsi="宋体" w:eastAsia="宋体" w:cs="宋体"/>
          <w:sz w:val="28"/>
          <w:szCs w:val="28"/>
        </w:rPr>
        <w:t>万元，原因是：</w:t>
      </w:r>
      <w:r>
        <w:rPr>
          <w:rFonts w:hint="eastAsia" w:ascii="宋体" w:hAnsi="宋体" w:eastAsia="宋体" w:cs="宋体"/>
          <w:sz w:val="28"/>
          <w:szCs w:val="28"/>
          <w:lang w:eastAsia="zh-CN"/>
        </w:rPr>
        <w:t>财政招聘人员工资及保险基数调整，劳务费增加。</w:t>
      </w:r>
    </w:p>
    <w:p>
      <w:pPr>
        <w:keepNext w:val="0"/>
        <w:keepLines w:val="0"/>
        <w:pageBreakBefore w:val="0"/>
        <w:numPr>
          <w:ilvl w:val="0"/>
          <w:numId w:val="1"/>
        </w:numPr>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财政拨款“三公”经费预算情况及增减变化原因</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560" w:firstLineChars="200"/>
        <w:jc w:val="left"/>
        <w:textAlignment w:val="auto"/>
        <w:rPr>
          <w:rFonts w:hint="eastAsia" w:ascii="宋体" w:hAnsi="宋体" w:eastAsia="宋体" w:cs="宋体"/>
          <w:kern w:val="0"/>
          <w:sz w:val="28"/>
          <w:szCs w:val="28"/>
          <w:lang w:bidi="ar"/>
        </w:rPr>
      </w:pPr>
      <w:r>
        <w:rPr>
          <w:rFonts w:hint="eastAsia" w:ascii="宋体" w:hAnsi="宋体" w:eastAsia="宋体" w:cs="宋体"/>
          <w:sz w:val="28"/>
          <w:szCs w:val="28"/>
        </w:rPr>
        <w:t>本年度“三公”经费支出预算</w:t>
      </w:r>
      <w:r>
        <w:rPr>
          <w:rFonts w:hint="eastAsia" w:ascii="宋体" w:hAnsi="宋体" w:eastAsia="宋体" w:cs="宋体"/>
          <w:sz w:val="28"/>
          <w:szCs w:val="28"/>
          <w:lang w:val="en-US" w:eastAsia="zh-CN"/>
        </w:rPr>
        <w:t>2.6</w:t>
      </w:r>
      <w:r>
        <w:rPr>
          <w:rFonts w:hint="eastAsia" w:ascii="宋体" w:hAnsi="宋体" w:eastAsia="宋体" w:cs="宋体"/>
          <w:sz w:val="28"/>
          <w:szCs w:val="28"/>
        </w:rPr>
        <w:t>万元，与上年持平，其中：</w:t>
      </w:r>
      <w:r>
        <w:rPr>
          <w:rFonts w:hint="eastAsia" w:ascii="宋体" w:hAnsi="宋体" w:eastAsia="宋体" w:cs="宋体"/>
          <w:bCs/>
          <w:sz w:val="28"/>
          <w:szCs w:val="28"/>
        </w:rPr>
        <w:t>公务用车运行维护费</w:t>
      </w:r>
      <w:r>
        <w:rPr>
          <w:rFonts w:hint="eastAsia" w:ascii="宋体" w:hAnsi="宋体" w:eastAsia="宋体" w:cs="宋体"/>
          <w:sz w:val="28"/>
          <w:szCs w:val="28"/>
        </w:rPr>
        <w:t>2.0万元，与上年持平，</w:t>
      </w:r>
      <w:r>
        <w:rPr>
          <w:rFonts w:hint="eastAsia" w:ascii="宋体" w:hAnsi="宋体" w:eastAsia="宋体" w:cs="宋体"/>
          <w:kern w:val="0"/>
          <w:sz w:val="28"/>
          <w:szCs w:val="28"/>
          <w:lang w:bidi="ar"/>
        </w:rPr>
        <w:t>公务接待费</w:t>
      </w:r>
      <w:r>
        <w:rPr>
          <w:rFonts w:hint="eastAsia" w:ascii="宋体" w:hAnsi="宋体" w:eastAsia="宋体" w:cs="宋体"/>
          <w:kern w:val="0"/>
          <w:sz w:val="28"/>
          <w:szCs w:val="28"/>
          <w:lang w:val="en-US" w:eastAsia="zh-CN" w:bidi="ar"/>
        </w:rPr>
        <w:t>0.6</w:t>
      </w:r>
      <w:r>
        <w:rPr>
          <w:rFonts w:hint="eastAsia" w:ascii="宋体" w:hAnsi="宋体" w:eastAsia="宋体" w:cs="宋体"/>
          <w:kern w:val="0"/>
          <w:sz w:val="28"/>
          <w:szCs w:val="28"/>
          <w:lang w:bidi="ar"/>
        </w:rPr>
        <w:t>万元，</w:t>
      </w:r>
      <w:r>
        <w:rPr>
          <w:rFonts w:hint="eastAsia" w:ascii="宋体" w:hAnsi="宋体" w:eastAsia="宋体" w:cs="宋体"/>
          <w:sz w:val="28"/>
          <w:szCs w:val="28"/>
        </w:rPr>
        <w:t>与上年持平</w:t>
      </w:r>
      <w:r>
        <w:rPr>
          <w:rFonts w:hint="eastAsia" w:ascii="宋体" w:hAnsi="宋体" w:eastAsia="宋体" w:cs="宋体"/>
          <w:kern w:val="0"/>
          <w:sz w:val="28"/>
          <w:szCs w:val="28"/>
          <w:lang w:bidi="ar"/>
        </w:rPr>
        <w:t>，因公出国支出未做预算安排。</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会议费预算</w:t>
      </w:r>
      <w:r>
        <w:rPr>
          <w:rFonts w:hint="eastAsia" w:ascii="宋体" w:hAnsi="宋体" w:eastAsia="宋体" w:cs="宋体"/>
          <w:sz w:val="28"/>
          <w:szCs w:val="28"/>
          <w:lang w:val="en-US" w:eastAsia="zh-CN"/>
        </w:rPr>
        <w:t>0.6</w:t>
      </w:r>
      <w:r>
        <w:rPr>
          <w:rFonts w:hint="eastAsia" w:ascii="宋体" w:hAnsi="宋体" w:eastAsia="宋体" w:cs="宋体"/>
          <w:sz w:val="28"/>
          <w:szCs w:val="28"/>
        </w:rPr>
        <w:t>万元，培训费预算</w:t>
      </w:r>
      <w:r>
        <w:rPr>
          <w:rFonts w:hint="eastAsia" w:ascii="宋体" w:hAnsi="宋体" w:eastAsia="宋体" w:cs="宋体"/>
          <w:sz w:val="28"/>
          <w:szCs w:val="28"/>
          <w:lang w:val="en-US" w:eastAsia="zh-CN"/>
        </w:rPr>
        <w:t>0.7</w:t>
      </w:r>
      <w:r>
        <w:rPr>
          <w:rFonts w:hint="eastAsia" w:ascii="宋体" w:hAnsi="宋体" w:eastAsia="宋体" w:cs="宋体"/>
          <w:sz w:val="28"/>
          <w:szCs w:val="28"/>
        </w:rPr>
        <w:t>万元，其中：抽样调查</w:t>
      </w:r>
      <w:r>
        <w:rPr>
          <w:rFonts w:hint="eastAsia" w:ascii="宋体" w:hAnsi="宋体" w:eastAsia="宋体" w:cs="宋体"/>
          <w:sz w:val="28"/>
          <w:szCs w:val="28"/>
          <w:lang w:val="en-US" w:eastAsia="zh-CN"/>
        </w:rPr>
        <w:t>4</w:t>
      </w:r>
      <w:r>
        <w:rPr>
          <w:rFonts w:hint="eastAsia" w:ascii="宋体" w:hAnsi="宋体" w:eastAsia="宋体" w:cs="宋体"/>
          <w:sz w:val="28"/>
          <w:szCs w:val="28"/>
        </w:rPr>
        <w:t>次会议</w:t>
      </w:r>
      <w:r>
        <w:rPr>
          <w:rFonts w:hint="eastAsia" w:ascii="宋体" w:hAnsi="宋体" w:eastAsia="宋体" w:cs="宋体"/>
          <w:sz w:val="28"/>
          <w:szCs w:val="28"/>
          <w:lang w:val="en-US" w:eastAsia="zh-CN"/>
        </w:rPr>
        <w:t>120</w:t>
      </w:r>
      <w:r>
        <w:rPr>
          <w:rFonts w:hint="eastAsia" w:ascii="宋体" w:hAnsi="宋体" w:eastAsia="宋体" w:cs="宋体"/>
          <w:sz w:val="28"/>
          <w:szCs w:val="28"/>
        </w:rPr>
        <w:t>人次，共计0.</w:t>
      </w:r>
      <w:r>
        <w:rPr>
          <w:rFonts w:hint="eastAsia" w:ascii="宋体" w:hAnsi="宋体" w:eastAsia="宋体" w:cs="宋体"/>
          <w:sz w:val="28"/>
          <w:szCs w:val="28"/>
          <w:lang w:val="en-US" w:eastAsia="zh-CN"/>
        </w:rPr>
        <w:t>6</w:t>
      </w:r>
      <w:r>
        <w:rPr>
          <w:rFonts w:hint="eastAsia" w:ascii="宋体" w:hAnsi="宋体" w:eastAsia="宋体" w:cs="宋体"/>
          <w:sz w:val="28"/>
          <w:szCs w:val="28"/>
        </w:rPr>
        <w:t>万元；5次培训，</w:t>
      </w:r>
      <w:r>
        <w:rPr>
          <w:rFonts w:hint="eastAsia" w:ascii="宋体" w:hAnsi="宋体" w:eastAsia="宋体" w:cs="宋体"/>
          <w:sz w:val="28"/>
          <w:szCs w:val="28"/>
          <w:lang w:val="en-US" w:eastAsia="zh-CN"/>
        </w:rPr>
        <w:t>150</w:t>
      </w:r>
      <w:r>
        <w:rPr>
          <w:rFonts w:hint="eastAsia" w:ascii="宋体" w:hAnsi="宋体" w:eastAsia="宋体" w:cs="宋体"/>
          <w:sz w:val="28"/>
          <w:szCs w:val="28"/>
        </w:rPr>
        <w:t>人次，共计</w:t>
      </w:r>
      <w:r>
        <w:rPr>
          <w:rFonts w:hint="eastAsia" w:ascii="宋体" w:hAnsi="宋体" w:eastAsia="宋体" w:cs="宋体"/>
          <w:sz w:val="28"/>
          <w:szCs w:val="28"/>
          <w:lang w:val="en-US" w:eastAsia="zh-CN"/>
        </w:rPr>
        <w:t>0.7</w:t>
      </w:r>
      <w:r>
        <w:rPr>
          <w:rFonts w:hint="eastAsia" w:ascii="宋体" w:hAnsi="宋体" w:eastAsia="宋体" w:cs="宋体"/>
          <w:sz w:val="28"/>
          <w:szCs w:val="28"/>
        </w:rPr>
        <w:t>万元。</w:t>
      </w:r>
    </w:p>
    <w:p>
      <w:pPr>
        <w:numPr>
          <w:ilvl w:val="0"/>
          <w:numId w:val="0"/>
        </w:numPr>
        <w:spacing w:before="10" w:after="10"/>
        <w:outlineLvl w:val="5"/>
        <w:rPr>
          <w:rFonts w:hint="eastAsia" w:ascii="宋体" w:hAnsi="宋体" w:eastAsia="宋体" w:cs="宋体"/>
          <w:color w:val="000000"/>
          <w:sz w:val="28"/>
          <w:szCs w:val="28"/>
        </w:rPr>
      </w:pPr>
    </w:p>
    <w:tbl>
      <w:tblPr>
        <w:tblStyle w:val="8"/>
        <w:tblW w:w="0" w:type="auto"/>
        <w:tblInd w:w="782" w:type="dxa"/>
        <w:tblLayout w:type="fixed"/>
        <w:tblCellMar>
          <w:top w:w="0" w:type="dxa"/>
          <w:left w:w="108" w:type="dxa"/>
          <w:bottom w:w="0" w:type="dxa"/>
          <w:right w:w="108" w:type="dxa"/>
        </w:tblCellMar>
      </w:tblPr>
      <w:tblGrid>
        <w:gridCol w:w="3045"/>
        <w:gridCol w:w="2250"/>
        <w:gridCol w:w="2055"/>
        <w:gridCol w:w="2115"/>
        <w:gridCol w:w="4470"/>
      </w:tblGrid>
      <w:tr>
        <w:tblPrEx>
          <w:tblCellMar>
            <w:top w:w="0" w:type="dxa"/>
            <w:left w:w="108" w:type="dxa"/>
            <w:bottom w:w="0" w:type="dxa"/>
            <w:right w:w="108" w:type="dxa"/>
          </w:tblCellMar>
        </w:tblPrEx>
        <w:trPr>
          <w:trHeight w:val="221" w:hRule="atLeast"/>
        </w:trPr>
        <w:tc>
          <w:tcPr>
            <w:tcW w:w="3045" w:type="dxa"/>
            <w:tcBorders>
              <w:top w:val="nil"/>
              <w:left w:val="nil"/>
              <w:bottom w:val="nil"/>
              <w:right w:val="nil"/>
            </w:tcBorders>
            <w:vAlign w:val="center"/>
          </w:tcPr>
          <w:p>
            <w:pPr>
              <w:rPr>
                <w:rFonts w:hint="eastAsia" w:ascii="宋体" w:hAnsi="宋体" w:eastAsia="宋体" w:cs="宋体"/>
                <w:sz w:val="28"/>
                <w:szCs w:val="28"/>
              </w:rPr>
            </w:pPr>
          </w:p>
        </w:tc>
        <w:tc>
          <w:tcPr>
            <w:tcW w:w="2250" w:type="dxa"/>
            <w:tcBorders>
              <w:top w:val="nil"/>
              <w:left w:val="nil"/>
              <w:bottom w:val="nil"/>
              <w:right w:val="nil"/>
            </w:tcBorders>
            <w:vAlign w:val="center"/>
          </w:tcPr>
          <w:p>
            <w:pPr>
              <w:rPr>
                <w:rFonts w:hint="eastAsia" w:ascii="宋体" w:hAnsi="宋体" w:eastAsia="宋体" w:cs="宋体"/>
                <w:sz w:val="28"/>
                <w:szCs w:val="28"/>
              </w:rPr>
            </w:pPr>
          </w:p>
        </w:tc>
        <w:tc>
          <w:tcPr>
            <w:tcW w:w="2055" w:type="dxa"/>
            <w:tcBorders>
              <w:top w:val="nil"/>
              <w:left w:val="nil"/>
              <w:bottom w:val="nil"/>
              <w:right w:val="nil"/>
            </w:tcBorders>
            <w:vAlign w:val="center"/>
          </w:tcPr>
          <w:p>
            <w:pPr>
              <w:rPr>
                <w:rFonts w:hint="eastAsia" w:ascii="宋体" w:hAnsi="宋体" w:eastAsia="宋体" w:cs="宋体"/>
                <w:sz w:val="28"/>
                <w:szCs w:val="28"/>
              </w:rPr>
            </w:pPr>
          </w:p>
        </w:tc>
        <w:tc>
          <w:tcPr>
            <w:tcW w:w="2115" w:type="dxa"/>
            <w:tcBorders>
              <w:top w:val="nil"/>
              <w:left w:val="nil"/>
              <w:bottom w:val="nil"/>
              <w:right w:val="nil"/>
            </w:tcBorders>
            <w:vAlign w:val="center"/>
          </w:tcPr>
          <w:p>
            <w:pPr>
              <w:rPr>
                <w:rFonts w:hint="eastAsia" w:ascii="宋体" w:hAnsi="宋体" w:eastAsia="宋体" w:cs="宋体"/>
                <w:sz w:val="28"/>
                <w:szCs w:val="28"/>
              </w:rPr>
            </w:pPr>
          </w:p>
        </w:tc>
        <w:tc>
          <w:tcPr>
            <w:tcW w:w="4470" w:type="dxa"/>
            <w:tcBorders>
              <w:top w:val="nil"/>
              <w:left w:val="nil"/>
              <w:bottom w:val="nil"/>
              <w:right w:val="nil"/>
            </w:tcBorders>
            <w:vAlign w:val="center"/>
          </w:tcPr>
          <w:p>
            <w:pPr>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CellMar>
            <w:top w:w="0" w:type="dxa"/>
            <w:left w:w="108" w:type="dxa"/>
            <w:bottom w:w="0" w:type="dxa"/>
            <w:right w:w="108" w:type="dxa"/>
          </w:tblCellMar>
        </w:tblPrEx>
        <w:trPr>
          <w:trHeight w:val="567" w:hRule="atLeast"/>
        </w:trPr>
        <w:tc>
          <w:tcPr>
            <w:tcW w:w="3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color w:val="auto"/>
                <w:sz w:val="24"/>
                <w:szCs w:val="24"/>
              </w:rPr>
              <w:t>项目名称</w:t>
            </w:r>
          </w:p>
        </w:tc>
        <w:tc>
          <w:tcPr>
            <w:tcW w:w="22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年度预算</w:t>
            </w:r>
          </w:p>
        </w:tc>
        <w:tc>
          <w:tcPr>
            <w:tcW w:w="205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eastAsia="zh-CN"/>
              </w:rPr>
              <w:t>2</w:t>
            </w:r>
            <w:r>
              <w:rPr>
                <w:rFonts w:hint="eastAsia" w:ascii="宋体" w:hAnsi="宋体" w:eastAsia="宋体" w:cs="宋体"/>
                <w:sz w:val="24"/>
                <w:szCs w:val="24"/>
              </w:rPr>
              <w:t>年度预算</w:t>
            </w:r>
          </w:p>
        </w:tc>
        <w:tc>
          <w:tcPr>
            <w:tcW w:w="211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增减金额</w:t>
            </w:r>
          </w:p>
        </w:tc>
        <w:tc>
          <w:tcPr>
            <w:tcW w:w="44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变化原因</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因公出国经费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公务用车购置经费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lang w:eastAsia="zh-CN"/>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公务用车运行经费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公务接待费支出</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0.6</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lang w:eastAsia="zh-CN"/>
              </w:rPr>
            </w:pPr>
            <w:r>
              <w:rPr>
                <w:rFonts w:hint="eastAsia" w:ascii="宋体" w:hAnsi="宋体" w:eastAsia="宋体" w:cs="宋体"/>
                <w:kern w:val="0"/>
                <w:sz w:val="24"/>
                <w:szCs w:val="24"/>
                <w:lang w:val="en-US" w:eastAsia="zh-CN"/>
              </w:rPr>
              <w:t>0.6</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lang w:eastAsia="zh-CN"/>
              </w:rPr>
            </w:pPr>
            <w:r>
              <w:rPr>
                <w:rFonts w:hint="eastAsia" w:ascii="宋体" w:hAnsi="宋体" w:eastAsia="宋体" w:cs="宋体"/>
                <w:kern w:val="0"/>
                <w:sz w:val="24"/>
                <w:szCs w:val="24"/>
                <w:shd w:val="clear" w:color="auto" w:fill="auto"/>
                <w:lang w:val="en-US" w:eastAsia="zh-CN"/>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lang w:eastAsia="zh-CN"/>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合计</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rPr>
            </w:pPr>
            <w:r>
              <w:rPr>
                <w:rFonts w:hint="eastAsia" w:ascii="宋体" w:hAnsi="宋体" w:eastAsia="宋体" w:cs="宋体"/>
                <w:kern w:val="0"/>
                <w:sz w:val="24"/>
                <w:szCs w:val="24"/>
                <w:lang w:val="en-US" w:eastAsia="zh-CN"/>
              </w:rPr>
              <w:t>2.6</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lang w:eastAsia="zh-CN"/>
              </w:rPr>
            </w:pPr>
            <w:r>
              <w:rPr>
                <w:rFonts w:hint="eastAsia" w:ascii="宋体" w:hAnsi="宋体" w:eastAsia="宋体" w:cs="宋体"/>
                <w:kern w:val="0"/>
                <w:sz w:val="24"/>
                <w:szCs w:val="24"/>
                <w:lang w:val="en-US" w:eastAsia="zh-CN"/>
              </w:rPr>
              <w:t>2.6</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lang w:eastAsia="zh-CN"/>
              </w:rPr>
            </w:pPr>
            <w:r>
              <w:rPr>
                <w:rFonts w:hint="eastAsia" w:ascii="宋体" w:hAnsi="宋体" w:eastAsia="宋体" w:cs="宋体"/>
                <w:kern w:val="0"/>
                <w:sz w:val="24"/>
                <w:szCs w:val="24"/>
                <w:shd w:val="clear" w:color="auto" w:fill="auto"/>
                <w:lang w:val="en-US" w:eastAsia="zh-CN"/>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rPr>
            </w:pPr>
            <w:r>
              <w:rPr>
                <w:rFonts w:hint="eastAsia" w:ascii="宋体" w:hAnsi="宋体" w:eastAsia="宋体" w:cs="宋体"/>
                <w:kern w:val="0"/>
                <w:sz w:val="24"/>
                <w:szCs w:val="24"/>
              </w:rPr>
              <w:t>无增减变化</w:t>
            </w:r>
          </w:p>
        </w:tc>
      </w:tr>
    </w:tbl>
    <w:p>
      <w:pPr>
        <w:spacing w:before="10" w:after="10"/>
        <w:outlineLvl w:val="5"/>
        <w:rPr>
          <w:rFonts w:hint="eastAsia" w:ascii="黑体" w:hAnsi="黑体" w:eastAsia="黑体" w:cs="黑体"/>
          <w:color w:val="000000"/>
          <w:sz w:val="32"/>
        </w:rPr>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8"/>
    </w:p>
    <w:p>
      <w:pPr>
        <w:keepNext w:val="0"/>
        <w:keepLines w:val="0"/>
        <w:pageBreakBefore w:val="0"/>
        <w:kinsoku/>
        <w:wordWrap/>
        <w:overflowPunct/>
        <w:topLinePunct w:val="0"/>
        <w:autoSpaceDE/>
        <w:autoSpaceDN/>
        <w:bidi w:val="0"/>
        <w:adjustRightInd/>
        <w:snapToGrid/>
        <w:spacing w:line="520" w:lineRule="exact"/>
        <w:ind w:firstLine="640"/>
        <w:textAlignment w:val="auto"/>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keepNext w:val="0"/>
        <w:keepLines w:val="0"/>
        <w:pageBreakBefore w:val="0"/>
        <w:kinsoku/>
        <w:wordWrap/>
        <w:overflowPunct/>
        <w:topLinePunct w:val="0"/>
        <w:autoSpaceDE/>
        <w:autoSpaceDN/>
        <w:bidi w:val="0"/>
        <w:adjustRightInd/>
        <w:snapToGrid/>
        <w:spacing w:line="520" w:lineRule="exact"/>
        <w:ind w:firstLine="560"/>
        <w:textAlignment w:val="auto"/>
      </w:pPr>
      <w:r>
        <w:rPr>
          <w:rFonts w:eastAsia="方正仿宋_GBK"/>
          <w:color w:val="000000"/>
          <w:sz w:val="28"/>
        </w:rPr>
        <w:t>（一）总体绩效目标</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ascii="仿宋" w:hAnsi="仿宋" w:eastAsia="仿宋"/>
          <w:sz w:val="32"/>
          <w:szCs w:val="32"/>
        </w:rPr>
      </w:pPr>
      <w:r>
        <w:rPr>
          <w:rFonts w:ascii="仿宋" w:hAnsi="仿宋" w:eastAsia="仿宋"/>
          <w:sz w:val="32"/>
          <w:szCs w:val="32"/>
        </w:rPr>
        <w:t>坚持以习近平新时代中国特色社会主义思想为指导，深入贯彻党的二十大精神，全面落实省委九届九次全会精神，围绕县委</w:t>
      </w:r>
      <w:r>
        <w:rPr>
          <w:rFonts w:hint="eastAsia" w:ascii="仿宋" w:hAnsi="仿宋" w:eastAsia="仿宋"/>
          <w:sz w:val="32"/>
          <w:szCs w:val="32"/>
          <w:lang w:eastAsia="zh-CN"/>
        </w:rPr>
        <w:t>、</w:t>
      </w:r>
      <w:r>
        <w:rPr>
          <w:rFonts w:ascii="仿宋" w:hAnsi="仿宋" w:eastAsia="仿宋"/>
          <w:sz w:val="32"/>
          <w:szCs w:val="32"/>
        </w:rPr>
        <w:t xml:space="preserve">县政府和上级统计局决策部署，以加强党的政治建设为统领，以提高数据真实性为核心，以加强统计法治建设为保障，进一步加强和改进统计工作，建立健全高质量发展统计体系，发挥统计监督职能作用，不断提高统计能力、数据质量和服务水平，为推动创新发展、绿色发展、高质量发展提供优质统计服务。强化统计法治宣传，增强防范和惩治统计造假的责任意识，认真开展统计“七五”法治宣传教育，提高社会公众对统计法的认识。加强统计执法检查监督，组织开展好整治统计造假专项行动。严格执行数据质量管理办法，规范数据生产流程，加强基础数据质量管理。为推进国家治理体系和治理能力现代化提供坚实统计保障，为新时代全面建设经济强省、美丽涞水贡献统计智慧和力量。        </w:t>
      </w:r>
    </w:p>
    <w:p>
      <w:pPr>
        <w:keepNext w:val="0"/>
        <w:keepLines w:val="0"/>
        <w:pageBreakBefore w:val="0"/>
        <w:kinsoku/>
        <w:wordWrap/>
        <w:overflowPunct/>
        <w:topLinePunct w:val="0"/>
        <w:autoSpaceDE/>
        <w:autoSpaceDN/>
        <w:bidi w:val="0"/>
        <w:adjustRightInd/>
        <w:snapToGrid/>
        <w:spacing w:line="520" w:lineRule="exact"/>
        <w:ind w:firstLine="560"/>
        <w:textAlignment w:val="auto"/>
      </w:pPr>
      <w:r>
        <w:rPr>
          <w:rFonts w:eastAsia="方正仿宋_GBK"/>
          <w:color w:val="000000"/>
          <w:sz w:val="28"/>
        </w:rPr>
        <w:t>（二）分项绩效目标</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 1．国民经济核算</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绩效目标：完成全县年度、季度数据的测算审核认定工作；完成必要分析，对相关经济决策提供重要依据。</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绩效指标：统计信息上报量不少于30篇；统计资料开发编印种类不少于2类；统计信息发布量不少于10篇；统计专报数量不少于4篇；年度预算资金执行率不低于90%。</w:t>
      </w:r>
    </w:p>
    <w:p>
      <w:pPr>
        <w:keepNext w:val="0"/>
        <w:keepLines w:val="0"/>
        <w:pageBreakBefore w:val="0"/>
        <w:numPr>
          <w:ilvl w:val="0"/>
          <w:numId w:val="2"/>
        </w:numPr>
        <w:kinsoku/>
        <w:wordWrap/>
        <w:overflowPunct/>
        <w:topLinePunct w:val="0"/>
        <w:autoSpaceDE/>
        <w:autoSpaceDN/>
        <w:bidi w:val="0"/>
        <w:adjustRightInd/>
        <w:snapToGrid/>
        <w:spacing w:line="520" w:lineRule="exact"/>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rPr>
        <w:t>国情国力普查及重要调查</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绩效目标：完成国情国力普查及重要调查任务，研究提出重大县情县力普查和抽样调查计划并组织实施，汇总、整理和提供有关县情县力方面的统计数据。</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绩效指标：人口普查登记数量不少于普查方案规定个数；普查数据上报及时率不低于95%；统计信息上报量不少于5篇；统计资料编印种类至少1类；年度预算资金执行率不低于90%。</w:t>
      </w:r>
    </w:p>
    <w:p>
      <w:pPr>
        <w:keepNext w:val="0"/>
        <w:keepLines w:val="0"/>
        <w:pageBreakBefore w:val="0"/>
        <w:numPr>
          <w:ilvl w:val="0"/>
          <w:numId w:val="2"/>
        </w:numPr>
        <w:kinsoku/>
        <w:wordWrap/>
        <w:overflowPunct/>
        <w:topLinePunct w:val="0"/>
        <w:autoSpaceDE/>
        <w:autoSpaceDN/>
        <w:bidi w:val="0"/>
        <w:adjustRightInd/>
        <w:snapToGrid/>
        <w:spacing w:line="520" w:lineRule="exact"/>
        <w:ind w:left="0" w:leftChars="0" w:firstLine="560" w:firstLineChars="0"/>
        <w:textAlignment w:val="auto"/>
        <w:rPr>
          <w:rFonts w:hint="eastAsia" w:ascii="仿宋" w:hAnsi="仿宋" w:eastAsia="仿宋" w:cs="仿宋"/>
          <w:b/>
          <w:bCs/>
          <w:sz w:val="32"/>
          <w:szCs w:val="32"/>
        </w:rPr>
      </w:pPr>
      <w:r>
        <w:rPr>
          <w:rFonts w:hint="eastAsia" w:ascii="仿宋" w:hAnsi="仿宋" w:eastAsia="仿宋" w:cs="仿宋"/>
          <w:b/>
          <w:bCs/>
          <w:sz w:val="32"/>
          <w:szCs w:val="32"/>
        </w:rPr>
        <w:t>专项统计调查</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目标：组织开展农业统计与产业化、企业创新、服务业统计、工业统计、能源统计、投资统计等专项统计调查工作；完成统计数据采集和上报工作，进行统计分析，为经济决策提供依据。严格执行数据质量管理办法，加强基础数据质量管理。</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绩效指标：统计资料编印种类至少1类；统计专报数量不少于8篇；确保统计数据采集上报确认11次；年度预算资金执行率不低于90%。</w:t>
      </w:r>
    </w:p>
    <w:p>
      <w:pPr>
        <w:keepNext w:val="0"/>
        <w:keepLines w:val="0"/>
        <w:pageBreakBefore w:val="0"/>
        <w:numPr>
          <w:ilvl w:val="0"/>
          <w:numId w:val="2"/>
        </w:numPr>
        <w:kinsoku/>
        <w:wordWrap/>
        <w:overflowPunct/>
        <w:topLinePunct w:val="0"/>
        <w:autoSpaceDE/>
        <w:autoSpaceDN/>
        <w:bidi w:val="0"/>
        <w:adjustRightInd/>
        <w:snapToGrid/>
        <w:spacing w:line="520" w:lineRule="exact"/>
        <w:ind w:left="0" w:leftChars="0" w:firstLine="560" w:firstLineChars="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 xml:space="preserve">统计数据管理 </w:t>
      </w:r>
      <w:r>
        <w:rPr>
          <w:rFonts w:hint="eastAsia" w:ascii="仿宋" w:hAnsi="仿宋" w:eastAsia="仿宋" w:cs="仿宋"/>
          <w:b w:val="0"/>
          <w:bCs w:val="0"/>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目标：统计数据采集决策咨询服务：完成全县统计系统各级各专业实施以企业一套表制度为核心的统计四大工程：建立并管理全县统计信息自动化和数据库系统；出版《统计公报》和《统计年鉴》，做好统计咨询服务。</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绩效指标：系统正常运行率不低于90%；平台使用满意度不低于90%；年度预算资金执行率90%。</w:t>
      </w:r>
    </w:p>
    <w:p>
      <w:pPr>
        <w:keepNext w:val="0"/>
        <w:keepLines w:val="0"/>
        <w:pageBreakBefore w:val="0"/>
        <w:numPr>
          <w:ilvl w:val="0"/>
          <w:numId w:val="2"/>
        </w:numPr>
        <w:kinsoku/>
        <w:wordWrap/>
        <w:overflowPunct/>
        <w:topLinePunct w:val="0"/>
        <w:autoSpaceDE/>
        <w:autoSpaceDN/>
        <w:bidi w:val="0"/>
        <w:adjustRightInd/>
        <w:snapToGrid/>
        <w:spacing w:line="520" w:lineRule="exact"/>
        <w:ind w:left="0" w:leftChars="0" w:firstLine="560" w:firstLineChars="0"/>
        <w:textAlignment w:val="auto"/>
        <w:rPr>
          <w:rFonts w:hint="eastAsia" w:ascii="仿宋" w:hAnsi="仿宋" w:eastAsia="仿宋" w:cs="仿宋"/>
          <w:b/>
          <w:bCs/>
          <w:sz w:val="32"/>
          <w:szCs w:val="32"/>
        </w:rPr>
      </w:pPr>
      <w:r>
        <w:rPr>
          <w:rFonts w:hint="eastAsia" w:ascii="仿宋" w:hAnsi="仿宋" w:eastAsia="仿宋" w:cs="仿宋"/>
          <w:b/>
          <w:bCs/>
          <w:sz w:val="32"/>
          <w:szCs w:val="32"/>
        </w:rPr>
        <w:t>统计政务管理</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目标：健全全县统计法制建设，严格查处统计违法现象；加强统计执法检查监督，依纪依法查处统计违法案件。认真落实上级要求，组织开展好整治统计造假专项行动。保障统计资料科学管理与应用和机关正常运转；加强全县统计专业技术队伍建设.</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绩效指标：年度预算资金执行率不低于90%。</w:t>
      </w:r>
    </w:p>
    <w:p>
      <w:pPr>
        <w:keepNext w:val="0"/>
        <w:keepLines w:val="0"/>
        <w:pageBreakBefore w:val="0"/>
        <w:kinsoku/>
        <w:wordWrap/>
        <w:overflowPunct/>
        <w:topLinePunct w:val="0"/>
        <w:autoSpaceDE/>
        <w:autoSpaceDN/>
        <w:bidi w:val="0"/>
        <w:adjustRightInd/>
        <w:snapToGrid/>
        <w:spacing w:line="520" w:lineRule="exact"/>
        <w:ind w:firstLine="560"/>
        <w:textAlignment w:val="auto"/>
      </w:pPr>
      <w:r>
        <w:rPr>
          <w:rFonts w:eastAsia="方正仿宋_GBK"/>
          <w:color w:val="000000"/>
          <w:sz w:val="28"/>
        </w:rPr>
        <w:t>（三）工作保障措施</w:t>
      </w:r>
    </w:p>
    <w:p>
      <w:pPr>
        <w:pStyle w:val="27"/>
        <w:keepNext w:val="0"/>
        <w:keepLines w:val="0"/>
        <w:pageBreakBefore w:val="0"/>
        <w:kinsoku/>
        <w:wordWrap/>
        <w:overflowPunct/>
        <w:topLinePunct w:val="0"/>
        <w:autoSpaceDE/>
        <w:autoSpaceDN/>
        <w:bidi w:val="0"/>
        <w:adjustRightInd/>
        <w:snapToGrid/>
        <w:spacing w:line="520" w:lineRule="exact"/>
        <w:textAlignment w:val="auto"/>
      </w:pPr>
      <w:r>
        <w:t>为保证年度发展规划目标的实现，特</w:t>
      </w:r>
      <w:r>
        <w:rPr>
          <w:rFonts w:hint="eastAsia"/>
          <w:lang w:eastAsia="zh-CN"/>
        </w:rPr>
        <w:t>制订</w:t>
      </w:r>
      <w:r>
        <w:t>以下保障措施：</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lang w:eastAsia="zh-CN"/>
        </w:rPr>
        <w:t>、</w:t>
      </w:r>
      <w:r>
        <w:rPr>
          <w:rFonts w:ascii="仿宋" w:hAnsi="仿宋" w:eastAsia="仿宋"/>
          <w:b/>
          <w:bCs/>
          <w:sz w:val="32"/>
          <w:szCs w:val="32"/>
        </w:rPr>
        <w:t>加强制度建设。</w:t>
      </w:r>
      <w:r>
        <w:rPr>
          <w:rFonts w:ascii="仿宋" w:hAnsi="仿宋" w:eastAsia="仿宋"/>
          <w:sz w:val="32"/>
          <w:szCs w:val="32"/>
        </w:rPr>
        <w:t>认真贯国家</w:t>
      </w:r>
      <w:r>
        <w:rPr>
          <w:rFonts w:hint="eastAsia" w:ascii="仿宋" w:hAnsi="仿宋" w:eastAsia="仿宋"/>
          <w:sz w:val="32"/>
          <w:szCs w:val="32"/>
          <w:lang w:eastAsia="zh-CN"/>
        </w:rPr>
        <w:t>、</w:t>
      </w:r>
      <w:r>
        <w:rPr>
          <w:rFonts w:ascii="仿宋" w:hAnsi="仿宋" w:eastAsia="仿宋"/>
          <w:sz w:val="32"/>
          <w:szCs w:val="32"/>
        </w:rPr>
        <w:t>省</w:t>
      </w:r>
      <w:r>
        <w:rPr>
          <w:rFonts w:hint="eastAsia" w:ascii="仿宋" w:hAnsi="仿宋" w:eastAsia="仿宋"/>
          <w:sz w:val="32"/>
          <w:szCs w:val="32"/>
          <w:lang w:eastAsia="zh-CN"/>
        </w:rPr>
        <w:t>、</w:t>
      </w:r>
      <w:r>
        <w:rPr>
          <w:rFonts w:ascii="仿宋" w:hAnsi="仿宋" w:eastAsia="仿宋"/>
          <w:sz w:val="32"/>
          <w:szCs w:val="32"/>
        </w:rPr>
        <w:t>市</w:t>
      </w:r>
      <w:r>
        <w:rPr>
          <w:rFonts w:hint="eastAsia" w:ascii="仿宋" w:hAnsi="仿宋" w:eastAsia="仿宋"/>
          <w:sz w:val="32"/>
          <w:szCs w:val="32"/>
          <w:lang w:eastAsia="zh-CN"/>
        </w:rPr>
        <w:t>、</w:t>
      </w:r>
      <w:r>
        <w:rPr>
          <w:rFonts w:ascii="仿宋" w:hAnsi="仿宋" w:eastAsia="仿宋"/>
          <w:sz w:val="32"/>
          <w:szCs w:val="32"/>
        </w:rPr>
        <w:t>县</w:t>
      </w:r>
      <w:r>
        <w:rPr>
          <w:rFonts w:hint="eastAsia" w:ascii="仿宋" w:hAnsi="仿宋" w:eastAsia="仿宋"/>
          <w:sz w:val="32"/>
          <w:szCs w:val="32"/>
          <w:lang w:eastAsia="zh-CN"/>
        </w:rPr>
        <w:t>有</w:t>
      </w:r>
      <w:r>
        <w:rPr>
          <w:rFonts w:ascii="仿宋" w:hAnsi="仿宋" w:eastAsia="仿宋"/>
          <w:sz w:val="32"/>
          <w:szCs w:val="32"/>
        </w:rPr>
        <w:t>关财经方针、政策，根据预算绩效管理相关要求，修订和完善各项制度和办法，</w:t>
      </w:r>
      <w:bookmarkStart w:id="13" w:name="_GoBack"/>
      <w:bookmarkEnd w:id="13"/>
      <w:r>
        <w:rPr>
          <w:rFonts w:hint="eastAsia" w:ascii="仿宋" w:hAnsi="仿宋" w:eastAsia="仿宋"/>
          <w:sz w:val="32"/>
          <w:szCs w:val="32"/>
          <w:lang w:eastAsia="zh-CN"/>
        </w:rPr>
        <w:t>制订</w:t>
      </w:r>
      <w:r>
        <w:rPr>
          <w:rFonts w:ascii="仿宋" w:hAnsi="仿宋" w:eastAsia="仿宋"/>
          <w:sz w:val="32"/>
          <w:szCs w:val="32"/>
        </w:rPr>
        <w:t>完善机关资金管理、绩效管理办法，为绩效目标的实现奠定制度基础。</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ascii="仿宋" w:hAnsi="仿宋" w:eastAsia="仿宋"/>
          <w:b/>
          <w:bCs/>
          <w:sz w:val="32"/>
          <w:szCs w:val="32"/>
        </w:rPr>
        <w:t>2</w:t>
      </w:r>
      <w:r>
        <w:rPr>
          <w:rFonts w:hint="eastAsia" w:ascii="仿宋" w:hAnsi="仿宋" w:eastAsia="仿宋"/>
          <w:b/>
          <w:bCs/>
          <w:sz w:val="32"/>
          <w:szCs w:val="32"/>
          <w:lang w:eastAsia="zh-CN"/>
        </w:rPr>
        <w:t>、</w:t>
      </w:r>
      <w:r>
        <w:rPr>
          <w:rFonts w:ascii="仿宋" w:hAnsi="仿宋" w:eastAsia="仿宋"/>
          <w:b/>
          <w:bCs/>
          <w:sz w:val="32"/>
          <w:szCs w:val="32"/>
        </w:rPr>
        <w:t>加快支出管理。</w:t>
      </w:r>
      <w:r>
        <w:rPr>
          <w:rFonts w:ascii="仿宋" w:hAnsi="仿宋" w:eastAsia="仿宋"/>
          <w:sz w:val="32"/>
          <w:szCs w:val="32"/>
        </w:rPr>
        <w:t>强化协调沟通机制，由财务处督导、协调各业务处</w:t>
      </w:r>
      <w:r>
        <w:rPr>
          <w:rFonts w:hint="eastAsia" w:ascii="仿宋" w:hAnsi="仿宋" w:eastAsia="仿宋"/>
          <w:sz w:val="32"/>
          <w:szCs w:val="32"/>
          <w:lang w:eastAsia="zh-CN"/>
        </w:rPr>
        <w:t>制订</w:t>
      </w:r>
      <w:r>
        <w:rPr>
          <w:rFonts w:ascii="仿宋" w:hAnsi="仿宋" w:eastAsia="仿宋"/>
          <w:sz w:val="32"/>
          <w:szCs w:val="32"/>
        </w:rPr>
        <w:t>详细的支出计划加快进度执行，对月底达不到计划要求的，予以通报并提请分管局领导专门督导。确保从3月起每月支出进度达到要求。</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ascii="仿宋" w:hAnsi="仿宋" w:eastAsia="仿宋"/>
          <w:b/>
          <w:bCs/>
          <w:sz w:val="32"/>
          <w:szCs w:val="32"/>
        </w:rPr>
        <w:t>3</w:t>
      </w:r>
      <w:r>
        <w:rPr>
          <w:rFonts w:hint="eastAsia" w:ascii="仿宋" w:hAnsi="仿宋" w:eastAsia="仿宋"/>
          <w:b/>
          <w:bCs/>
          <w:sz w:val="32"/>
          <w:szCs w:val="32"/>
          <w:lang w:eastAsia="zh-CN"/>
        </w:rPr>
        <w:t>、</w:t>
      </w:r>
      <w:r>
        <w:rPr>
          <w:rFonts w:ascii="仿宋" w:hAnsi="仿宋" w:eastAsia="仿宋"/>
          <w:b/>
          <w:bCs/>
          <w:sz w:val="32"/>
          <w:szCs w:val="32"/>
        </w:rPr>
        <w:t>加强内部控制。</w:t>
      </w:r>
      <w:r>
        <w:rPr>
          <w:rFonts w:ascii="仿宋" w:hAnsi="仿宋" w:eastAsia="仿宋"/>
          <w:sz w:val="32"/>
          <w:szCs w:val="32"/>
        </w:rPr>
        <w:t>全面推进财务管理工作的开展，进一步加强内部控制制度的管理，规范财会基础工作，提高财会工作质量</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hint="eastAsia" w:ascii="仿宋" w:hAnsi="仿宋" w:eastAsia="仿宋"/>
          <w:b/>
          <w:bCs/>
          <w:sz w:val="32"/>
          <w:szCs w:val="32"/>
        </w:rPr>
        <w:t>4</w:t>
      </w:r>
      <w:r>
        <w:rPr>
          <w:rFonts w:hint="eastAsia" w:ascii="仿宋" w:hAnsi="仿宋" w:eastAsia="仿宋"/>
          <w:b/>
          <w:bCs/>
          <w:sz w:val="32"/>
          <w:szCs w:val="32"/>
          <w:lang w:eastAsia="zh-CN"/>
        </w:rPr>
        <w:t>、</w:t>
      </w:r>
      <w:r>
        <w:rPr>
          <w:rFonts w:ascii="仿宋" w:hAnsi="仿宋" w:eastAsia="仿宋"/>
          <w:b/>
          <w:bCs/>
          <w:sz w:val="32"/>
          <w:szCs w:val="32"/>
        </w:rPr>
        <w:t>规范财务管理制度。</w:t>
      </w:r>
      <w:r>
        <w:rPr>
          <w:rFonts w:ascii="仿宋" w:hAnsi="仿宋" w:eastAsia="仿宋"/>
          <w:sz w:val="32"/>
          <w:szCs w:val="32"/>
        </w:rPr>
        <w:t>一是会计记录与财产保管，业务经办与授权批准监督检查相分开。二是加强固定资产登记使用和报废处置管理，资产的报废原因，报废后在处置方法，要严格按照报废流程，报废资料必须完整保留，财务人员不可以擅自对固定资产进行报废处理。</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hint="eastAsia" w:ascii="仿宋" w:hAnsi="仿宋" w:eastAsia="仿宋" w:cs="仿宋"/>
          <w:b/>
          <w:bCs/>
          <w:sz w:val="32"/>
          <w:szCs w:val="32"/>
        </w:rPr>
        <w:t>5</w:t>
      </w:r>
      <w:r>
        <w:rPr>
          <w:rFonts w:hint="eastAsia" w:ascii="仿宋" w:hAnsi="仿宋" w:eastAsia="仿宋" w:cs="仿宋"/>
          <w:b/>
          <w:bCs/>
          <w:sz w:val="32"/>
          <w:szCs w:val="32"/>
          <w:lang w:eastAsia="zh-CN"/>
        </w:rPr>
        <w:t>、</w:t>
      </w:r>
      <w:r>
        <w:rPr>
          <w:rFonts w:hint="eastAsia" w:ascii="仿宋" w:hAnsi="仿宋" w:eastAsia="仿宋" w:cs="仿宋"/>
          <w:b/>
          <w:bCs/>
          <w:sz w:val="32"/>
          <w:szCs w:val="32"/>
        </w:rPr>
        <w:t>做好绩效自评工作</w:t>
      </w:r>
      <w:r>
        <w:rPr>
          <w:rFonts w:ascii="仿宋" w:hAnsi="仿宋" w:eastAsia="仿宋"/>
          <w:b/>
          <w:bCs/>
          <w:sz w:val="32"/>
          <w:szCs w:val="32"/>
        </w:rPr>
        <w:t>。</w:t>
      </w:r>
      <w:r>
        <w:rPr>
          <w:rFonts w:ascii="仿宋" w:hAnsi="仿宋" w:eastAsia="仿宋"/>
          <w:sz w:val="32"/>
          <w:szCs w:val="32"/>
        </w:rPr>
        <w:t>按要求开展上年度部门预算绩效自评和重点评价工作，对评价中发现的问题及时整改，调整优化支出结构，提高财政资金使用效益。</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left"/>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cs="仿宋"/>
          <w:b/>
          <w:bCs/>
          <w:sz w:val="32"/>
          <w:szCs w:val="32"/>
        </w:rPr>
        <w:t>6</w:t>
      </w:r>
      <w:r>
        <w:rPr>
          <w:rFonts w:hint="eastAsia" w:ascii="仿宋" w:hAnsi="仿宋" w:eastAsia="仿宋" w:cs="仿宋"/>
          <w:b/>
          <w:bCs/>
          <w:sz w:val="32"/>
          <w:szCs w:val="32"/>
          <w:lang w:eastAsia="zh-CN"/>
        </w:rPr>
        <w:t>、</w:t>
      </w:r>
      <w:r>
        <w:rPr>
          <w:rFonts w:hint="eastAsia" w:ascii="仿宋" w:hAnsi="仿宋" w:eastAsia="仿宋" w:cs="仿宋"/>
          <w:b/>
          <w:bCs/>
          <w:sz w:val="32"/>
          <w:szCs w:val="32"/>
        </w:rPr>
        <w:t>加强绩效运行监控。</w:t>
      </w:r>
      <w:r>
        <w:rPr>
          <w:rFonts w:ascii="仿宋" w:hAnsi="仿宋" w:eastAsia="仿宋"/>
          <w:sz w:val="32"/>
          <w:szCs w:val="32"/>
        </w:rPr>
        <w:t>按要求开展绩效运行监控，每月按要求对部门整体绩效目标和预算项目绩效目标实现情况和预算执行进度进行监控，发现问题及时采取措施，确保绩效目标如期保质实现。</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left"/>
        <w:textAlignment w:val="auto"/>
        <w:rPr>
          <w:rFonts w:hint="eastAsia" w:ascii="黑体" w:hAnsi="黑体" w:eastAsia="黑体"/>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b/>
          <w:bCs/>
          <w:sz w:val="32"/>
          <w:szCs w:val="32"/>
        </w:rPr>
        <w:t>7</w:t>
      </w:r>
      <w:r>
        <w:rPr>
          <w:rFonts w:hint="eastAsia" w:ascii="仿宋" w:hAnsi="仿宋" w:eastAsia="仿宋" w:cs="仿宋"/>
          <w:b/>
          <w:bCs/>
          <w:sz w:val="32"/>
          <w:szCs w:val="32"/>
          <w:lang w:eastAsia="zh-CN"/>
        </w:rPr>
        <w:t>、</w:t>
      </w:r>
      <w:r>
        <w:rPr>
          <w:rFonts w:hint="eastAsia" w:ascii="仿宋" w:hAnsi="仿宋" w:eastAsia="仿宋" w:cs="仿宋"/>
          <w:b/>
          <w:bCs/>
          <w:sz w:val="32"/>
          <w:szCs w:val="32"/>
        </w:rPr>
        <w:t>加强宣传培训调研等。</w:t>
      </w:r>
      <w:r>
        <w:rPr>
          <w:rFonts w:ascii="仿宋" w:hAnsi="仿宋" w:eastAsia="仿宋"/>
          <w:sz w:val="32"/>
          <w:szCs w:val="32"/>
        </w:rPr>
        <w:t>组织全县统计业务技术培训、岗位培训和知识更新培训，开展统计科学研究。对调查项目进行摸底走访，而了解资金运用和使用情况。加强对普查和调查的宣传力度，促进普查工作的顺利开展。</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《统计年鉴》印刷</w:t>
      </w:r>
      <w:r>
        <w:rPr>
          <w:rFonts w:hint="eastAsia" w:ascii="方正仿宋_GBK" w:hAnsi="方正仿宋_GBK" w:eastAsia="方正仿宋_GBK" w:cs="方正仿宋_GBK"/>
          <w:b/>
          <w:color w:val="000000"/>
          <w:sz w:val="28"/>
          <w:lang w:eastAsia="zh-CN"/>
        </w:rPr>
        <w:t>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收集整理2022年统计数据，2022年底完成编辑、印刷、发行工作，保持统计资料连续性达到可对外公布需求。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产出指标</w:t>
            </w:r>
          </w:p>
        </w:tc>
        <w:tc>
          <w:tcPr>
            <w:tcW w:w="2268" w:type="dxa"/>
            <w:vAlign w:val="center"/>
          </w:tcPr>
          <w:p>
            <w:pPr>
              <w:pStyle w:val="16"/>
            </w:pPr>
            <w:r>
              <w:t>数量指标</w:t>
            </w:r>
          </w:p>
        </w:tc>
        <w:tc>
          <w:tcPr>
            <w:tcW w:w="2835" w:type="dxa"/>
            <w:vAlign w:val="center"/>
          </w:tcPr>
          <w:p>
            <w:pPr>
              <w:pStyle w:val="16"/>
            </w:pPr>
            <w:r>
              <w:t>统计公报/统计年鉴数据或文字差</w:t>
            </w:r>
          </w:p>
        </w:tc>
        <w:tc>
          <w:tcPr>
            <w:tcW w:w="2835" w:type="dxa"/>
            <w:vAlign w:val="center"/>
          </w:tcPr>
          <w:p>
            <w:pPr>
              <w:pStyle w:val="16"/>
              <w:rPr>
                <w:rFonts w:hint="default" w:ascii="方正书宋_GBK" w:hAnsi="方正书宋_GBK" w:eastAsia="方正书宋_GBK" w:cs="方正书宋_GBK"/>
                <w:sz w:val="21"/>
                <w:szCs w:val="24"/>
                <w:lang w:val="en-US" w:eastAsia="zh-CN" w:bidi="ar-SA"/>
              </w:rPr>
            </w:pPr>
            <w:r>
              <w:t>统计公报/统计年鉴数据或文字差错率</w:t>
            </w:r>
          </w:p>
        </w:tc>
        <w:tc>
          <w:tcPr>
            <w:tcW w:w="2551" w:type="dxa"/>
            <w:vAlign w:val="center"/>
          </w:tcPr>
          <w:p>
            <w:pPr>
              <w:pStyle w:val="16"/>
              <w:rPr>
                <w:rFonts w:ascii="方正书宋_GBK" w:hAnsi="方正书宋_GBK" w:eastAsia="方正书宋_GBK" w:cs="方正书宋_GBK"/>
                <w:sz w:val="21"/>
                <w:szCs w:val="24"/>
                <w:lang w:val="en-US" w:eastAsia="uk-UA" w:bidi="ar-SA"/>
              </w:rPr>
            </w:pPr>
            <w:r>
              <w:t>≤10百分比</w:t>
            </w:r>
          </w:p>
        </w:tc>
        <w:tc>
          <w:tcPr>
            <w:tcW w:w="2268" w:type="dxa"/>
            <w:vAlign w:val="center"/>
          </w:tcPr>
          <w:p>
            <w:pPr>
              <w:pStyle w:val="16"/>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6"/>
            </w:pPr>
            <w:r>
              <w:t>质量指标</w:t>
            </w:r>
          </w:p>
        </w:tc>
        <w:tc>
          <w:tcPr>
            <w:tcW w:w="2835" w:type="dxa"/>
            <w:vAlign w:val="center"/>
          </w:tcPr>
          <w:p>
            <w:pPr>
              <w:pStyle w:val="16"/>
            </w:pPr>
            <w:r>
              <w:t>印刷合格率</w:t>
            </w:r>
          </w:p>
        </w:tc>
        <w:tc>
          <w:tcPr>
            <w:tcW w:w="2835" w:type="dxa"/>
            <w:vAlign w:val="center"/>
          </w:tcPr>
          <w:p>
            <w:pPr>
              <w:pStyle w:val="16"/>
              <w:rPr>
                <w:rFonts w:hint="eastAsia" w:ascii="方正书宋_GBK" w:hAnsi="方正书宋_GBK" w:eastAsia="方正书宋_GBK" w:cs="方正书宋_GBK"/>
                <w:sz w:val="21"/>
                <w:szCs w:val="24"/>
                <w:lang w:val="en-US" w:eastAsia="zh-CN" w:bidi="ar-SA"/>
              </w:rPr>
            </w:pPr>
            <w:r>
              <w:t>印刷合格率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6"/>
            </w:pPr>
            <w:r>
              <w:t>时效指标</w:t>
            </w:r>
          </w:p>
        </w:tc>
        <w:tc>
          <w:tcPr>
            <w:tcW w:w="2835" w:type="dxa"/>
            <w:vAlign w:val="center"/>
          </w:tcPr>
          <w:p>
            <w:pPr>
              <w:pStyle w:val="16"/>
            </w:pPr>
            <w:r>
              <w:t>按时完成印刷任务</w:t>
            </w:r>
          </w:p>
        </w:tc>
        <w:tc>
          <w:tcPr>
            <w:tcW w:w="2835" w:type="dxa"/>
            <w:vAlign w:val="center"/>
          </w:tcPr>
          <w:p>
            <w:pPr>
              <w:pStyle w:val="16"/>
              <w:rPr>
                <w:rFonts w:ascii="方正书宋_GBK" w:hAnsi="方正书宋_GBK" w:eastAsia="方正书宋_GBK" w:cs="方正书宋_GBK"/>
                <w:sz w:val="21"/>
                <w:szCs w:val="24"/>
                <w:lang w:val="en-US" w:eastAsia="uk-UA" w:bidi="ar-SA"/>
              </w:rPr>
            </w:pPr>
            <w:r>
              <w:t>按时完成印刷任务</w:t>
            </w:r>
          </w:p>
        </w:tc>
        <w:tc>
          <w:tcPr>
            <w:tcW w:w="2551" w:type="dxa"/>
            <w:vAlign w:val="center"/>
          </w:tcPr>
          <w:p>
            <w:pPr>
              <w:pStyle w:val="16"/>
              <w:rPr>
                <w:rFonts w:ascii="方正书宋_GBK" w:hAnsi="方正书宋_GBK" w:eastAsia="方正书宋_GBK" w:cs="方正书宋_GBK"/>
                <w:sz w:val="21"/>
                <w:szCs w:val="24"/>
                <w:lang w:val="en-US" w:eastAsia="uk-UA" w:bidi="ar-SA"/>
              </w:rPr>
            </w:pPr>
            <w:r>
              <w:t>良好</w:t>
            </w:r>
          </w:p>
        </w:tc>
        <w:tc>
          <w:tcPr>
            <w:tcW w:w="2268" w:type="dxa"/>
            <w:vAlign w:val="center"/>
          </w:tcPr>
          <w:p>
            <w:pPr>
              <w:pStyle w:val="16"/>
            </w:pPr>
            <w:r>
              <w:t>按时交付统计局使用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6"/>
            </w:pPr>
            <w:r>
              <w:t>成本指标</w:t>
            </w:r>
          </w:p>
        </w:tc>
        <w:tc>
          <w:tcPr>
            <w:tcW w:w="2835" w:type="dxa"/>
            <w:vAlign w:val="center"/>
          </w:tcPr>
          <w:p>
            <w:pPr>
              <w:pStyle w:val="16"/>
            </w:pPr>
            <w:r>
              <w:t>印刷成本</w:t>
            </w:r>
          </w:p>
        </w:tc>
        <w:tc>
          <w:tcPr>
            <w:tcW w:w="2835" w:type="dxa"/>
            <w:vAlign w:val="center"/>
          </w:tcPr>
          <w:p>
            <w:pPr>
              <w:pStyle w:val="16"/>
              <w:rPr>
                <w:rFonts w:ascii="方正书宋_GBK" w:hAnsi="方正书宋_GBK" w:eastAsia="方正书宋_GBK" w:cs="方正书宋_GBK"/>
                <w:sz w:val="21"/>
                <w:szCs w:val="24"/>
                <w:lang w:val="en-US" w:eastAsia="uk-UA" w:bidi="ar-SA"/>
              </w:rPr>
            </w:pPr>
            <w:r>
              <w:t>编印年鉴的单册成本</w:t>
            </w:r>
          </w:p>
        </w:tc>
        <w:tc>
          <w:tcPr>
            <w:tcW w:w="2551" w:type="dxa"/>
            <w:vAlign w:val="center"/>
          </w:tcPr>
          <w:p>
            <w:pPr>
              <w:pStyle w:val="16"/>
              <w:rPr>
                <w:rFonts w:ascii="方正书宋_GBK" w:hAnsi="方正书宋_GBK" w:eastAsia="方正书宋_GBK" w:cs="方正书宋_GBK"/>
                <w:sz w:val="21"/>
                <w:szCs w:val="24"/>
                <w:lang w:val="en-US" w:eastAsia="uk-UA" w:bidi="ar-SA"/>
              </w:rPr>
            </w:pPr>
            <w:r>
              <w:t>3万元</w:t>
            </w:r>
          </w:p>
        </w:tc>
        <w:tc>
          <w:tcPr>
            <w:tcW w:w="2268" w:type="dxa"/>
            <w:vAlign w:val="center"/>
          </w:tcPr>
          <w:p>
            <w:pPr>
              <w:pStyle w:val="16"/>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效益指标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可持续影响指标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长期使用性</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能够长期使用年鉴数据</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良好</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保障数据的连续性</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2、第五次全国经济普查经费绩效目标表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根据省市要求，完成普查前期的宣传动员与开展，及时发放“两员”补贴。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支撑个体户及企业数量</w:t>
            </w:r>
          </w:p>
        </w:tc>
        <w:tc>
          <w:tcPr>
            <w:tcW w:w="2835" w:type="dxa"/>
            <w:vAlign w:val="center"/>
          </w:tcPr>
          <w:p>
            <w:pPr>
              <w:pStyle w:val="16"/>
              <w:rPr>
                <w:rFonts w:hint="default" w:eastAsia="方正书宋_GBK"/>
                <w:lang w:val="en-US" w:eastAsia="zh-CN"/>
              </w:rPr>
            </w:pPr>
            <w:r>
              <w:t>支撑个体户及企业数量</w:t>
            </w:r>
          </w:p>
        </w:tc>
        <w:tc>
          <w:tcPr>
            <w:tcW w:w="2551" w:type="dxa"/>
            <w:vAlign w:val="center"/>
          </w:tcPr>
          <w:p>
            <w:pPr>
              <w:pStyle w:val="16"/>
            </w:pPr>
            <w:r>
              <w:t>≥95百分比</w:t>
            </w:r>
          </w:p>
        </w:tc>
        <w:tc>
          <w:tcPr>
            <w:tcW w:w="2268" w:type="dxa"/>
            <w:vAlign w:val="center"/>
          </w:tcPr>
          <w:p>
            <w:pPr>
              <w:pStyle w:val="16"/>
            </w:pPr>
            <w:r>
              <w:t>普查情况上报率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各项任务完成及时率（%）</w:t>
            </w:r>
          </w:p>
        </w:tc>
        <w:tc>
          <w:tcPr>
            <w:tcW w:w="2835" w:type="dxa"/>
            <w:vAlign w:val="center"/>
          </w:tcPr>
          <w:p>
            <w:pPr>
              <w:pStyle w:val="16"/>
              <w:rPr>
                <w:rFonts w:hint="eastAsia" w:eastAsia="方正书宋_GBK"/>
                <w:lang w:eastAsia="zh-CN"/>
              </w:rPr>
            </w:pPr>
            <w:r>
              <w:t>各项任务完成及时率（%）</w:t>
            </w:r>
          </w:p>
        </w:tc>
        <w:tc>
          <w:tcPr>
            <w:tcW w:w="2551" w:type="dxa"/>
            <w:vAlign w:val="center"/>
          </w:tcPr>
          <w:p>
            <w:pPr>
              <w:pStyle w:val="16"/>
            </w:pPr>
            <w:r>
              <w:t>≥95百分比</w:t>
            </w:r>
          </w:p>
        </w:tc>
        <w:tc>
          <w:tcPr>
            <w:tcW w:w="2268" w:type="dxa"/>
            <w:vAlign w:val="center"/>
          </w:tcPr>
          <w:p>
            <w:pPr>
              <w:pStyle w:val="16"/>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数据统计、监测分析</w:t>
            </w:r>
          </w:p>
        </w:tc>
        <w:tc>
          <w:tcPr>
            <w:tcW w:w="2835" w:type="dxa"/>
            <w:vAlign w:val="center"/>
          </w:tcPr>
          <w:p>
            <w:pPr>
              <w:pStyle w:val="16"/>
            </w:pPr>
            <w:r>
              <w:t>数据统计、监测分析</w:t>
            </w:r>
          </w:p>
        </w:tc>
        <w:tc>
          <w:tcPr>
            <w:tcW w:w="2551" w:type="dxa"/>
            <w:vAlign w:val="center"/>
          </w:tcPr>
          <w:p>
            <w:pPr>
              <w:pStyle w:val="16"/>
            </w:pPr>
            <w:r>
              <w:t>≥95百分比</w:t>
            </w:r>
          </w:p>
        </w:tc>
        <w:tc>
          <w:tcPr>
            <w:tcW w:w="2268" w:type="dxa"/>
            <w:vAlign w:val="center"/>
          </w:tcPr>
          <w:p>
            <w:pPr>
              <w:pStyle w:val="16"/>
            </w:pPr>
            <w:r>
              <w:t>数据填报正确率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完成全部普查所需成本</w:t>
            </w:r>
          </w:p>
        </w:tc>
        <w:tc>
          <w:tcPr>
            <w:tcW w:w="2835" w:type="dxa"/>
            <w:vAlign w:val="center"/>
          </w:tcPr>
          <w:p>
            <w:pPr>
              <w:pStyle w:val="16"/>
              <w:rPr>
                <w:rFonts w:hint="default" w:eastAsia="方正书宋_GBK"/>
                <w:lang w:val="en-US" w:eastAsia="zh-CN"/>
              </w:rPr>
            </w:pPr>
            <w:r>
              <w:t>完成全部普查所需成本</w:t>
            </w:r>
          </w:p>
        </w:tc>
        <w:tc>
          <w:tcPr>
            <w:tcW w:w="2551" w:type="dxa"/>
            <w:vAlign w:val="center"/>
          </w:tcPr>
          <w:p>
            <w:pPr>
              <w:pStyle w:val="16"/>
            </w:pPr>
            <w:r>
              <w:t>≥95百分比</w:t>
            </w:r>
          </w:p>
        </w:tc>
        <w:tc>
          <w:tcPr>
            <w:tcW w:w="2268" w:type="dxa"/>
            <w:vAlign w:val="center"/>
          </w:tcPr>
          <w:p>
            <w:pPr>
              <w:pStyle w:val="16"/>
            </w:pPr>
            <w:r>
              <w:t>按预算数据发放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对社会经济发展的影响</w:t>
            </w:r>
          </w:p>
        </w:tc>
        <w:tc>
          <w:tcPr>
            <w:tcW w:w="2835" w:type="dxa"/>
            <w:vAlign w:val="center"/>
          </w:tcPr>
          <w:p>
            <w:pPr>
              <w:pStyle w:val="16"/>
              <w:rPr>
                <w:rFonts w:hint="default" w:eastAsia="方正书宋_GBK"/>
                <w:lang w:val="en-US" w:eastAsia="zh-CN"/>
              </w:rPr>
            </w:pPr>
            <w:r>
              <w:t>对社会经济发展的影响</w:t>
            </w:r>
          </w:p>
        </w:tc>
        <w:tc>
          <w:tcPr>
            <w:tcW w:w="2551" w:type="dxa"/>
            <w:vAlign w:val="center"/>
          </w:tcPr>
          <w:p>
            <w:pPr>
              <w:pStyle w:val="16"/>
            </w:pPr>
            <w:r>
              <w:t>良好</w:t>
            </w:r>
          </w:p>
        </w:tc>
        <w:tc>
          <w:tcPr>
            <w:tcW w:w="2268" w:type="dxa"/>
            <w:vAlign w:val="center"/>
          </w:tcPr>
          <w:p>
            <w:pPr>
              <w:pStyle w:val="16"/>
            </w:pPr>
            <w:r>
              <w:t>数据提供来源</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六</w:t>
      </w:r>
      <w:r>
        <w:rPr>
          <w:rFonts w:hint="eastAsia" w:ascii="方正仿宋_GBK" w:hAnsi="方正仿宋_GBK" w:eastAsia="方正仿宋_GBK" w:cs="方正仿宋_GBK"/>
          <w:b/>
          <w:color w:val="000000"/>
          <w:sz w:val="28"/>
        </w:rPr>
        <w:t>项抽样调查</w:t>
      </w:r>
      <w:r>
        <w:rPr>
          <w:rFonts w:hint="eastAsia" w:ascii="方正仿宋_GBK" w:hAnsi="方正仿宋_GBK" w:eastAsia="方正仿宋_GBK" w:cs="方正仿宋_GBK"/>
          <w:b/>
          <w:color w:val="000000"/>
          <w:sz w:val="28"/>
          <w:lang w:eastAsia="zh-CN"/>
        </w:rPr>
        <w:t>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按时按要求发放各项调查补贴，完成调查培训，科学组织合理安排调查实施，确保调查任务圆满完成。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调查企业户数</w:t>
            </w:r>
          </w:p>
        </w:tc>
        <w:tc>
          <w:tcPr>
            <w:tcW w:w="2835" w:type="dxa"/>
            <w:vAlign w:val="center"/>
          </w:tcPr>
          <w:p>
            <w:pPr>
              <w:pStyle w:val="16"/>
            </w:pPr>
            <w:r>
              <w:t>调查企业户数</w:t>
            </w:r>
          </w:p>
        </w:tc>
        <w:tc>
          <w:tcPr>
            <w:tcW w:w="2551" w:type="dxa"/>
            <w:vAlign w:val="center"/>
          </w:tcPr>
          <w:p>
            <w:pPr>
              <w:pStyle w:val="16"/>
            </w:pPr>
            <w:r>
              <w:t>160户</w:t>
            </w:r>
          </w:p>
        </w:tc>
        <w:tc>
          <w:tcPr>
            <w:tcW w:w="2268" w:type="dxa"/>
            <w:vAlign w:val="center"/>
          </w:tcPr>
          <w:p>
            <w:pPr>
              <w:pStyle w:val="16"/>
            </w:pPr>
            <w:r>
              <w:t>按省市要求完成调查企业个数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信息统计调查完成率</w:t>
            </w:r>
          </w:p>
        </w:tc>
        <w:tc>
          <w:tcPr>
            <w:tcW w:w="2835" w:type="dxa"/>
            <w:vAlign w:val="center"/>
          </w:tcPr>
          <w:p>
            <w:pPr>
              <w:pStyle w:val="16"/>
              <w:rPr>
                <w:rFonts w:hint="default" w:eastAsia="方正书宋_GBK"/>
                <w:lang w:val="en-US" w:eastAsia="zh-CN"/>
              </w:rPr>
            </w:pPr>
            <w:r>
              <w:t>信息统计调查完成率</w:t>
            </w:r>
          </w:p>
        </w:tc>
        <w:tc>
          <w:tcPr>
            <w:tcW w:w="2551" w:type="dxa"/>
            <w:vAlign w:val="center"/>
          </w:tcPr>
          <w:p>
            <w:pPr>
              <w:pStyle w:val="16"/>
            </w:pPr>
            <w:r>
              <w:t>≥95百分比</w:t>
            </w:r>
          </w:p>
        </w:tc>
        <w:tc>
          <w:tcPr>
            <w:tcW w:w="2268" w:type="dxa"/>
            <w:vAlign w:val="center"/>
          </w:tcPr>
          <w:p>
            <w:pPr>
              <w:pStyle w:val="16"/>
            </w:pPr>
            <w:r>
              <w:t>是否按质量要求完成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数据统计调查、分析监测等完成时</w:t>
            </w:r>
          </w:p>
        </w:tc>
        <w:tc>
          <w:tcPr>
            <w:tcW w:w="2835" w:type="dxa"/>
            <w:vAlign w:val="center"/>
          </w:tcPr>
          <w:p>
            <w:pPr>
              <w:pStyle w:val="16"/>
            </w:pPr>
            <w:r>
              <w:t>数据统计调查、分析监测等完成时限</w:t>
            </w:r>
          </w:p>
        </w:tc>
        <w:tc>
          <w:tcPr>
            <w:tcW w:w="2551" w:type="dxa"/>
            <w:vAlign w:val="center"/>
          </w:tcPr>
          <w:p>
            <w:pPr>
              <w:pStyle w:val="16"/>
            </w:pPr>
            <w:r>
              <w:t>≥95百分比</w:t>
            </w:r>
          </w:p>
        </w:tc>
        <w:tc>
          <w:tcPr>
            <w:tcW w:w="2268" w:type="dxa"/>
            <w:vAlign w:val="center"/>
          </w:tcPr>
          <w:p>
            <w:pPr>
              <w:pStyle w:val="16"/>
            </w:pPr>
            <w:r>
              <w:t>是否按时完成上报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w:t>
            </w:r>
          </w:p>
        </w:tc>
        <w:tc>
          <w:tcPr>
            <w:tcW w:w="2835" w:type="dxa"/>
            <w:vAlign w:val="center"/>
          </w:tcPr>
          <w:p>
            <w:pPr>
              <w:pStyle w:val="16"/>
            </w:pPr>
            <w:r>
              <w:t>成本控制</w:t>
            </w:r>
          </w:p>
        </w:tc>
        <w:tc>
          <w:tcPr>
            <w:tcW w:w="2551" w:type="dxa"/>
            <w:vAlign w:val="center"/>
          </w:tcPr>
          <w:p>
            <w:pPr>
              <w:pStyle w:val="16"/>
            </w:pPr>
            <w:r>
              <w:t>42.92万元</w:t>
            </w:r>
          </w:p>
        </w:tc>
        <w:tc>
          <w:tcPr>
            <w:tcW w:w="2268"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统计信息采用量</w:t>
            </w:r>
          </w:p>
        </w:tc>
        <w:tc>
          <w:tcPr>
            <w:tcW w:w="2835" w:type="dxa"/>
            <w:vAlign w:val="center"/>
          </w:tcPr>
          <w:p>
            <w:pPr>
              <w:pStyle w:val="16"/>
            </w:pPr>
            <w:r>
              <w:t>反映统计信息、分析、课题受省领导批示或被采用情况</w:t>
            </w:r>
          </w:p>
        </w:tc>
        <w:tc>
          <w:tcPr>
            <w:tcW w:w="2551" w:type="dxa"/>
            <w:vAlign w:val="center"/>
          </w:tcPr>
          <w:p>
            <w:pPr>
              <w:pStyle w:val="16"/>
            </w:pPr>
            <w:r>
              <w:t>≥95百分比</w:t>
            </w:r>
          </w:p>
        </w:tc>
        <w:tc>
          <w:tcPr>
            <w:tcW w:w="2268" w:type="dxa"/>
            <w:vAlign w:val="center"/>
          </w:tcPr>
          <w:p>
            <w:pPr>
              <w:pStyle w:val="16"/>
            </w:pPr>
            <w:r>
              <w:t>反映统计信息、分析、课题受省领导批示或被采用情况</w:t>
            </w:r>
          </w:p>
        </w:tc>
      </w:tr>
    </w:tbl>
    <w:p>
      <w:pPr>
        <w:sectPr>
          <w:pgSz w:w="16840" w:h="11900" w:orient="landscape"/>
          <w:pgMar w:top="1361" w:right="1020" w:bottom="1134" w:left="1020" w:header="720" w:footer="720" w:gutter="0"/>
          <w:cols w:space="720" w:num="1"/>
        </w:sectPr>
      </w:pPr>
    </w:p>
    <w:p>
      <w:pPr>
        <w:ind w:firstLine="560" w:firstLineChars="200"/>
      </w:pP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入统企业统计报表人员工作补贴</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发放入统企业报表人员工作补贴，提高企业人员上报数据的积极性和准确性。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完成统计工作数量</w:t>
            </w:r>
          </w:p>
        </w:tc>
        <w:tc>
          <w:tcPr>
            <w:tcW w:w="2835" w:type="dxa"/>
            <w:vAlign w:val="center"/>
          </w:tcPr>
          <w:p>
            <w:pPr>
              <w:pStyle w:val="16"/>
            </w:pPr>
            <w:r>
              <w:t>规模以上企业数量</w:t>
            </w:r>
          </w:p>
        </w:tc>
        <w:tc>
          <w:tcPr>
            <w:tcW w:w="2551" w:type="dxa"/>
            <w:vAlign w:val="center"/>
          </w:tcPr>
          <w:p>
            <w:pPr>
              <w:pStyle w:val="16"/>
            </w:pPr>
            <w:r>
              <w:t>118家</w:t>
            </w:r>
          </w:p>
        </w:tc>
        <w:tc>
          <w:tcPr>
            <w:tcW w:w="2268" w:type="dxa"/>
            <w:vAlign w:val="center"/>
          </w:tcPr>
          <w:p>
            <w:pPr>
              <w:pStyle w:val="16"/>
            </w:pPr>
            <w:r>
              <w:t>规模以上企业数量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报送数据及时性</w:t>
            </w:r>
          </w:p>
        </w:tc>
        <w:tc>
          <w:tcPr>
            <w:tcW w:w="2835" w:type="dxa"/>
            <w:vAlign w:val="center"/>
          </w:tcPr>
          <w:p>
            <w:pPr>
              <w:pStyle w:val="16"/>
              <w:rPr>
                <w:rFonts w:hint="default" w:eastAsia="方正书宋_GBK"/>
                <w:lang w:val="en-US" w:eastAsia="zh-CN"/>
              </w:rPr>
            </w:pPr>
            <w:r>
              <w:t>是否按时按质报送数据</w:t>
            </w:r>
          </w:p>
        </w:tc>
        <w:tc>
          <w:tcPr>
            <w:tcW w:w="2551" w:type="dxa"/>
            <w:vAlign w:val="center"/>
          </w:tcPr>
          <w:p>
            <w:pPr>
              <w:pStyle w:val="16"/>
            </w:pPr>
            <w:r>
              <w:t>≥95百分比</w:t>
            </w:r>
          </w:p>
        </w:tc>
        <w:tc>
          <w:tcPr>
            <w:tcW w:w="2268" w:type="dxa"/>
            <w:vAlign w:val="center"/>
          </w:tcPr>
          <w:p>
            <w:pPr>
              <w:pStyle w:val="16"/>
            </w:pPr>
            <w:r>
              <w:t>完成上报数据的真实和及时性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工作任务完成及时率</w:t>
            </w:r>
          </w:p>
        </w:tc>
        <w:tc>
          <w:tcPr>
            <w:tcW w:w="2835" w:type="dxa"/>
            <w:vAlign w:val="center"/>
          </w:tcPr>
          <w:p>
            <w:pPr>
              <w:pStyle w:val="16"/>
            </w:pPr>
            <w:r>
              <w:t>是否按时完成任务</w:t>
            </w:r>
          </w:p>
        </w:tc>
        <w:tc>
          <w:tcPr>
            <w:tcW w:w="2551" w:type="dxa"/>
            <w:vAlign w:val="center"/>
          </w:tcPr>
          <w:p>
            <w:pPr>
              <w:pStyle w:val="16"/>
            </w:pPr>
            <w:r>
              <w:t>≥95百分比</w:t>
            </w:r>
          </w:p>
        </w:tc>
        <w:tc>
          <w:tcPr>
            <w:tcW w:w="2268" w:type="dxa"/>
            <w:vAlign w:val="center"/>
          </w:tcPr>
          <w:p>
            <w:pPr>
              <w:pStyle w:val="16"/>
            </w:pPr>
            <w:r>
              <w:t>是否在规定时间内上报完成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预算控制数</w:t>
            </w:r>
          </w:p>
        </w:tc>
        <w:tc>
          <w:tcPr>
            <w:tcW w:w="2551" w:type="dxa"/>
            <w:vAlign w:val="center"/>
          </w:tcPr>
          <w:p>
            <w:pPr>
              <w:pStyle w:val="16"/>
            </w:pPr>
            <w:r>
              <w:t>7.08万元</w:t>
            </w:r>
          </w:p>
        </w:tc>
        <w:tc>
          <w:tcPr>
            <w:tcW w:w="2268" w:type="dxa"/>
            <w:vAlign w:val="center"/>
          </w:tcPr>
          <w:p>
            <w:pPr>
              <w:pStyle w:val="16"/>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规模以上企业增加比例</w:t>
            </w:r>
          </w:p>
        </w:tc>
        <w:tc>
          <w:tcPr>
            <w:tcW w:w="2835" w:type="dxa"/>
            <w:vAlign w:val="center"/>
          </w:tcPr>
          <w:p>
            <w:pPr>
              <w:pStyle w:val="16"/>
              <w:rPr>
                <w:rFonts w:hint="default" w:eastAsia="方正书宋_GBK"/>
                <w:lang w:val="en-US" w:eastAsia="zh-CN"/>
              </w:rPr>
            </w:pPr>
            <w:r>
              <w:t>规模以上企业增加大于2家</w:t>
            </w:r>
          </w:p>
        </w:tc>
        <w:tc>
          <w:tcPr>
            <w:tcW w:w="2551" w:type="dxa"/>
            <w:vAlign w:val="center"/>
          </w:tcPr>
          <w:p>
            <w:pPr>
              <w:pStyle w:val="16"/>
            </w:pPr>
            <w:r>
              <w:t>≥95百分比</w:t>
            </w:r>
          </w:p>
        </w:tc>
        <w:tc>
          <w:tcPr>
            <w:tcW w:w="2268" w:type="dxa"/>
            <w:vAlign w:val="center"/>
          </w:tcPr>
          <w:p>
            <w:pPr>
              <w:pStyle w:val="16"/>
            </w:pPr>
            <w:r>
              <w:t>能否按时完成</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val="en-US" w:eastAsia="zh-CN"/>
        </w:rPr>
        <w:t>5</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统计工作专项经费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412"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确保统计等各项工作的正常运转、职工满意度、高提高工作积极性。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完成统计工作数量</w:t>
            </w:r>
          </w:p>
        </w:tc>
        <w:tc>
          <w:tcPr>
            <w:tcW w:w="2835" w:type="dxa"/>
            <w:vAlign w:val="center"/>
          </w:tcPr>
          <w:p>
            <w:pPr>
              <w:pStyle w:val="16"/>
              <w:rPr>
                <w:rFonts w:hint="default" w:eastAsia="方正书宋_GBK"/>
                <w:lang w:val="en-US" w:eastAsia="zh-CN"/>
              </w:rPr>
            </w:pPr>
            <w:r>
              <w:t>是否各项统计工作</w:t>
            </w:r>
          </w:p>
        </w:tc>
        <w:tc>
          <w:tcPr>
            <w:tcW w:w="2551" w:type="dxa"/>
            <w:vAlign w:val="center"/>
          </w:tcPr>
          <w:p>
            <w:pPr>
              <w:pStyle w:val="16"/>
            </w:pPr>
            <w:r>
              <w:t>≥95百分比</w:t>
            </w:r>
          </w:p>
        </w:tc>
        <w:tc>
          <w:tcPr>
            <w:tcW w:w="2268" w:type="dxa"/>
            <w:vAlign w:val="center"/>
          </w:tcPr>
          <w:p>
            <w:pPr>
              <w:pStyle w:val="16"/>
            </w:pPr>
            <w:r>
              <w:t>完成各项统计工作任务量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业务工作完成率（%）</w:t>
            </w:r>
          </w:p>
        </w:tc>
        <w:tc>
          <w:tcPr>
            <w:tcW w:w="2835" w:type="dxa"/>
            <w:vAlign w:val="center"/>
          </w:tcPr>
          <w:p>
            <w:pPr>
              <w:pStyle w:val="16"/>
              <w:rPr>
                <w:rFonts w:hint="default" w:eastAsia="方正书宋_GBK"/>
                <w:lang w:val="en-US" w:eastAsia="zh-CN"/>
              </w:rPr>
            </w:pPr>
            <w:r>
              <w:t>业务工作完成率（%）</w:t>
            </w:r>
          </w:p>
        </w:tc>
        <w:tc>
          <w:tcPr>
            <w:tcW w:w="2551" w:type="dxa"/>
            <w:vAlign w:val="center"/>
          </w:tcPr>
          <w:p>
            <w:pPr>
              <w:pStyle w:val="16"/>
            </w:pPr>
            <w:r>
              <w:t>≥90百分比</w:t>
            </w:r>
          </w:p>
        </w:tc>
        <w:tc>
          <w:tcPr>
            <w:tcW w:w="2268" w:type="dxa"/>
            <w:vAlign w:val="center"/>
          </w:tcPr>
          <w:p>
            <w:pPr>
              <w:pStyle w:val="16"/>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rPr>
                <w:rFonts w:hint="default" w:eastAsia="方正书宋_GBK"/>
                <w:lang w:val="en-US" w:eastAsia="zh-CN"/>
              </w:rPr>
            </w:pPr>
            <w:r>
              <w:t>各项任务完成及时率（%）</w:t>
            </w:r>
          </w:p>
        </w:tc>
        <w:tc>
          <w:tcPr>
            <w:tcW w:w="2551" w:type="dxa"/>
            <w:vAlign w:val="center"/>
          </w:tcPr>
          <w:p>
            <w:pPr>
              <w:pStyle w:val="16"/>
            </w:pPr>
            <w:r>
              <w:t>≥95百分比</w:t>
            </w:r>
          </w:p>
        </w:tc>
        <w:tc>
          <w:tcPr>
            <w:tcW w:w="2268" w:type="dxa"/>
            <w:vAlign w:val="center"/>
          </w:tcPr>
          <w:p>
            <w:pPr>
              <w:pStyle w:val="16"/>
            </w:pPr>
            <w:r>
              <w:t>按时完成各项统计工作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预算控制数</w:t>
            </w:r>
          </w:p>
        </w:tc>
        <w:tc>
          <w:tcPr>
            <w:tcW w:w="2551" w:type="dxa"/>
            <w:vAlign w:val="center"/>
          </w:tcPr>
          <w:p>
            <w:pPr>
              <w:pStyle w:val="16"/>
            </w:pPr>
            <w:r>
              <w:t>12万</w:t>
            </w:r>
          </w:p>
        </w:tc>
        <w:tc>
          <w:tcPr>
            <w:tcW w:w="2268" w:type="dxa"/>
            <w:vAlign w:val="center"/>
          </w:tcPr>
          <w:p>
            <w:pPr>
              <w:pStyle w:val="16"/>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保障机关单位正常运转</w:t>
            </w:r>
          </w:p>
        </w:tc>
        <w:tc>
          <w:tcPr>
            <w:tcW w:w="2835" w:type="dxa"/>
            <w:vAlign w:val="center"/>
          </w:tcPr>
          <w:p>
            <w:pPr>
              <w:pStyle w:val="16"/>
            </w:pPr>
            <w:r>
              <w:t>保障机关单位正常运转</w:t>
            </w:r>
          </w:p>
        </w:tc>
        <w:tc>
          <w:tcPr>
            <w:tcW w:w="2551" w:type="dxa"/>
            <w:vAlign w:val="center"/>
          </w:tcPr>
          <w:p>
            <w:pPr>
              <w:pStyle w:val="16"/>
            </w:pPr>
            <w:r>
              <w:t>良好</w:t>
            </w:r>
          </w:p>
        </w:tc>
        <w:tc>
          <w:tcPr>
            <w:tcW w:w="2268" w:type="dxa"/>
            <w:vAlign w:val="center"/>
          </w:tcPr>
          <w:p>
            <w:pPr>
              <w:pStyle w:val="16"/>
            </w:pPr>
            <w:r>
              <w:t>保障机关正常办公秩序，保障机关正常运转</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、投入产出调查经费绩效目标表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lang w:eastAsia="zh-CN"/>
              </w:rPr>
              <w:t>完成</w:t>
            </w:r>
            <w:r>
              <w:t>投入产出调查宣传及开展工作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投入产出调查企业户数</w:t>
            </w:r>
          </w:p>
        </w:tc>
        <w:tc>
          <w:tcPr>
            <w:tcW w:w="2835" w:type="dxa"/>
            <w:vAlign w:val="center"/>
          </w:tcPr>
          <w:p>
            <w:pPr>
              <w:pStyle w:val="16"/>
            </w:pPr>
            <w:r>
              <w:t>投入产出调查企业户数</w:t>
            </w:r>
          </w:p>
        </w:tc>
        <w:tc>
          <w:tcPr>
            <w:tcW w:w="2551" w:type="dxa"/>
            <w:vAlign w:val="center"/>
          </w:tcPr>
          <w:p>
            <w:pPr>
              <w:pStyle w:val="16"/>
            </w:pPr>
            <w:r>
              <w:t>10户</w:t>
            </w:r>
          </w:p>
        </w:tc>
        <w:tc>
          <w:tcPr>
            <w:tcW w:w="2268" w:type="dxa"/>
            <w:vAlign w:val="center"/>
          </w:tcPr>
          <w:p>
            <w:pPr>
              <w:pStyle w:val="16"/>
            </w:pPr>
            <w:r>
              <w:t>按省市要求完成调查企业个数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统计调查完成率</w:t>
            </w:r>
          </w:p>
        </w:tc>
        <w:tc>
          <w:tcPr>
            <w:tcW w:w="2835" w:type="dxa"/>
            <w:vAlign w:val="center"/>
          </w:tcPr>
          <w:p>
            <w:pPr>
              <w:pStyle w:val="16"/>
              <w:rPr>
                <w:rFonts w:hint="default" w:eastAsia="方正书宋_GBK"/>
                <w:lang w:val="en-US" w:eastAsia="zh-CN"/>
              </w:rPr>
            </w:pPr>
            <w:r>
              <w:t>统计调查完成率</w:t>
            </w:r>
          </w:p>
        </w:tc>
        <w:tc>
          <w:tcPr>
            <w:tcW w:w="2551" w:type="dxa"/>
            <w:vAlign w:val="center"/>
          </w:tcPr>
          <w:p>
            <w:pPr>
              <w:pStyle w:val="16"/>
            </w:pPr>
            <w:r>
              <w:t>≥95百分比</w:t>
            </w:r>
          </w:p>
        </w:tc>
        <w:tc>
          <w:tcPr>
            <w:tcW w:w="2268" w:type="dxa"/>
            <w:vAlign w:val="center"/>
          </w:tcPr>
          <w:p>
            <w:pPr>
              <w:pStyle w:val="16"/>
            </w:pPr>
            <w:r>
              <w:t>是否按质量要求完成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统计调查、分析监测等完成时限</w:t>
            </w:r>
          </w:p>
        </w:tc>
        <w:tc>
          <w:tcPr>
            <w:tcW w:w="2835" w:type="dxa"/>
            <w:vAlign w:val="center"/>
          </w:tcPr>
          <w:p>
            <w:pPr>
              <w:pStyle w:val="16"/>
            </w:pPr>
            <w:r>
              <w:t>统计调查、分析监测等完成时限</w:t>
            </w:r>
          </w:p>
        </w:tc>
        <w:tc>
          <w:tcPr>
            <w:tcW w:w="2551" w:type="dxa"/>
            <w:vAlign w:val="center"/>
          </w:tcPr>
          <w:p>
            <w:pPr>
              <w:pStyle w:val="16"/>
            </w:pPr>
            <w:r>
              <w:t>≥95百分比</w:t>
            </w:r>
          </w:p>
        </w:tc>
        <w:tc>
          <w:tcPr>
            <w:tcW w:w="2268" w:type="dxa"/>
            <w:vAlign w:val="center"/>
          </w:tcPr>
          <w:p>
            <w:pPr>
              <w:pStyle w:val="16"/>
            </w:pPr>
            <w:r>
              <w:t>是否按时完成上报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w:t>
            </w:r>
          </w:p>
        </w:tc>
        <w:tc>
          <w:tcPr>
            <w:tcW w:w="2835" w:type="dxa"/>
            <w:vAlign w:val="center"/>
          </w:tcPr>
          <w:p>
            <w:pPr>
              <w:pStyle w:val="16"/>
            </w:pPr>
            <w:r>
              <w:t>成本控制</w:t>
            </w:r>
          </w:p>
        </w:tc>
        <w:tc>
          <w:tcPr>
            <w:tcW w:w="2551" w:type="dxa"/>
            <w:vAlign w:val="center"/>
          </w:tcPr>
          <w:p>
            <w:pPr>
              <w:pStyle w:val="16"/>
            </w:pPr>
            <w:r>
              <w:t>2万元</w:t>
            </w:r>
          </w:p>
        </w:tc>
        <w:tc>
          <w:tcPr>
            <w:tcW w:w="2268"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对社会经济发展的影响</w:t>
            </w:r>
          </w:p>
        </w:tc>
        <w:tc>
          <w:tcPr>
            <w:tcW w:w="2835" w:type="dxa"/>
            <w:vAlign w:val="center"/>
          </w:tcPr>
          <w:p>
            <w:pPr>
              <w:pStyle w:val="16"/>
              <w:rPr>
                <w:rFonts w:hint="eastAsia" w:eastAsia="方正书宋_GBK"/>
                <w:lang w:eastAsia="zh-CN"/>
              </w:rPr>
            </w:pPr>
            <w:r>
              <w:t>对社会经济发展的影响</w:t>
            </w:r>
          </w:p>
        </w:tc>
        <w:tc>
          <w:tcPr>
            <w:tcW w:w="2551" w:type="dxa"/>
            <w:vAlign w:val="center"/>
          </w:tcPr>
          <w:p>
            <w:pPr>
              <w:pStyle w:val="16"/>
            </w:pPr>
            <w:r>
              <w:t>≥95百分比</w:t>
            </w:r>
          </w:p>
        </w:tc>
        <w:tc>
          <w:tcPr>
            <w:tcW w:w="2268" w:type="dxa"/>
            <w:vAlign w:val="center"/>
          </w:tcPr>
          <w:p>
            <w:pPr>
              <w:pStyle w:val="16"/>
            </w:pPr>
            <w:r>
              <w:t>数据提供来源</w:t>
            </w:r>
          </w:p>
        </w:tc>
      </w:tr>
    </w:tbl>
    <w:p/>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网络扩容线路费和乡镇统计专网电路使用费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交付县乡17条网络线路租用费，和网络扩容线路租用费，确保线路畅通，交电话费。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网络和线路租赁数量</w:t>
            </w:r>
          </w:p>
        </w:tc>
        <w:tc>
          <w:tcPr>
            <w:tcW w:w="2835" w:type="dxa"/>
            <w:vAlign w:val="center"/>
          </w:tcPr>
          <w:p>
            <w:pPr>
              <w:pStyle w:val="16"/>
            </w:pPr>
            <w:r>
              <w:t>租赁联通网络和线路数量</w:t>
            </w:r>
          </w:p>
        </w:tc>
        <w:tc>
          <w:tcPr>
            <w:tcW w:w="2551" w:type="dxa"/>
            <w:vAlign w:val="center"/>
          </w:tcPr>
          <w:p>
            <w:pPr>
              <w:pStyle w:val="16"/>
            </w:pPr>
            <w:r>
              <w:t>17条</w:t>
            </w:r>
          </w:p>
        </w:tc>
        <w:tc>
          <w:tcPr>
            <w:tcW w:w="2268" w:type="dxa"/>
            <w:vAlign w:val="center"/>
          </w:tcPr>
          <w:p>
            <w:pPr>
              <w:pStyle w:val="16"/>
            </w:pPr>
            <w:r>
              <w:t>租赁联通网络和线路数量17条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计算机通信网络正常运行保障率</w:t>
            </w:r>
          </w:p>
        </w:tc>
        <w:tc>
          <w:tcPr>
            <w:tcW w:w="2835" w:type="dxa"/>
            <w:vAlign w:val="center"/>
          </w:tcPr>
          <w:p>
            <w:pPr>
              <w:pStyle w:val="16"/>
              <w:rPr>
                <w:rFonts w:hint="default" w:eastAsia="方正书宋_GBK"/>
                <w:lang w:val="en-US" w:eastAsia="zh-CN"/>
              </w:rPr>
            </w:pPr>
            <w:r>
              <w:t>计算机通信网络正常运行保障率</w:t>
            </w:r>
          </w:p>
        </w:tc>
        <w:tc>
          <w:tcPr>
            <w:tcW w:w="2551" w:type="dxa"/>
            <w:vAlign w:val="center"/>
          </w:tcPr>
          <w:p>
            <w:pPr>
              <w:pStyle w:val="16"/>
            </w:pPr>
            <w:r>
              <w:t>≥95百分比</w:t>
            </w:r>
          </w:p>
        </w:tc>
        <w:tc>
          <w:tcPr>
            <w:tcW w:w="2268" w:type="dxa"/>
            <w:vAlign w:val="center"/>
          </w:tcPr>
          <w:p>
            <w:pPr>
              <w:pStyle w:val="16"/>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网络连通率</w:t>
            </w:r>
          </w:p>
        </w:tc>
        <w:tc>
          <w:tcPr>
            <w:tcW w:w="2835" w:type="dxa"/>
            <w:vAlign w:val="center"/>
          </w:tcPr>
          <w:p>
            <w:pPr>
              <w:pStyle w:val="16"/>
            </w:pPr>
            <w:r>
              <w:t>网络连通是否正常运行</w:t>
            </w:r>
          </w:p>
        </w:tc>
        <w:tc>
          <w:tcPr>
            <w:tcW w:w="2551" w:type="dxa"/>
            <w:vAlign w:val="center"/>
          </w:tcPr>
          <w:p>
            <w:pPr>
              <w:pStyle w:val="16"/>
            </w:pPr>
            <w:r>
              <w:t>≥95百分比</w:t>
            </w:r>
          </w:p>
        </w:tc>
        <w:tc>
          <w:tcPr>
            <w:tcW w:w="2268" w:type="dxa"/>
            <w:vAlign w:val="center"/>
          </w:tcPr>
          <w:p>
            <w:pPr>
              <w:pStyle w:val="16"/>
            </w:pPr>
            <w:r>
              <w:t>网络是否畅通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网点销售网络专线租用成本控制率</w:t>
            </w:r>
          </w:p>
        </w:tc>
        <w:tc>
          <w:tcPr>
            <w:tcW w:w="2835" w:type="dxa"/>
            <w:vAlign w:val="center"/>
          </w:tcPr>
          <w:p>
            <w:pPr>
              <w:pStyle w:val="16"/>
            </w:pPr>
            <w:r>
              <w:t>预算控制数</w:t>
            </w:r>
          </w:p>
        </w:tc>
        <w:tc>
          <w:tcPr>
            <w:tcW w:w="2551" w:type="dxa"/>
            <w:vAlign w:val="center"/>
          </w:tcPr>
          <w:p>
            <w:pPr>
              <w:pStyle w:val="16"/>
            </w:pPr>
            <w:r>
              <w:t>2.5万元</w:t>
            </w:r>
          </w:p>
        </w:tc>
        <w:tc>
          <w:tcPr>
            <w:tcW w:w="2268" w:type="dxa"/>
            <w:vAlign w:val="center"/>
          </w:tcPr>
          <w:p>
            <w:pPr>
              <w:pStyle w:val="16"/>
            </w:pPr>
            <w:r>
              <w:t>不超预算安排书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保障网络信息安全</w:t>
            </w:r>
          </w:p>
        </w:tc>
        <w:tc>
          <w:tcPr>
            <w:tcW w:w="2835" w:type="dxa"/>
            <w:vAlign w:val="center"/>
          </w:tcPr>
          <w:p>
            <w:pPr>
              <w:pStyle w:val="16"/>
              <w:rPr>
                <w:rFonts w:hint="eastAsia" w:eastAsia="方正书宋_GBK"/>
                <w:lang w:eastAsia="zh-CN"/>
              </w:rPr>
            </w:pPr>
            <w:r>
              <w:t>利用专业技术手段保障网络信息安全</w:t>
            </w:r>
          </w:p>
        </w:tc>
        <w:tc>
          <w:tcPr>
            <w:tcW w:w="2551" w:type="dxa"/>
            <w:vAlign w:val="center"/>
          </w:tcPr>
          <w:p>
            <w:pPr>
              <w:pStyle w:val="16"/>
            </w:pPr>
            <w:r>
              <w:t>≥95百分比</w:t>
            </w:r>
          </w:p>
        </w:tc>
        <w:tc>
          <w:tcPr>
            <w:tcW w:w="2268" w:type="dxa"/>
            <w:vAlign w:val="center"/>
          </w:tcPr>
          <w:p>
            <w:pPr>
              <w:pStyle w:val="16"/>
            </w:pPr>
            <w:r>
              <w:t>网络畅通保障工作按时完成</w:t>
            </w:r>
          </w:p>
        </w:tc>
      </w:tr>
    </w:tbl>
    <w:p/>
    <w:p/>
    <w:p/>
    <w:p/>
    <w:p/>
    <w:p/>
    <w:p/>
    <w:p/>
    <w:p/>
    <w:p/>
    <w:p/>
    <w:p/>
    <w:p/>
    <w:p/>
    <w:p/>
    <w:p/>
    <w:p/>
    <w:p/>
    <w:p/>
    <w:p>
      <w:pPr>
        <w:spacing w:before="10" w:after="10"/>
        <w:ind w:firstLine="640" w:firstLineChars="200"/>
        <w:outlineLvl w:val="2"/>
      </w:pPr>
      <w:bookmarkStart w:id="9" w:name="_Toc_3_3_0000000015"/>
      <w:r>
        <w:rPr>
          <w:rFonts w:ascii="黑体" w:hAnsi="黑体" w:eastAsia="黑体" w:cs="黑体"/>
          <w:color w:val="000000"/>
          <w:sz w:val="32"/>
        </w:rPr>
        <w:t>六、政府采购预算情况</w:t>
      </w:r>
      <w:bookmarkEnd w:id="9"/>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lang w:eastAsia="zh-CN"/>
        </w:rPr>
      </w:pPr>
      <w:r>
        <w:rPr>
          <w:rFonts w:hint="eastAsia" w:ascii="仿宋" w:hAnsi="仿宋" w:eastAsia="仿宋"/>
          <w:sz w:val="32"/>
          <w:szCs w:val="32"/>
          <w:shd w:val="clear" w:color="auto" w:fill="auto"/>
        </w:rPr>
        <w:t>202</w:t>
      </w:r>
      <w:r>
        <w:rPr>
          <w:rFonts w:hint="eastAsia" w:ascii="仿宋" w:hAnsi="仿宋" w:eastAsia="仿宋"/>
          <w:sz w:val="32"/>
          <w:szCs w:val="32"/>
          <w:shd w:val="clear" w:color="auto" w:fill="auto"/>
          <w:lang w:val="en-US" w:eastAsia="zh-CN"/>
        </w:rPr>
        <w:t>3</w:t>
      </w:r>
      <w:r>
        <w:rPr>
          <w:rFonts w:hint="eastAsia" w:ascii="仿宋" w:hAnsi="仿宋" w:eastAsia="仿宋"/>
          <w:sz w:val="32"/>
          <w:szCs w:val="32"/>
          <w:shd w:val="clear" w:color="auto" w:fill="auto"/>
        </w:rPr>
        <w:t>年我</w:t>
      </w:r>
      <w:r>
        <w:rPr>
          <w:rFonts w:hint="eastAsia" w:ascii="仿宋" w:hAnsi="仿宋" w:eastAsia="仿宋"/>
          <w:sz w:val="32"/>
          <w:szCs w:val="32"/>
          <w:shd w:val="clear" w:color="auto" w:fill="auto"/>
          <w:lang w:eastAsia="zh-CN"/>
        </w:rPr>
        <w:t>部门</w:t>
      </w:r>
      <w:r>
        <w:rPr>
          <w:rFonts w:hint="eastAsia" w:ascii="仿宋" w:hAnsi="仿宋" w:eastAsia="仿宋"/>
          <w:sz w:val="32"/>
          <w:szCs w:val="32"/>
          <w:shd w:val="clear" w:color="auto" w:fill="auto"/>
        </w:rPr>
        <w:t>无政府采购预算</w:t>
      </w:r>
      <w:r>
        <w:rPr>
          <w:rFonts w:hint="eastAsia" w:ascii="仿宋" w:hAnsi="仿宋" w:eastAsia="仿宋"/>
          <w:sz w:val="32"/>
          <w:szCs w:val="32"/>
          <w:shd w:val="clear" w:color="auto" w:fill="auto"/>
          <w:lang w:eastAsia="zh-CN"/>
        </w:rPr>
        <w:t>，空表列示</w:t>
      </w:r>
      <w:r>
        <w:rPr>
          <w:rFonts w:hint="eastAsia" w:ascii="仿宋" w:hAnsi="仿宋" w:eastAsia="仿宋"/>
          <w:sz w:val="32"/>
          <w:szCs w:val="32"/>
          <w:shd w:val="clear" w:color="auto" w:fill="auto"/>
        </w:rPr>
        <w:t>。</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3"/>
        <w:gridCol w:w="1052"/>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613" w:type="dxa"/>
            <w:vAlign w:val="center"/>
          </w:tcPr>
          <w:p>
            <w:pPr>
              <w:pStyle w:val="14"/>
            </w:pPr>
            <w:r>
              <w:t>项目名称</w:t>
            </w:r>
          </w:p>
        </w:tc>
        <w:tc>
          <w:tcPr>
            <w:tcW w:w="1052"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8"/>
            </w:pPr>
            <w:r>
              <w:t>合  计</w:t>
            </w:r>
          </w:p>
        </w:tc>
        <w:tc>
          <w:tcPr>
            <w:tcW w:w="1052"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8"/>
            </w:pPr>
          </w:p>
        </w:tc>
        <w:tc>
          <w:tcPr>
            <w:tcW w:w="1052"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6"/>
            </w:pPr>
          </w:p>
          <w:p>
            <w:pPr>
              <w:pStyle w:val="16"/>
            </w:pPr>
          </w:p>
        </w:tc>
        <w:tc>
          <w:tcPr>
            <w:tcW w:w="1052"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0"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0"/>
    </w:p>
    <w:p>
      <w:pPr>
        <w:spacing w:line="500" w:lineRule="exact"/>
        <w:ind w:firstLine="560"/>
        <w:rPr>
          <w:rFonts w:eastAsia="方正仿宋_GBK"/>
          <w:color w:val="000000"/>
          <w:sz w:val="28"/>
        </w:rPr>
      </w:pPr>
      <w:r>
        <w:rPr>
          <w:rFonts w:hint="eastAsia" w:ascii="宋体" w:hAnsi="宋体"/>
          <w:sz w:val="32"/>
          <w:szCs w:val="32"/>
        </w:rPr>
        <w:t>2</w:t>
      </w:r>
      <w:r>
        <w:rPr>
          <w:rFonts w:hint="eastAsia" w:ascii="仿宋" w:hAnsi="仿宋" w:eastAsia="仿宋"/>
          <w:sz w:val="32"/>
          <w:szCs w:val="32"/>
        </w:rPr>
        <w:t>0</w:t>
      </w:r>
      <w:r>
        <w:rPr>
          <w:rFonts w:hint="eastAsia" w:ascii="仿宋" w:hAnsi="仿宋" w:eastAsia="仿宋"/>
          <w:sz w:val="32"/>
          <w:szCs w:val="32"/>
          <w:lang w:val="en-US" w:eastAsia="zh-CN"/>
        </w:rPr>
        <w:t>22</w:t>
      </w:r>
      <w:r>
        <w:rPr>
          <w:rFonts w:hint="eastAsia" w:ascii="仿宋" w:hAnsi="仿宋" w:eastAsia="仿宋"/>
          <w:sz w:val="32"/>
          <w:szCs w:val="32"/>
        </w:rPr>
        <w:t>年末国有资产原值</w:t>
      </w:r>
      <w:r>
        <w:rPr>
          <w:rFonts w:hint="eastAsia" w:ascii="仿宋" w:hAnsi="仿宋" w:eastAsia="仿宋"/>
          <w:sz w:val="32"/>
          <w:szCs w:val="32"/>
          <w:lang w:val="en-US" w:eastAsia="zh-CN"/>
        </w:rPr>
        <w:t>96.77</w:t>
      </w:r>
      <w:r>
        <w:rPr>
          <w:rFonts w:hint="eastAsia" w:ascii="仿宋" w:hAnsi="仿宋" w:eastAsia="仿宋"/>
          <w:sz w:val="32"/>
          <w:szCs w:val="32"/>
        </w:rPr>
        <w:t>万元，比上年增加</w:t>
      </w:r>
      <w:r>
        <w:rPr>
          <w:rFonts w:hint="eastAsia" w:ascii="仿宋" w:hAnsi="仿宋" w:eastAsia="仿宋"/>
          <w:sz w:val="32"/>
          <w:szCs w:val="32"/>
          <w:lang w:val="en-US" w:eastAsia="zh-CN"/>
        </w:rPr>
        <w:t>9.05</w:t>
      </w:r>
      <w:r>
        <w:rPr>
          <w:rFonts w:hint="eastAsia" w:ascii="仿宋" w:hAnsi="仿宋" w:eastAsia="仿宋"/>
          <w:sz w:val="32"/>
          <w:szCs w:val="32"/>
        </w:rPr>
        <w:t>万元。其中公务用车1辆，价值13.58万元，其他固定资产（</w:t>
      </w:r>
      <w:r>
        <w:rPr>
          <w:rFonts w:hint="eastAsia" w:ascii="仿宋" w:hAnsi="仿宋" w:eastAsia="仿宋" w:cs="仿宋"/>
          <w:sz w:val="32"/>
          <w:szCs w:val="32"/>
        </w:rPr>
        <w:t>电脑、空调、复印机、打印机等</w:t>
      </w:r>
      <w:r>
        <w:rPr>
          <w:rFonts w:hint="eastAsia" w:ascii="仿宋" w:hAnsi="仿宋" w:eastAsia="仿宋"/>
          <w:sz w:val="32"/>
          <w:szCs w:val="32"/>
        </w:rPr>
        <w:t>）</w:t>
      </w:r>
      <w:r>
        <w:rPr>
          <w:rFonts w:hint="eastAsia" w:ascii="仿宋" w:hAnsi="仿宋" w:eastAsia="仿宋"/>
          <w:sz w:val="32"/>
          <w:szCs w:val="32"/>
          <w:lang w:val="en-US" w:eastAsia="zh-CN"/>
        </w:rPr>
        <w:t>83.19</w:t>
      </w:r>
      <w:r>
        <w:rPr>
          <w:rFonts w:hint="eastAsia" w:ascii="仿宋" w:hAnsi="仿宋" w:eastAsia="仿宋"/>
          <w:sz w:val="32"/>
          <w:szCs w:val="32"/>
        </w:rPr>
        <w:t>万元。我单位在政府楼办公，办公用房属政府办所有，无20万元以上的设备。</w:t>
      </w:r>
      <w:r>
        <w:rPr>
          <w:rFonts w:hint="eastAsia" w:ascii="仿宋" w:hAnsi="仿宋" w:eastAsia="仿宋"/>
          <w:sz w:val="32"/>
          <w:szCs w:val="32"/>
          <w:shd w:val="clear" w:color="auto" w:fill="auto"/>
        </w:rPr>
        <w:t>202</w:t>
      </w:r>
      <w:r>
        <w:rPr>
          <w:rFonts w:hint="eastAsia" w:ascii="仿宋" w:hAnsi="仿宋" w:eastAsia="仿宋"/>
          <w:sz w:val="32"/>
          <w:szCs w:val="32"/>
          <w:shd w:val="clear" w:color="auto" w:fill="auto"/>
          <w:lang w:val="en-US" w:eastAsia="zh-CN"/>
        </w:rPr>
        <w:t>3</w:t>
      </w:r>
      <w:r>
        <w:rPr>
          <w:rFonts w:hint="eastAsia" w:ascii="仿宋" w:hAnsi="仿宋" w:eastAsia="仿宋"/>
          <w:sz w:val="32"/>
          <w:szCs w:val="32"/>
          <w:shd w:val="clear" w:color="auto" w:fill="auto"/>
        </w:rPr>
        <w:t>年</w:t>
      </w:r>
      <w:r>
        <w:rPr>
          <w:rFonts w:hint="eastAsia" w:ascii="仿宋" w:hAnsi="仿宋" w:eastAsia="仿宋"/>
          <w:sz w:val="32"/>
          <w:szCs w:val="32"/>
          <w:shd w:val="clear" w:color="auto" w:fill="auto"/>
          <w:lang w:eastAsia="zh-CN"/>
        </w:rPr>
        <w:t>我部门无购</w:t>
      </w:r>
      <w:r>
        <w:rPr>
          <w:rFonts w:hint="eastAsia" w:ascii="仿宋" w:hAnsi="仿宋" w:eastAsia="仿宋"/>
          <w:sz w:val="32"/>
          <w:szCs w:val="32"/>
          <w:shd w:val="clear" w:color="auto" w:fill="auto"/>
        </w:rPr>
        <w:t>置固定资产</w:t>
      </w:r>
      <w:r>
        <w:rPr>
          <w:rFonts w:hint="eastAsia" w:ascii="仿宋" w:hAnsi="仿宋" w:eastAsia="仿宋"/>
          <w:sz w:val="32"/>
          <w:szCs w:val="32"/>
          <w:shd w:val="clear" w:color="auto" w:fill="auto"/>
          <w:lang w:eastAsia="zh-CN"/>
        </w:rPr>
        <w:t>情况</w:t>
      </w:r>
      <w:r>
        <w:rPr>
          <w:rFonts w:hint="eastAsia" w:ascii="仿宋" w:hAnsi="仿宋" w:eastAsia="仿宋"/>
          <w:sz w:val="32"/>
          <w:szCs w:val="32"/>
          <w:shd w:val="clear" w:color="auto" w:fill="auto"/>
        </w:rPr>
        <w:t>。</w:t>
      </w:r>
    </w:p>
    <w:p>
      <w:pPr>
        <w:spacing w:line="500" w:lineRule="exact"/>
        <w:ind w:firstLine="560"/>
        <w:rPr>
          <w:rFonts w:eastAsia="方正仿宋_GBK"/>
          <w:color w:val="000000"/>
          <w:sz w:val="28"/>
        </w:rPr>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410涞水县统计局</w:t>
            </w:r>
          </w:p>
        </w:tc>
        <w:tc>
          <w:tcPr>
            <w:tcW w:w="5669" w:type="dxa"/>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2</w:t>
            </w:r>
            <w:r>
              <w:t>-12-31</w:t>
            </w:r>
          </w:p>
        </w:tc>
      </w:tr>
    </w:tbl>
    <w:tbl>
      <w:tblPr>
        <w:tblStyle w:val="8"/>
        <w:tblpPr w:leftFromText="180" w:rightFromText="180" w:vertAnchor="text" w:horzAnchor="page" w:tblpX="2017" w:tblpY="787"/>
        <w:tblOverlap w:val="never"/>
        <w:tblW w:w="0" w:type="auto"/>
        <w:tblInd w:w="0"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420" w:firstLineChars="200"/>
              <w:textAlignment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固定资产总额</w:t>
            </w:r>
          </w:p>
        </w:tc>
        <w:tc>
          <w:tcPr>
            <w:tcW w:w="2835" w:type="dxa"/>
            <w:tcBorders>
              <w:top w:val="single" w:color="auto" w:sz="4" w:space="0"/>
              <w:left w:val="nil"/>
              <w:bottom w:val="single" w:color="auto" w:sz="4" w:space="0"/>
              <w:right w:val="single" w:color="auto" w:sz="4" w:space="0"/>
            </w:tcBorders>
            <w:vAlign w:val="center"/>
          </w:tcPr>
          <w:p>
            <w:pPr>
              <w:ind w:firstLine="1260" w:firstLineChars="600"/>
              <w:jc w:val="both"/>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Calibri" w:hAnsi="Calibri" w:eastAsia="宋体" w:cs="宋体"/>
                <w:kern w:val="2"/>
                <w:sz w:val="21"/>
                <w:szCs w:val="21"/>
                <w:lang w:val="en-US" w:eastAsia="zh-CN"/>
              </w:rPr>
              <w:t>96.77</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eastAsia="宋体" w:cs="宋体"/>
                <w:kern w:val="2"/>
                <w:sz w:val="21"/>
                <w:szCs w:val="21"/>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val="en-US" w:eastAsia="zh-CN"/>
              </w:rPr>
              <w:t>13.5</w:t>
            </w:r>
            <w:r>
              <w:rPr>
                <w:rFonts w:hint="eastAsia" w:ascii="宋体" w:hAnsi="宋体" w:eastAsiaTheme="minorEastAsia"/>
                <w:color w:val="000000"/>
                <w:sz w:val="21"/>
                <w:szCs w:val="21"/>
                <w:lang w:eastAsia="zh-CN"/>
              </w:rPr>
              <w:t>8</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83.19</w:t>
            </w:r>
          </w:p>
        </w:tc>
      </w:tr>
    </w:tbl>
    <w:p>
      <w:pPr>
        <w:rPr>
          <w:rFonts w:ascii="方正小标宋_GBK" w:hAnsi="方正小标宋_GBK" w:eastAsia="方正小标宋_GBK" w:cs="方正小标宋_GBK"/>
          <w:color w:val="000000"/>
          <w:sz w:val="36"/>
          <w:lang w:eastAsia="zh-CN"/>
        </w:rPr>
      </w:pPr>
    </w:p>
    <w:p>
      <w:pPr>
        <w:spacing w:before="10" w:after="10"/>
        <w:ind w:firstLine="640"/>
        <w:outlineLvl w:val="2"/>
        <w:rPr>
          <w:rFonts w:ascii="黑体" w:hAnsi="黑体" w:eastAsia="黑体" w:cs="黑体"/>
          <w:color w:val="000000"/>
          <w:sz w:val="32"/>
        </w:rPr>
      </w:pPr>
      <w:bookmarkStart w:id="11"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11"/>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firstLineChars="20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firstLineChars="200"/>
        <w:outlineLvl w:val="2"/>
        <w:rPr>
          <w:rFonts w:ascii="黑体" w:hAnsi="黑体" w:eastAsia="黑体" w:cs="黑体"/>
          <w:color w:val="000000"/>
          <w:sz w:val="32"/>
        </w:rPr>
      </w:pPr>
      <w:bookmarkStart w:id="12" w:name="_Toc_3_3_0000000018"/>
    </w:p>
    <w:p>
      <w:pPr>
        <w:spacing w:before="10" w:after="10"/>
        <w:ind w:firstLine="640" w:firstLineChars="200"/>
        <w:outlineLvl w:val="2"/>
        <w:rPr>
          <w:rFonts w:ascii="黑体" w:hAnsi="黑体" w:eastAsia="黑体" w:cs="黑体"/>
          <w:color w:val="000000"/>
          <w:sz w:val="32"/>
        </w:rPr>
      </w:pPr>
    </w:p>
    <w:p>
      <w:pPr>
        <w:numPr>
          <w:ilvl w:val="0"/>
          <w:numId w:val="3"/>
        </w:numPr>
        <w:spacing w:before="10" w:after="10"/>
        <w:ind w:firstLine="640" w:firstLineChars="200"/>
        <w:outlineLvl w:val="2"/>
        <w:rPr>
          <w:rFonts w:ascii="黑体" w:hAnsi="黑体" w:eastAsia="黑体" w:cs="黑体"/>
          <w:color w:val="000000"/>
          <w:sz w:val="32"/>
        </w:rPr>
      </w:pPr>
      <w:r>
        <w:rPr>
          <w:rFonts w:ascii="黑体" w:hAnsi="黑体" w:eastAsia="黑体" w:cs="黑体"/>
          <w:color w:val="000000"/>
          <w:sz w:val="32"/>
        </w:rPr>
        <w:t>其他需要说明的事项</w:t>
      </w:r>
      <w:bookmarkEnd w:id="12"/>
    </w:p>
    <w:p>
      <w:pPr>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C628B"/>
    <w:multiLevelType w:val="singleLevel"/>
    <w:tmpl w:val="8CCC628B"/>
    <w:lvl w:ilvl="0" w:tentative="0">
      <w:start w:val="4"/>
      <w:numFmt w:val="chineseCounting"/>
      <w:suff w:val="nothing"/>
      <w:lvlText w:val="%1、"/>
      <w:lvlJc w:val="left"/>
      <w:rPr>
        <w:rFonts w:hint="eastAsia"/>
      </w:rPr>
    </w:lvl>
  </w:abstractNum>
  <w:abstractNum w:abstractNumId="1">
    <w:nsid w:val="AA555C75"/>
    <w:multiLevelType w:val="singleLevel"/>
    <w:tmpl w:val="AA555C75"/>
    <w:lvl w:ilvl="0" w:tentative="0">
      <w:start w:val="2"/>
      <w:numFmt w:val="decimal"/>
      <w:suff w:val="nothing"/>
      <w:lvlText w:val="%1．"/>
      <w:lvlJc w:val="left"/>
    </w:lvl>
  </w:abstractNum>
  <w:abstractNum w:abstractNumId="2">
    <w:nsid w:val="4DD8D9E8"/>
    <w:multiLevelType w:val="singleLevel"/>
    <w:tmpl w:val="4DD8D9E8"/>
    <w:lvl w:ilvl="0" w:tentative="0">
      <w:start w:val="9"/>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8A3CC9"/>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2231CC7"/>
    <w:rsid w:val="02506277"/>
    <w:rsid w:val="02A67EEF"/>
    <w:rsid w:val="02D81A61"/>
    <w:rsid w:val="02F15CEB"/>
    <w:rsid w:val="02F6441F"/>
    <w:rsid w:val="03543975"/>
    <w:rsid w:val="03604AD4"/>
    <w:rsid w:val="053951CC"/>
    <w:rsid w:val="054B4674"/>
    <w:rsid w:val="069F14D3"/>
    <w:rsid w:val="077D1A67"/>
    <w:rsid w:val="08785681"/>
    <w:rsid w:val="098D13F1"/>
    <w:rsid w:val="0A140428"/>
    <w:rsid w:val="0A3A1862"/>
    <w:rsid w:val="0C02466E"/>
    <w:rsid w:val="0C295BFC"/>
    <w:rsid w:val="0CC84DEB"/>
    <w:rsid w:val="0F7629A2"/>
    <w:rsid w:val="10AD0C8E"/>
    <w:rsid w:val="118472E4"/>
    <w:rsid w:val="11AA515D"/>
    <w:rsid w:val="126A3B1F"/>
    <w:rsid w:val="129E3D0A"/>
    <w:rsid w:val="146D0808"/>
    <w:rsid w:val="15924739"/>
    <w:rsid w:val="169A0528"/>
    <w:rsid w:val="16A834AF"/>
    <w:rsid w:val="18E62796"/>
    <w:rsid w:val="1AD82DAC"/>
    <w:rsid w:val="1B3A1D27"/>
    <w:rsid w:val="1C5A616E"/>
    <w:rsid w:val="1DA81075"/>
    <w:rsid w:val="1DCF4116"/>
    <w:rsid w:val="1EB67FDB"/>
    <w:rsid w:val="1F001077"/>
    <w:rsid w:val="1F12372B"/>
    <w:rsid w:val="1F681363"/>
    <w:rsid w:val="20E3722F"/>
    <w:rsid w:val="210E23ED"/>
    <w:rsid w:val="228238D9"/>
    <w:rsid w:val="23865187"/>
    <w:rsid w:val="24B13140"/>
    <w:rsid w:val="25B141D7"/>
    <w:rsid w:val="25E12706"/>
    <w:rsid w:val="25EE0D74"/>
    <w:rsid w:val="28320D8D"/>
    <w:rsid w:val="2942211F"/>
    <w:rsid w:val="29E76B67"/>
    <w:rsid w:val="2B0025D7"/>
    <w:rsid w:val="2C7965AC"/>
    <w:rsid w:val="2CEA37F6"/>
    <w:rsid w:val="2D505C98"/>
    <w:rsid w:val="2E2E31B6"/>
    <w:rsid w:val="2F2303C8"/>
    <w:rsid w:val="2FAF37E8"/>
    <w:rsid w:val="325E3764"/>
    <w:rsid w:val="35B73FB6"/>
    <w:rsid w:val="36330CB4"/>
    <w:rsid w:val="36436ADD"/>
    <w:rsid w:val="36F375AD"/>
    <w:rsid w:val="37CF26CA"/>
    <w:rsid w:val="38794DC6"/>
    <w:rsid w:val="39B20F40"/>
    <w:rsid w:val="3A053765"/>
    <w:rsid w:val="3CC176EC"/>
    <w:rsid w:val="3D346BE7"/>
    <w:rsid w:val="3D673E82"/>
    <w:rsid w:val="3D9170BE"/>
    <w:rsid w:val="3DBD1CE9"/>
    <w:rsid w:val="3F573360"/>
    <w:rsid w:val="3FCC1FDC"/>
    <w:rsid w:val="428C0EAD"/>
    <w:rsid w:val="4588524B"/>
    <w:rsid w:val="45CF0738"/>
    <w:rsid w:val="473579EB"/>
    <w:rsid w:val="479A75C5"/>
    <w:rsid w:val="48BA73C9"/>
    <w:rsid w:val="48CB5B7A"/>
    <w:rsid w:val="4A6E08DD"/>
    <w:rsid w:val="4AC10DED"/>
    <w:rsid w:val="4C4A00F0"/>
    <w:rsid w:val="4CC3121A"/>
    <w:rsid w:val="4CEE2238"/>
    <w:rsid w:val="4D556553"/>
    <w:rsid w:val="4E946DF8"/>
    <w:rsid w:val="4EEF2D81"/>
    <w:rsid w:val="4F130CF7"/>
    <w:rsid w:val="4F634F3A"/>
    <w:rsid w:val="517D7C2E"/>
    <w:rsid w:val="5381361A"/>
    <w:rsid w:val="53BB19B4"/>
    <w:rsid w:val="53E53CCF"/>
    <w:rsid w:val="541F4ED1"/>
    <w:rsid w:val="55086E0C"/>
    <w:rsid w:val="55DD1A43"/>
    <w:rsid w:val="57D70067"/>
    <w:rsid w:val="583767B6"/>
    <w:rsid w:val="5B01542B"/>
    <w:rsid w:val="5CCD060C"/>
    <w:rsid w:val="5CDA7BA2"/>
    <w:rsid w:val="5D061E08"/>
    <w:rsid w:val="5D7C2D12"/>
    <w:rsid w:val="5DD64231"/>
    <w:rsid w:val="5DFC4AD4"/>
    <w:rsid w:val="5E7D301B"/>
    <w:rsid w:val="5EAB6B0A"/>
    <w:rsid w:val="5F0608C4"/>
    <w:rsid w:val="60F862B1"/>
    <w:rsid w:val="618868A7"/>
    <w:rsid w:val="61CC0880"/>
    <w:rsid w:val="62B87936"/>
    <w:rsid w:val="62DF2AF1"/>
    <w:rsid w:val="635748D2"/>
    <w:rsid w:val="636D6B27"/>
    <w:rsid w:val="68587E50"/>
    <w:rsid w:val="6D773C65"/>
    <w:rsid w:val="6DBE7D6B"/>
    <w:rsid w:val="6EDC02E5"/>
    <w:rsid w:val="6F56473C"/>
    <w:rsid w:val="704D36D4"/>
    <w:rsid w:val="71177976"/>
    <w:rsid w:val="71F827A4"/>
    <w:rsid w:val="72F42CDF"/>
    <w:rsid w:val="74D45DB8"/>
    <w:rsid w:val="76041807"/>
    <w:rsid w:val="780E0561"/>
    <w:rsid w:val="78E0091E"/>
    <w:rsid w:val="797777E2"/>
    <w:rsid w:val="798867AD"/>
    <w:rsid w:val="79BD45FC"/>
    <w:rsid w:val="79D21BEB"/>
    <w:rsid w:val="7A33329F"/>
    <w:rsid w:val="7BD375DD"/>
    <w:rsid w:val="7C99506C"/>
    <w:rsid w:val="7E617E0B"/>
    <w:rsid w:val="7F524EF7"/>
    <w:rsid w:val="7FE70E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autoRedefine/>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56AD1C2-FB4D-4572-86C7-2470DBB3943B}">
  <ds:schemaRefs/>
</ds:datastoreItem>
</file>

<file path=customXml/itemProps10.xml><?xml version="1.0" encoding="utf-8"?>
<ds:datastoreItem xmlns:ds="http://schemas.openxmlformats.org/officeDocument/2006/customXml" ds:itemID="{7DA1E944-597F-4D9A-ADC8-E3A5D62388E9}">
  <ds:schemaRefs/>
</ds:datastoreItem>
</file>

<file path=customXml/itemProps11.xml><?xml version="1.0" encoding="utf-8"?>
<ds:datastoreItem xmlns:ds="http://schemas.openxmlformats.org/officeDocument/2006/customXml" ds:itemID="{240D75C0-5405-407A-9D88-451A6C53325C}">
  <ds:schemaRefs/>
</ds:datastoreItem>
</file>

<file path=customXml/itemProps12.xml><?xml version="1.0" encoding="utf-8"?>
<ds:datastoreItem xmlns:ds="http://schemas.openxmlformats.org/officeDocument/2006/customXml" ds:itemID="{DFFE41CD-7795-417D-8B3D-7B7E92ADCE28}">
  <ds:schemaRefs/>
</ds:datastoreItem>
</file>

<file path=customXml/itemProps13.xml><?xml version="1.0" encoding="utf-8"?>
<ds:datastoreItem xmlns:ds="http://schemas.openxmlformats.org/officeDocument/2006/customXml" ds:itemID="{DD8D39B1-E032-4B64-9020-66CD65ABCD3B}">
  <ds:schemaRefs/>
</ds:datastoreItem>
</file>

<file path=customXml/itemProps14.xml><?xml version="1.0" encoding="utf-8"?>
<ds:datastoreItem xmlns:ds="http://schemas.openxmlformats.org/officeDocument/2006/customXml" ds:itemID="{6C8F0DDD-DA95-49D7-BEC9-54BED6023821}">
  <ds:schemaRefs/>
</ds:datastoreItem>
</file>

<file path=customXml/itemProps15.xml><?xml version="1.0" encoding="utf-8"?>
<ds:datastoreItem xmlns:ds="http://schemas.openxmlformats.org/officeDocument/2006/customXml" ds:itemID="{BAA19A8D-5B92-489B-B169-BAD91A103344}">
  <ds:schemaRefs/>
</ds:datastoreItem>
</file>

<file path=customXml/itemProps16.xml><?xml version="1.0" encoding="utf-8"?>
<ds:datastoreItem xmlns:ds="http://schemas.openxmlformats.org/officeDocument/2006/customXml" ds:itemID="{9E39FA8A-0D5E-4C72-88C2-A4A5C9D016A3}">
  <ds:schemaRefs/>
</ds:datastoreItem>
</file>

<file path=customXml/itemProps17.xml><?xml version="1.0" encoding="utf-8"?>
<ds:datastoreItem xmlns:ds="http://schemas.openxmlformats.org/officeDocument/2006/customXml" ds:itemID="{127F30A9-AC64-4000-970B-04BBBAF6782F}">
  <ds:schemaRefs/>
</ds:datastoreItem>
</file>

<file path=customXml/itemProps18.xml><?xml version="1.0" encoding="utf-8"?>
<ds:datastoreItem xmlns:ds="http://schemas.openxmlformats.org/officeDocument/2006/customXml" ds:itemID="{328F8FAA-F9B6-48DE-ABD9-772610F9386F}">
  <ds:schemaRefs/>
</ds:datastoreItem>
</file>

<file path=customXml/itemProps19.xml><?xml version="1.0" encoding="utf-8"?>
<ds:datastoreItem xmlns:ds="http://schemas.openxmlformats.org/officeDocument/2006/customXml" ds:itemID="{927546BB-28A9-4183-9889-130B2B46E760}">
  <ds:schemaRefs/>
</ds:datastoreItem>
</file>

<file path=customXml/itemProps2.xml><?xml version="1.0" encoding="utf-8"?>
<ds:datastoreItem xmlns:ds="http://schemas.openxmlformats.org/officeDocument/2006/customXml" ds:itemID="{55A60376-5F1A-4B58-BE70-A0B8CD8AC393}">
  <ds:schemaRefs/>
</ds:datastoreItem>
</file>

<file path=customXml/itemProps20.xml><?xml version="1.0" encoding="utf-8"?>
<ds:datastoreItem xmlns:ds="http://schemas.openxmlformats.org/officeDocument/2006/customXml" ds:itemID="{9B2DCA2B-261B-4FC5-92E2-74D6E9C53092}">
  <ds:schemaRefs/>
</ds:datastoreItem>
</file>

<file path=customXml/itemProps21.xml><?xml version="1.0" encoding="utf-8"?>
<ds:datastoreItem xmlns:ds="http://schemas.openxmlformats.org/officeDocument/2006/customXml" ds:itemID="{6A6DB8E6-5EDD-4508-B255-AD07BCA264C9}">
  <ds:schemaRefs/>
</ds:datastoreItem>
</file>

<file path=customXml/itemProps22.xml><?xml version="1.0" encoding="utf-8"?>
<ds:datastoreItem xmlns:ds="http://schemas.openxmlformats.org/officeDocument/2006/customXml" ds:itemID="{CB6B8C05-D526-4E72-8AB4-B1FB0F487636}">
  <ds:schemaRefs/>
</ds:datastoreItem>
</file>

<file path=customXml/itemProps23.xml><?xml version="1.0" encoding="utf-8"?>
<ds:datastoreItem xmlns:ds="http://schemas.openxmlformats.org/officeDocument/2006/customXml" ds:itemID="{5EFC46A3-03BA-4ECF-B65E-51918400F753}">
  <ds:schemaRefs/>
</ds:datastoreItem>
</file>

<file path=customXml/itemProps24.xml><?xml version="1.0" encoding="utf-8"?>
<ds:datastoreItem xmlns:ds="http://schemas.openxmlformats.org/officeDocument/2006/customXml" ds:itemID="{4074F53B-6AA8-493B-96FF-0D7EB858216C}">
  <ds:schemaRefs/>
</ds:datastoreItem>
</file>

<file path=customXml/itemProps25.xml><?xml version="1.0" encoding="utf-8"?>
<ds:datastoreItem xmlns:ds="http://schemas.openxmlformats.org/officeDocument/2006/customXml" ds:itemID="{989DA21E-0CDF-4E3D-84F6-1D172BF7F4B9}">
  <ds:schemaRefs/>
</ds:datastoreItem>
</file>

<file path=customXml/itemProps26.xml><?xml version="1.0" encoding="utf-8"?>
<ds:datastoreItem xmlns:ds="http://schemas.openxmlformats.org/officeDocument/2006/customXml" ds:itemID="{C66F43F9-0AB8-4241-BA67-D8AE60CF6C21}">
  <ds:schemaRefs/>
</ds:datastoreItem>
</file>

<file path=customXml/itemProps27.xml><?xml version="1.0" encoding="utf-8"?>
<ds:datastoreItem xmlns:ds="http://schemas.openxmlformats.org/officeDocument/2006/customXml" ds:itemID="{C486A553-0F69-4945-B340-E49BCA32411A}">
  <ds:schemaRefs/>
</ds:datastoreItem>
</file>

<file path=customXml/itemProps28.xml><?xml version="1.0" encoding="utf-8"?>
<ds:datastoreItem xmlns:ds="http://schemas.openxmlformats.org/officeDocument/2006/customXml" ds:itemID="{BC8B0B68-B399-4D6D-AE2B-284CCF1A5CB6}">
  <ds:schemaRefs/>
</ds:datastoreItem>
</file>

<file path=customXml/itemProps29.xml><?xml version="1.0" encoding="utf-8"?>
<ds:datastoreItem xmlns:ds="http://schemas.openxmlformats.org/officeDocument/2006/customXml" ds:itemID="{C593EC27-B89C-46A8-9CF9-3B5AE2B23C20}">
  <ds:schemaRefs/>
</ds:datastoreItem>
</file>

<file path=customXml/itemProps3.xml><?xml version="1.0" encoding="utf-8"?>
<ds:datastoreItem xmlns:ds="http://schemas.openxmlformats.org/officeDocument/2006/customXml" ds:itemID="{FF40C868-CD10-4565-BD6F-28B55B247751}">
  <ds:schemaRefs/>
</ds:datastoreItem>
</file>

<file path=customXml/itemProps30.xml><?xml version="1.0" encoding="utf-8"?>
<ds:datastoreItem xmlns:ds="http://schemas.openxmlformats.org/officeDocument/2006/customXml" ds:itemID="{1C4E702D-2594-4689-8404-84AFD7E73E52}">
  <ds:schemaRefs/>
</ds:datastoreItem>
</file>

<file path=customXml/itemProps31.xml><?xml version="1.0" encoding="utf-8"?>
<ds:datastoreItem xmlns:ds="http://schemas.openxmlformats.org/officeDocument/2006/customXml" ds:itemID="{3300B263-A8B2-4577-A8B1-07D060066AC1}">
  <ds:schemaRefs/>
</ds:datastoreItem>
</file>

<file path=customXml/itemProps32.xml><?xml version="1.0" encoding="utf-8"?>
<ds:datastoreItem xmlns:ds="http://schemas.openxmlformats.org/officeDocument/2006/customXml" ds:itemID="{526561F4-D429-4474-A75E-30A59CF88000}">
  <ds:schemaRefs/>
</ds:datastoreItem>
</file>

<file path=customXml/itemProps33.xml><?xml version="1.0" encoding="utf-8"?>
<ds:datastoreItem xmlns:ds="http://schemas.openxmlformats.org/officeDocument/2006/customXml" ds:itemID="{B9E9C162-3959-4E09-8552-3788A3BCB94D}">
  <ds:schemaRefs/>
</ds:datastoreItem>
</file>

<file path=customXml/itemProps34.xml><?xml version="1.0" encoding="utf-8"?>
<ds:datastoreItem xmlns:ds="http://schemas.openxmlformats.org/officeDocument/2006/customXml" ds:itemID="{66CC41B6-D28D-4EED-B564-F0D3D013B8B1}">
  <ds:schemaRefs/>
</ds:datastoreItem>
</file>

<file path=customXml/itemProps35.xml><?xml version="1.0" encoding="utf-8"?>
<ds:datastoreItem xmlns:ds="http://schemas.openxmlformats.org/officeDocument/2006/customXml" ds:itemID="{335668B4-649C-41E0-BC80-7D94ABF681A2}">
  <ds:schemaRefs/>
</ds:datastoreItem>
</file>

<file path=customXml/itemProps36.xml><?xml version="1.0" encoding="utf-8"?>
<ds:datastoreItem xmlns:ds="http://schemas.openxmlformats.org/officeDocument/2006/customXml" ds:itemID="{B52E45D6-0F3C-4B21-B161-FA591631F8EB}">
  <ds:schemaRefs/>
</ds:datastoreItem>
</file>

<file path=customXml/itemProps37.xml><?xml version="1.0" encoding="utf-8"?>
<ds:datastoreItem xmlns:ds="http://schemas.openxmlformats.org/officeDocument/2006/customXml" ds:itemID="{D5DDAF8B-C90E-40EE-B940-CCD547411B81}">
  <ds:schemaRefs/>
</ds:datastoreItem>
</file>

<file path=customXml/itemProps38.xml><?xml version="1.0" encoding="utf-8"?>
<ds:datastoreItem xmlns:ds="http://schemas.openxmlformats.org/officeDocument/2006/customXml" ds:itemID="{8807E301-CE3E-48B0-8F1B-BE48F29E1736}">
  <ds:schemaRefs/>
</ds:datastoreItem>
</file>

<file path=customXml/itemProps39.xml><?xml version="1.0" encoding="utf-8"?>
<ds:datastoreItem xmlns:ds="http://schemas.openxmlformats.org/officeDocument/2006/customXml" ds:itemID="{C864F1CC-9C8C-41E6-8FD8-C85E12A44050}">
  <ds:schemaRefs/>
</ds:datastoreItem>
</file>

<file path=customXml/itemProps4.xml><?xml version="1.0" encoding="utf-8"?>
<ds:datastoreItem xmlns:ds="http://schemas.openxmlformats.org/officeDocument/2006/customXml" ds:itemID="{F2B0114A-1BF3-408C-A937-DBD594359DD7}">
  <ds:schemaRefs/>
</ds:datastoreItem>
</file>

<file path=customXml/itemProps5.xml><?xml version="1.0" encoding="utf-8"?>
<ds:datastoreItem xmlns:ds="http://schemas.openxmlformats.org/officeDocument/2006/customXml" ds:itemID="{BF249A3C-5046-4792-B1C7-86A45BD0F7B3}">
  <ds:schemaRefs/>
</ds:datastoreItem>
</file>

<file path=customXml/itemProps6.xml><?xml version="1.0" encoding="utf-8"?>
<ds:datastoreItem xmlns:ds="http://schemas.openxmlformats.org/officeDocument/2006/customXml" ds:itemID="{907DF196-29BA-4F64-A2E6-9B891D8DA970}">
  <ds:schemaRefs/>
</ds:datastoreItem>
</file>

<file path=customXml/itemProps7.xml><?xml version="1.0" encoding="utf-8"?>
<ds:datastoreItem xmlns:ds="http://schemas.openxmlformats.org/officeDocument/2006/customXml" ds:itemID="{4D21B174-EFD5-481F-8023-ECD2C99EA6A5}">
  <ds:schemaRefs/>
</ds:datastoreItem>
</file>

<file path=customXml/itemProps8.xml><?xml version="1.0" encoding="utf-8"?>
<ds:datastoreItem xmlns:ds="http://schemas.openxmlformats.org/officeDocument/2006/customXml" ds:itemID="{B8034E79-3EC9-4FB4-8900-8DB566ED87F2}">
  <ds:schemaRefs/>
</ds:datastoreItem>
</file>

<file path=customXml/itemProps9.xml><?xml version="1.0" encoding="utf-8"?>
<ds:datastoreItem xmlns:ds="http://schemas.openxmlformats.org/officeDocument/2006/customXml" ds:itemID="{82063DCE-E0D9-4D45-94AB-06A5849F123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8971</Words>
  <Characters>10351</Characters>
  <Lines>107</Lines>
  <Paragraphs>30</Paragraphs>
  <TotalTime>2</TotalTime>
  <ScaleCrop>false</ScaleCrop>
  <LinksUpToDate>false</LinksUpToDate>
  <CharactersWithSpaces>10567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2022-06-22T03:11:00Z</cp:lastPrinted>
  <dcterms:modified xsi:type="dcterms:W3CDTF">2024-01-31T10:03:13Z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