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涞水县水利局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严格落实权责清单制度，按照已梳理完成的行政职权的目录、行政职权运行的条件、运行程序和办理时限，依法行使行政权力。机构设置、工作职能通过政府门户网站集中展示，及时动态更新。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结合我局实际，建立完善政务公开责任、备案和监督等制度，对于公开的政务信息，按照“规范、及时、便民”的原则，对本单位机构设置、岗位设置、职责范围、服务项目、服务承诺、联系方式、政策法规、工作动态以及办事程序、重点领域等有关政务信息内容及时对外公开。明确专人负责，实行分管领导把关，主要领导签发，促进政务公开工作走上制度化、规范化的轨道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（三）政府信息管理情况。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围绕政府工作报告、发展规划</w:t>
      </w:r>
      <w:r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，确保水利设施建设和运营的透明度，让公众了解政府在水利方面的投入和成果，加强水利政策措施的落实和执行情况的</w:t>
      </w:r>
      <w:r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公开公示</w:t>
      </w:r>
      <w:r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，确保政策落地生根，增强公众对政府水利工作的信任，推动水利行业的健康发展，为民生福祉和社会发展提供有力保障。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（四）平台建设情况。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开展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水利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政策解读宣传，对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行业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相关行政法规、规章和其他规范性文件及涉及面广、社会关注度高的政策的宣传解读工作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提升群众对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水利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工作的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认可度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，为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水利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工作的顺利开展创造更为和谐的社会环境。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（五）监督保障情况。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充分发挥政府网站信息公开“第一平台”作用,更好地方便了公民、法人和其他组织获取政府信息。并及时调整本单位政府信息公开工作领导小组,进一步强化对政府信息公开工作的组织领导。单位主要负责同志亲自过问,主动研究解决问题、部署工作；分管负责同志具体抓细节,听取汇报,推动工作落实，由专人负责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7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35"/>
        <w:gridCol w:w="223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9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9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9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9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收到和处理政府信息公开申请情况</w:t>
      </w:r>
    </w:p>
    <w:tbl>
      <w:tblPr>
        <w:tblStyle w:val="7"/>
        <w:tblW w:w="94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19"/>
        <w:gridCol w:w="3105"/>
        <w:gridCol w:w="667"/>
        <w:gridCol w:w="667"/>
        <w:gridCol w:w="667"/>
        <w:gridCol w:w="667"/>
        <w:gridCol w:w="667"/>
        <w:gridCol w:w="668"/>
        <w:gridCol w:w="6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7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7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3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47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7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7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47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四、政府信息公开行政复议、行政诉讼情况</w:t>
      </w:r>
    </w:p>
    <w:tbl>
      <w:tblPr>
        <w:tblStyle w:val="7"/>
        <w:tblpPr w:leftFromText="180" w:rightFromText="180" w:vertAnchor="text" w:horzAnchor="page" w:tblpXSpec="center" w:tblpY="225"/>
        <w:tblOverlap w:val="never"/>
        <w:tblW w:w="93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619"/>
        <w:gridCol w:w="619"/>
        <w:gridCol w:w="619"/>
        <w:gridCol w:w="636"/>
        <w:gridCol w:w="619"/>
        <w:gridCol w:w="619"/>
        <w:gridCol w:w="619"/>
        <w:gridCol w:w="619"/>
        <w:gridCol w:w="636"/>
        <w:gridCol w:w="619"/>
        <w:gridCol w:w="619"/>
        <w:gridCol w:w="619"/>
        <w:gridCol w:w="619"/>
        <w:gridCol w:w="6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3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2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6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今年以来，我局政府信息工作取得不少成绩，公开的标准进一步规范，主动公开的范围进一步扩大，但公开的内容还不够全面，主要是个别股室对政务公开工作重要性认识不够，公开工作不够主动。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组织各股室开展业务培训学习，提高主动履职的责任感，继续推进重点领域、重点环节的政府信息公开，做好政府信息公开申请工作，加强政策解读和群众关切问题的回应工作，增进公众对交通工作的理解和支持，优化公开服务，不断推进我局政府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认真贯彻执行国务院办公厅《政府信息公开信息处理费管理办法》和《关于政府信息公开处理费管理有关事项的通知》。2023 年我单位未收取信息处理费。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E9EA7"/>
    <w:multiLevelType w:val="singleLevel"/>
    <w:tmpl w:val="E90E9E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00000000"/>
    <w:rsid w:val="0FE64077"/>
    <w:rsid w:val="24BC6289"/>
    <w:rsid w:val="4D9D385D"/>
    <w:rsid w:val="716D6324"/>
    <w:rsid w:val="7D70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Calibri" w:hAnsi="Calibri" w:eastAsia="方正小标宋简体"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rFonts w:ascii="Calibri" w:hAnsi="Calibri" w:eastAsia="楷体"/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qFormat/>
    <w:uiPriority w:val="0"/>
    <w:rPr>
      <w:rFonts w:ascii="仿宋_GB2312" w:hAnsi="仿宋_GB2312" w:eastAsia="仿宋_GB2312"/>
      <w:sz w:val="32"/>
    </w:rPr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2094</Words>
  <Characters>2138</Characters>
  <Paragraphs>410</Paragraphs>
  <TotalTime>0</TotalTime>
  <ScaleCrop>false</ScaleCrop>
  <LinksUpToDate>false</LinksUpToDate>
  <CharactersWithSpaces>2319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2024-01-22T08:47:00Z</dcterms:created>
  <dc:creator> </dc:creator>
  <cp:lastModifiedBy>八爪小鱼</cp:lastModifiedBy>
  <cp:lastPrinted>2024-01-23T09:48:00Z</cp:lastPrinted>
  <dcterms:modified xsi:type="dcterms:W3CDTF">2024-01-31T11:09:45Z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3A795127307F4807A588AAA9C754122C_13</vt:lpwstr>
  </property>
</Properties>
</file>