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中共涞水县委机构编制委员会办公室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7"/>
        <w:tabs>
          <w:tab w:val="right" w:leader="dot" w:pos="14800"/>
        </w:tabs>
      </w:pPr>
      <w:r>
        <w:fldChar w:fldCharType="begin"/>
      </w:r>
      <w:r>
        <w:instrText xml:space="preserve">TOC \o "2-2" \h \z \u</w:instrText>
      </w:r>
      <w:r>
        <w:fldChar w:fldCharType="separate"/>
      </w:r>
      <w:r>
        <w:fldChar w:fldCharType="begin"/>
      </w:r>
      <w:r>
        <w:instrText xml:space="preserve"> HYPERLINK \l "_Toc16794" </w:instrText>
      </w:r>
      <w:r>
        <w:fldChar w:fldCharType="separate"/>
      </w:r>
      <w:r>
        <w:rPr>
          <w:rFonts w:ascii="方正小标宋_GBK" w:hAnsi="方正小标宋_GBK" w:eastAsia="方正小标宋_GBK" w:cs="方正小标宋_GBK"/>
        </w:rPr>
        <w:t>部门预算收支总表</w:t>
      </w:r>
      <w:r>
        <w:tab/>
      </w:r>
      <w:r>
        <w:fldChar w:fldCharType="begin"/>
      </w:r>
      <w:r>
        <w:instrText xml:space="preserve"> PAGEREF _Toc16794 \h </w:instrText>
      </w:r>
      <w:r>
        <w:fldChar w:fldCharType="separate"/>
      </w:r>
      <w:r>
        <w:t>2</w:t>
      </w:r>
      <w:r>
        <w:fldChar w:fldCharType="end"/>
      </w:r>
      <w:r>
        <w:fldChar w:fldCharType="end"/>
      </w:r>
    </w:p>
    <w:p>
      <w:pPr>
        <w:pStyle w:val="7"/>
        <w:tabs>
          <w:tab w:val="right" w:leader="dot" w:pos="14800"/>
        </w:tabs>
      </w:pPr>
      <w:r>
        <w:fldChar w:fldCharType="begin"/>
      </w:r>
      <w:r>
        <w:instrText xml:space="preserve"> HYPERLINK \l "_Toc30438" </w:instrText>
      </w:r>
      <w:r>
        <w:fldChar w:fldCharType="separate"/>
      </w:r>
      <w:r>
        <w:rPr>
          <w:rFonts w:ascii="方正小标宋_GBK" w:hAnsi="方正小标宋_GBK" w:eastAsia="方正小标宋_GBK" w:cs="方正小标宋_GBK"/>
        </w:rPr>
        <w:t>部门预算收入总表</w:t>
      </w:r>
      <w:r>
        <w:tab/>
      </w:r>
      <w:r>
        <w:fldChar w:fldCharType="begin"/>
      </w:r>
      <w:r>
        <w:instrText xml:space="preserve"> PAGEREF _Toc30438 \h </w:instrText>
      </w:r>
      <w:r>
        <w:fldChar w:fldCharType="separate"/>
      </w:r>
      <w:r>
        <w:t>4</w:t>
      </w:r>
      <w:r>
        <w:fldChar w:fldCharType="end"/>
      </w:r>
      <w:r>
        <w:fldChar w:fldCharType="end"/>
      </w:r>
    </w:p>
    <w:p>
      <w:pPr>
        <w:pStyle w:val="7"/>
        <w:tabs>
          <w:tab w:val="right" w:leader="dot" w:pos="14800"/>
        </w:tabs>
      </w:pPr>
      <w:r>
        <w:fldChar w:fldCharType="begin"/>
      </w:r>
      <w:r>
        <w:instrText xml:space="preserve"> HYPERLINK \l "_Toc15519" </w:instrText>
      </w:r>
      <w:r>
        <w:fldChar w:fldCharType="separate"/>
      </w:r>
      <w:r>
        <w:rPr>
          <w:rFonts w:ascii="方正小标宋_GBK" w:hAnsi="方正小标宋_GBK" w:eastAsia="方正小标宋_GBK" w:cs="方正小标宋_GBK"/>
        </w:rPr>
        <w:t>部门预算支出总表</w:t>
      </w:r>
      <w:r>
        <w:tab/>
      </w:r>
      <w:r>
        <w:fldChar w:fldCharType="begin"/>
      </w:r>
      <w:r>
        <w:instrText xml:space="preserve"> PAGEREF _Toc15519 \h </w:instrText>
      </w:r>
      <w:r>
        <w:fldChar w:fldCharType="separate"/>
      </w:r>
      <w:r>
        <w:t>5</w:t>
      </w:r>
      <w:r>
        <w:fldChar w:fldCharType="end"/>
      </w:r>
      <w:r>
        <w:fldChar w:fldCharType="end"/>
      </w:r>
    </w:p>
    <w:p>
      <w:pPr>
        <w:pStyle w:val="7"/>
        <w:tabs>
          <w:tab w:val="right" w:leader="dot" w:pos="14800"/>
        </w:tabs>
      </w:pPr>
      <w:r>
        <w:fldChar w:fldCharType="begin"/>
      </w:r>
      <w:r>
        <w:instrText xml:space="preserve"> HYPERLINK \l "_Toc20299" </w:instrText>
      </w:r>
      <w:r>
        <w:fldChar w:fldCharType="separate"/>
      </w:r>
      <w:r>
        <w:rPr>
          <w:rFonts w:ascii="方正小标宋_GBK" w:hAnsi="方正小标宋_GBK" w:eastAsia="方正小标宋_GBK" w:cs="方正小标宋_GBK"/>
        </w:rPr>
        <w:t>部门预算财政拨款收支总表</w:t>
      </w:r>
      <w:r>
        <w:tab/>
      </w:r>
      <w:r>
        <w:fldChar w:fldCharType="begin"/>
      </w:r>
      <w:r>
        <w:instrText xml:space="preserve"> PAGEREF _Toc20299 \h </w:instrText>
      </w:r>
      <w:r>
        <w:fldChar w:fldCharType="separate"/>
      </w:r>
      <w:r>
        <w:t>6</w:t>
      </w:r>
      <w:r>
        <w:fldChar w:fldCharType="end"/>
      </w:r>
      <w:r>
        <w:fldChar w:fldCharType="end"/>
      </w:r>
    </w:p>
    <w:p>
      <w:pPr>
        <w:pStyle w:val="7"/>
        <w:tabs>
          <w:tab w:val="right" w:leader="dot" w:pos="14800"/>
        </w:tabs>
      </w:pPr>
      <w:r>
        <w:fldChar w:fldCharType="begin"/>
      </w:r>
      <w:r>
        <w:instrText xml:space="preserve"> HYPERLINK \l "_Toc28080" </w:instrText>
      </w:r>
      <w:r>
        <w:fldChar w:fldCharType="separate"/>
      </w:r>
      <w:r>
        <w:rPr>
          <w:rFonts w:ascii="方正小标宋_GBK" w:hAnsi="方正小标宋_GBK" w:eastAsia="方正小标宋_GBK" w:cs="方正小标宋_GBK"/>
        </w:rPr>
        <w:t>部门预算一般公共预算财政拨款支出表</w:t>
      </w:r>
      <w:r>
        <w:tab/>
      </w:r>
      <w:r>
        <w:fldChar w:fldCharType="begin"/>
      </w:r>
      <w:r>
        <w:instrText xml:space="preserve"> PAGEREF _Toc28080 \h </w:instrText>
      </w:r>
      <w:r>
        <w:fldChar w:fldCharType="separate"/>
      </w:r>
      <w:r>
        <w:t>8</w:t>
      </w:r>
      <w:r>
        <w:fldChar w:fldCharType="end"/>
      </w:r>
      <w:r>
        <w:fldChar w:fldCharType="end"/>
      </w:r>
    </w:p>
    <w:p>
      <w:pPr>
        <w:pStyle w:val="7"/>
        <w:tabs>
          <w:tab w:val="right" w:leader="dot" w:pos="14800"/>
        </w:tabs>
      </w:pPr>
      <w:r>
        <w:fldChar w:fldCharType="begin"/>
      </w:r>
      <w:r>
        <w:instrText xml:space="preserve"> HYPERLINK \l "_Toc18807" </w:instrText>
      </w:r>
      <w:r>
        <w:fldChar w:fldCharType="separate"/>
      </w:r>
      <w:r>
        <w:rPr>
          <w:rFonts w:ascii="方正小标宋_GBK" w:hAnsi="方正小标宋_GBK" w:eastAsia="方正小标宋_GBK" w:cs="方正小标宋_GBK"/>
        </w:rPr>
        <w:t>部门预算一般公共预算财政拨款基本支出表</w:t>
      </w:r>
      <w:r>
        <w:tab/>
      </w:r>
      <w:r>
        <w:fldChar w:fldCharType="begin"/>
      </w:r>
      <w:r>
        <w:instrText xml:space="preserve"> PAGEREF _Toc18807 \h </w:instrText>
      </w:r>
      <w:r>
        <w:fldChar w:fldCharType="separate"/>
      </w:r>
      <w:r>
        <w:t>9</w:t>
      </w:r>
      <w:r>
        <w:fldChar w:fldCharType="end"/>
      </w:r>
      <w:r>
        <w:fldChar w:fldCharType="end"/>
      </w:r>
    </w:p>
    <w:p>
      <w:pPr>
        <w:pStyle w:val="7"/>
        <w:tabs>
          <w:tab w:val="right" w:leader="dot" w:pos="14800"/>
        </w:tabs>
      </w:pPr>
      <w:r>
        <w:fldChar w:fldCharType="begin"/>
      </w:r>
      <w:r>
        <w:instrText xml:space="preserve"> HYPERLINK \l "_Toc8880" </w:instrText>
      </w:r>
      <w:r>
        <w:fldChar w:fldCharType="separate"/>
      </w:r>
      <w:r>
        <w:rPr>
          <w:rFonts w:ascii="方正小标宋_GBK" w:hAnsi="方正小标宋_GBK" w:eastAsia="方正小标宋_GBK" w:cs="方正小标宋_GBK"/>
        </w:rPr>
        <w:t>部门预算政府基金预算财政拨款支出表</w:t>
      </w:r>
      <w:r>
        <w:tab/>
      </w:r>
      <w:r>
        <w:fldChar w:fldCharType="begin"/>
      </w:r>
      <w:r>
        <w:instrText xml:space="preserve"> PAGEREF _Toc8880 \h </w:instrText>
      </w:r>
      <w:r>
        <w:fldChar w:fldCharType="separate"/>
      </w:r>
      <w:r>
        <w:t>10</w:t>
      </w:r>
      <w:r>
        <w:fldChar w:fldCharType="end"/>
      </w:r>
      <w:r>
        <w:fldChar w:fldCharType="end"/>
      </w:r>
    </w:p>
    <w:p>
      <w:pPr>
        <w:pStyle w:val="7"/>
        <w:tabs>
          <w:tab w:val="right" w:leader="dot" w:pos="14800"/>
        </w:tabs>
      </w:pPr>
      <w:r>
        <w:fldChar w:fldCharType="begin"/>
      </w:r>
      <w:r>
        <w:instrText xml:space="preserve"> HYPERLINK \l "_Toc23817" </w:instrText>
      </w:r>
      <w:r>
        <w:fldChar w:fldCharType="separate"/>
      </w:r>
      <w:r>
        <w:rPr>
          <w:rFonts w:ascii="方正小标宋_GBK" w:hAnsi="方正小标宋_GBK" w:eastAsia="方正小标宋_GBK" w:cs="方正小标宋_GBK"/>
        </w:rPr>
        <w:t>部门预算国有资本经营预算财政拨款支出表</w:t>
      </w:r>
      <w:r>
        <w:tab/>
      </w:r>
      <w:r>
        <w:fldChar w:fldCharType="begin"/>
      </w:r>
      <w:r>
        <w:instrText xml:space="preserve"> PAGEREF _Toc23817 \h </w:instrText>
      </w:r>
      <w:r>
        <w:fldChar w:fldCharType="separate"/>
      </w:r>
      <w:r>
        <w:t>11</w:t>
      </w:r>
      <w:r>
        <w:fldChar w:fldCharType="end"/>
      </w:r>
      <w:r>
        <w:fldChar w:fldCharType="end"/>
      </w:r>
    </w:p>
    <w:p>
      <w:pPr>
        <w:pStyle w:val="7"/>
        <w:tabs>
          <w:tab w:val="right" w:leader="dot" w:pos="14800"/>
        </w:tabs>
      </w:pPr>
      <w:r>
        <w:fldChar w:fldCharType="begin"/>
      </w:r>
      <w:r>
        <w:instrText xml:space="preserve"> HYPERLINK \l "_Toc30949" </w:instrText>
      </w:r>
      <w:r>
        <w:fldChar w:fldCharType="separate"/>
      </w:r>
      <w:r>
        <w:rPr>
          <w:rFonts w:ascii="方正小标宋_GBK" w:hAnsi="方正小标宋_GBK" w:eastAsia="方正小标宋_GBK" w:cs="方正小标宋_GBK"/>
        </w:rPr>
        <w:t>部门预算财政拨款“三公”经费支出表</w:t>
      </w:r>
      <w:r>
        <w:tab/>
      </w:r>
      <w:r>
        <w:fldChar w:fldCharType="begin"/>
      </w:r>
      <w:r>
        <w:instrText xml:space="preserve"> PAGEREF _Toc30949 \h </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TOC \o "3-3" \h \z \u</w:instrText>
      </w:r>
      <w:r>
        <w:rPr>
          <w:rFonts w:ascii="方正小标宋_GBK" w:hAnsi="方正小标宋_GBK" w:eastAsia="方正小标宋_GBK" w:cs="方正小标宋_GBK"/>
        </w:rPr>
        <w:fldChar w:fldCharType="separate"/>
      </w:r>
      <w:r>
        <w:fldChar w:fldCharType="begin"/>
      </w:r>
      <w:r>
        <w:instrText xml:space="preserve"> HYPERLINK \l "_Toc9002" </w:instrText>
      </w:r>
      <w:r>
        <w:fldChar w:fldCharType="separate"/>
      </w:r>
      <w:r>
        <w:rPr>
          <w:rFonts w:ascii="方正小标宋_GBK" w:hAnsi="方正小标宋_GBK" w:eastAsia="方正小标宋_GBK" w:cs="方正小标宋_GBK"/>
        </w:rPr>
        <w:t>一、部门职责及机构设置情况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_Toc9002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"_Toc32461" </w:instrText>
      </w:r>
      <w:r>
        <w:fldChar w:fldCharType="separate"/>
      </w:r>
      <w:r>
        <w:rPr>
          <w:rFonts w:ascii="方正小标宋_GBK" w:hAnsi="方正小标宋_GBK" w:eastAsia="方正小标宋_GBK" w:cs="方正小标宋_GBK"/>
        </w:rPr>
        <w:t>二、部门预算安排的总体情况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_Toc32461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15</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"_Toc31900" </w:instrText>
      </w:r>
      <w:r>
        <w:fldChar w:fldCharType="separate"/>
      </w:r>
      <w:r>
        <w:rPr>
          <w:rFonts w:ascii="方正小标宋_GBK" w:hAnsi="方正小标宋_GBK" w:eastAsia="方正小标宋_GBK" w:cs="方正小标宋_GBK"/>
        </w:rPr>
        <w:t>三、机关运行经费安排情况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_Toc31900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15</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"_Toc28600" </w:instrText>
      </w:r>
      <w:r>
        <w:fldChar w:fldCharType="separate"/>
      </w:r>
      <w:r>
        <w:rPr>
          <w:rFonts w:ascii="方正小标宋_GBK" w:hAnsi="方正小标宋_GBK" w:eastAsia="方正小标宋_GBK" w:cs="方正小标宋_GBK"/>
        </w:rPr>
        <w:t>四、财政拨款“三公”经费预算情况及增减变化原因</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_Toc28600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16</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"_Toc13499" </w:instrText>
      </w:r>
      <w:r>
        <w:fldChar w:fldCharType="separate"/>
      </w:r>
      <w:r>
        <w:rPr>
          <w:rFonts w:ascii="方正小标宋_GBK" w:hAnsi="方正小标宋_GBK" w:eastAsia="方正小标宋_GBK" w:cs="方正小标宋_GBK"/>
        </w:rPr>
        <w:t>五、预算绩效信息</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_Toc13499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16</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"_Toc7901" </w:instrText>
      </w:r>
      <w:r>
        <w:fldChar w:fldCharType="separate"/>
      </w:r>
      <w:r>
        <w:rPr>
          <w:rFonts w:ascii="方正小标宋_GBK" w:hAnsi="方正小标宋_GBK" w:eastAsia="方正小标宋_GBK" w:cs="方正小标宋_GBK"/>
        </w:rPr>
        <w:t>六、政府采购预算情况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_Toc7901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22</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"_Toc14440" </w:instrText>
      </w:r>
      <w:r>
        <w:fldChar w:fldCharType="separate"/>
      </w:r>
      <w:r>
        <w:rPr>
          <w:rFonts w:ascii="方正小标宋_GBK" w:hAnsi="方正小标宋_GBK" w:eastAsia="方正小标宋_GBK" w:cs="方正小标宋_GBK"/>
        </w:rPr>
        <w:t>七、国有资产信息</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_Toc14440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"_Toc6561" </w:instrText>
      </w:r>
      <w:r>
        <w:fldChar w:fldCharType="separate"/>
      </w:r>
      <w:r>
        <w:rPr>
          <w:rFonts w:ascii="方正小标宋_GBK" w:hAnsi="方正小标宋_GBK" w:eastAsia="方正小标宋_GBK" w:cs="方正小标宋_GBK"/>
        </w:rPr>
        <w:t>八、名词解释</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_Toc6561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"_Toc2902" </w:instrText>
      </w:r>
      <w:r>
        <w:fldChar w:fldCharType="separate"/>
      </w:r>
      <w:r>
        <w:rPr>
          <w:rFonts w:ascii="方正小标宋_GBK" w:hAnsi="方正小标宋_GBK" w:eastAsia="方正小标宋_GBK" w:cs="方正小标宋_GBK"/>
        </w:rPr>
        <w:t>九、其他需要说明的事项</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_Toc2902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24</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end"/>
      </w:r>
    </w:p>
    <w:p>
      <w:pPr>
        <w:pStyle w:val="7"/>
        <w:tabs>
          <w:tab w:val="right" w:leader="dot" w:pos="14800"/>
        </w:tabs>
      </w:pPr>
    </w:p>
    <w:p>
      <w:pPr>
        <w:jc w:val="center"/>
        <w:outlineLvl w:val="1"/>
        <w:rPr>
          <w:rFonts w:hint="eastAsia" w:ascii="方正小标宋_GBK" w:hAnsi="方正小标宋_GBK" w:eastAsia="方正小标宋_GBK" w:cs="方正小标宋_GBK"/>
          <w:color w:val="000000"/>
          <w:sz w:val="36"/>
          <w:lang w:eastAsia="zh-CN"/>
        </w:rPr>
      </w:pPr>
      <w:bookmarkStart w:id="0" w:name="_Toc16794"/>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3</w:t>
            </w:r>
            <w:r>
              <w:rPr>
                <w:rFonts w:hint="eastAsia"/>
                <w:lang w:eastAsia="zh-CN"/>
              </w:rPr>
              <w:t>82中共涞水县委机构编制委员会办公室</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rFonts w:hint="default"/>
                <w:lang w:val="en-US" w:eastAsia="zh-CN"/>
              </w:rPr>
            </w:pPr>
            <w:r>
              <w:rPr>
                <w:rFonts w:hint="eastAsia"/>
                <w:lang w:val="en-US" w:eastAsia="zh-CN"/>
              </w:rPr>
              <w:t>63.77</w:t>
            </w:r>
          </w:p>
        </w:tc>
        <w:tc>
          <w:tcPr>
            <w:tcW w:w="4535" w:type="dxa"/>
            <w:vAlign w:val="center"/>
          </w:tcPr>
          <w:p>
            <w:pPr>
              <w:pStyle w:val="18"/>
            </w:pPr>
            <w:r>
              <w:t>一、一般公共服务支出</w:t>
            </w:r>
          </w:p>
        </w:tc>
        <w:tc>
          <w:tcPr>
            <w:tcW w:w="2126" w:type="dxa"/>
            <w:vAlign w:val="center"/>
          </w:tcPr>
          <w:p>
            <w:pPr>
              <w:pStyle w:val="17"/>
              <w:rPr>
                <w:rFonts w:hint="default"/>
                <w:lang w:val="en-US" w:eastAsia="zh-CN"/>
              </w:rPr>
            </w:pPr>
            <w:r>
              <w:rPr>
                <w:rFonts w:hint="eastAsia"/>
                <w:lang w:val="en-US" w:eastAsia="zh-CN"/>
              </w:rPr>
              <w:t>52.27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rFonts w:hint="default"/>
                <w:lang w:val="en-US" w:eastAsia="zh-CN"/>
              </w:rPr>
            </w:pPr>
            <w:r>
              <w:rPr>
                <w:rFonts w:hint="eastAsia"/>
                <w:lang w:val="en-US" w:eastAsia="zh-CN"/>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rFonts w:hint="default"/>
                <w:lang w:val="en-US" w:eastAsia="zh-CN"/>
              </w:rPr>
            </w:pPr>
            <w:r>
              <w:rPr>
                <w:rFonts w:hint="eastAsia"/>
                <w:lang w:val="en-US" w:eastAsia="zh-CN"/>
              </w:rP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rFonts w:hint="default"/>
                <w:lang w:val="en-US" w:eastAsia="zh-CN"/>
              </w:rPr>
            </w:pPr>
            <w:r>
              <w:rPr>
                <w:rFonts w:hint="eastAsia"/>
                <w:lang w:val="en-US" w:eastAsia="zh-CN"/>
              </w:rPr>
              <w:t>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rFonts w:hint="default"/>
                <w:lang w:val="en-US" w:eastAsia="zh-CN"/>
              </w:rPr>
            </w:pPr>
            <w:r>
              <w:rPr>
                <w:rFonts w:hint="eastAsia"/>
                <w:lang w:val="en-US" w:eastAsia="zh-CN"/>
              </w:rPr>
              <w:t>63.77</w:t>
            </w:r>
          </w:p>
        </w:tc>
        <w:tc>
          <w:tcPr>
            <w:tcW w:w="4535" w:type="dxa"/>
            <w:vAlign w:val="center"/>
          </w:tcPr>
          <w:p>
            <w:pPr>
              <w:pStyle w:val="20"/>
            </w:pPr>
            <w:r>
              <w:t>本年支出合计</w:t>
            </w:r>
          </w:p>
        </w:tc>
        <w:tc>
          <w:tcPr>
            <w:tcW w:w="2126" w:type="dxa"/>
            <w:vAlign w:val="center"/>
          </w:tcPr>
          <w:p>
            <w:pPr>
              <w:pStyle w:val="21"/>
              <w:rPr>
                <w:rFonts w:hint="default"/>
                <w:lang w:val="en-US" w:eastAsia="zh-CN"/>
              </w:rPr>
            </w:pPr>
            <w:r>
              <w:rPr>
                <w:rFonts w:hint="eastAsia"/>
                <w:lang w:val="en-US" w:eastAsia="zh-CN"/>
              </w:rPr>
              <w:t>63.77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rFonts w:hint="default"/>
                <w:lang w:val="en-US" w:eastAsia="zh-CN"/>
              </w:rPr>
            </w:pPr>
            <w:r>
              <w:rPr>
                <w:rFonts w:hint="eastAsia"/>
                <w:lang w:val="en-US" w:eastAsia="zh-CN"/>
              </w:rPr>
              <w:t>63.77</w:t>
            </w:r>
          </w:p>
        </w:tc>
        <w:tc>
          <w:tcPr>
            <w:tcW w:w="4535" w:type="dxa"/>
            <w:vAlign w:val="center"/>
          </w:tcPr>
          <w:p>
            <w:pPr>
              <w:pStyle w:val="20"/>
            </w:pPr>
            <w:r>
              <w:t>支出总计</w:t>
            </w:r>
          </w:p>
        </w:tc>
        <w:tc>
          <w:tcPr>
            <w:tcW w:w="2126" w:type="dxa"/>
            <w:vAlign w:val="center"/>
          </w:tcPr>
          <w:p>
            <w:pPr>
              <w:pStyle w:val="21"/>
              <w:rPr>
                <w:rFonts w:hint="default"/>
                <w:lang w:val="en-US" w:eastAsia="zh-CN"/>
              </w:rPr>
            </w:pPr>
            <w:r>
              <w:rPr>
                <w:rFonts w:hint="eastAsia"/>
                <w:lang w:val="en-US" w:eastAsia="zh-CN"/>
              </w:rPr>
              <w:t>63.77</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30438"/>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6"/>
        <w:gridCol w:w="1086"/>
        <w:gridCol w:w="2204"/>
        <w:gridCol w:w="780"/>
        <w:gridCol w:w="843"/>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71" w:type="dxa"/>
            <w:gridSpan w:val="13"/>
            <w:tcBorders>
              <w:top w:val="single" w:color="FFFFFF" w:sz="6" w:space="0"/>
              <w:left w:val="single" w:color="FFFFFF" w:sz="6" w:space="0"/>
              <w:right w:val="single" w:color="FFFFFF" w:sz="6" w:space="0"/>
            </w:tcBorders>
            <w:vAlign w:val="center"/>
          </w:tcPr>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86"/>
              <w:gridCol w:w="2126"/>
              <w:gridCol w:w="66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tcBorders>
                    <w:top w:val="single" w:color="FFFFFF" w:sz="6" w:space="0"/>
                    <w:left w:val="single" w:color="FFFFFF" w:sz="6" w:space="0"/>
                    <w:right w:val="single" w:color="FFFFFF" w:sz="6" w:space="0"/>
                  </w:tcBorders>
                  <w:vAlign w:val="center"/>
                </w:tcPr>
                <w:p>
                  <w:pPr>
                    <w:pStyle w:val="15"/>
                  </w:pPr>
                  <w:r>
                    <w:t>3</w:t>
                  </w:r>
                  <w:r>
                    <w:rPr>
                      <w:rFonts w:hint="eastAsia"/>
                      <w:lang w:eastAsia="zh-CN"/>
                    </w:rPr>
                    <w:t>82中共涞水县委机构编制委员会办公室</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6661" w:type="dxa"/>
                  <w:tcBorders>
                    <w:top w:val="single" w:color="FFFFFF" w:sz="6" w:space="0"/>
                    <w:left w:val="single" w:color="FFFFFF" w:sz="6" w:space="0"/>
                    <w:right w:val="single" w:color="FFFFFF" w:sz="6" w:space="0"/>
                  </w:tcBorders>
                  <w:vAlign w:val="center"/>
                </w:tcPr>
                <w:p>
                  <w:pPr>
                    <w:pStyle w:val="13"/>
                  </w:pPr>
                  <w:r>
                    <w:t>单位：万元</w:t>
                  </w:r>
                </w:p>
              </w:tc>
            </w:tr>
          </w:tbl>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restart"/>
            <w:vAlign w:val="center"/>
          </w:tcPr>
          <w:p>
            <w:pPr>
              <w:pStyle w:val="16"/>
            </w:pPr>
            <w:r>
              <w:t>序号</w:t>
            </w:r>
          </w:p>
        </w:tc>
        <w:tc>
          <w:tcPr>
            <w:tcW w:w="3290" w:type="dxa"/>
            <w:gridSpan w:val="2"/>
            <w:vAlign w:val="center"/>
          </w:tcPr>
          <w:p>
            <w:pPr>
              <w:pStyle w:val="16"/>
            </w:pPr>
            <w:r>
              <w:t>功能分类科目</w:t>
            </w:r>
          </w:p>
        </w:tc>
        <w:tc>
          <w:tcPr>
            <w:tcW w:w="780" w:type="dxa"/>
            <w:vMerge w:val="restart"/>
            <w:vAlign w:val="center"/>
          </w:tcPr>
          <w:p>
            <w:pPr>
              <w:pStyle w:val="16"/>
            </w:pPr>
            <w:r>
              <w:t>合计</w:t>
            </w:r>
          </w:p>
        </w:tc>
        <w:tc>
          <w:tcPr>
            <w:tcW w:w="878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continue"/>
          </w:tcPr>
          <w:p/>
        </w:tc>
        <w:tc>
          <w:tcPr>
            <w:tcW w:w="1086" w:type="dxa"/>
            <w:vAlign w:val="center"/>
          </w:tcPr>
          <w:p>
            <w:pPr>
              <w:pStyle w:val="16"/>
            </w:pPr>
            <w:r>
              <w:t>科目    编码</w:t>
            </w:r>
          </w:p>
        </w:tc>
        <w:tc>
          <w:tcPr>
            <w:tcW w:w="2204" w:type="dxa"/>
            <w:vAlign w:val="center"/>
          </w:tcPr>
          <w:p>
            <w:pPr>
              <w:pStyle w:val="16"/>
            </w:pPr>
            <w:r>
              <w:t>科目名称</w:t>
            </w:r>
          </w:p>
        </w:tc>
        <w:tc>
          <w:tcPr>
            <w:tcW w:w="780" w:type="dxa"/>
            <w:vMerge w:val="continue"/>
          </w:tcPr>
          <w:p/>
        </w:tc>
        <w:tc>
          <w:tcPr>
            <w:tcW w:w="843"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Align w:val="center"/>
          </w:tcPr>
          <w:p>
            <w:pPr>
              <w:pStyle w:val="16"/>
            </w:pPr>
            <w:r>
              <w:t>栏次</w:t>
            </w:r>
          </w:p>
        </w:tc>
        <w:tc>
          <w:tcPr>
            <w:tcW w:w="1086" w:type="dxa"/>
            <w:vAlign w:val="center"/>
          </w:tcPr>
          <w:p>
            <w:pPr>
              <w:pStyle w:val="16"/>
            </w:pPr>
            <w:r>
              <w:t>1</w:t>
            </w:r>
          </w:p>
        </w:tc>
        <w:tc>
          <w:tcPr>
            <w:tcW w:w="2204" w:type="dxa"/>
            <w:vAlign w:val="center"/>
          </w:tcPr>
          <w:p>
            <w:pPr>
              <w:pStyle w:val="16"/>
            </w:pPr>
            <w:r>
              <w:t>2</w:t>
            </w:r>
          </w:p>
        </w:tc>
        <w:tc>
          <w:tcPr>
            <w:tcW w:w="780" w:type="dxa"/>
            <w:vAlign w:val="center"/>
          </w:tcPr>
          <w:p>
            <w:pPr>
              <w:pStyle w:val="16"/>
            </w:pPr>
            <w:r>
              <w:t>3</w:t>
            </w:r>
          </w:p>
        </w:tc>
        <w:tc>
          <w:tcPr>
            <w:tcW w:w="843"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w:t>
            </w:r>
          </w:p>
        </w:tc>
        <w:tc>
          <w:tcPr>
            <w:tcW w:w="1086" w:type="dxa"/>
          </w:tcPr>
          <w:p/>
        </w:tc>
        <w:tc>
          <w:tcPr>
            <w:tcW w:w="2204" w:type="dxa"/>
          </w:tcPr>
          <w:p>
            <w:pPr>
              <w:textAlignment w:val="top"/>
            </w:pPr>
            <w:r>
              <w:rPr>
                <w:rFonts w:ascii="Calibri" w:hAnsi="Calibri" w:eastAsia="宋体" w:cs="Calibri"/>
                <w:color w:val="000000"/>
                <w:sz w:val="22"/>
                <w:szCs w:val="22"/>
                <w:lang w:eastAsia="zh-CN" w:bidi="ar"/>
              </w:rPr>
              <w:t>合计</w:t>
            </w:r>
          </w:p>
        </w:tc>
        <w:tc>
          <w:tcPr>
            <w:tcW w:w="780"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63.77</w:t>
            </w:r>
          </w:p>
        </w:tc>
        <w:tc>
          <w:tcPr>
            <w:tcW w:w="843" w:type="dxa"/>
          </w:tcPr>
          <w:p>
            <w:pPr>
              <w:jc w:val="right"/>
              <w:textAlignment w:val="top"/>
            </w:pPr>
            <w:r>
              <w:rPr>
                <w:rFonts w:hint="eastAsia" w:ascii="Calibri" w:hAnsi="Calibri" w:eastAsia="宋体" w:cs="Calibri"/>
                <w:color w:val="000000"/>
                <w:sz w:val="22"/>
                <w:szCs w:val="22"/>
                <w:lang w:val="en-US" w:eastAsia="zh-CN" w:bidi="ar"/>
              </w:rPr>
              <w:t>63.77</w:t>
            </w:r>
          </w:p>
        </w:tc>
        <w:tc>
          <w:tcPr>
            <w:tcW w:w="1134" w:type="dxa"/>
          </w:tcPr>
          <w:p>
            <w:pPr>
              <w:jc w:val="right"/>
              <w:textAlignment w:val="top"/>
            </w:pPr>
            <w:r>
              <w:rPr>
                <w:rFonts w:hint="eastAsia" w:ascii="Calibri" w:hAnsi="Calibri" w:eastAsia="宋体" w:cs="Calibri"/>
                <w:color w:val="000000"/>
                <w:sz w:val="22"/>
                <w:szCs w:val="22"/>
                <w:lang w:val="en-US" w:eastAsia="zh-CN" w:bidi="ar"/>
              </w:rPr>
              <w:t>63.77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2</w:t>
            </w:r>
          </w:p>
        </w:tc>
        <w:tc>
          <w:tcPr>
            <w:tcW w:w="1086" w:type="dxa"/>
          </w:tcPr>
          <w:p>
            <w:pPr>
              <w:textAlignment w:val="top"/>
            </w:pPr>
            <w:r>
              <w:rPr>
                <w:rFonts w:ascii="Calibri" w:hAnsi="Calibri" w:eastAsia="宋体" w:cs="Calibri"/>
                <w:color w:val="000000"/>
                <w:sz w:val="22"/>
                <w:szCs w:val="22"/>
                <w:lang w:eastAsia="zh-CN" w:bidi="ar"/>
              </w:rPr>
              <w:t>201</w:t>
            </w:r>
          </w:p>
        </w:tc>
        <w:tc>
          <w:tcPr>
            <w:tcW w:w="2204" w:type="dxa"/>
          </w:tcPr>
          <w:p>
            <w:pPr>
              <w:textAlignment w:val="top"/>
            </w:pPr>
            <w:r>
              <w:rPr>
                <w:rFonts w:ascii="Calibri" w:hAnsi="Calibri" w:eastAsia="宋体" w:cs="Calibri"/>
                <w:color w:val="000000"/>
                <w:sz w:val="22"/>
                <w:szCs w:val="22"/>
                <w:lang w:eastAsia="zh-CN" w:bidi="ar"/>
              </w:rPr>
              <w:t>一般公共服务支出</w:t>
            </w:r>
          </w:p>
        </w:tc>
        <w:tc>
          <w:tcPr>
            <w:tcW w:w="780"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52.27</w:t>
            </w:r>
          </w:p>
        </w:tc>
        <w:tc>
          <w:tcPr>
            <w:tcW w:w="843" w:type="dxa"/>
          </w:tcPr>
          <w:p>
            <w:pPr>
              <w:jc w:val="right"/>
              <w:textAlignment w:val="top"/>
            </w:pPr>
            <w:r>
              <w:rPr>
                <w:rFonts w:hint="eastAsia" w:ascii="Calibri" w:hAnsi="Calibri" w:eastAsia="宋体" w:cs="Calibri"/>
                <w:color w:val="000000"/>
                <w:sz w:val="22"/>
                <w:szCs w:val="22"/>
                <w:lang w:val="en-US" w:eastAsia="zh-CN" w:bidi="ar"/>
              </w:rPr>
              <w:t>52.27</w:t>
            </w:r>
          </w:p>
        </w:tc>
        <w:tc>
          <w:tcPr>
            <w:tcW w:w="1134" w:type="dxa"/>
          </w:tcPr>
          <w:p>
            <w:pPr>
              <w:jc w:val="right"/>
              <w:textAlignment w:val="top"/>
            </w:pPr>
            <w:r>
              <w:rPr>
                <w:rFonts w:hint="eastAsia" w:ascii="Calibri" w:hAnsi="Calibri" w:eastAsia="宋体" w:cs="Calibri"/>
                <w:color w:val="000000"/>
                <w:sz w:val="22"/>
                <w:szCs w:val="22"/>
                <w:lang w:val="en-US" w:eastAsia="zh-CN" w:bidi="ar"/>
              </w:rPr>
              <w:t>52.27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3</w:t>
            </w:r>
          </w:p>
        </w:tc>
        <w:tc>
          <w:tcPr>
            <w:tcW w:w="1086" w:type="dxa"/>
          </w:tcPr>
          <w:p>
            <w:pPr>
              <w:textAlignment w:val="top"/>
            </w:pPr>
            <w:r>
              <w:rPr>
                <w:rFonts w:ascii="Calibri" w:hAnsi="Calibri" w:eastAsia="宋体" w:cs="Calibri"/>
                <w:color w:val="000000"/>
                <w:sz w:val="22"/>
                <w:szCs w:val="22"/>
                <w:lang w:eastAsia="zh-CN" w:bidi="ar"/>
              </w:rPr>
              <w:t>20136</w:t>
            </w:r>
          </w:p>
        </w:tc>
        <w:tc>
          <w:tcPr>
            <w:tcW w:w="2204" w:type="dxa"/>
          </w:tcPr>
          <w:p>
            <w:pPr>
              <w:textAlignment w:val="top"/>
            </w:pPr>
            <w:r>
              <w:rPr>
                <w:rFonts w:ascii="Calibri" w:hAnsi="Calibri" w:eastAsia="宋体" w:cs="Calibri"/>
                <w:color w:val="000000"/>
                <w:sz w:val="22"/>
                <w:szCs w:val="22"/>
                <w:lang w:eastAsia="zh-CN" w:bidi="ar"/>
              </w:rPr>
              <w:t>其他共产党事务支出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4</w:t>
            </w:r>
          </w:p>
        </w:tc>
        <w:tc>
          <w:tcPr>
            <w:tcW w:w="1086" w:type="dxa"/>
          </w:tcPr>
          <w:p>
            <w:pPr>
              <w:textAlignment w:val="top"/>
            </w:pPr>
            <w:r>
              <w:rPr>
                <w:rFonts w:ascii="Calibri" w:hAnsi="Calibri" w:eastAsia="宋体" w:cs="Calibri"/>
                <w:color w:val="000000"/>
                <w:sz w:val="22"/>
                <w:szCs w:val="22"/>
                <w:lang w:eastAsia="zh-CN" w:bidi="ar"/>
              </w:rPr>
              <w:t>2013601</w:t>
            </w:r>
          </w:p>
        </w:tc>
        <w:tc>
          <w:tcPr>
            <w:tcW w:w="2204" w:type="dxa"/>
          </w:tcPr>
          <w:p>
            <w:pPr>
              <w:textAlignment w:val="top"/>
            </w:pPr>
            <w:r>
              <w:rPr>
                <w:rFonts w:ascii="Calibri" w:hAnsi="Calibri" w:eastAsia="宋体" w:cs="Calibri"/>
                <w:color w:val="000000"/>
                <w:sz w:val="22"/>
                <w:szCs w:val="22"/>
                <w:lang w:eastAsia="zh-CN" w:bidi="ar"/>
              </w:rPr>
              <w:t>行政运行</w:t>
            </w:r>
          </w:p>
        </w:tc>
        <w:tc>
          <w:tcPr>
            <w:tcW w:w="780"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45.43</w:t>
            </w:r>
          </w:p>
        </w:tc>
        <w:tc>
          <w:tcPr>
            <w:tcW w:w="843" w:type="dxa"/>
          </w:tcPr>
          <w:p>
            <w:pPr>
              <w:jc w:val="right"/>
              <w:textAlignment w:val="top"/>
            </w:pPr>
            <w:r>
              <w:rPr>
                <w:rFonts w:hint="eastAsia" w:ascii="Calibri" w:hAnsi="Calibri" w:eastAsia="宋体" w:cs="Calibri"/>
                <w:color w:val="000000"/>
                <w:sz w:val="22"/>
                <w:szCs w:val="22"/>
                <w:lang w:val="en-US" w:eastAsia="zh-CN" w:bidi="ar"/>
              </w:rPr>
              <w:t>45.43</w:t>
            </w:r>
          </w:p>
        </w:tc>
        <w:tc>
          <w:tcPr>
            <w:tcW w:w="1134" w:type="dxa"/>
          </w:tcPr>
          <w:p>
            <w:pPr>
              <w:jc w:val="right"/>
              <w:textAlignment w:val="top"/>
            </w:pPr>
            <w:r>
              <w:rPr>
                <w:rFonts w:hint="eastAsia" w:ascii="Calibri" w:hAnsi="Calibri" w:eastAsia="宋体" w:cs="Calibri"/>
                <w:color w:val="000000"/>
                <w:sz w:val="22"/>
                <w:szCs w:val="22"/>
                <w:lang w:val="en-US" w:eastAsia="zh-CN" w:bidi="ar"/>
              </w:rPr>
              <w:t>45.43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5</w:t>
            </w:r>
          </w:p>
        </w:tc>
        <w:tc>
          <w:tcPr>
            <w:tcW w:w="1086" w:type="dxa"/>
          </w:tcPr>
          <w:p>
            <w:pPr>
              <w:textAlignment w:val="top"/>
            </w:pPr>
            <w:r>
              <w:rPr>
                <w:rFonts w:ascii="Calibri" w:hAnsi="Calibri" w:eastAsia="宋体" w:cs="Calibri"/>
                <w:color w:val="000000"/>
                <w:sz w:val="22"/>
                <w:szCs w:val="22"/>
                <w:lang w:eastAsia="zh-CN" w:bidi="ar"/>
              </w:rPr>
              <w:t>2013602</w:t>
            </w:r>
          </w:p>
        </w:tc>
        <w:tc>
          <w:tcPr>
            <w:tcW w:w="2204" w:type="dxa"/>
          </w:tcPr>
          <w:p>
            <w:pPr>
              <w:textAlignment w:val="top"/>
            </w:pPr>
            <w:r>
              <w:rPr>
                <w:rFonts w:ascii="Calibri" w:hAnsi="Calibri" w:eastAsia="宋体" w:cs="Calibri"/>
                <w:color w:val="000000"/>
                <w:sz w:val="22"/>
                <w:szCs w:val="22"/>
                <w:lang w:eastAsia="zh-CN" w:bidi="ar"/>
              </w:rPr>
              <w:t>一般行政管理事务</w:t>
            </w:r>
          </w:p>
        </w:tc>
        <w:tc>
          <w:tcPr>
            <w:tcW w:w="780"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6.84</w:t>
            </w:r>
          </w:p>
        </w:tc>
        <w:tc>
          <w:tcPr>
            <w:tcW w:w="843" w:type="dxa"/>
          </w:tcPr>
          <w:p>
            <w:pPr>
              <w:jc w:val="right"/>
              <w:textAlignment w:val="top"/>
            </w:pPr>
            <w:r>
              <w:rPr>
                <w:rFonts w:hint="eastAsia" w:ascii="Calibri" w:hAnsi="Calibri" w:eastAsia="宋体" w:cs="Calibri"/>
                <w:color w:val="000000"/>
                <w:sz w:val="22"/>
                <w:szCs w:val="22"/>
                <w:lang w:val="en-US" w:eastAsia="zh-CN" w:bidi="ar"/>
              </w:rPr>
              <w:t>6.84</w:t>
            </w:r>
          </w:p>
        </w:tc>
        <w:tc>
          <w:tcPr>
            <w:tcW w:w="1134" w:type="dxa"/>
          </w:tcPr>
          <w:p>
            <w:pPr>
              <w:jc w:val="right"/>
              <w:textAlignment w:val="top"/>
            </w:pPr>
            <w:r>
              <w:rPr>
                <w:rFonts w:hint="eastAsia" w:ascii="Calibri" w:hAnsi="Calibri" w:eastAsia="宋体" w:cs="Calibri"/>
                <w:color w:val="000000"/>
                <w:sz w:val="22"/>
                <w:szCs w:val="22"/>
                <w:lang w:val="en-US" w:eastAsia="zh-CN" w:bidi="ar"/>
              </w:rPr>
              <w:t>6.84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6</w:t>
            </w:r>
          </w:p>
        </w:tc>
        <w:tc>
          <w:tcPr>
            <w:tcW w:w="1086" w:type="dxa"/>
          </w:tcPr>
          <w:p>
            <w:pPr>
              <w:textAlignment w:val="top"/>
            </w:pPr>
            <w:r>
              <w:rPr>
                <w:rFonts w:ascii="Calibri" w:hAnsi="Calibri" w:eastAsia="宋体" w:cs="Calibri"/>
                <w:color w:val="000000"/>
                <w:sz w:val="22"/>
                <w:szCs w:val="22"/>
                <w:lang w:eastAsia="zh-CN" w:bidi="ar"/>
              </w:rPr>
              <w:t>208</w:t>
            </w:r>
          </w:p>
        </w:tc>
        <w:tc>
          <w:tcPr>
            <w:tcW w:w="2204" w:type="dxa"/>
          </w:tcPr>
          <w:p>
            <w:pPr>
              <w:textAlignment w:val="top"/>
            </w:pPr>
            <w:r>
              <w:rPr>
                <w:rFonts w:ascii="Calibri" w:hAnsi="Calibri" w:eastAsia="宋体" w:cs="Calibri"/>
                <w:color w:val="000000"/>
                <w:sz w:val="22"/>
                <w:szCs w:val="22"/>
                <w:lang w:eastAsia="zh-CN" w:bidi="ar"/>
              </w:rPr>
              <w:t>社会保障和就业支出</w:t>
            </w:r>
          </w:p>
        </w:tc>
        <w:tc>
          <w:tcPr>
            <w:tcW w:w="780"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5.68</w:t>
            </w:r>
          </w:p>
        </w:tc>
        <w:tc>
          <w:tcPr>
            <w:tcW w:w="843" w:type="dxa"/>
          </w:tcPr>
          <w:p>
            <w:pPr>
              <w:jc w:val="right"/>
              <w:textAlignment w:val="top"/>
            </w:pPr>
            <w:r>
              <w:rPr>
                <w:rFonts w:hint="eastAsia" w:ascii="Calibri" w:hAnsi="Calibri" w:eastAsia="宋体" w:cs="Calibri"/>
                <w:color w:val="000000"/>
                <w:sz w:val="22"/>
                <w:szCs w:val="22"/>
                <w:lang w:val="en-US" w:eastAsia="zh-CN" w:bidi="ar"/>
              </w:rPr>
              <w:t>5.68</w:t>
            </w:r>
          </w:p>
        </w:tc>
        <w:tc>
          <w:tcPr>
            <w:tcW w:w="1134" w:type="dxa"/>
          </w:tcPr>
          <w:p>
            <w:pPr>
              <w:jc w:val="right"/>
              <w:textAlignment w:val="top"/>
            </w:pPr>
            <w:r>
              <w:rPr>
                <w:rFonts w:hint="eastAsia" w:ascii="Calibri" w:hAnsi="Calibri" w:eastAsia="宋体" w:cs="Calibri"/>
                <w:color w:val="000000"/>
                <w:sz w:val="22"/>
                <w:szCs w:val="22"/>
                <w:lang w:val="en-US" w:eastAsia="zh-CN" w:bidi="ar"/>
              </w:rPr>
              <w:t>5.68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7</w:t>
            </w:r>
          </w:p>
        </w:tc>
        <w:tc>
          <w:tcPr>
            <w:tcW w:w="1086" w:type="dxa"/>
          </w:tcPr>
          <w:p>
            <w:pPr>
              <w:textAlignment w:val="top"/>
            </w:pPr>
            <w:r>
              <w:rPr>
                <w:rFonts w:ascii="Calibri" w:hAnsi="Calibri" w:eastAsia="宋体" w:cs="Calibri"/>
                <w:color w:val="000000"/>
                <w:sz w:val="22"/>
                <w:szCs w:val="22"/>
                <w:lang w:eastAsia="zh-CN" w:bidi="ar"/>
              </w:rPr>
              <w:t>20805</w:t>
            </w:r>
          </w:p>
        </w:tc>
        <w:tc>
          <w:tcPr>
            <w:tcW w:w="2204" w:type="dxa"/>
          </w:tcPr>
          <w:p>
            <w:pPr>
              <w:textAlignment w:val="top"/>
            </w:pPr>
            <w:r>
              <w:rPr>
                <w:rFonts w:ascii="Calibri" w:hAnsi="Calibri" w:eastAsia="宋体" w:cs="Calibri"/>
                <w:color w:val="000000"/>
                <w:sz w:val="22"/>
                <w:szCs w:val="22"/>
                <w:lang w:eastAsia="zh-CN" w:bidi="ar"/>
              </w:rPr>
              <w:t>行政事业单位养老支出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8</w:t>
            </w:r>
          </w:p>
        </w:tc>
        <w:tc>
          <w:tcPr>
            <w:tcW w:w="1086" w:type="dxa"/>
          </w:tcPr>
          <w:p>
            <w:pPr>
              <w:textAlignment w:val="top"/>
            </w:pPr>
            <w:r>
              <w:rPr>
                <w:rFonts w:ascii="Calibri" w:hAnsi="Calibri" w:eastAsia="宋体" w:cs="Calibri"/>
                <w:color w:val="000000"/>
                <w:sz w:val="22"/>
                <w:szCs w:val="22"/>
                <w:lang w:eastAsia="zh-CN" w:bidi="ar"/>
              </w:rPr>
              <w:t>2080505</w:t>
            </w:r>
          </w:p>
        </w:tc>
        <w:tc>
          <w:tcPr>
            <w:tcW w:w="2204" w:type="dxa"/>
          </w:tcPr>
          <w:p>
            <w:pPr>
              <w:textAlignment w:val="top"/>
            </w:pPr>
            <w:r>
              <w:rPr>
                <w:rFonts w:ascii="Calibri" w:hAnsi="Calibri" w:eastAsia="宋体" w:cs="Calibri"/>
                <w:color w:val="000000"/>
                <w:sz w:val="22"/>
                <w:szCs w:val="22"/>
                <w:lang w:eastAsia="zh-CN" w:bidi="ar"/>
              </w:rPr>
              <w:t>机关事业单位基本养老保险缴费支出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9</w:t>
            </w:r>
          </w:p>
        </w:tc>
        <w:tc>
          <w:tcPr>
            <w:tcW w:w="1086" w:type="dxa"/>
          </w:tcPr>
          <w:p>
            <w:pPr>
              <w:textAlignment w:val="top"/>
            </w:pPr>
            <w:r>
              <w:rPr>
                <w:rFonts w:ascii="Calibri" w:hAnsi="Calibri" w:eastAsia="宋体" w:cs="Calibri"/>
                <w:color w:val="000000"/>
                <w:sz w:val="22"/>
                <w:szCs w:val="22"/>
                <w:lang w:eastAsia="zh-CN" w:bidi="ar"/>
              </w:rPr>
              <w:t>210</w:t>
            </w:r>
          </w:p>
        </w:tc>
        <w:tc>
          <w:tcPr>
            <w:tcW w:w="2204" w:type="dxa"/>
          </w:tcPr>
          <w:p>
            <w:pPr>
              <w:textAlignment w:val="top"/>
            </w:pPr>
            <w:r>
              <w:rPr>
                <w:rFonts w:ascii="Calibri" w:hAnsi="Calibri" w:eastAsia="宋体" w:cs="Calibri"/>
                <w:color w:val="000000"/>
                <w:sz w:val="22"/>
                <w:szCs w:val="22"/>
                <w:lang w:eastAsia="zh-CN" w:bidi="ar"/>
              </w:rPr>
              <w:t>卫生健康支出</w:t>
            </w:r>
          </w:p>
        </w:tc>
        <w:tc>
          <w:tcPr>
            <w:tcW w:w="780"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2.27</w:t>
            </w:r>
          </w:p>
        </w:tc>
        <w:tc>
          <w:tcPr>
            <w:tcW w:w="843" w:type="dxa"/>
          </w:tcPr>
          <w:p>
            <w:pPr>
              <w:jc w:val="right"/>
              <w:textAlignment w:val="top"/>
            </w:pPr>
            <w:r>
              <w:rPr>
                <w:rFonts w:hint="eastAsia" w:ascii="Calibri" w:hAnsi="Calibri" w:eastAsia="宋体" w:cs="Calibri"/>
                <w:color w:val="000000"/>
                <w:sz w:val="22"/>
                <w:szCs w:val="22"/>
                <w:lang w:val="en-US" w:eastAsia="zh-CN" w:bidi="ar"/>
              </w:rPr>
              <w:t>2.27</w:t>
            </w:r>
          </w:p>
        </w:tc>
        <w:tc>
          <w:tcPr>
            <w:tcW w:w="1134" w:type="dxa"/>
          </w:tcPr>
          <w:p>
            <w:pPr>
              <w:jc w:val="right"/>
              <w:textAlignment w:val="top"/>
            </w:pPr>
            <w:r>
              <w:rPr>
                <w:rFonts w:hint="eastAsia" w:ascii="Calibri" w:hAnsi="Calibri" w:eastAsia="宋体" w:cs="Calibri"/>
                <w:color w:val="000000"/>
                <w:sz w:val="22"/>
                <w:szCs w:val="22"/>
                <w:lang w:val="en-US" w:eastAsia="zh-CN" w:bidi="ar"/>
              </w:rPr>
              <w:t>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10</w:t>
            </w:r>
          </w:p>
        </w:tc>
        <w:tc>
          <w:tcPr>
            <w:tcW w:w="1086" w:type="dxa"/>
          </w:tcPr>
          <w:p>
            <w:pPr>
              <w:textAlignment w:val="top"/>
            </w:pPr>
            <w:r>
              <w:rPr>
                <w:rFonts w:ascii="Calibri" w:hAnsi="Calibri" w:eastAsia="宋体" w:cs="Calibri"/>
                <w:color w:val="000000"/>
                <w:sz w:val="22"/>
                <w:szCs w:val="22"/>
                <w:lang w:eastAsia="zh-CN" w:bidi="ar"/>
              </w:rPr>
              <w:t>21011</w:t>
            </w:r>
          </w:p>
        </w:tc>
        <w:tc>
          <w:tcPr>
            <w:tcW w:w="2204" w:type="dxa"/>
          </w:tcPr>
          <w:p>
            <w:pPr>
              <w:textAlignment w:val="top"/>
            </w:pPr>
            <w:r>
              <w:rPr>
                <w:rFonts w:ascii="Calibri" w:hAnsi="Calibri" w:eastAsia="宋体" w:cs="Calibri"/>
                <w:color w:val="000000"/>
                <w:sz w:val="22"/>
                <w:szCs w:val="22"/>
                <w:lang w:eastAsia="zh-CN" w:bidi="ar"/>
              </w:rPr>
              <w:t>行政事业单位医疗</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11</w:t>
            </w:r>
          </w:p>
        </w:tc>
        <w:tc>
          <w:tcPr>
            <w:tcW w:w="1086" w:type="dxa"/>
          </w:tcPr>
          <w:p>
            <w:pPr>
              <w:textAlignment w:val="top"/>
            </w:pPr>
            <w:r>
              <w:rPr>
                <w:rFonts w:ascii="Calibri" w:hAnsi="Calibri" w:eastAsia="宋体" w:cs="Calibri"/>
                <w:color w:val="000000"/>
                <w:sz w:val="22"/>
                <w:szCs w:val="22"/>
                <w:lang w:eastAsia="zh-CN" w:bidi="ar"/>
              </w:rPr>
              <w:t>2101101</w:t>
            </w:r>
          </w:p>
        </w:tc>
        <w:tc>
          <w:tcPr>
            <w:tcW w:w="2204" w:type="dxa"/>
          </w:tcPr>
          <w:p>
            <w:pPr>
              <w:textAlignment w:val="top"/>
            </w:pPr>
            <w:r>
              <w:rPr>
                <w:rFonts w:ascii="Calibri" w:hAnsi="Calibri" w:eastAsia="宋体" w:cs="Calibri"/>
                <w:color w:val="000000"/>
                <w:sz w:val="22"/>
                <w:szCs w:val="22"/>
                <w:lang w:eastAsia="zh-CN" w:bidi="ar"/>
              </w:rPr>
              <w:t>行政单位医疗</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12</w:t>
            </w:r>
          </w:p>
        </w:tc>
        <w:tc>
          <w:tcPr>
            <w:tcW w:w="1086" w:type="dxa"/>
          </w:tcPr>
          <w:p>
            <w:pPr>
              <w:textAlignment w:val="top"/>
            </w:pPr>
            <w:r>
              <w:rPr>
                <w:rFonts w:ascii="Calibri" w:hAnsi="Calibri" w:eastAsia="宋体" w:cs="Calibri"/>
                <w:color w:val="000000"/>
                <w:sz w:val="22"/>
                <w:szCs w:val="22"/>
                <w:lang w:eastAsia="zh-CN" w:bidi="ar"/>
              </w:rPr>
              <w:t>221</w:t>
            </w:r>
          </w:p>
        </w:tc>
        <w:tc>
          <w:tcPr>
            <w:tcW w:w="2204" w:type="dxa"/>
          </w:tcPr>
          <w:p>
            <w:pPr>
              <w:textAlignment w:val="top"/>
            </w:pPr>
            <w:r>
              <w:rPr>
                <w:rFonts w:ascii="Calibri" w:hAnsi="Calibri" w:eastAsia="宋体" w:cs="Calibri"/>
                <w:color w:val="000000"/>
                <w:sz w:val="22"/>
                <w:szCs w:val="22"/>
                <w:lang w:eastAsia="zh-CN" w:bidi="ar"/>
              </w:rPr>
              <w:t>住房保障支出</w:t>
            </w:r>
          </w:p>
        </w:tc>
        <w:tc>
          <w:tcPr>
            <w:tcW w:w="780"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3.55</w:t>
            </w:r>
          </w:p>
        </w:tc>
        <w:tc>
          <w:tcPr>
            <w:tcW w:w="843" w:type="dxa"/>
          </w:tcPr>
          <w:p>
            <w:pPr>
              <w:jc w:val="right"/>
              <w:textAlignment w:val="top"/>
            </w:pPr>
            <w:r>
              <w:rPr>
                <w:rFonts w:hint="eastAsia" w:ascii="Calibri" w:hAnsi="Calibri" w:eastAsia="宋体" w:cs="Calibri"/>
                <w:color w:val="000000"/>
                <w:sz w:val="22"/>
                <w:szCs w:val="22"/>
                <w:lang w:val="en-US" w:eastAsia="zh-CN" w:bidi="ar"/>
              </w:rPr>
              <w:t>3.55</w:t>
            </w:r>
          </w:p>
        </w:tc>
        <w:tc>
          <w:tcPr>
            <w:tcW w:w="1134" w:type="dxa"/>
          </w:tcPr>
          <w:p>
            <w:pPr>
              <w:jc w:val="right"/>
              <w:textAlignment w:val="top"/>
            </w:pPr>
            <w:r>
              <w:rPr>
                <w:rFonts w:hint="eastAsia" w:ascii="Calibri" w:hAnsi="Calibri" w:eastAsia="宋体" w:cs="Calibri"/>
                <w:color w:val="000000"/>
                <w:sz w:val="22"/>
                <w:szCs w:val="22"/>
                <w:lang w:val="en-US" w:eastAsia="zh-CN" w:bidi="ar"/>
              </w:rPr>
              <w:t>3.55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13</w:t>
            </w:r>
          </w:p>
        </w:tc>
        <w:tc>
          <w:tcPr>
            <w:tcW w:w="1086" w:type="dxa"/>
          </w:tcPr>
          <w:p>
            <w:pPr>
              <w:textAlignment w:val="top"/>
            </w:pPr>
            <w:r>
              <w:rPr>
                <w:rFonts w:ascii="Calibri" w:hAnsi="Calibri" w:eastAsia="宋体" w:cs="Calibri"/>
                <w:color w:val="000000"/>
                <w:sz w:val="22"/>
                <w:szCs w:val="22"/>
                <w:lang w:eastAsia="zh-CN" w:bidi="ar"/>
              </w:rPr>
              <w:t>22102</w:t>
            </w:r>
          </w:p>
        </w:tc>
        <w:tc>
          <w:tcPr>
            <w:tcW w:w="2204" w:type="dxa"/>
          </w:tcPr>
          <w:p>
            <w:pPr>
              <w:textAlignment w:val="top"/>
            </w:pPr>
            <w:r>
              <w:rPr>
                <w:rFonts w:ascii="Calibri" w:hAnsi="Calibri" w:eastAsia="宋体" w:cs="Calibri"/>
                <w:color w:val="000000"/>
                <w:sz w:val="22"/>
                <w:szCs w:val="22"/>
                <w:lang w:eastAsia="zh-CN" w:bidi="ar"/>
              </w:rPr>
              <w:t>住房改革支出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center"/>
          </w:tcPr>
          <w:p>
            <w:pPr>
              <w:pStyle w:val="19"/>
              <w:rPr>
                <w:lang w:eastAsia="zh-CN"/>
              </w:rPr>
            </w:pPr>
            <w:r>
              <w:rPr>
                <w:rFonts w:hint="eastAsia"/>
                <w:lang w:eastAsia="zh-CN"/>
              </w:rPr>
              <w:t>14</w:t>
            </w:r>
          </w:p>
        </w:tc>
        <w:tc>
          <w:tcPr>
            <w:tcW w:w="1086" w:type="dxa"/>
            <w:vAlign w:val="center"/>
          </w:tcPr>
          <w:p>
            <w:pPr>
              <w:pStyle w:val="18"/>
              <w:rPr>
                <w:rFonts w:asciiTheme="majorHAnsi" w:hAnsiTheme="majorHAnsi"/>
                <w:sz w:val="22"/>
                <w:szCs w:val="22"/>
                <w:lang w:eastAsia="zh-CN"/>
              </w:rPr>
            </w:pPr>
            <w:r>
              <w:rPr>
                <w:rFonts w:ascii="Calibri" w:hAnsi="Calibri" w:eastAsia="宋体" w:cs="Calibri"/>
                <w:color w:val="000000"/>
                <w:sz w:val="22"/>
                <w:szCs w:val="22"/>
                <w:lang w:eastAsia="zh-CN" w:bidi="ar"/>
              </w:rPr>
              <w:t>2210201</w:t>
            </w:r>
          </w:p>
        </w:tc>
        <w:tc>
          <w:tcPr>
            <w:tcW w:w="2204" w:type="dxa"/>
            <w:vAlign w:val="center"/>
          </w:tcPr>
          <w:p>
            <w:pPr>
              <w:pStyle w:val="18"/>
              <w:rPr>
                <w:lang w:eastAsia="zh-CN"/>
              </w:rPr>
            </w:pPr>
            <w:r>
              <w:rPr>
                <w:rFonts w:hint="eastAsia"/>
                <w:lang w:eastAsia="zh-CN"/>
              </w:rPr>
              <w:t>住房公积金</w:t>
            </w:r>
          </w:p>
        </w:tc>
        <w:tc>
          <w:tcPr>
            <w:tcW w:w="780" w:type="dxa"/>
            <w:vAlign w:val="top"/>
          </w:tcPr>
          <w:p>
            <w:pPr>
              <w:jc w:val="right"/>
              <w:textAlignment w:val="top"/>
              <w:rPr>
                <w:rFonts w:eastAsia="宋体"/>
                <w:lang w:eastAsia="zh-CN"/>
              </w:rPr>
            </w:pPr>
            <w:r>
              <w:rPr>
                <w:rFonts w:hint="eastAsia" w:ascii="Calibri" w:hAnsi="Calibri" w:eastAsia="宋体" w:cs="Calibri"/>
                <w:color w:val="000000"/>
                <w:sz w:val="22"/>
                <w:szCs w:val="22"/>
                <w:lang w:val="en-US" w:eastAsia="zh-CN" w:bidi="ar"/>
              </w:rPr>
              <w:t>3.55</w:t>
            </w:r>
          </w:p>
        </w:tc>
        <w:tc>
          <w:tcPr>
            <w:tcW w:w="843" w:type="dxa"/>
            <w:vAlign w:val="top"/>
          </w:tcPr>
          <w:p>
            <w:pPr>
              <w:jc w:val="right"/>
              <w:textAlignment w:val="top"/>
              <w:rPr>
                <w:rFonts w:eastAsia="宋体"/>
                <w:lang w:eastAsia="zh-CN"/>
              </w:rPr>
            </w:pPr>
            <w:r>
              <w:rPr>
                <w:rFonts w:hint="eastAsia" w:ascii="Calibri" w:hAnsi="Calibri" w:eastAsia="宋体" w:cs="Calibri"/>
                <w:color w:val="000000"/>
                <w:sz w:val="22"/>
                <w:szCs w:val="22"/>
                <w:lang w:val="en-US" w:eastAsia="zh-CN" w:bidi="ar"/>
              </w:rPr>
              <w:t>3.55</w:t>
            </w:r>
          </w:p>
        </w:tc>
        <w:tc>
          <w:tcPr>
            <w:tcW w:w="1134" w:type="dxa"/>
            <w:vAlign w:val="top"/>
          </w:tcPr>
          <w:p>
            <w:pPr>
              <w:jc w:val="right"/>
              <w:textAlignment w:val="top"/>
              <w:rPr>
                <w:rFonts w:eastAsia="宋体"/>
                <w:lang w:eastAsia="zh-CN"/>
              </w:rPr>
            </w:pPr>
            <w:r>
              <w:rPr>
                <w:rFonts w:hint="eastAsia" w:ascii="Calibri" w:hAnsi="Calibri" w:eastAsia="宋体" w:cs="Calibri"/>
                <w:color w:val="000000"/>
                <w:sz w:val="22"/>
                <w:szCs w:val="22"/>
                <w:lang w:val="en-US" w:eastAsia="zh-CN" w:bidi="ar"/>
              </w:rPr>
              <w:t>3.55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bookmarkStart w:id="2" w:name="_Toc15519"/>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12"/>
        <w:gridCol w:w="431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sz w:val="28"/>
                <w:szCs w:val="28"/>
              </w:rPr>
              <w:t>3</w:t>
            </w:r>
            <w:r>
              <w:rPr>
                <w:rFonts w:hint="eastAsia"/>
                <w:sz w:val="28"/>
                <w:szCs w:val="28"/>
                <w:lang w:eastAsia="zh-CN"/>
              </w:rPr>
              <w:t>82中共涞水</w:t>
            </w:r>
            <w:r>
              <w:rPr>
                <w:sz w:val="28"/>
                <w:szCs w:val="28"/>
              </w:rPr>
              <w:t>县</w:t>
            </w:r>
            <w:r>
              <w:rPr>
                <w:rFonts w:hint="eastAsia"/>
                <w:sz w:val="28"/>
                <w:szCs w:val="28"/>
                <w:lang w:eastAsia="zh-CN"/>
              </w:rPr>
              <w:t>委机构编制委员会办公室</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12" w:type="dxa"/>
            <w:vAlign w:val="center"/>
          </w:tcPr>
          <w:p>
            <w:pPr>
              <w:pStyle w:val="16"/>
            </w:pPr>
            <w:r>
              <w:t>科目    编码</w:t>
            </w:r>
          </w:p>
        </w:tc>
        <w:tc>
          <w:tcPr>
            <w:tcW w:w="431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212" w:type="dxa"/>
            <w:vAlign w:val="center"/>
          </w:tcPr>
          <w:p>
            <w:pPr>
              <w:pStyle w:val="16"/>
            </w:pPr>
            <w:r>
              <w:t>1</w:t>
            </w:r>
          </w:p>
        </w:tc>
        <w:tc>
          <w:tcPr>
            <w:tcW w:w="431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212" w:type="dxa"/>
          </w:tcPr>
          <w:p/>
        </w:tc>
        <w:tc>
          <w:tcPr>
            <w:tcW w:w="4316" w:type="dxa"/>
          </w:tcPr>
          <w:p>
            <w:pPr>
              <w:textAlignment w:val="top"/>
            </w:pPr>
            <w:r>
              <w:rPr>
                <w:rFonts w:ascii="Calibri" w:hAnsi="Calibri" w:eastAsia="宋体" w:cs="Calibri"/>
                <w:color w:val="000000"/>
                <w:sz w:val="22"/>
                <w:szCs w:val="22"/>
                <w:lang w:eastAsia="zh-CN" w:bidi="ar"/>
              </w:rPr>
              <w:t>合计</w:t>
            </w:r>
          </w:p>
        </w:tc>
        <w:tc>
          <w:tcPr>
            <w:tcW w:w="136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63.77</w:t>
            </w:r>
          </w:p>
        </w:tc>
        <w:tc>
          <w:tcPr>
            <w:tcW w:w="136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56.93</w:t>
            </w:r>
          </w:p>
        </w:tc>
        <w:tc>
          <w:tcPr>
            <w:tcW w:w="136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6.84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212" w:type="dxa"/>
          </w:tcPr>
          <w:p>
            <w:pPr>
              <w:textAlignment w:val="top"/>
            </w:pPr>
            <w:r>
              <w:rPr>
                <w:rFonts w:ascii="Calibri" w:hAnsi="Calibri" w:eastAsia="宋体" w:cs="Calibri"/>
                <w:color w:val="000000"/>
                <w:sz w:val="22"/>
                <w:szCs w:val="22"/>
                <w:lang w:eastAsia="zh-CN" w:bidi="ar"/>
              </w:rPr>
              <w:t>201</w:t>
            </w:r>
          </w:p>
        </w:tc>
        <w:tc>
          <w:tcPr>
            <w:tcW w:w="4316" w:type="dxa"/>
          </w:tcPr>
          <w:p>
            <w:pPr>
              <w:textAlignment w:val="top"/>
            </w:pPr>
            <w:r>
              <w:rPr>
                <w:rFonts w:ascii="Calibri" w:hAnsi="Calibri" w:eastAsia="宋体" w:cs="Calibri"/>
                <w:color w:val="000000"/>
                <w:sz w:val="22"/>
                <w:szCs w:val="22"/>
                <w:lang w:eastAsia="zh-CN" w:bidi="ar"/>
              </w:rPr>
              <w:t>一般公共服务支出</w:t>
            </w:r>
          </w:p>
        </w:tc>
        <w:tc>
          <w:tcPr>
            <w:tcW w:w="136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52.27</w:t>
            </w:r>
          </w:p>
        </w:tc>
        <w:tc>
          <w:tcPr>
            <w:tcW w:w="136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45.43</w:t>
            </w:r>
          </w:p>
        </w:tc>
        <w:tc>
          <w:tcPr>
            <w:tcW w:w="136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6.84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212" w:type="dxa"/>
          </w:tcPr>
          <w:p>
            <w:pPr>
              <w:textAlignment w:val="top"/>
            </w:pPr>
            <w:r>
              <w:rPr>
                <w:rFonts w:ascii="Calibri" w:hAnsi="Calibri" w:eastAsia="宋体" w:cs="Calibri"/>
                <w:color w:val="000000"/>
                <w:sz w:val="22"/>
                <w:szCs w:val="22"/>
                <w:lang w:eastAsia="zh-CN" w:bidi="ar"/>
              </w:rPr>
              <w:t>20136</w:t>
            </w:r>
          </w:p>
        </w:tc>
        <w:tc>
          <w:tcPr>
            <w:tcW w:w="4316" w:type="dxa"/>
          </w:tcPr>
          <w:p>
            <w:pPr>
              <w:textAlignment w:val="top"/>
            </w:pPr>
            <w:r>
              <w:rPr>
                <w:rFonts w:ascii="Calibri" w:hAnsi="Calibri" w:eastAsia="宋体" w:cs="Calibri"/>
                <w:color w:val="000000"/>
                <w:sz w:val="22"/>
                <w:szCs w:val="22"/>
                <w:lang w:eastAsia="zh-CN" w:bidi="ar"/>
              </w:rPr>
              <w:t>其他共产党事务支出</w:t>
            </w:r>
          </w:p>
        </w:tc>
        <w:tc>
          <w:tcPr>
            <w:tcW w:w="1361" w:type="dxa"/>
          </w:tcPr>
          <w:p>
            <w:pPr>
              <w:jc w:val="right"/>
              <w:textAlignment w:val="top"/>
              <w:rPr>
                <w:rFonts w:hint="default" w:ascii="方正书宋_GBK" w:hAnsi="方正书宋_GBK" w:eastAsia="方正书宋_GBK" w:cs="方正书宋_GBK"/>
                <w:sz w:val="21"/>
                <w:lang w:val="en-US" w:eastAsia="zh-CN"/>
              </w:rPr>
            </w:pPr>
            <w:r>
              <w:rPr>
                <w:rFonts w:hint="eastAsia" w:ascii="Calibri" w:hAnsi="Calibri" w:eastAsia="宋体" w:cs="Calibri"/>
                <w:color w:val="000000"/>
                <w:sz w:val="22"/>
                <w:szCs w:val="22"/>
                <w:lang w:val="en-US" w:eastAsia="zh-CN" w:bidi="ar"/>
              </w:rPr>
              <w:t>52.27</w:t>
            </w:r>
          </w:p>
        </w:tc>
        <w:tc>
          <w:tcPr>
            <w:tcW w:w="1361" w:type="dxa"/>
          </w:tcPr>
          <w:p>
            <w:pPr>
              <w:jc w:val="right"/>
              <w:textAlignment w:val="top"/>
              <w:rPr>
                <w:rFonts w:hint="default" w:ascii="方正书宋_GBK" w:hAnsi="方正书宋_GBK" w:eastAsia="方正书宋_GBK" w:cs="方正书宋_GBK"/>
                <w:sz w:val="21"/>
                <w:lang w:val="en-US" w:eastAsia="zh-CN"/>
              </w:rPr>
            </w:pPr>
            <w:r>
              <w:rPr>
                <w:rFonts w:hint="eastAsia" w:ascii="Calibri" w:hAnsi="Calibri" w:eastAsia="宋体" w:cs="Calibri"/>
                <w:color w:val="000000"/>
                <w:sz w:val="22"/>
                <w:szCs w:val="22"/>
                <w:lang w:val="en-US" w:eastAsia="zh-CN" w:bidi="ar"/>
              </w:rPr>
              <w:t>45.43</w:t>
            </w:r>
          </w:p>
        </w:tc>
        <w:tc>
          <w:tcPr>
            <w:tcW w:w="1361" w:type="dxa"/>
          </w:tcPr>
          <w:p>
            <w:pPr>
              <w:jc w:val="right"/>
              <w:textAlignment w:val="top"/>
              <w:rPr>
                <w:rFonts w:hint="default" w:ascii="方正书宋_GBK" w:hAnsi="方正书宋_GBK" w:eastAsia="方正书宋_GBK" w:cs="方正书宋_GBK"/>
                <w:sz w:val="21"/>
                <w:lang w:val="en-US" w:eastAsia="zh-CN"/>
              </w:rPr>
            </w:pPr>
            <w:r>
              <w:rPr>
                <w:rFonts w:hint="eastAsia" w:ascii="Calibri" w:hAnsi="Calibri" w:eastAsia="宋体" w:cs="Calibri"/>
                <w:color w:val="000000"/>
                <w:sz w:val="22"/>
                <w:szCs w:val="22"/>
                <w:lang w:val="en-US" w:eastAsia="zh-CN" w:bidi="ar"/>
              </w:rPr>
              <w:t>6.84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212" w:type="dxa"/>
          </w:tcPr>
          <w:p>
            <w:pPr>
              <w:textAlignment w:val="top"/>
            </w:pPr>
            <w:r>
              <w:rPr>
                <w:rFonts w:ascii="Calibri" w:hAnsi="Calibri" w:eastAsia="宋体" w:cs="Calibri"/>
                <w:color w:val="000000"/>
                <w:sz w:val="22"/>
                <w:szCs w:val="22"/>
                <w:lang w:eastAsia="zh-CN" w:bidi="ar"/>
              </w:rPr>
              <w:t>2013601</w:t>
            </w:r>
          </w:p>
        </w:tc>
        <w:tc>
          <w:tcPr>
            <w:tcW w:w="4316" w:type="dxa"/>
          </w:tcPr>
          <w:p>
            <w:pPr>
              <w:textAlignment w:val="top"/>
            </w:pPr>
            <w:r>
              <w:rPr>
                <w:rFonts w:ascii="Calibri" w:hAnsi="Calibri" w:eastAsia="宋体" w:cs="Calibri"/>
                <w:color w:val="000000"/>
                <w:sz w:val="22"/>
                <w:szCs w:val="22"/>
                <w:lang w:eastAsia="zh-CN" w:bidi="ar"/>
              </w:rPr>
              <w:t>行政运行</w:t>
            </w:r>
          </w:p>
        </w:tc>
        <w:tc>
          <w:tcPr>
            <w:tcW w:w="136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45.43</w:t>
            </w:r>
          </w:p>
        </w:tc>
        <w:tc>
          <w:tcPr>
            <w:tcW w:w="136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45.43</w:t>
            </w:r>
          </w:p>
        </w:tc>
        <w:tc>
          <w:tcPr>
            <w:tcW w:w="1361" w:type="dxa"/>
          </w:tcPr>
          <w:p>
            <w:pPr>
              <w:jc w:val="right"/>
              <w:rPr>
                <w:rFonts w:hint="default" w:eastAsia="宋体"/>
                <w:lang w:val="en-US" w:eastAsia="zh-CN"/>
              </w:rPr>
            </w:pPr>
            <w:r>
              <w:rPr>
                <w:rFonts w:hint="eastAsia" w:eastAsia="宋体"/>
                <w:lang w:val="en-US" w:eastAsia="zh-CN"/>
              </w:rPr>
              <w:t>0.00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212" w:type="dxa"/>
          </w:tcPr>
          <w:p>
            <w:pPr>
              <w:textAlignment w:val="top"/>
            </w:pPr>
            <w:r>
              <w:rPr>
                <w:rFonts w:ascii="Calibri" w:hAnsi="Calibri" w:eastAsia="宋体" w:cs="Calibri"/>
                <w:color w:val="000000"/>
                <w:sz w:val="22"/>
                <w:szCs w:val="22"/>
                <w:lang w:eastAsia="zh-CN" w:bidi="ar"/>
              </w:rPr>
              <w:t>2013602</w:t>
            </w:r>
          </w:p>
        </w:tc>
        <w:tc>
          <w:tcPr>
            <w:tcW w:w="4316" w:type="dxa"/>
          </w:tcPr>
          <w:p>
            <w:pPr>
              <w:textAlignment w:val="top"/>
            </w:pPr>
            <w:r>
              <w:rPr>
                <w:rFonts w:ascii="Calibri" w:hAnsi="Calibri" w:eastAsia="宋体" w:cs="Calibri"/>
                <w:color w:val="000000"/>
                <w:sz w:val="22"/>
                <w:szCs w:val="22"/>
                <w:lang w:eastAsia="zh-CN" w:bidi="ar"/>
              </w:rPr>
              <w:t>一般行政管理事务</w:t>
            </w:r>
          </w:p>
        </w:tc>
        <w:tc>
          <w:tcPr>
            <w:tcW w:w="136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6.84</w:t>
            </w:r>
          </w:p>
        </w:tc>
        <w:tc>
          <w:tcPr>
            <w:tcW w:w="1361" w:type="dxa"/>
          </w:tcPr>
          <w:p>
            <w:pPr>
              <w:jc w:val="right"/>
            </w:pPr>
          </w:p>
        </w:tc>
        <w:tc>
          <w:tcPr>
            <w:tcW w:w="136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6.84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212" w:type="dxa"/>
          </w:tcPr>
          <w:p>
            <w:pPr>
              <w:textAlignment w:val="top"/>
            </w:pPr>
            <w:r>
              <w:rPr>
                <w:rFonts w:ascii="Calibri" w:hAnsi="Calibri" w:eastAsia="宋体" w:cs="Calibri"/>
                <w:color w:val="000000"/>
                <w:sz w:val="22"/>
                <w:szCs w:val="22"/>
                <w:lang w:eastAsia="zh-CN" w:bidi="ar"/>
              </w:rPr>
              <w:t>208</w:t>
            </w:r>
          </w:p>
        </w:tc>
        <w:tc>
          <w:tcPr>
            <w:tcW w:w="4316" w:type="dxa"/>
          </w:tcPr>
          <w:p>
            <w:pPr>
              <w:textAlignment w:val="top"/>
            </w:pPr>
            <w:r>
              <w:rPr>
                <w:rFonts w:ascii="Calibri" w:hAnsi="Calibri" w:eastAsia="宋体" w:cs="Calibri"/>
                <w:color w:val="000000"/>
                <w:sz w:val="22"/>
                <w:szCs w:val="22"/>
                <w:lang w:eastAsia="zh-CN" w:bidi="ar"/>
              </w:rPr>
              <w:t>社会保障和就业支出</w:t>
            </w:r>
          </w:p>
        </w:tc>
        <w:tc>
          <w:tcPr>
            <w:tcW w:w="136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5.68</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212" w:type="dxa"/>
          </w:tcPr>
          <w:p>
            <w:pPr>
              <w:textAlignment w:val="top"/>
            </w:pPr>
            <w:r>
              <w:rPr>
                <w:rFonts w:ascii="Calibri" w:hAnsi="Calibri" w:eastAsia="宋体" w:cs="Calibri"/>
                <w:color w:val="000000"/>
                <w:sz w:val="22"/>
                <w:szCs w:val="22"/>
                <w:lang w:eastAsia="zh-CN" w:bidi="ar"/>
              </w:rPr>
              <w:t>20805</w:t>
            </w:r>
          </w:p>
        </w:tc>
        <w:tc>
          <w:tcPr>
            <w:tcW w:w="4316" w:type="dxa"/>
          </w:tcPr>
          <w:p>
            <w:pPr>
              <w:textAlignment w:val="top"/>
            </w:pPr>
            <w:r>
              <w:rPr>
                <w:rFonts w:ascii="Calibri" w:hAnsi="Calibri" w:eastAsia="宋体" w:cs="Calibri"/>
                <w:color w:val="000000"/>
                <w:sz w:val="22"/>
                <w:szCs w:val="22"/>
                <w:lang w:eastAsia="zh-CN" w:bidi="ar"/>
              </w:rPr>
              <w:t>行政事业单位养老支出</w:t>
            </w:r>
          </w:p>
        </w:tc>
        <w:tc>
          <w:tcPr>
            <w:tcW w:w="136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5.68</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212" w:type="dxa"/>
          </w:tcPr>
          <w:p>
            <w:pPr>
              <w:textAlignment w:val="top"/>
            </w:pPr>
            <w:r>
              <w:rPr>
                <w:rFonts w:ascii="Calibri" w:hAnsi="Calibri" w:eastAsia="宋体" w:cs="Calibri"/>
                <w:color w:val="000000"/>
                <w:sz w:val="22"/>
                <w:szCs w:val="22"/>
                <w:lang w:eastAsia="zh-CN" w:bidi="ar"/>
              </w:rPr>
              <w:t>2080505</w:t>
            </w:r>
          </w:p>
        </w:tc>
        <w:tc>
          <w:tcPr>
            <w:tcW w:w="431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5.68</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212" w:type="dxa"/>
          </w:tcPr>
          <w:p>
            <w:pPr>
              <w:textAlignment w:val="top"/>
            </w:pPr>
            <w:r>
              <w:rPr>
                <w:rFonts w:ascii="Calibri" w:hAnsi="Calibri" w:eastAsia="宋体" w:cs="Calibri"/>
                <w:color w:val="000000"/>
                <w:sz w:val="22"/>
                <w:szCs w:val="22"/>
                <w:lang w:eastAsia="zh-CN" w:bidi="ar"/>
              </w:rPr>
              <w:t>210</w:t>
            </w:r>
          </w:p>
        </w:tc>
        <w:tc>
          <w:tcPr>
            <w:tcW w:w="4316" w:type="dxa"/>
          </w:tcPr>
          <w:p>
            <w:pPr>
              <w:textAlignment w:val="top"/>
            </w:pPr>
            <w:r>
              <w:rPr>
                <w:rFonts w:ascii="Calibri" w:hAnsi="Calibri" w:eastAsia="宋体" w:cs="Calibri"/>
                <w:color w:val="000000"/>
                <w:sz w:val="22"/>
                <w:szCs w:val="22"/>
                <w:lang w:eastAsia="zh-CN" w:bidi="ar"/>
              </w:rPr>
              <w:t>卫生健康支出</w:t>
            </w:r>
          </w:p>
        </w:tc>
        <w:tc>
          <w:tcPr>
            <w:tcW w:w="136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2.27</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212" w:type="dxa"/>
          </w:tcPr>
          <w:p>
            <w:pPr>
              <w:textAlignment w:val="top"/>
            </w:pPr>
            <w:r>
              <w:rPr>
                <w:rFonts w:ascii="Calibri" w:hAnsi="Calibri" w:eastAsia="宋体" w:cs="Calibri"/>
                <w:color w:val="000000"/>
                <w:sz w:val="22"/>
                <w:szCs w:val="22"/>
                <w:lang w:eastAsia="zh-CN" w:bidi="ar"/>
              </w:rPr>
              <w:t>21011</w:t>
            </w:r>
          </w:p>
        </w:tc>
        <w:tc>
          <w:tcPr>
            <w:tcW w:w="4316" w:type="dxa"/>
          </w:tcPr>
          <w:p>
            <w:pPr>
              <w:textAlignment w:val="top"/>
            </w:pPr>
            <w:r>
              <w:rPr>
                <w:rFonts w:ascii="Calibri" w:hAnsi="Calibri" w:eastAsia="宋体" w:cs="Calibri"/>
                <w:color w:val="000000"/>
                <w:sz w:val="22"/>
                <w:szCs w:val="22"/>
                <w:lang w:eastAsia="zh-CN" w:bidi="ar"/>
              </w:rPr>
              <w:t>行政事业单位医疗</w:t>
            </w:r>
          </w:p>
        </w:tc>
        <w:tc>
          <w:tcPr>
            <w:tcW w:w="1361" w:type="dxa"/>
          </w:tcPr>
          <w:p>
            <w:pPr>
              <w:jc w:val="right"/>
              <w:textAlignment w:val="top"/>
              <w:rPr>
                <w:rFonts w:hint="default" w:ascii="方正书宋_GBK" w:hAnsi="方正书宋_GBK" w:eastAsia="方正书宋_GBK" w:cs="方正书宋_GBK"/>
                <w:sz w:val="21"/>
                <w:lang w:val="en-US" w:eastAsia="zh-CN"/>
              </w:rPr>
            </w:pPr>
            <w:r>
              <w:rPr>
                <w:rFonts w:hint="eastAsia" w:ascii="Calibri" w:hAnsi="Calibri" w:eastAsia="宋体" w:cs="Calibri"/>
                <w:color w:val="000000"/>
                <w:sz w:val="22"/>
                <w:szCs w:val="22"/>
                <w:lang w:val="en-US" w:eastAsia="zh-CN" w:bidi="ar"/>
              </w:rPr>
              <w:t>2.27</w:t>
            </w:r>
          </w:p>
        </w:tc>
        <w:tc>
          <w:tcPr>
            <w:tcW w:w="1361" w:type="dxa"/>
            <w:vAlign w:val="top"/>
          </w:tcPr>
          <w:p>
            <w:pPr>
              <w:jc w:val="right"/>
              <w:textAlignment w:val="top"/>
              <w:rPr>
                <w:rFonts w:ascii="方正书宋_GBK" w:hAnsi="方正书宋_GBK" w:eastAsia="方正书宋_GBK" w:cs="方正书宋_GBK"/>
                <w:sz w:val="21"/>
              </w:rPr>
            </w:pPr>
            <w:r>
              <w:rPr>
                <w:rFonts w:hint="eastAsia" w:ascii="Calibri" w:hAnsi="Calibri" w:eastAsia="宋体" w:cs="Calibri"/>
                <w:color w:val="000000"/>
                <w:sz w:val="22"/>
                <w:szCs w:val="22"/>
                <w:lang w:val="en-US" w:eastAsia="zh-CN" w:bidi="ar"/>
              </w:rPr>
              <w:t>2.27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212" w:type="dxa"/>
          </w:tcPr>
          <w:p>
            <w:pPr>
              <w:textAlignment w:val="top"/>
            </w:pPr>
            <w:r>
              <w:rPr>
                <w:rFonts w:ascii="Calibri" w:hAnsi="Calibri" w:eastAsia="宋体" w:cs="Calibri"/>
                <w:color w:val="000000"/>
                <w:sz w:val="22"/>
                <w:szCs w:val="22"/>
                <w:lang w:eastAsia="zh-CN" w:bidi="ar"/>
              </w:rPr>
              <w:t>2101101</w:t>
            </w:r>
          </w:p>
        </w:tc>
        <w:tc>
          <w:tcPr>
            <w:tcW w:w="4316" w:type="dxa"/>
          </w:tcPr>
          <w:p>
            <w:pPr>
              <w:textAlignment w:val="top"/>
            </w:pPr>
            <w:r>
              <w:rPr>
                <w:rFonts w:ascii="Calibri" w:hAnsi="Calibri" w:eastAsia="宋体" w:cs="Calibri"/>
                <w:color w:val="000000"/>
                <w:sz w:val="22"/>
                <w:szCs w:val="22"/>
                <w:lang w:eastAsia="zh-CN" w:bidi="ar"/>
              </w:rPr>
              <w:t>行政单位医疗</w:t>
            </w:r>
          </w:p>
        </w:tc>
        <w:tc>
          <w:tcPr>
            <w:tcW w:w="136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2.27</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212" w:type="dxa"/>
          </w:tcPr>
          <w:p>
            <w:pPr>
              <w:textAlignment w:val="top"/>
            </w:pPr>
            <w:r>
              <w:rPr>
                <w:rFonts w:ascii="Calibri" w:hAnsi="Calibri" w:eastAsia="宋体" w:cs="Calibri"/>
                <w:color w:val="000000"/>
                <w:sz w:val="22"/>
                <w:szCs w:val="22"/>
                <w:lang w:eastAsia="zh-CN" w:bidi="ar"/>
              </w:rPr>
              <w:t>221</w:t>
            </w:r>
          </w:p>
        </w:tc>
        <w:tc>
          <w:tcPr>
            <w:tcW w:w="4316" w:type="dxa"/>
          </w:tcPr>
          <w:p>
            <w:pPr>
              <w:textAlignment w:val="top"/>
            </w:pPr>
            <w:r>
              <w:rPr>
                <w:rFonts w:ascii="Calibri" w:hAnsi="Calibri" w:eastAsia="宋体" w:cs="Calibri"/>
                <w:color w:val="000000"/>
                <w:sz w:val="22"/>
                <w:szCs w:val="22"/>
                <w:lang w:eastAsia="zh-CN" w:bidi="ar"/>
              </w:rPr>
              <w:t>住房保障支出</w:t>
            </w:r>
          </w:p>
        </w:tc>
        <w:tc>
          <w:tcPr>
            <w:tcW w:w="136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3.55</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212" w:type="dxa"/>
          </w:tcPr>
          <w:p>
            <w:pPr>
              <w:textAlignment w:val="top"/>
            </w:pPr>
            <w:r>
              <w:rPr>
                <w:rFonts w:ascii="Calibri" w:hAnsi="Calibri" w:eastAsia="宋体" w:cs="Calibri"/>
                <w:color w:val="000000"/>
                <w:sz w:val="22"/>
                <w:szCs w:val="22"/>
                <w:lang w:eastAsia="zh-CN" w:bidi="ar"/>
              </w:rPr>
              <w:t>22102</w:t>
            </w:r>
          </w:p>
        </w:tc>
        <w:tc>
          <w:tcPr>
            <w:tcW w:w="4316" w:type="dxa"/>
          </w:tcPr>
          <w:p>
            <w:pPr>
              <w:textAlignment w:val="top"/>
            </w:pPr>
            <w:r>
              <w:rPr>
                <w:rFonts w:ascii="Calibri" w:hAnsi="Calibri" w:eastAsia="宋体" w:cs="Calibri"/>
                <w:color w:val="000000"/>
                <w:sz w:val="22"/>
                <w:szCs w:val="22"/>
                <w:lang w:eastAsia="zh-CN" w:bidi="ar"/>
              </w:rPr>
              <w:t>住房改革支出</w:t>
            </w:r>
          </w:p>
        </w:tc>
        <w:tc>
          <w:tcPr>
            <w:tcW w:w="136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val="en-US" w:eastAsia="zh-CN" w:bidi="ar"/>
              </w:rPr>
              <w:t>3.55</w:t>
            </w:r>
          </w:p>
        </w:tc>
        <w:tc>
          <w:tcPr>
            <w:tcW w:w="1361" w:type="dxa"/>
            <w:vAlign w:val="top"/>
          </w:tcPr>
          <w:p>
            <w:pPr>
              <w:jc w:val="right"/>
              <w:textAlignment w:val="top"/>
              <w:rPr>
                <w:rFonts w:ascii="方正书宋_GBK" w:hAnsi="方正书宋_GBK" w:eastAsia="方正书宋_GBK" w:cs="方正书宋_GBK"/>
                <w:sz w:val="21"/>
              </w:rPr>
            </w:pPr>
            <w:r>
              <w:rPr>
                <w:rFonts w:hint="eastAsia" w:ascii="Calibri" w:hAnsi="Calibri" w:eastAsia="宋体" w:cs="Calibri"/>
                <w:color w:val="000000"/>
                <w:sz w:val="22"/>
                <w:szCs w:val="22"/>
                <w:lang w:val="en-US" w:eastAsia="zh-CN" w:bidi="ar"/>
              </w:rPr>
              <w:t>3.55</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212" w:type="dxa"/>
          </w:tcPr>
          <w:p>
            <w:pPr>
              <w:textAlignment w:val="top"/>
            </w:pPr>
            <w:r>
              <w:rPr>
                <w:rFonts w:ascii="Calibri" w:hAnsi="Calibri" w:eastAsia="宋体" w:cs="Calibri"/>
                <w:color w:val="000000"/>
                <w:sz w:val="22"/>
                <w:szCs w:val="22"/>
                <w:lang w:eastAsia="zh-CN" w:bidi="ar"/>
              </w:rPr>
              <w:t>2210201</w:t>
            </w:r>
          </w:p>
        </w:tc>
        <w:tc>
          <w:tcPr>
            <w:tcW w:w="4316" w:type="dxa"/>
          </w:tcPr>
          <w:p>
            <w:pPr>
              <w:textAlignment w:val="top"/>
            </w:pPr>
            <w:r>
              <w:rPr>
                <w:rFonts w:ascii="Calibri" w:hAnsi="Calibri" w:eastAsia="宋体" w:cs="Calibri"/>
                <w:color w:val="000000"/>
                <w:sz w:val="22"/>
                <w:szCs w:val="22"/>
                <w:lang w:eastAsia="zh-CN" w:bidi="ar"/>
              </w:rPr>
              <w:t>住房公积金</w:t>
            </w:r>
          </w:p>
        </w:tc>
        <w:tc>
          <w:tcPr>
            <w:tcW w:w="1361" w:type="dxa"/>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3.55</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20299"/>
      <w:r>
        <w:rPr>
          <w:rFonts w:ascii="方正小标宋_GBK" w:hAnsi="方正小标宋_GBK" w:eastAsia="方正小标宋_GBK" w:cs="方正小标宋_GBK"/>
          <w:color w:val="000000"/>
          <w:sz w:val="36"/>
        </w:rPr>
        <w:t>部门预算财政拨款收支总表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t>3</w:t>
            </w:r>
            <w:r>
              <w:rPr>
                <w:rFonts w:hint="eastAsia"/>
                <w:lang w:eastAsia="zh-CN"/>
              </w:rPr>
              <w:t>82中共涞水县委机构编制委员会办公室</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lang w:eastAsia="zh-CN"/>
              </w:rPr>
            </w:pPr>
            <w:r>
              <w:rPr>
                <w:rFonts w:hint="eastAsia"/>
                <w:lang w:eastAsia="zh-CN"/>
              </w:rPr>
              <w:t>76.26</w:t>
            </w:r>
          </w:p>
        </w:tc>
        <w:tc>
          <w:tcPr>
            <w:tcW w:w="3402" w:type="dxa"/>
            <w:vAlign w:val="center"/>
          </w:tcPr>
          <w:p>
            <w:pPr>
              <w:pStyle w:val="18"/>
            </w:pPr>
            <w:r>
              <w:t>一、一般公共服务支出</w:t>
            </w:r>
          </w:p>
        </w:tc>
        <w:tc>
          <w:tcPr>
            <w:tcW w:w="1474" w:type="dxa"/>
            <w:vAlign w:val="center"/>
          </w:tcPr>
          <w:p>
            <w:pPr>
              <w:pStyle w:val="17"/>
              <w:rPr>
                <w:rFonts w:hint="default"/>
                <w:lang w:val="en-US"/>
              </w:rPr>
            </w:pPr>
            <w:r>
              <w:rPr>
                <w:rFonts w:hint="eastAsia"/>
                <w:lang w:val="en-US" w:eastAsia="zh-CN"/>
              </w:rPr>
              <w:t>52.27</w:t>
            </w:r>
          </w:p>
        </w:tc>
        <w:tc>
          <w:tcPr>
            <w:tcW w:w="1474" w:type="dxa"/>
            <w:vAlign w:val="center"/>
          </w:tcPr>
          <w:p>
            <w:pPr>
              <w:pStyle w:val="17"/>
              <w:rPr>
                <w:lang w:eastAsia="zh-CN"/>
              </w:rPr>
            </w:pPr>
            <w:r>
              <w:rPr>
                <w:rFonts w:hint="eastAsia"/>
                <w:lang w:val="en-US" w:eastAsia="zh-CN"/>
              </w:rPr>
              <w:t>52.27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rFonts w:hint="default"/>
                <w:lang w:val="en-US" w:eastAsia="zh-CN"/>
              </w:rPr>
            </w:pPr>
            <w:r>
              <w:rPr>
                <w:rFonts w:hint="eastAsia"/>
                <w:lang w:val="en-US" w:eastAsia="zh-CN"/>
              </w:rPr>
              <w:t>5.68</w:t>
            </w:r>
          </w:p>
        </w:tc>
        <w:tc>
          <w:tcPr>
            <w:tcW w:w="1474" w:type="dxa"/>
            <w:vAlign w:val="center"/>
          </w:tcPr>
          <w:p>
            <w:pPr>
              <w:pStyle w:val="17"/>
            </w:pPr>
            <w:r>
              <w:rPr>
                <w:rFonts w:hint="eastAsia"/>
                <w:lang w:val="en-US" w:eastAsia="zh-CN"/>
              </w:rPr>
              <w:t>5.68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rFonts w:hint="default"/>
                <w:lang w:val="en-US" w:eastAsia="zh-CN"/>
              </w:rPr>
            </w:pPr>
            <w:r>
              <w:rPr>
                <w:rFonts w:hint="eastAsia"/>
                <w:lang w:val="en-US" w:eastAsia="zh-CN"/>
              </w:rPr>
              <w:t>2.27</w:t>
            </w:r>
          </w:p>
        </w:tc>
        <w:tc>
          <w:tcPr>
            <w:tcW w:w="1474" w:type="dxa"/>
            <w:vAlign w:val="center"/>
          </w:tcPr>
          <w:p>
            <w:pPr>
              <w:pStyle w:val="17"/>
              <w:rPr>
                <w:rFonts w:hint="default"/>
                <w:lang w:val="en-US" w:eastAsia="zh-CN"/>
              </w:rPr>
            </w:pPr>
            <w:r>
              <w:rPr>
                <w:rFonts w:hint="eastAsia"/>
                <w:lang w:val="en-US" w:eastAsia="zh-CN"/>
              </w:rPr>
              <w:t>2.27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rFonts w:hint="default"/>
                <w:lang w:val="en-US" w:eastAsia="zh-CN"/>
              </w:rPr>
            </w:pPr>
            <w:r>
              <w:rPr>
                <w:rFonts w:hint="eastAsia"/>
                <w:lang w:val="en-US" w:eastAsia="zh-CN"/>
              </w:rPr>
              <w:t>3.55</w:t>
            </w:r>
          </w:p>
        </w:tc>
        <w:tc>
          <w:tcPr>
            <w:tcW w:w="1474" w:type="dxa"/>
            <w:vAlign w:val="center"/>
          </w:tcPr>
          <w:p>
            <w:pPr>
              <w:pStyle w:val="17"/>
              <w:rPr>
                <w:lang w:eastAsia="zh-CN"/>
              </w:rPr>
            </w:pPr>
            <w:r>
              <w:rPr>
                <w:rFonts w:hint="eastAsia"/>
                <w:lang w:val="en-US" w:eastAsia="zh-CN"/>
              </w:rPr>
              <w:t>3.55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default"/>
                <w:lang w:val="en-US" w:eastAsia="zh-CN"/>
              </w:rPr>
            </w:pPr>
            <w:r>
              <w:rPr>
                <w:rFonts w:hint="eastAsia"/>
                <w:lang w:val="en-US" w:eastAsia="zh-CN"/>
              </w:rPr>
              <w:t>63.77</w:t>
            </w:r>
          </w:p>
        </w:tc>
        <w:tc>
          <w:tcPr>
            <w:tcW w:w="3402" w:type="dxa"/>
            <w:vAlign w:val="center"/>
          </w:tcPr>
          <w:p>
            <w:pPr>
              <w:pStyle w:val="20"/>
            </w:pPr>
            <w:r>
              <w:t>本年支出合计</w:t>
            </w:r>
          </w:p>
        </w:tc>
        <w:tc>
          <w:tcPr>
            <w:tcW w:w="1474" w:type="dxa"/>
            <w:vAlign w:val="center"/>
          </w:tcPr>
          <w:p>
            <w:pPr>
              <w:pStyle w:val="17"/>
              <w:rPr>
                <w:rFonts w:hint="default"/>
                <w:lang w:val="en-US"/>
              </w:rPr>
            </w:pPr>
            <w:r>
              <w:rPr>
                <w:rFonts w:hint="eastAsia"/>
                <w:lang w:val="en-US" w:eastAsia="zh-CN"/>
              </w:rPr>
              <w:t>63.77</w:t>
            </w:r>
          </w:p>
        </w:tc>
        <w:tc>
          <w:tcPr>
            <w:tcW w:w="1474" w:type="dxa"/>
            <w:vAlign w:val="center"/>
          </w:tcPr>
          <w:p>
            <w:pPr>
              <w:pStyle w:val="17"/>
              <w:rPr>
                <w:lang w:eastAsia="zh-CN"/>
              </w:rPr>
            </w:pPr>
            <w:r>
              <w:rPr>
                <w:rFonts w:hint="eastAsia"/>
                <w:lang w:val="en-US" w:eastAsia="zh-CN"/>
              </w:rPr>
              <w:t>63.77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default"/>
                <w:lang w:val="en-US"/>
              </w:rPr>
            </w:pPr>
            <w:r>
              <w:rPr>
                <w:rFonts w:hint="eastAsia"/>
                <w:lang w:val="en-US" w:eastAsia="zh-CN"/>
              </w:rPr>
              <w:t>63.77</w:t>
            </w:r>
          </w:p>
        </w:tc>
        <w:tc>
          <w:tcPr>
            <w:tcW w:w="3402" w:type="dxa"/>
            <w:vAlign w:val="center"/>
          </w:tcPr>
          <w:p>
            <w:pPr>
              <w:pStyle w:val="20"/>
            </w:pPr>
            <w:r>
              <w:t>支出总计</w:t>
            </w:r>
          </w:p>
        </w:tc>
        <w:tc>
          <w:tcPr>
            <w:tcW w:w="1474" w:type="dxa"/>
            <w:vAlign w:val="center"/>
          </w:tcPr>
          <w:p>
            <w:pPr>
              <w:pStyle w:val="17"/>
            </w:pPr>
            <w:r>
              <w:rPr>
                <w:rFonts w:hint="eastAsia"/>
                <w:lang w:val="en-US" w:eastAsia="zh-CN"/>
              </w:rPr>
              <w:t>63.77</w:t>
            </w:r>
          </w:p>
        </w:tc>
        <w:tc>
          <w:tcPr>
            <w:tcW w:w="1474" w:type="dxa"/>
            <w:vAlign w:val="center"/>
          </w:tcPr>
          <w:p>
            <w:pPr>
              <w:pStyle w:val="17"/>
            </w:pPr>
            <w:r>
              <w:rPr>
                <w:rFonts w:hint="eastAsia"/>
                <w:lang w:val="en-US" w:eastAsia="zh-CN"/>
              </w:rPr>
              <w:t>63.77</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4" w:name="_Toc28080"/>
      <w:r>
        <w:rPr>
          <w:rFonts w:ascii="方正小标宋_GBK" w:hAnsi="方正小标宋_GBK" w:eastAsia="方正小标宋_GBK" w:cs="方正小标宋_GBK"/>
          <w:color w:val="000000"/>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t>3</w:t>
            </w:r>
            <w:r>
              <w:rPr>
                <w:rFonts w:hint="eastAsia"/>
                <w:lang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63.77</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56.93</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201</w:t>
            </w:r>
          </w:p>
        </w:tc>
        <w:tc>
          <w:tcPr>
            <w:tcW w:w="4535" w:type="dxa"/>
          </w:tcPr>
          <w:p>
            <w:pPr>
              <w:textAlignment w:val="top"/>
            </w:pPr>
            <w:r>
              <w:rPr>
                <w:rFonts w:ascii="Calibri" w:hAnsi="Calibri" w:eastAsia="宋体" w:cs="Calibri"/>
                <w:color w:val="000000"/>
                <w:sz w:val="22"/>
                <w:szCs w:val="22"/>
                <w:lang w:eastAsia="zh-CN" w:bidi="ar"/>
              </w:rPr>
              <w:t>一般公共服务支出</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52.27</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45.43</w:t>
            </w:r>
          </w:p>
        </w:tc>
        <w:tc>
          <w:tcPr>
            <w:tcW w:w="2551" w:type="dxa"/>
          </w:tcPr>
          <w:p>
            <w:pPr>
              <w:jc w:val="right"/>
              <w:textAlignment w:val="top"/>
            </w:pPr>
            <w:r>
              <w:rPr>
                <w:rFonts w:hint="eastAsia" w:ascii="Calibri" w:hAnsi="Calibri" w:eastAsia="宋体" w:cs="Calibri"/>
                <w:color w:val="000000"/>
                <w:sz w:val="22"/>
                <w:szCs w:val="22"/>
                <w:lang w:val="en-US" w:eastAsia="zh-CN" w:bidi="ar"/>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20136</w:t>
            </w:r>
          </w:p>
        </w:tc>
        <w:tc>
          <w:tcPr>
            <w:tcW w:w="4535" w:type="dxa"/>
          </w:tcPr>
          <w:p>
            <w:pPr>
              <w:textAlignment w:val="top"/>
            </w:pPr>
            <w:r>
              <w:rPr>
                <w:rFonts w:ascii="Calibri" w:hAnsi="Calibri" w:eastAsia="宋体" w:cs="Calibri"/>
                <w:color w:val="000000"/>
                <w:sz w:val="22"/>
                <w:szCs w:val="22"/>
                <w:lang w:eastAsia="zh-CN" w:bidi="ar"/>
              </w:rPr>
              <w:t>其他共产党事务支出</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52.27</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45.43</w:t>
            </w:r>
          </w:p>
        </w:tc>
        <w:tc>
          <w:tcPr>
            <w:tcW w:w="2551" w:type="dxa"/>
          </w:tcPr>
          <w:p>
            <w:pPr>
              <w:jc w:val="right"/>
              <w:textAlignment w:val="top"/>
            </w:pPr>
            <w:r>
              <w:rPr>
                <w:rFonts w:hint="eastAsia" w:ascii="Calibri" w:hAnsi="Calibri" w:eastAsia="宋体" w:cs="Calibri"/>
                <w:color w:val="000000"/>
                <w:sz w:val="22"/>
                <w:szCs w:val="22"/>
                <w:lang w:val="en-US" w:eastAsia="zh-CN" w:bidi="ar"/>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2013601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45.43</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45.43</w:t>
            </w:r>
          </w:p>
        </w:tc>
        <w:tc>
          <w:tcPr>
            <w:tcW w:w="2551" w:type="dxa"/>
          </w:tcPr>
          <w:p>
            <w:pPr>
              <w:jc w:val="right"/>
              <w:textAlignment w:val="top"/>
            </w:pPr>
            <w:r>
              <w:rPr>
                <w:rFonts w:hint="eastAsia" w:ascii="Calibri" w:hAnsi="Calibri" w:eastAsia="宋体" w:cs="Calibri"/>
                <w:color w:val="000000"/>
                <w:sz w:val="22"/>
                <w:szCs w:val="2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2013602</w:t>
            </w:r>
          </w:p>
        </w:tc>
        <w:tc>
          <w:tcPr>
            <w:tcW w:w="4535" w:type="dxa"/>
          </w:tcPr>
          <w:p>
            <w:pPr>
              <w:textAlignment w:val="top"/>
            </w:pPr>
            <w:r>
              <w:rPr>
                <w:rFonts w:ascii="Calibri" w:hAnsi="Calibri" w:eastAsia="宋体" w:cs="Calibri"/>
                <w:color w:val="000000"/>
                <w:sz w:val="22"/>
                <w:szCs w:val="22"/>
                <w:lang w:eastAsia="zh-CN" w:bidi="ar"/>
              </w:rPr>
              <w:t>一般行政管理事务</w:t>
            </w:r>
          </w:p>
        </w:tc>
        <w:tc>
          <w:tcPr>
            <w:tcW w:w="255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6.84</w:t>
            </w:r>
          </w:p>
        </w:tc>
        <w:tc>
          <w:tcPr>
            <w:tcW w:w="2551" w:type="dxa"/>
          </w:tcPr>
          <w:p>
            <w:pPr>
              <w:jc w:val="right"/>
            </w:pPr>
          </w:p>
        </w:tc>
        <w:tc>
          <w:tcPr>
            <w:tcW w:w="2551" w:type="dxa"/>
          </w:tcPr>
          <w:p>
            <w:pPr>
              <w:jc w:val="right"/>
              <w:rPr>
                <w:rFonts w:eastAsia="方正书宋_GBK"/>
                <w:lang w:eastAsia="zh-CN"/>
              </w:rPr>
            </w:pPr>
            <w:r>
              <w:rPr>
                <w:rFonts w:hint="eastAsia" w:ascii="Calibri" w:hAnsi="Calibri" w:eastAsia="宋体" w:cs="Calibri"/>
                <w:color w:val="000000"/>
                <w:sz w:val="22"/>
                <w:szCs w:val="22"/>
                <w:lang w:val="en-US" w:eastAsia="zh-CN" w:bidi="ar"/>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tcPr>
          <w:p>
            <w:pPr>
              <w:jc w:val="right"/>
              <w:textAlignment w:val="top"/>
              <w:rPr>
                <w:rFonts w:hint="default" w:eastAsia="方正书宋_GBK"/>
                <w:lang w:val="en-US" w:eastAsia="zh-CN"/>
              </w:rPr>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tcPr>
          <w:p>
            <w:pPr>
              <w:jc w:val="right"/>
              <w:textAlignment w:val="top"/>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2551" w:type="dxa"/>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rPr>
                <w:rFonts w:ascii="方正书宋_GBK" w:hAnsi="方正书宋_GBK" w:eastAsia="方正书宋_GBK" w:cs="方正书宋_GBK"/>
                <w:sz w:val="21"/>
              </w:rPr>
            </w:pPr>
            <w:r>
              <w:rPr>
                <w:rFonts w:hint="eastAsia" w:ascii="Calibri" w:hAnsi="Calibri" w:eastAsia="宋体" w:cs="Calibri"/>
                <w:color w:val="000000"/>
                <w:sz w:val="22"/>
                <w:szCs w:val="22"/>
                <w:lang w:val="en-US" w:eastAsia="zh-CN" w:bidi="ar"/>
              </w:rPr>
              <w:t>3.55</w:t>
            </w:r>
          </w:p>
        </w:tc>
        <w:tc>
          <w:tcPr>
            <w:tcW w:w="2551" w:type="dxa"/>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3.55</w:t>
            </w:r>
          </w:p>
        </w:tc>
        <w:tc>
          <w:tcPr>
            <w:tcW w:w="2551" w:type="dxa"/>
          </w:tcPr>
          <w:p>
            <w:pPr>
              <w:jc w:val="right"/>
              <w:textAlignment w:val="top"/>
            </w:pPr>
          </w:p>
        </w:tc>
      </w:tr>
    </w:tbl>
    <w:p>
      <w:pPr>
        <w:sectPr>
          <w:pgSz w:w="16840" w:h="11900" w:orient="landscape"/>
          <w:pgMar w:top="1361" w:right="1020" w:bottom="1134" w:left="1020" w:header="720" w:footer="720" w:gutter="0"/>
          <w:cols w:space="720" w:num="1"/>
        </w:sectPr>
      </w:pPr>
    </w:p>
    <w:p>
      <w:pPr>
        <w:jc w:val="center"/>
        <w:outlineLvl w:val="1"/>
      </w:pPr>
      <w:bookmarkStart w:id="5" w:name="_Toc18807"/>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t>3</w:t>
            </w:r>
            <w:r>
              <w:rPr>
                <w:rFonts w:hint="eastAsia"/>
                <w:lang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56.93</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50.58</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50.58</w:t>
            </w:r>
          </w:p>
        </w:tc>
        <w:tc>
          <w:tcPr>
            <w:tcW w:w="2551" w:type="dxa"/>
          </w:tcPr>
          <w:p>
            <w:pPr>
              <w:jc w:val="right"/>
              <w:textAlignment w:val="top"/>
            </w:pPr>
            <w:r>
              <w:rPr>
                <w:rFonts w:hint="eastAsia" w:ascii="Calibri" w:hAnsi="Calibri" w:eastAsia="宋体" w:cs="Calibri"/>
                <w:color w:val="000000"/>
                <w:sz w:val="22"/>
                <w:szCs w:val="22"/>
                <w:lang w:val="en-US" w:eastAsia="zh-CN" w:bidi="ar"/>
              </w:rPr>
              <w:t>50.58</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22.57</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22.57</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12.44</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12.44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1.65</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1.65</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tcPr>
          <w:p>
            <w:pPr>
              <w:jc w:val="right"/>
              <w:textAlignment w:val="top"/>
              <w:rPr>
                <w:rFonts w:hint="default" w:eastAsia="方正书宋_GBK"/>
                <w:lang w:val="en-US" w:eastAsia="zh-CN"/>
              </w:rPr>
            </w:pPr>
            <w:r>
              <w:rPr>
                <w:rFonts w:hint="eastAsia" w:ascii="Calibri" w:hAnsi="Calibri" w:eastAsia="宋体" w:cs="Calibri"/>
                <w:color w:val="000000"/>
                <w:sz w:val="22"/>
                <w:szCs w:val="22"/>
                <w:lang w:val="en-US" w:eastAsia="zh-CN" w:bidi="ar"/>
              </w:rPr>
              <w:t>2.19</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2.19</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tcPr>
          <w:p>
            <w:pPr>
              <w:jc w:val="right"/>
              <w:textAlignment w:val="top"/>
              <w:rPr>
                <w:rFonts w:hint="default"/>
                <w:lang w:val="en-US"/>
              </w:rPr>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tcPr>
          <w:p>
            <w:pPr>
              <w:jc w:val="right"/>
              <w:textAlignment w:val="top"/>
              <w:rPr>
                <w:rFonts w:hint="default"/>
                <w:lang w:val="en-US"/>
              </w:rPr>
            </w:pPr>
            <w:r>
              <w:rPr>
                <w:rFonts w:ascii="Calibri" w:hAnsi="Calibri" w:eastAsia="宋体" w:cs="Calibri"/>
                <w:color w:val="000000"/>
                <w:sz w:val="22"/>
                <w:szCs w:val="22"/>
                <w:lang w:eastAsia="zh-CN" w:bidi="ar"/>
              </w:rPr>
              <w:t>0.2</w:t>
            </w:r>
            <w:r>
              <w:rPr>
                <w:rFonts w:hint="eastAsia" w:ascii="Calibri" w:hAnsi="Calibri" w:eastAsia="宋体" w:cs="Calibri"/>
                <w:color w:val="000000"/>
                <w:sz w:val="22"/>
                <w:szCs w:val="22"/>
                <w:lang w:val="en-US" w:eastAsia="zh-CN" w:bidi="ar"/>
              </w:rPr>
              <w:t>3</w:t>
            </w:r>
          </w:p>
        </w:tc>
        <w:tc>
          <w:tcPr>
            <w:tcW w:w="2551" w:type="dxa"/>
            <w:vAlign w:val="top"/>
          </w:tcPr>
          <w:p>
            <w:pPr>
              <w:jc w:val="right"/>
              <w:textAlignment w:val="top"/>
            </w:pPr>
            <w:r>
              <w:rPr>
                <w:rFonts w:ascii="Calibri" w:hAnsi="Calibri" w:eastAsia="宋体" w:cs="Calibri"/>
                <w:color w:val="000000"/>
                <w:sz w:val="22"/>
                <w:szCs w:val="22"/>
                <w:lang w:eastAsia="zh-CN" w:bidi="ar"/>
              </w:rPr>
              <w:t>0.2</w:t>
            </w:r>
            <w:r>
              <w:rPr>
                <w:rFonts w:hint="eastAsia" w:ascii="Calibri" w:hAnsi="Calibri" w:eastAsia="宋体" w:cs="Calibri"/>
                <w:color w:val="000000"/>
                <w:sz w:val="22"/>
                <w:szCs w:val="22"/>
                <w:lang w:val="en-US" w:eastAsia="zh-CN" w:bidi="ar"/>
              </w:rPr>
              <w:t>3</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6.35</w:t>
            </w:r>
          </w:p>
        </w:tc>
        <w:tc>
          <w:tcPr>
            <w:tcW w:w="2551" w:type="dxa"/>
          </w:tcPr>
          <w:p>
            <w:pPr>
              <w:jc w:val="right"/>
            </w:pP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1.32</w:t>
            </w:r>
          </w:p>
        </w:tc>
        <w:tc>
          <w:tcPr>
            <w:tcW w:w="2551" w:type="dxa"/>
          </w:tcPr>
          <w:p>
            <w:pPr>
              <w:jc w:val="right"/>
            </w:pP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tcPr>
          <w:p>
            <w:pPr>
              <w:jc w:val="right"/>
              <w:textAlignment w:val="top"/>
            </w:pPr>
            <w:r>
              <w:rPr>
                <w:rFonts w:ascii="Calibri" w:hAnsi="Calibri" w:eastAsia="宋体" w:cs="Calibri"/>
                <w:color w:val="000000"/>
                <w:sz w:val="22"/>
                <w:szCs w:val="22"/>
                <w:lang w:eastAsia="zh-CN" w:bidi="ar"/>
              </w:rPr>
              <w:t>0.36</w:t>
            </w:r>
          </w:p>
        </w:tc>
        <w:tc>
          <w:tcPr>
            <w:tcW w:w="2551" w:type="dxa"/>
          </w:tcPr>
          <w:p>
            <w:pPr>
              <w:jc w:val="right"/>
            </w:pPr>
          </w:p>
        </w:tc>
        <w:tc>
          <w:tcPr>
            <w:tcW w:w="2551" w:type="dxa"/>
            <w:vAlign w:val="top"/>
          </w:tcPr>
          <w:p>
            <w:pPr>
              <w:jc w:val="right"/>
              <w:textAlignment w:val="top"/>
            </w:pPr>
            <w:r>
              <w:rPr>
                <w:rFonts w:ascii="Calibri" w:hAnsi="Calibri" w:eastAsia="宋体" w:cs="Calibri"/>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6</w:t>
            </w:r>
            <w:r>
              <w:rPr>
                <w:rFonts w:ascii="Calibri" w:hAnsi="Calibri" w:eastAsia="宋体" w:cs="Calibri"/>
                <w:color w:val="000000"/>
                <w:sz w:val="22"/>
                <w:szCs w:val="22"/>
                <w:lang w:eastAsia="zh-CN" w:bidi="ar"/>
              </w:rPr>
              <w:t>0</w:t>
            </w:r>
          </w:p>
        </w:tc>
        <w:tc>
          <w:tcPr>
            <w:tcW w:w="2551" w:type="dxa"/>
          </w:tcPr>
          <w:p>
            <w:pPr>
              <w:jc w:val="right"/>
            </w:pPr>
          </w:p>
        </w:tc>
        <w:tc>
          <w:tcPr>
            <w:tcW w:w="2551" w:type="dxa"/>
            <w:vAlign w:val="top"/>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6</w:t>
            </w:r>
            <w:r>
              <w:rPr>
                <w:rFonts w:ascii="Calibri" w:hAnsi="Calibri" w:eastAsia="宋体" w:cs="Calibri"/>
                <w:color w:val="000000"/>
                <w:sz w:val="22"/>
                <w:szCs w:val="22"/>
                <w:lang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4</w:t>
            </w:r>
            <w:r>
              <w:rPr>
                <w:rFonts w:ascii="Calibri" w:hAnsi="Calibri" w:eastAsia="宋体" w:cs="Calibri"/>
                <w:color w:val="000000"/>
                <w:sz w:val="22"/>
                <w:szCs w:val="22"/>
                <w:lang w:eastAsia="zh-CN" w:bidi="ar"/>
              </w:rPr>
              <w:t>0</w:t>
            </w:r>
          </w:p>
        </w:tc>
        <w:tc>
          <w:tcPr>
            <w:tcW w:w="2551" w:type="dxa"/>
          </w:tcPr>
          <w:p>
            <w:pPr>
              <w:jc w:val="right"/>
            </w:pPr>
          </w:p>
        </w:tc>
        <w:tc>
          <w:tcPr>
            <w:tcW w:w="2551" w:type="dxa"/>
            <w:vAlign w:val="top"/>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4</w:t>
            </w:r>
            <w:r>
              <w:rPr>
                <w:rFonts w:ascii="Calibri" w:hAnsi="Calibri" w:eastAsia="宋体" w:cs="Calibri"/>
                <w:color w:val="000000"/>
                <w:sz w:val="22"/>
                <w:szCs w:val="22"/>
                <w:lang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tcPr>
          <w:p>
            <w:pPr>
              <w:jc w:val="right"/>
              <w:textAlignment w:val="top"/>
              <w:rPr>
                <w:rFonts w:hint="default"/>
                <w:lang w:val="en-US"/>
              </w:rPr>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73</w:t>
            </w:r>
          </w:p>
        </w:tc>
        <w:tc>
          <w:tcPr>
            <w:tcW w:w="2551" w:type="dxa"/>
          </w:tcPr>
          <w:p>
            <w:pPr>
              <w:jc w:val="right"/>
            </w:pPr>
          </w:p>
        </w:tc>
        <w:tc>
          <w:tcPr>
            <w:tcW w:w="2551" w:type="dxa"/>
            <w:vAlign w:val="top"/>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2.82</w:t>
            </w:r>
          </w:p>
        </w:tc>
        <w:tc>
          <w:tcPr>
            <w:tcW w:w="2551" w:type="dxa"/>
          </w:tcPr>
          <w:p>
            <w:pPr>
              <w:jc w:val="right"/>
            </w:pP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tcPr>
          <w:p>
            <w:pPr>
              <w:jc w:val="right"/>
              <w:textAlignment w:val="top"/>
            </w:pPr>
            <w:r>
              <w:rPr>
                <w:rFonts w:ascii="Calibri" w:hAnsi="Calibri" w:eastAsia="宋体" w:cs="Calibri"/>
                <w:color w:val="000000"/>
                <w:sz w:val="22"/>
                <w:szCs w:val="22"/>
                <w:lang w:eastAsia="zh-CN" w:bidi="ar"/>
              </w:rPr>
              <w:t>0.12</w:t>
            </w:r>
          </w:p>
        </w:tc>
        <w:tc>
          <w:tcPr>
            <w:tcW w:w="2551" w:type="dxa"/>
          </w:tcPr>
          <w:p>
            <w:pPr>
              <w:jc w:val="right"/>
            </w:pPr>
          </w:p>
        </w:tc>
        <w:tc>
          <w:tcPr>
            <w:tcW w:w="2551" w:type="dxa"/>
            <w:vAlign w:val="top"/>
          </w:tcPr>
          <w:p>
            <w:pPr>
              <w:jc w:val="right"/>
              <w:textAlignment w:val="top"/>
            </w:pPr>
            <w:r>
              <w:rPr>
                <w:rFonts w:ascii="Calibri" w:hAnsi="Calibri" w:eastAsia="宋体" w:cs="Calibri"/>
                <w:color w:val="000000"/>
                <w:sz w:val="22"/>
                <w:szCs w:val="22"/>
                <w:lang w:eastAsia="zh-CN" w:bidi="ar"/>
              </w:rPr>
              <w:t>0.12</w:t>
            </w:r>
          </w:p>
        </w:tc>
      </w:tr>
    </w:tbl>
    <w:p>
      <w:pPr>
        <w:jc w:val="center"/>
        <w:outlineLvl w:val="1"/>
        <w:rPr>
          <w:rFonts w:hint="eastAsia" w:ascii="方正小标宋_GBK" w:hAnsi="方正小标宋_GBK" w:eastAsia="方正小标宋_GBK" w:cs="方正小标宋_GBK"/>
          <w:color w:val="000000"/>
          <w:sz w:val="36"/>
          <w:lang w:eastAsia="zh-CN"/>
        </w:rPr>
      </w:pPr>
      <w:bookmarkStart w:id="6" w:name="_Toc8880"/>
    </w:p>
    <w:p>
      <w:pPr>
        <w:jc w:val="center"/>
        <w:outlineLvl w:val="1"/>
      </w:pPr>
      <w:r>
        <w:rPr>
          <w:rFonts w:ascii="方正小标宋_GBK" w:hAnsi="方正小标宋_GBK" w:eastAsia="方正小标宋_GBK" w:cs="方正小标宋_GBK"/>
          <w:color w:val="000000"/>
          <w:sz w:val="36"/>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t>3</w:t>
            </w:r>
            <w:r>
              <w:rPr>
                <w:rFonts w:hint="eastAsia"/>
                <w:lang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23817"/>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w:t>
            </w:r>
            <w:r>
              <w:rPr>
                <w:rFonts w:hint="eastAsia"/>
                <w:lang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30949"/>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3</w:t>
            </w:r>
            <w:r>
              <w:rPr>
                <w:rFonts w:hint="eastAsia"/>
                <w:lang w:eastAsia="zh-CN"/>
              </w:rPr>
              <w:t>82中共涞水县委机构编制委员会办公室</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jc w:val="both"/>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 xml:space="preserve">X </w:t>
      </w:r>
      <w:r>
        <w:rPr>
          <w:rFonts w:hint="eastAsia" w:ascii="方正书宋_GBK" w:hAnsi="方正书宋_GBK" w:eastAsia="方正书宋_GBK" w:cs="方正书宋_GBK"/>
          <w:color w:val="000000"/>
          <w:sz w:val="21"/>
          <w:lang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财政拨款</w:t>
      </w:r>
      <w:r>
        <w:rPr>
          <w:rFonts w:hint="eastAsia" w:ascii="方正书宋_GBK" w:hAnsi="方正书宋_GBK" w:eastAsia="方正书宋_GBK" w:cs="方正书宋_GBK"/>
          <w:color w:val="000000"/>
          <w:sz w:val="21"/>
        </w:rPr>
        <w:t>“三公”经费支出预算，空表列示。</w:t>
      </w:r>
      <w:r>
        <w:rPr>
          <w:rFonts w:ascii="方正书宋_GBK" w:hAnsi="方正书宋_GBK" w:eastAsia="方正书宋_GBK" w:cs="方正书宋_GBK"/>
          <w:color w:val="FFFFFF"/>
          <w:sz w:val="21"/>
        </w:rPr>
        <w:t>部门预算信息公开情况说明</w:t>
      </w:r>
    </w:p>
    <w:p>
      <w:pPr>
        <w:jc w:val="center"/>
        <w:rPr>
          <w:w w:val="90"/>
        </w:rPr>
      </w:pPr>
      <w:r>
        <w:rPr>
          <w:rFonts w:hint="eastAsia" w:ascii="方正小标宋_GBK" w:hAnsi="方正小标宋_GBK" w:eastAsia="方正小标宋_GBK" w:cs="方正小标宋_GBK"/>
          <w:color w:val="000000"/>
          <w:w w:val="90"/>
          <w:sz w:val="44"/>
          <w:lang w:eastAsia="zh-CN"/>
        </w:rPr>
        <w:t>中共涞水县委机构编制委员会办公室</w:t>
      </w:r>
      <w:r>
        <w:rPr>
          <w:rFonts w:ascii="方正小标宋_GBK" w:hAnsi="方正小标宋_GBK" w:eastAsia="方正小标宋_GBK" w:cs="方正小标宋_GBK"/>
          <w:color w:val="000000"/>
          <w:w w:val="90"/>
          <w:sz w:val="44"/>
        </w:rPr>
        <w:t>202</w:t>
      </w:r>
      <w:r>
        <w:rPr>
          <w:rFonts w:hint="eastAsia" w:ascii="方正小标宋_GBK" w:hAnsi="方正小标宋_GBK" w:eastAsia="方正小标宋_GBK" w:cs="方正小标宋_GBK"/>
          <w:color w:val="000000"/>
          <w:w w:val="90"/>
          <w:sz w:val="44"/>
          <w:lang w:val="en-US" w:eastAsia="zh-CN"/>
        </w:rPr>
        <w:t>1</w:t>
      </w:r>
      <w:r>
        <w:rPr>
          <w:rFonts w:ascii="方正小标宋_GBK" w:hAnsi="方正小标宋_GBK" w:eastAsia="方正小标宋_GBK" w:cs="方正小标宋_GBK"/>
          <w:color w:val="000000"/>
          <w:w w:val="9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中共涞水县委机构编制委员会办公室</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年部门预算公开如下：</w:t>
      </w:r>
    </w:p>
    <w:p>
      <w:pPr>
        <w:spacing w:before="10" w:after="10" w:line="360" w:lineRule="auto"/>
        <w:ind w:firstLine="640"/>
        <w:outlineLvl w:val="2"/>
      </w:pPr>
      <w:bookmarkStart w:id="9" w:name="_Toc9002"/>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中共涞水县委机构编制委员会办公室</w:t>
      </w:r>
      <w:r>
        <w:t>部门职责</w:t>
      </w:r>
    </w:p>
    <w:p>
      <w:pPr>
        <w:pStyle w:val="23"/>
      </w:pPr>
      <w:r>
        <w:rPr>
          <w:rFonts w:hint="eastAsia"/>
          <w:lang w:eastAsia="zh-CN"/>
        </w:rPr>
        <w:t>（一）</w:t>
      </w:r>
      <w:r>
        <w:rPr>
          <w:rFonts w:hint="eastAsia"/>
        </w:rPr>
        <w:t>研究制定全县行政管理体制和机构改革以及机构编制管理办法。统一管理全县党政机关，人大、政协、法院、检察院机关，各民主党派、人民团体的机构编制工作。</w:t>
      </w:r>
    </w:p>
    <w:p>
      <w:pPr>
        <w:pStyle w:val="23"/>
      </w:pPr>
      <w:r>
        <w:rPr>
          <w:rFonts w:hint="eastAsia"/>
          <w:lang w:eastAsia="zh-CN"/>
        </w:rPr>
        <w:t>（二）</w:t>
      </w:r>
      <w:r>
        <w:rPr>
          <w:rFonts w:hint="eastAsia"/>
        </w:rPr>
        <w:t>研究拟定全县行政管理体制与机构编制总体方案，指导、协调县直、乡镇行政管理体制以及机构编制管理工作。</w:t>
      </w:r>
    </w:p>
    <w:p>
      <w:pPr>
        <w:pStyle w:val="23"/>
      </w:pPr>
      <w:r>
        <w:rPr>
          <w:rFonts w:hint="eastAsia"/>
          <w:lang w:eastAsia="zh-CN"/>
        </w:rPr>
        <w:t>（三）</w:t>
      </w:r>
      <w:r>
        <w:rPr>
          <w:rFonts w:hint="eastAsia"/>
        </w:rPr>
        <w:t>协调县委各部门、县政府各部门的职能配置及其调整，协调县委各部门之间、县政府各部门之间，县委各部门和县政府各部门之间以及各部门与乡镇之间的职责分工。</w:t>
      </w:r>
    </w:p>
    <w:p>
      <w:pPr>
        <w:pStyle w:val="23"/>
      </w:pPr>
      <w:r>
        <w:rPr>
          <w:rFonts w:hint="eastAsia"/>
          <w:lang w:eastAsia="zh-CN"/>
        </w:rPr>
        <w:t>（四）</w:t>
      </w:r>
      <w:r>
        <w:rPr>
          <w:rFonts w:hint="eastAsia"/>
        </w:rPr>
        <w:t>审核县委各部门、县政府各部门派出机构、垂直或以县为主管理机构的职能配置、机构设置、人员编制和领导职数；审核乡镇党委、政府副科级以上职能配置、机构设置、人员编制、领导职数，审核乡镇机构编制分类和乡镇、县直党政群机关人员编制总额；审核县直承担行政职能事业单位的科级以上机构设置。</w:t>
      </w:r>
    </w:p>
    <w:p>
      <w:pPr>
        <w:pStyle w:val="23"/>
      </w:pPr>
      <w:r>
        <w:rPr>
          <w:rFonts w:hint="eastAsia"/>
          <w:lang w:eastAsia="zh-CN"/>
        </w:rPr>
        <w:t>（五）</w:t>
      </w:r>
      <w:r>
        <w:rPr>
          <w:rFonts w:hint="eastAsia"/>
        </w:rPr>
        <w:t>审核县人大、政协、法院、检察院和各民主党派、人民团体机关的职能配置、机构设置、人员编制和领导职数。</w:t>
      </w:r>
    </w:p>
    <w:p>
      <w:pPr>
        <w:pStyle w:val="23"/>
      </w:pPr>
      <w:r>
        <w:rPr>
          <w:rFonts w:hint="eastAsia"/>
          <w:lang w:eastAsia="zh-CN"/>
        </w:rPr>
        <w:t>（六）</w:t>
      </w:r>
      <w:r>
        <w:rPr>
          <w:rFonts w:hint="eastAsia"/>
        </w:rPr>
        <w:t>研究拟定全县事业单位管理体制和机构改革方案；审核县委、县政府直属事业单位的机构编制方案；上述或审批县直各部门所属事业单位的机构设置、职责任务、人员编制和领导职数；负责事业单位法人登记的管理；负责事业机构编制管理方面其它重要事项；指导并协调乡镇以下事业管理体制改革和机构编制管理工作。</w:t>
      </w:r>
    </w:p>
    <w:p>
      <w:pPr>
        <w:pStyle w:val="23"/>
      </w:pPr>
      <w:r>
        <w:rPr>
          <w:rFonts w:hint="eastAsia"/>
          <w:lang w:eastAsia="zh-CN"/>
        </w:rPr>
        <w:t>（七）</w:t>
      </w:r>
      <w:r>
        <w:rPr>
          <w:rFonts w:hint="eastAsia"/>
        </w:rPr>
        <w:t>指导全县开发区（园区）行政管理体制改革工作。组织拟订开发区（园区）机构编制管理办法并组织实施，审核开发区（园区）职能配置、机构设置、人员编制和领导职数。</w:t>
      </w:r>
    </w:p>
    <w:p>
      <w:pPr>
        <w:pStyle w:val="23"/>
      </w:pPr>
      <w:r>
        <w:rPr>
          <w:rFonts w:hint="eastAsia"/>
          <w:lang w:eastAsia="zh-CN"/>
        </w:rPr>
        <w:t>（八）</w:t>
      </w:r>
      <w:r>
        <w:rPr>
          <w:rFonts w:hint="eastAsia"/>
        </w:rPr>
        <w:t>负责全县机构编制的总量控制和动态管理。会同有关部门负责机构编制实名制工作；负责县直机关事业单位编制使用核准；建立健全机构编制部门与有关部门间的协调配合约束机制。</w:t>
      </w:r>
    </w:p>
    <w:p>
      <w:pPr>
        <w:pStyle w:val="23"/>
      </w:pPr>
      <w:r>
        <w:rPr>
          <w:rFonts w:hint="eastAsia"/>
          <w:lang w:eastAsia="zh-CN"/>
        </w:rPr>
        <w:t>（九）</w:t>
      </w:r>
      <w:r>
        <w:rPr>
          <w:rFonts w:hint="eastAsia"/>
        </w:rPr>
        <w:t>负责对各乡镇、各部门行政、事业单位管理体制和机构改革及机构编制执行情况的跟踪评估和监督检查。负责受理违反机构编制法规、纪律的检举、控告和投诉，对违反机构编制法规、纪律问题进行调查处理。</w:t>
      </w:r>
    </w:p>
    <w:p>
      <w:pPr>
        <w:pStyle w:val="23"/>
      </w:pPr>
      <w:r>
        <w:rPr>
          <w:rFonts w:hint="eastAsia"/>
          <w:lang w:eastAsia="zh-CN"/>
        </w:rPr>
        <w:t>（十）</w:t>
      </w:r>
      <w:r>
        <w:rPr>
          <w:rFonts w:hint="eastAsia"/>
        </w:rPr>
        <w:t>负责全县事业单位法人登记管理工作。</w:t>
      </w:r>
    </w:p>
    <w:p>
      <w:pPr>
        <w:pStyle w:val="23"/>
      </w:pPr>
      <w:r>
        <w:rPr>
          <w:rFonts w:hint="eastAsia"/>
          <w:lang w:eastAsia="zh-CN"/>
        </w:rPr>
        <w:t>（十一）</w:t>
      </w:r>
      <w:r>
        <w:rPr>
          <w:rFonts w:hint="eastAsia"/>
        </w:rPr>
        <w:t xml:space="preserve">负责全县机构编制电子政务和信息化工作。负责全县机构编制统计工作；负责机构编制网站的建设管理以及网络安全工作；指导全县党政群机关、事业单位和其他非营利性单位网上名称管理工作。 </w:t>
      </w:r>
    </w:p>
    <w:p>
      <w:pPr>
        <w:pStyle w:val="23"/>
      </w:pPr>
      <w:r>
        <w:rPr>
          <w:rFonts w:hint="eastAsia"/>
          <w:lang w:eastAsia="zh-CN"/>
        </w:rPr>
        <w:t>（十二）</w:t>
      </w:r>
      <w:r>
        <w:rPr>
          <w:rFonts w:hint="eastAsia"/>
        </w:rPr>
        <w:t>组织开展行政体制改革及机构编制管理创新基础性和前瞻性研究。</w:t>
      </w:r>
    </w:p>
    <w:p>
      <w:pPr>
        <w:pStyle w:val="23"/>
      </w:pPr>
      <w:r>
        <w:rPr>
          <w:rFonts w:hint="eastAsia"/>
          <w:lang w:eastAsia="zh-CN"/>
        </w:rPr>
        <w:t>（十三）</w:t>
      </w:r>
      <w:r>
        <w:rPr>
          <w:rFonts w:hint="eastAsia"/>
        </w:rPr>
        <w:t>完成县委、县政府和县委机构编制委员会交办的其他任务。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中共涞水县委机构编制委员会办公室</w:t>
            </w:r>
            <w:r>
              <w:t>（本级）</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line="360" w:lineRule="auto"/>
        <w:ind w:firstLine="640"/>
        <w:outlineLvl w:val="2"/>
      </w:pPr>
      <w:bookmarkStart w:id="10" w:name="_Toc32461"/>
      <w:r>
        <w:rPr>
          <w:rFonts w:ascii="黑体" w:hAnsi="黑体" w:eastAsia="黑体" w:cs="黑体"/>
          <w:color w:val="000000"/>
          <w:sz w:val="32"/>
        </w:rPr>
        <w:t>二、部门预算安排的总体情况</w:t>
      </w:r>
      <w:bookmarkEnd w:id="10"/>
    </w:p>
    <w:p>
      <w:pPr>
        <w:spacing w:line="500" w:lineRule="exact"/>
        <w:ind w:firstLine="561"/>
        <w:rPr>
          <w:rFonts w:hint="eastAsia" w:eastAsia="方正仿宋_GBK"/>
          <w:color w:val="000000"/>
          <w:sz w:val="28"/>
          <w:lang w:eastAsia="zh-CN"/>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中共涞水县委机构编制委员会办公室</w:t>
      </w:r>
      <w:r>
        <w:rPr>
          <w:rFonts w:eastAsia="方正仿宋_GBK"/>
          <w:color w:val="000000"/>
          <w:sz w:val="28"/>
        </w:rPr>
        <w:t>机关及所属事业单位的收支包含在部门预算中。</w:t>
      </w:r>
    </w:p>
    <w:p>
      <w:pPr>
        <w:spacing w:line="500" w:lineRule="exact"/>
        <w:ind w:firstLine="561"/>
        <w:outlineLvl w:val="2"/>
        <w:rPr>
          <w:rFonts w:hint="eastAsia" w:eastAsia="方正仿宋_GBK"/>
          <w:color w:val="000000"/>
          <w:sz w:val="28"/>
        </w:rPr>
      </w:pPr>
      <w:bookmarkStart w:id="11" w:name="_Toc31900"/>
      <w:r>
        <w:rPr>
          <w:rFonts w:hint="eastAsia" w:eastAsia="方正仿宋_GBK"/>
          <w:color w:val="000000"/>
          <w:sz w:val="28"/>
        </w:rPr>
        <w:t>（一）收入说明</w:t>
      </w:r>
    </w:p>
    <w:p>
      <w:pPr>
        <w:spacing w:line="500" w:lineRule="exact"/>
        <w:ind w:firstLine="561"/>
        <w:outlineLvl w:val="2"/>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年本部门预算收入总额为</w:t>
      </w:r>
      <w:r>
        <w:rPr>
          <w:rFonts w:hint="eastAsia" w:eastAsia="方正仿宋_GBK"/>
          <w:color w:val="000000"/>
          <w:sz w:val="28"/>
          <w:lang w:val="en-US" w:eastAsia="zh-CN"/>
        </w:rPr>
        <w:t>63.77</w:t>
      </w:r>
      <w:r>
        <w:rPr>
          <w:rFonts w:hint="eastAsia" w:eastAsia="方正仿宋_GBK"/>
          <w:color w:val="000000"/>
          <w:sz w:val="28"/>
        </w:rPr>
        <w:t>万元，其中：一般公共财政拨款收入</w:t>
      </w:r>
      <w:r>
        <w:rPr>
          <w:rFonts w:hint="eastAsia" w:eastAsia="方正仿宋_GBK"/>
          <w:color w:val="000000"/>
          <w:sz w:val="28"/>
          <w:lang w:val="en-US" w:eastAsia="zh-CN"/>
        </w:rPr>
        <w:t>63.77</w:t>
      </w:r>
      <w:r>
        <w:rPr>
          <w:rFonts w:hint="eastAsia" w:eastAsia="方正仿宋_GBK"/>
          <w:color w:val="000000"/>
          <w:sz w:val="28"/>
        </w:rPr>
        <w:t>万元，政府性基金预算拨款收入0万元，国有资产经营预算拨款收入0万元，其他来源收入0万元。</w:t>
      </w:r>
    </w:p>
    <w:p>
      <w:pPr>
        <w:spacing w:line="500" w:lineRule="exact"/>
        <w:ind w:firstLine="561"/>
        <w:outlineLvl w:val="2"/>
        <w:rPr>
          <w:rFonts w:hint="eastAsia" w:eastAsia="方正仿宋_GBK"/>
          <w:color w:val="000000"/>
          <w:sz w:val="28"/>
        </w:rPr>
      </w:pPr>
      <w:r>
        <w:rPr>
          <w:rFonts w:hint="eastAsia" w:eastAsia="方正仿宋_GBK"/>
          <w:color w:val="000000"/>
          <w:sz w:val="28"/>
        </w:rPr>
        <w:t>（二）支出说明</w:t>
      </w:r>
    </w:p>
    <w:p>
      <w:pPr>
        <w:spacing w:line="500" w:lineRule="exact"/>
        <w:ind w:firstLine="561"/>
        <w:outlineLvl w:val="2"/>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年安排预算支出</w:t>
      </w:r>
      <w:r>
        <w:rPr>
          <w:rFonts w:hint="eastAsia" w:eastAsia="方正仿宋_GBK"/>
          <w:color w:val="000000"/>
          <w:sz w:val="28"/>
          <w:lang w:val="en-US" w:eastAsia="zh-CN"/>
        </w:rPr>
        <w:t>63.77</w:t>
      </w:r>
      <w:r>
        <w:rPr>
          <w:rFonts w:hint="eastAsia" w:eastAsia="方正仿宋_GBK"/>
          <w:color w:val="000000"/>
          <w:sz w:val="28"/>
        </w:rPr>
        <w:t>万元，其中：人员支出</w:t>
      </w:r>
      <w:r>
        <w:rPr>
          <w:rFonts w:hint="eastAsia" w:eastAsia="方正仿宋_GBK"/>
          <w:color w:val="000000"/>
          <w:sz w:val="28"/>
          <w:lang w:val="en-US" w:eastAsia="zh-CN"/>
        </w:rPr>
        <w:t>50.58</w:t>
      </w:r>
      <w:r>
        <w:rPr>
          <w:rFonts w:hint="eastAsia" w:eastAsia="方正仿宋_GBK"/>
          <w:color w:val="000000"/>
          <w:sz w:val="28"/>
        </w:rPr>
        <w:t>万元，日常公用支出</w:t>
      </w:r>
      <w:r>
        <w:rPr>
          <w:rFonts w:hint="eastAsia" w:eastAsia="方正仿宋_GBK"/>
          <w:color w:val="000000"/>
          <w:sz w:val="28"/>
          <w:lang w:val="en-US" w:eastAsia="zh-CN"/>
        </w:rPr>
        <w:t>6.35</w:t>
      </w:r>
      <w:r>
        <w:rPr>
          <w:rFonts w:hint="eastAsia" w:eastAsia="方正仿宋_GBK"/>
          <w:color w:val="000000"/>
          <w:sz w:val="28"/>
        </w:rPr>
        <w:t>万元。项目支出</w:t>
      </w:r>
      <w:r>
        <w:rPr>
          <w:rFonts w:hint="eastAsia" w:eastAsia="方正仿宋_GBK"/>
          <w:color w:val="000000"/>
          <w:sz w:val="28"/>
          <w:lang w:val="en-US" w:eastAsia="zh-CN"/>
        </w:rPr>
        <w:t>6.84</w:t>
      </w:r>
      <w:r>
        <w:rPr>
          <w:rFonts w:hint="eastAsia" w:eastAsia="方正仿宋_GBK"/>
          <w:color w:val="000000"/>
          <w:sz w:val="28"/>
        </w:rPr>
        <w:t>万元。</w:t>
      </w:r>
    </w:p>
    <w:p>
      <w:pPr>
        <w:spacing w:line="500" w:lineRule="exact"/>
        <w:ind w:firstLine="561"/>
        <w:outlineLvl w:val="2"/>
        <w:rPr>
          <w:rFonts w:hint="eastAsia" w:eastAsia="方正仿宋_GBK"/>
          <w:color w:val="000000"/>
          <w:sz w:val="28"/>
        </w:rPr>
      </w:pPr>
      <w:r>
        <w:rPr>
          <w:rFonts w:hint="eastAsia" w:eastAsia="方正仿宋_GBK"/>
          <w:color w:val="000000"/>
          <w:sz w:val="28"/>
        </w:rPr>
        <w:t>（三）比上年增减情况</w:t>
      </w:r>
    </w:p>
    <w:p>
      <w:pPr>
        <w:spacing w:line="500" w:lineRule="exact"/>
        <w:ind w:firstLine="561"/>
        <w:outlineLvl w:val="2"/>
        <w:rPr>
          <w:rFonts w:hint="eastAsia" w:eastAsia="方正仿宋_GBK"/>
          <w:color w:val="000000"/>
          <w:sz w:val="28"/>
        </w:rPr>
      </w:pPr>
      <w:r>
        <w:rPr>
          <w:rFonts w:hint="eastAsia" w:eastAsia="方正仿宋_GBK"/>
          <w:color w:val="000000"/>
          <w:sz w:val="28"/>
        </w:rPr>
        <w:t>本年度本部门预算收支安排</w:t>
      </w:r>
      <w:r>
        <w:rPr>
          <w:rFonts w:hint="eastAsia" w:eastAsia="方正仿宋_GBK"/>
          <w:color w:val="000000"/>
          <w:sz w:val="28"/>
          <w:lang w:val="en-US" w:eastAsia="zh-CN"/>
        </w:rPr>
        <w:t>63.77</w:t>
      </w:r>
      <w:r>
        <w:rPr>
          <w:rFonts w:hint="eastAsia" w:eastAsia="方正仿宋_GBK"/>
          <w:color w:val="000000"/>
          <w:sz w:val="28"/>
        </w:rPr>
        <w:t>万元，较上年增加</w:t>
      </w:r>
      <w:r>
        <w:rPr>
          <w:rFonts w:hint="eastAsia" w:eastAsia="方正仿宋_GBK"/>
          <w:color w:val="000000"/>
          <w:sz w:val="28"/>
          <w:lang w:val="en-US" w:eastAsia="zh-CN"/>
        </w:rPr>
        <w:t>8.44</w:t>
      </w:r>
      <w:r>
        <w:rPr>
          <w:rFonts w:hint="eastAsia" w:eastAsia="方正仿宋_GBK"/>
          <w:color w:val="000000"/>
          <w:sz w:val="28"/>
        </w:rPr>
        <w:t>万元。其中基本支出增加</w:t>
      </w:r>
      <w:r>
        <w:rPr>
          <w:rFonts w:hint="eastAsia" w:eastAsia="方正仿宋_GBK"/>
          <w:color w:val="000000"/>
          <w:sz w:val="28"/>
          <w:lang w:val="en-US" w:eastAsia="zh-CN"/>
        </w:rPr>
        <w:t>1.45</w:t>
      </w:r>
      <w:r>
        <w:rPr>
          <w:rFonts w:hint="eastAsia" w:eastAsia="方正仿宋_GBK"/>
          <w:color w:val="000000"/>
          <w:sz w:val="28"/>
        </w:rPr>
        <w:t>万元，主要是工资的增加。公用经费支出增加</w:t>
      </w:r>
      <w:r>
        <w:rPr>
          <w:rFonts w:hint="eastAsia" w:eastAsia="方正仿宋_GBK"/>
          <w:color w:val="000000"/>
          <w:sz w:val="28"/>
          <w:lang w:val="en-US" w:eastAsia="zh-CN"/>
        </w:rPr>
        <w:t>0.15</w:t>
      </w:r>
      <w:r>
        <w:rPr>
          <w:rFonts w:hint="eastAsia" w:eastAsia="方正仿宋_GBK"/>
          <w:color w:val="000000"/>
          <w:sz w:val="28"/>
        </w:rPr>
        <w:t>万元，主要是一人交通补贴、办公经费、差旅费、工会经费、职工福利费的增加。项目支出增加</w:t>
      </w:r>
      <w:r>
        <w:rPr>
          <w:rFonts w:hint="eastAsia" w:eastAsia="方正仿宋_GBK"/>
          <w:color w:val="000000"/>
          <w:sz w:val="28"/>
          <w:lang w:val="en-US" w:eastAsia="zh-CN"/>
        </w:rPr>
        <w:t>6.84</w:t>
      </w:r>
      <w:r>
        <w:rPr>
          <w:rFonts w:hint="eastAsia" w:eastAsia="方正仿宋_GBK"/>
          <w:color w:val="000000"/>
          <w:sz w:val="28"/>
        </w:rPr>
        <w:t>万元，为</w:t>
      </w:r>
      <w:r>
        <w:rPr>
          <w:rFonts w:hint="eastAsia" w:eastAsia="方正仿宋_GBK"/>
          <w:color w:val="000000"/>
          <w:sz w:val="28"/>
          <w:lang w:val="en-US" w:eastAsia="zh-CN"/>
        </w:rPr>
        <w:t>中文域名运行维护</w:t>
      </w:r>
      <w:r>
        <w:rPr>
          <w:rFonts w:hint="eastAsia" w:eastAsia="方正仿宋_GBK"/>
          <w:color w:val="000000"/>
          <w:sz w:val="28"/>
        </w:rPr>
        <w:t>费。</w:t>
      </w:r>
    </w:p>
    <w:p>
      <w:pPr>
        <w:spacing w:before="10" w:after="10" w:line="360" w:lineRule="auto"/>
        <w:ind w:firstLine="640" w:firstLineChars="200"/>
        <w:outlineLvl w:val="2"/>
      </w:pPr>
      <w:r>
        <w:rPr>
          <w:rFonts w:ascii="黑体" w:hAnsi="黑体" w:eastAsia="黑体" w:cs="黑体"/>
          <w:color w:val="000000"/>
          <w:sz w:val="32"/>
        </w:rPr>
        <w:t>三、机关运行经费安排情况</w:t>
      </w:r>
      <w:bookmarkEnd w:id="11"/>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中共涞水县委机构编制委员会办公室</w:t>
      </w:r>
      <w:r>
        <w:rPr>
          <w:rFonts w:hint="eastAsia" w:eastAsia="方正仿宋_GBK"/>
          <w:color w:val="000000"/>
          <w:sz w:val="28"/>
        </w:rPr>
        <w:t>部门预算安排机关运行经费支出</w:t>
      </w:r>
      <w:r>
        <w:rPr>
          <w:rFonts w:hint="eastAsia" w:eastAsia="方正仿宋_GBK"/>
          <w:color w:val="000000"/>
          <w:sz w:val="28"/>
          <w:lang w:val="en-US" w:eastAsia="zh-CN"/>
        </w:rPr>
        <w:t>6.35</w:t>
      </w:r>
      <w:r>
        <w:rPr>
          <w:rFonts w:hint="eastAsia" w:eastAsia="方正仿宋_GBK"/>
          <w:color w:val="000000"/>
          <w:sz w:val="28"/>
        </w:rPr>
        <w:t>万元，其中包括办公费</w:t>
      </w:r>
      <w:r>
        <w:rPr>
          <w:rFonts w:hint="eastAsia" w:eastAsia="方正仿宋_GBK"/>
          <w:color w:val="000000"/>
          <w:sz w:val="28"/>
          <w:lang w:val="en-US" w:eastAsia="zh-CN"/>
        </w:rPr>
        <w:t>1.32</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w:t>
      </w:r>
      <w:r>
        <w:rPr>
          <w:rFonts w:hint="eastAsia" w:eastAsia="方正仿宋_GBK"/>
          <w:color w:val="000000"/>
          <w:sz w:val="28"/>
          <w:lang w:val="en-US" w:eastAsia="zh-CN"/>
        </w:rPr>
        <w:t>差旅费0.6万元、</w:t>
      </w:r>
      <w:r>
        <w:rPr>
          <w:rFonts w:hint="eastAsia" w:eastAsia="方正仿宋_GBK"/>
          <w:color w:val="000000"/>
          <w:sz w:val="28"/>
        </w:rPr>
        <w:t>公务交通补贴</w:t>
      </w:r>
      <w:r>
        <w:rPr>
          <w:rFonts w:hint="eastAsia" w:eastAsia="方正仿宋_GBK"/>
          <w:color w:val="000000"/>
          <w:sz w:val="28"/>
          <w:lang w:val="en-US" w:eastAsia="zh-CN"/>
        </w:rPr>
        <w:t>2.82</w:t>
      </w:r>
      <w:r>
        <w:rPr>
          <w:rFonts w:hint="eastAsia" w:eastAsia="方正仿宋_GBK"/>
          <w:color w:val="000000"/>
          <w:sz w:val="28"/>
        </w:rPr>
        <w:t>万元、工会经费</w:t>
      </w:r>
      <w:r>
        <w:rPr>
          <w:rFonts w:hint="eastAsia" w:eastAsia="方正仿宋_GBK"/>
          <w:color w:val="000000"/>
          <w:sz w:val="28"/>
          <w:lang w:eastAsia="zh-CN"/>
        </w:rPr>
        <w:t>0.</w:t>
      </w:r>
      <w:r>
        <w:rPr>
          <w:rFonts w:hint="eastAsia" w:eastAsia="方正仿宋_GBK"/>
          <w:color w:val="000000"/>
          <w:sz w:val="28"/>
          <w:lang w:val="en-US" w:eastAsia="zh-CN"/>
        </w:rPr>
        <w:t>4</w:t>
      </w:r>
      <w:r>
        <w:rPr>
          <w:rFonts w:hint="eastAsia" w:eastAsia="方正仿宋_GBK"/>
          <w:color w:val="000000"/>
          <w:sz w:val="28"/>
        </w:rPr>
        <w:t>万元、福利费</w:t>
      </w:r>
      <w:r>
        <w:rPr>
          <w:rFonts w:hint="eastAsia" w:eastAsia="方正仿宋_GBK"/>
          <w:color w:val="000000"/>
          <w:sz w:val="28"/>
          <w:lang w:eastAsia="zh-CN"/>
        </w:rPr>
        <w:t>0.</w:t>
      </w:r>
      <w:r>
        <w:rPr>
          <w:rFonts w:hint="eastAsia" w:eastAsia="方正仿宋_GBK"/>
          <w:color w:val="000000"/>
          <w:sz w:val="28"/>
          <w:lang w:val="en-US" w:eastAsia="zh-CN"/>
        </w:rPr>
        <w:t>73</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其他商品和服务费支出0.12万元</w:t>
      </w:r>
      <w:r>
        <w:rPr>
          <w:rFonts w:hint="eastAsia" w:eastAsia="方正仿宋_GBK"/>
          <w:color w:val="000000"/>
          <w:sz w:val="28"/>
        </w:rPr>
        <w:t>。</w:t>
      </w:r>
    </w:p>
    <w:p>
      <w:pPr>
        <w:spacing w:before="10" w:after="10" w:line="360" w:lineRule="auto"/>
        <w:ind w:firstLine="640"/>
        <w:outlineLvl w:val="2"/>
      </w:pPr>
      <w:bookmarkStart w:id="12" w:name="_Toc28600"/>
      <w:r>
        <w:rPr>
          <w:rFonts w:ascii="黑体" w:hAnsi="黑体" w:eastAsia="黑体" w:cs="黑体"/>
          <w:color w:val="000000"/>
          <w:sz w:val="32"/>
        </w:rPr>
        <w:t>四、财政拨款“三公”经费预算情况及增减变化原因</w:t>
      </w:r>
      <w:bookmarkEnd w:id="12"/>
    </w:p>
    <w:tbl>
      <w:tblPr>
        <w:tblStyle w:val="9"/>
        <w:tblW w:w="14124" w:type="dxa"/>
        <w:tblInd w:w="0" w:type="dxa"/>
        <w:tblLayout w:type="fixed"/>
        <w:tblCellMar>
          <w:top w:w="0" w:type="dxa"/>
          <w:left w:w="108" w:type="dxa"/>
          <w:bottom w:w="0" w:type="dxa"/>
          <w:right w:w="108" w:type="dxa"/>
        </w:tblCellMar>
      </w:tblPr>
      <w:tblGrid>
        <w:gridCol w:w="2894"/>
        <w:gridCol w:w="1400"/>
        <w:gridCol w:w="1276"/>
        <w:gridCol w:w="2444"/>
        <w:gridCol w:w="6110"/>
      </w:tblGrid>
      <w:tr>
        <w:tblPrEx>
          <w:tblCellMar>
            <w:top w:w="0" w:type="dxa"/>
            <w:left w:w="108" w:type="dxa"/>
            <w:bottom w:w="0" w:type="dxa"/>
            <w:right w:w="108" w:type="dxa"/>
          </w:tblCellMar>
        </w:tblPrEx>
        <w:trPr>
          <w:trHeight w:val="221" w:hRule="atLeast"/>
        </w:trPr>
        <w:tc>
          <w:tcPr>
            <w:tcW w:w="2894" w:type="dxa"/>
            <w:tcBorders>
              <w:top w:val="nil"/>
              <w:left w:val="nil"/>
              <w:bottom w:val="nil"/>
              <w:right w:val="nil"/>
            </w:tcBorders>
            <w:vAlign w:val="center"/>
          </w:tcPr>
          <w:p>
            <w:pPr>
              <w:rPr>
                <w:rFonts w:ascii="宋体" w:hAnsi="宋体" w:eastAsia="宋体" w:cs="宋体"/>
              </w:rPr>
            </w:pPr>
          </w:p>
        </w:tc>
        <w:tc>
          <w:tcPr>
            <w:tcW w:w="1400" w:type="dxa"/>
            <w:tcBorders>
              <w:top w:val="nil"/>
              <w:left w:val="nil"/>
              <w:bottom w:val="nil"/>
              <w:right w:val="nil"/>
            </w:tcBorders>
            <w:vAlign w:val="center"/>
          </w:tcPr>
          <w:p>
            <w:pPr>
              <w:rPr>
                <w:rFonts w:ascii="宋体" w:hAnsi="宋体" w:eastAsia="宋体" w:cs="宋体"/>
              </w:rPr>
            </w:pPr>
          </w:p>
        </w:tc>
        <w:tc>
          <w:tcPr>
            <w:tcW w:w="1276" w:type="dxa"/>
            <w:tcBorders>
              <w:top w:val="nil"/>
              <w:left w:val="nil"/>
              <w:bottom w:val="nil"/>
              <w:right w:val="nil"/>
            </w:tcBorders>
            <w:vAlign w:val="center"/>
          </w:tcPr>
          <w:p>
            <w:pPr>
              <w:rPr>
                <w:rFonts w:ascii="宋体" w:hAnsi="宋体" w:eastAsia="宋体" w:cs="宋体"/>
              </w:rPr>
            </w:pPr>
          </w:p>
        </w:tc>
        <w:tc>
          <w:tcPr>
            <w:tcW w:w="2444" w:type="dxa"/>
            <w:tcBorders>
              <w:top w:val="nil"/>
              <w:left w:val="nil"/>
              <w:bottom w:val="nil"/>
              <w:right w:val="nil"/>
            </w:tcBorders>
            <w:vAlign w:val="center"/>
          </w:tcPr>
          <w:p>
            <w:pPr>
              <w:rPr>
                <w:rFonts w:ascii="宋体" w:hAnsi="宋体" w:eastAsia="宋体" w:cs="宋体"/>
              </w:rPr>
            </w:pPr>
          </w:p>
        </w:tc>
        <w:tc>
          <w:tcPr>
            <w:tcW w:w="611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8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24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110" w:type="dxa"/>
            <w:tcBorders>
              <w:top w:val="single" w:color="auto" w:sz="4" w:space="0"/>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rPr>
              <w:t>变化原因</w:t>
            </w:r>
            <w:bookmarkStart w:id="18" w:name="_GoBack"/>
            <w:bookmarkEnd w:id="18"/>
          </w:p>
        </w:tc>
      </w:tr>
      <w:tr>
        <w:tblPrEx>
          <w:tblCellMar>
            <w:top w:w="0" w:type="dxa"/>
            <w:left w:w="108" w:type="dxa"/>
            <w:bottom w:w="0" w:type="dxa"/>
            <w:right w:w="108" w:type="dxa"/>
          </w:tblCellMar>
        </w:tblPrEx>
        <w:trPr>
          <w:trHeight w:val="582"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2"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5"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90"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6"/>
      </w:pPr>
    </w:p>
    <w:p>
      <w:pPr>
        <w:spacing w:before="10" w:after="10" w:line="360" w:lineRule="auto"/>
        <w:ind w:firstLine="640"/>
        <w:outlineLvl w:val="2"/>
      </w:pPr>
      <w:bookmarkStart w:id="13" w:name="_Toc13499"/>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30" w:firstLineChars="225"/>
        <w:rPr>
          <w:rFonts w:eastAsia="方正仿宋_GBK"/>
          <w:sz w:val="28"/>
        </w:rPr>
      </w:pPr>
      <w:r>
        <w:rPr>
          <w:rFonts w:hint="eastAsia" w:eastAsia="方正仿宋_GBK"/>
          <w:sz w:val="28"/>
        </w:rPr>
        <w:t>202</w:t>
      </w:r>
      <w:r>
        <w:rPr>
          <w:rFonts w:hint="eastAsia" w:eastAsia="方正仿宋_GBK"/>
          <w:sz w:val="28"/>
          <w:lang w:val="en-US" w:eastAsia="zh-CN"/>
        </w:rPr>
        <w:t>1</w:t>
      </w:r>
      <w:r>
        <w:rPr>
          <w:rFonts w:hint="eastAsia" w:eastAsia="方正仿宋_GBK"/>
          <w:sz w:val="28"/>
        </w:rPr>
        <w:t>年，本部门总体绩效目标为巩固拓展机构改革成果。继续对党政部门“三定”规定执行情况进行跟踪，严格落实“三定”规定要求，聚焦主责主业，突出重点关键，推进机构、职能、人员全面融合，着眼推动部门规范履职尽责，建立健全政府部门权责清单动态调整机制。不断深化事业单位改革。严格落实中央和省委、市委、县委决策部署，优化事业单位布局结构，推进机构功能重塑再造和整体效能提升，建立健全事业单位管理制度和机制。巩固承担行政职能事业单位改革成果，统筹推进机构整合撤并。推进开发区管理体制改革。认真做好开发区改革后续工作，待省市统一部署后，倒排工期、强力推进，按省市规定的时间节点，严格落实好开发区管理机构清理规范、合理确定各类开发区职能定位、理顺开发区管理机构与各方面职责关系、加强开发区人员编制管理等各项工作。创新公立医院人员编制管理。按照上级机构编制部门统一安排，结合我县实际，积极改革和创新公立医院人员编制管理模式，变编制管理为人员使用控制数管理，转换用人机制，搞活用人制度，激发公立医院发展活力，为实现健康涞水提供体制机制保障。创新机构编制管理方式。按时完成机关事业单位人事管理“一网通办、信息共享”改革，确保涉及信息共享的数据准确、详实和完整，简化办事流程，提升管理效益，充分发挥机构编制在人事管理全流程中基础地位和前置作用。积极探索人才编制“周转池”制度，按照“总量控制，动态调整”的原则，统筹编制资源，通过二次配置调剂用于编制紧缺的单位，提高使用效益，保障公益事业发展。加强事业单位法人登记管理。进一步提升事业单位登记管理服务水平，有效加强监管。为全县机关事业单位完成了中文域名注册管理续费和网站挂标工作。对事业单位改革中所涉及的新组建、撤并单位，主动与相关部门和单位沟通，按政策规定及时办理设立、变更、注销登记，不给改革留尾巴，确保改革到位，完全落地，为改革画上圆满句号。  </w:t>
      </w:r>
    </w:p>
    <w:p>
      <w:pPr>
        <w:spacing w:line="500" w:lineRule="exact"/>
        <w:ind w:firstLine="560"/>
      </w:pPr>
      <w:r>
        <w:rPr>
          <w:rFonts w:eastAsia="方正仿宋_GBK"/>
          <w:color w:val="000000"/>
          <w:sz w:val="28"/>
        </w:rPr>
        <w:t>（二）分项绩效目标</w:t>
      </w:r>
    </w:p>
    <w:p>
      <w:pPr>
        <w:pStyle w:val="28"/>
      </w:pPr>
      <w:r>
        <w:rPr>
          <w:rFonts w:hint="eastAsia"/>
          <w:lang w:eastAsia="zh-CN"/>
        </w:rPr>
        <w:t>1、</w:t>
      </w:r>
      <w:r>
        <w:t>机关办公运转保障</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numPr>
          <w:ilvl w:val="0"/>
          <w:numId w:val="1"/>
        </w:numPr>
        <w:rPr>
          <w:lang w:eastAsia="zh-CN"/>
        </w:rPr>
      </w:pPr>
      <w:r>
        <w:rPr>
          <w:rFonts w:hint="eastAsia"/>
          <w:lang w:eastAsia="zh-CN"/>
        </w:rPr>
        <w:t>中文域名维护正常运行</w:t>
      </w:r>
    </w:p>
    <w:p>
      <w:pPr>
        <w:pStyle w:val="28"/>
        <w:ind w:firstLineChars="200"/>
      </w:pPr>
      <w:r>
        <w:t>按照省、市财政部门相关政策要求和县委、县政府任务安排，</w:t>
      </w:r>
      <w:r>
        <w:rPr>
          <w:rFonts w:hint="eastAsia"/>
        </w:rPr>
        <w:t>为全县机关事业单位完成了中文域名注册管理续费和网站挂标工作。</w:t>
      </w:r>
    </w:p>
    <w:p>
      <w:pPr>
        <w:pStyle w:val="28"/>
      </w:pPr>
      <w:r>
        <w:rPr>
          <w:rFonts w:hint="eastAsia"/>
          <w:lang w:eastAsia="zh-CN"/>
        </w:rPr>
        <w:t>3、</w:t>
      </w:r>
      <w:r>
        <w:rPr>
          <w:rFonts w:hint="eastAsia"/>
        </w:rPr>
        <w:t>不断深化事业单位改革</w:t>
      </w:r>
    </w:p>
    <w:p>
      <w:pPr>
        <w:pStyle w:val="28"/>
        <w:rPr>
          <w:rFonts w:hint="eastAsia"/>
        </w:rPr>
      </w:pPr>
      <w:r>
        <w:rPr>
          <w:rFonts w:hint="eastAsia"/>
        </w:rPr>
        <w:t>严格落实中央和省委、市委、县委决策部署，优化事业单位布局结构，推进机构功能重塑再造和整体效能提升，建立健全事业单位管理制度和机制。巩固承担行政职能事业单位改革成果，统筹推进机构整合撤并。</w:t>
      </w:r>
    </w:p>
    <w:p>
      <w:pPr>
        <w:pStyle w:val="28"/>
      </w:pPr>
      <w:r>
        <w:rPr>
          <w:rFonts w:hint="eastAsia"/>
          <w:lang w:eastAsia="zh-CN"/>
        </w:rPr>
        <w:t>4、</w:t>
      </w:r>
      <w:r>
        <w:t>上级转移支付资金项目</w:t>
      </w:r>
    </w:p>
    <w:p>
      <w:pPr>
        <w:spacing w:line="500" w:lineRule="exact"/>
        <w:ind w:firstLine="560"/>
      </w:pPr>
      <w:r>
        <w:rPr>
          <w:rFonts w:eastAsia="方正仿宋_GBK"/>
          <w:color w:val="000000"/>
          <w:sz w:val="28"/>
        </w:rPr>
        <w:t>（三）工作保障措施</w:t>
      </w:r>
    </w:p>
    <w:p>
      <w:pPr>
        <w:pStyle w:val="29"/>
      </w:pPr>
      <w:r>
        <w:t>为保证年度发展规划目标的实现，特制定以下保障措施：</w:t>
      </w:r>
    </w:p>
    <w:p>
      <w:pPr>
        <w:pStyle w:val="28"/>
        <w:ind w:firstLineChars="200"/>
      </w:pPr>
      <w:r>
        <w:rPr>
          <w:rFonts w:hint="eastAsia"/>
          <w:lang w:eastAsia="zh-CN"/>
        </w:rPr>
        <w:t>1、</w:t>
      </w:r>
      <w:r>
        <w:rPr>
          <w:rFonts w:hint="eastAsia"/>
        </w:rPr>
        <w:t>完善制度建设。</w:t>
      </w:r>
    </w:p>
    <w:p>
      <w:pPr>
        <w:pStyle w:val="28"/>
        <w:ind w:firstLineChars="200"/>
      </w:pPr>
      <w:r>
        <w:rPr>
          <w:rFonts w:hint="eastAsia"/>
        </w:rPr>
        <w:t>完善预算绩效管理制度、资金管理办法、工作保障制度等，为全年绩效目标的实现奠定制度基础。</w:t>
      </w:r>
    </w:p>
    <w:p>
      <w:pPr>
        <w:pStyle w:val="28"/>
        <w:ind w:firstLineChars="200"/>
      </w:pPr>
      <w:r>
        <w:rPr>
          <w:rFonts w:hint="eastAsia"/>
          <w:lang w:eastAsia="zh-CN"/>
        </w:rPr>
        <w:t>2、</w:t>
      </w:r>
      <w:r>
        <w:rPr>
          <w:rFonts w:hint="eastAsia"/>
        </w:rPr>
        <w:t>加强支出管理。</w:t>
      </w:r>
    </w:p>
    <w:p>
      <w:pPr>
        <w:pStyle w:val="28"/>
        <w:ind w:firstLineChars="200"/>
      </w:pPr>
      <w:r>
        <w:rPr>
          <w:rFonts w:hint="eastAsia"/>
        </w:rPr>
        <w:t>优化支出结构、编细编实预算、加快履行政府采购手段、尽快启动项目、及时支付资金、6月底前细化代编预算、按规定及时下达资金等多种措施，确保支出进度达标。</w:t>
      </w:r>
    </w:p>
    <w:p>
      <w:pPr>
        <w:pStyle w:val="28"/>
        <w:ind w:left="480" w:leftChars="200" w:firstLine="0"/>
      </w:pPr>
      <w:r>
        <w:rPr>
          <w:rFonts w:hint="eastAsia"/>
          <w:lang w:eastAsia="zh-CN"/>
        </w:rPr>
        <w:t>3、</w:t>
      </w:r>
      <w:r>
        <w:rPr>
          <w:rFonts w:hint="eastAsia"/>
        </w:rPr>
        <w:t>加强绩效运行监控。</w:t>
      </w:r>
    </w:p>
    <w:p>
      <w:pPr>
        <w:pStyle w:val="28"/>
        <w:ind w:firstLineChars="200"/>
      </w:pPr>
      <w:r>
        <w:rPr>
          <w:rFonts w:hint="eastAsia"/>
        </w:rPr>
        <w:t>按要求开展绩效运行看监控，发现问题及时采取措施，确保绩效目标如期保质实现。</w:t>
      </w:r>
    </w:p>
    <w:p>
      <w:pPr>
        <w:pStyle w:val="28"/>
        <w:ind w:firstLineChars="200"/>
      </w:pPr>
      <w:r>
        <w:rPr>
          <w:rFonts w:hint="eastAsia"/>
          <w:lang w:eastAsia="zh-CN"/>
        </w:rPr>
        <w:t>4、</w:t>
      </w:r>
      <w:r>
        <w:rPr>
          <w:rFonts w:hint="eastAsia"/>
        </w:rPr>
        <w:t>做好绩效自评。</w:t>
      </w:r>
    </w:p>
    <w:p>
      <w:pPr>
        <w:pStyle w:val="28"/>
        <w:ind w:firstLineChars="200"/>
      </w:pPr>
      <w:r>
        <w:rPr>
          <w:rFonts w:hint="eastAsia"/>
        </w:rPr>
        <w:t>按要求开展上年度部门预算绩效自评和重点评价工作，对评价中发现的问题及时整改，调整优化支出结构，提高财政资金使用效益。</w:t>
      </w:r>
    </w:p>
    <w:p>
      <w:pPr>
        <w:pStyle w:val="28"/>
        <w:numPr>
          <w:ilvl w:val="0"/>
          <w:numId w:val="2"/>
        </w:numPr>
        <w:ind w:firstLineChars="200"/>
      </w:pPr>
      <w:r>
        <w:rPr>
          <w:rFonts w:hint="eastAsia"/>
        </w:rPr>
        <w:t>规范财务资产管理。</w:t>
      </w:r>
    </w:p>
    <w:p>
      <w:pPr>
        <w:pStyle w:val="28"/>
        <w:ind w:firstLineChars="200"/>
      </w:pPr>
      <w:r>
        <w:rPr>
          <w:rFonts w:hint="eastAsia"/>
        </w:rPr>
        <w:t>完善财务管理制度，严格审批程序，加强固定资产登记、使用和报废处理管理，做到支出合理，物尽其用。</w:t>
      </w:r>
    </w:p>
    <w:p>
      <w:pPr>
        <w:pStyle w:val="28"/>
        <w:ind w:firstLineChars="200"/>
      </w:pPr>
      <w:r>
        <w:rPr>
          <w:rFonts w:hint="eastAsia"/>
          <w:lang w:eastAsia="zh-CN"/>
        </w:rPr>
        <w:t>6、</w:t>
      </w:r>
      <w:r>
        <w:rPr>
          <w:rFonts w:hint="eastAsia"/>
        </w:rPr>
        <w:t>加强内部监督。</w:t>
      </w:r>
    </w:p>
    <w:p>
      <w:pPr>
        <w:pStyle w:val="28"/>
        <w:ind w:firstLineChars="200"/>
      </w:pPr>
      <w:r>
        <w:rPr>
          <w:rFonts w:hint="eastAsi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8"/>
        <w:ind w:firstLineChars="200"/>
      </w:pPr>
      <w:r>
        <w:rPr>
          <w:rFonts w:hint="eastAsia"/>
          <w:lang w:eastAsia="zh-CN"/>
        </w:rPr>
        <w:t>7、</w:t>
      </w:r>
      <w:r>
        <w:rPr>
          <w:rFonts w:hint="eastAsia"/>
        </w:rPr>
        <w:t>加强宣传培训调研等。</w:t>
      </w:r>
    </w:p>
    <w:p>
      <w:pPr>
        <w:pStyle w:val="28"/>
        <w:ind w:firstLineChars="200"/>
      </w:pPr>
      <w:r>
        <w:rPr>
          <w:rFonts w:hint="eastAsia"/>
        </w:rPr>
        <w:t>加强人员培训，提高本部门职工业务素质；加强调研，提出优化财政资金配置、提高资金使用效益的意见；加大宣传力度，强化预算绩效管理意识，促进预算绩效管理水平进一步提高。</w:t>
      </w:r>
    </w:p>
    <w:p>
      <w:pPr>
        <w:pStyle w:val="28"/>
        <w:sectPr>
          <w:footerReference r:id="rId5" w:type="default"/>
          <w:pgSz w:w="16839" w:h="11907" w:orient="landscape"/>
          <w:pgMar w:top="1304" w:right="1984" w:bottom="1304" w:left="1134" w:header="851" w:footer="992" w:gutter="0"/>
          <w:cols w:space="720" w:num="1"/>
          <w:docGrid w:type="lines" w:linePitch="312" w:charSpace="0"/>
        </w:sectPr>
      </w:pPr>
    </w:p>
    <w:p>
      <w:pPr>
        <w:pStyle w:val="29"/>
      </w:pPr>
    </w:p>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2" w:firstLineChars="2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中文域名运行</w:t>
      </w: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rPr>
                <w:lang w:eastAsia="zh-CN"/>
              </w:rPr>
            </w:pPr>
            <w:r>
              <w:t>1.</w:t>
            </w:r>
            <w:r>
              <w:rPr>
                <w:rFonts w:hint="eastAsia"/>
                <w:lang w:eastAsia="zh-CN"/>
              </w:rPr>
              <w:t>保障中文域名正常运行维护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9"/>
            </w:pPr>
            <w:r>
              <w:rPr>
                <w:rFonts w:hint="eastAsia"/>
              </w:rPr>
              <w:t>数量指标</w:t>
            </w:r>
          </w:p>
        </w:tc>
        <w:tc>
          <w:tcPr>
            <w:tcW w:w="2835" w:type="dxa"/>
            <w:vAlign w:val="center"/>
          </w:tcPr>
          <w:p>
            <w:pPr>
              <w:pStyle w:val="19"/>
            </w:pPr>
            <w:r>
              <w:rPr>
                <w:rFonts w:hint="eastAsia"/>
              </w:rPr>
              <w:t>覆盖单位</w:t>
            </w:r>
          </w:p>
        </w:tc>
        <w:tc>
          <w:tcPr>
            <w:tcW w:w="2835" w:type="dxa"/>
            <w:vAlign w:val="center"/>
          </w:tcPr>
          <w:p>
            <w:pPr>
              <w:pStyle w:val="19"/>
            </w:pPr>
            <w:r>
              <w:rPr>
                <w:rFonts w:hint="eastAsia"/>
              </w:rPr>
              <w:t>覆盖单位</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质量指标</w:t>
            </w:r>
          </w:p>
        </w:tc>
        <w:tc>
          <w:tcPr>
            <w:tcW w:w="2835" w:type="dxa"/>
            <w:vAlign w:val="center"/>
          </w:tcPr>
          <w:p>
            <w:pPr>
              <w:pStyle w:val="19"/>
            </w:pPr>
            <w:r>
              <w:rPr>
                <w:rFonts w:hint="eastAsia"/>
              </w:rPr>
              <w:t>机关运转率（%）</w:t>
            </w:r>
          </w:p>
        </w:tc>
        <w:tc>
          <w:tcPr>
            <w:tcW w:w="2835" w:type="dxa"/>
            <w:vAlign w:val="center"/>
          </w:tcPr>
          <w:p>
            <w:pPr>
              <w:pStyle w:val="19"/>
            </w:pPr>
            <w:r>
              <w:rPr>
                <w:rFonts w:hint="eastAsia"/>
              </w:rPr>
              <w:t>机关运转率（%）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时效指标</w:t>
            </w:r>
          </w:p>
        </w:tc>
        <w:tc>
          <w:tcPr>
            <w:tcW w:w="2835" w:type="dxa"/>
            <w:vAlign w:val="center"/>
          </w:tcPr>
          <w:p>
            <w:pPr>
              <w:pStyle w:val="19"/>
            </w:pPr>
            <w:r>
              <w:rPr>
                <w:rFonts w:hint="eastAsia"/>
              </w:rPr>
              <w:t>项目按时完成率</w:t>
            </w:r>
          </w:p>
        </w:tc>
        <w:tc>
          <w:tcPr>
            <w:tcW w:w="2835" w:type="dxa"/>
            <w:vAlign w:val="center"/>
          </w:tcPr>
          <w:p>
            <w:pPr>
              <w:pStyle w:val="19"/>
            </w:pPr>
            <w:r>
              <w:rPr>
                <w:rFonts w:hint="eastAsia"/>
              </w:rPr>
              <w:t>项目完成率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成本指标</w:t>
            </w:r>
          </w:p>
        </w:tc>
        <w:tc>
          <w:tcPr>
            <w:tcW w:w="2835" w:type="dxa"/>
            <w:vAlign w:val="center"/>
          </w:tcPr>
          <w:p>
            <w:pPr>
              <w:pStyle w:val="19"/>
            </w:pPr>
            <w:r>
              <w:rPr>
                <w:rFonts w:hint="eastAsia"/>
              </w:rPr>
              <w:t>预算控制数</w:t>
            </w:r>
          </w:p>
        </w:tc>
        <w:tc>
          <w:tcPr>
            <w:tcW w:w="2835" w:type="dxa"/>
            <w:vAlign w:val="center"/>
          </w:tcPr>
          <w:p>
            <w:pPr>
              <w:pStyle w:val="19"/>
            </w:pPr>
            <w:r>
              <w:rPr>
                <w:rFonts w:hint="eastAsia"/>
              </w:rPr>
              <w:t>预算控制数</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9"/>
            </w:pPr>
            <w:r>
              <w:rPr>
                <w:rFonts w:hint="eastAsia"/>
              </w:rPr>
              <w:t>社会效益指标</w:t>
            </w:r>
          </w:p>
        </w:tc>
        <w:tc>
          <w:tcPr>
            <w:tcW w:w="2835" w:type="dxa"/>
            <w:vAlign w:val="center"/>
          </w:tcPr>
          <w:p>
            <w:pPr>
              <w:pStyle w:val="19"/>
            </w:pPr>
            <w:r>
              <w:rPr>
                <w:rFonts w:hint="eastAsia"/>
              </w:rPr>
              <w:t>保障机关单位正常运转</w:t>
            </w:r>
          </w:p>
        </w:tc>
        <w:tc>
          <w:tcPr>
            <w:tcW w:w="2835" w:type="dxa"/>
            <w:vAlign w:val="center"/>
          </w:tcPr>
          <w:p>
            <w:pPr>
              <w:pStyle w:val="19"/>
            </w:pPr>
            <w:r>
              <w:rPr>
                <w:rFonts w:hint="eastAsia"/>
              </w:rPr>
              <w:t>保障机关单位正常运转</w:t>
            </w:r>
          </w:p>
        </w:tc>
        <w:tc>
          <w:tcPr>
            <w:tcW w:w="2551" w:type="dxa"/>
          </w:tcPr>
          <w:p>
            <w:pPr>
              <w:pStyle w:val="19"/>
            </w:pPr>
            <w:r>
              <w:rPr>
                <w:rFonts w:hint="eastAsia"/>
              </w:rPr>
              <w:t>完成的指标值比率</w:t>
            </w:r>
          </w:p>
        </w:tc>
        <w:tc>
          <w:tcPr>
            <w:tcW w:w="2268" w:type="dxa"/>
            <w:vAlign w:val="center"/>
          </w:tcPr>
          <w:p>
            <w:pPr>
              <w:pStyle w:val="19"/>
            </w:pPr>
            <w:r>
              <w:rPr>
                <w:rFonts w:hint="eastAsia"/>
              </w:rPr>
              <w:t>文字描述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服务对象满意度指标</w:t>
            </w:r>
          </w:p>
        </w:tc>
        <w:tc>
          <w:tcPr>
            <w:tcW w:w="2835" w:type="dxa"/>
            <w:vAlign w:val="center"/>
          </w:tcPr>
          <w:p>
            <w:pPr>
              <w:pStyle w:val="19"/>
            </w:pPr>
            <w:r>
              <w:rPr>
                <w:rFonts w:hint="eastAsia"/>
              </w:rPr>
              <w:t>机关工作人员满意度（%）</w:t>
            </w:r>
          </w:p>
        </w:tc>
        <w:tc>
          <w:tcPr>
            <w:tcW w:w="2835" w:type="dxa"/>
            <w:vAlign w:val="center"/>
          </w:tcPr>
          <w:p>
            <w:pPr>
              <w:pStyle w:val="19"/>
            </w:pPr>
            <w:r>
              <w:rPr>
                <w:rFonts w:hint="eastAsia"/>
              </w:rPr>
              <w:t>机关工作人员满意度（%）</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数量指标</w:t>
            </w:r>
          </w:p>
        </w:tc>
        <w:tc>
          <w:tcPr>
            <w:tcW w:w="2835" w:type="dxa"/>
            <w:vAlign w:val="center"/>
          </w:tcPr>
          <w:p>
            <w:pPr>
              <w:pStyle w:val="19"/>
            </w:pPr>
            <w:r>
              <w:rPr>
                <w:rFonts w:hint="eastAsia"/>
              </w:rPr>
              <w:t>覆盖单位</w:t>
            </w:r>
          </w:p>
        </w:tc>
        <w:tc>
          <w:tcPr>
            <w:tcW w:w="2835" w:type="dxa"/>
            <w:vAlign w:val="center"/>
          </w:tcPr>
          <w:p>
            <w:pPr>
              <w:pStyle w:val="19"/>
            </w:pPr>
            <w:r>
              <w:rPr>
                <w:rFonts w:hint="eastAsia"/>
              </w:rPr>
              <w:t>覆盖单位</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9"/>
            </w:pPr>
            <w:r>
              <w:rPr>
                <w:rFonts w:hint="eastAsia"/>
              </w:rPr>
              <w:t>质量指标</w:t>
            </w:r>
          </w:p>
        </w:tc>
        <w:tc>
          <w:tcPr>
            <w:tcW w:w="2835" w:type="dxa"/>
            <w:vAlign w:val="center"/>
          </w:tcPr>
          <w:p>
            <w:pPr>
              <w:pStyle w:val="19"/>
            </w:pPr>
            <w:r>
              <w:rPr>
                <w:rFonts w:hint="eastAsia"/>
              </w:rPr>
              <w:t>机关运转率（%）</w:t>
            </w:r>
          </w:p>
        </w:tc>
        <w:tc>
          <w:tcPr>
            <w:tcW w:w="2835" w:type="dxa"/>
            <w:vAlign w:val="center"/>
          </w:tcPr>
          <w:p>
            <w:pPr>
              <w:pStyle w:val="19"/>
            </w:pPr>
            <w:r>
              <w:rPr>
                <w:rFonts w:hint="eastAsia"/>
              </w:rPr>
              <w:t>机关运转率（%）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2、机关办公运转保障经费绩效目标表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1.保障机关正常运转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rPr>
                <w:lang w:eastAsia="zh-CN"/>
              </w:rPr>
            </w:pPr>
            <w:r>
              <w:rPr>
                <w:rFonts w:hint="eastAsia"/>
                <w:lang w:eastAsia="zh-CN"/>
              </w:rPr>
              <w:t>覆盖单位</w:t>
            </w:r>
          </w:p>
        </w:tc>
        <w:tc>
          <w:tcPr>
            <w:tcW w:w="2835" w:type="dxa"/>
            <w:vAlign w:val="center"/>
          </w:tcPr>
          <w:p>
            <w:pPr>
              <w:pStyle w:val="18"/>
              <w:rPr>
                <w:lang w:eastAsia="zh-CN"/>
              </w:rPr>
            </w:pPr>
            <w:r>
              <w:rPr>
                <w:rFonts w:hint="eastAsia"/>
                <w:lang w:eastAsia="zh-CN"/>
              </w:rPr>
              <w:t>服务对象覆盖单位数量</w:t>
            </w:r>
          </w:p>
        </w:tc>
        <w:tc>
          <w:tcPr>
            <w:tcW w:w="2551" w:type="dxa"/>
            <w:vAlign w:val="center"/>
          </w:tcPr>
          <w:p>
            <w:pPr>
              <w:pStyle w:val="18"/>
              <w:rPr>
                <w:lang w:eastAsia="zh-CN"/>
              </w:rPr>
            </w:pPr>
            <w:r>
              <w:t>≥</w:t>
            </w:r>
            <w:r>
              <w:rPr>
                <w:rFonts w:hint="eastAsia"/>
                <w:lang w:val="en-US" w:eastAsia="zh-CN"/>
              </w:rPr>
              <w:t>342</w:t>
            </w:r>
            <w:r>
              <w:rPr>
                <w:rFonts w:hint="eastAsia"/>
                <w:lang w:eastAsia="zh-CN"/>
              </w:rPr>
              <w:t>个</w:t>
            </w:r>
          </w:p>
        </w:tc>
        <w:tc>
          <w:tcPr>
            <w:tcW w:w="2268" w:type="dxa"/>
            <w:vAlign w:val="center"/>
          </w:tcPr>
          <w:p>
            <w:pPr>
              <w:pStyle w:val="18"/>
            </w:pPr>
            <w:r>
              <w:t>202</w:t>
            </w:r>
            <w:r>
              <w:rPr>
                <w:rFonts w:hint="eastAsia"/>
                <w:lang w:val="en-US" w:eastAsia="zh-CN"/>
              </w:rPr>
              <w:t>1</w:t>
            </w:r>
            <w: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综合事务管理工作完成率</w:t>
            </w:r>
          </w:p>
        </w:tc>
        <w:tc>
          <w:tcPr>
            <w:tcW w:w="2835" w:type="dxa"/>
            <w:vAlign w:val="center"/>
          </w:tcPr>
          <w:p>
            <w:pPr>
              <w:pStyle w:val="18"/>
            </w:pPr>
            <w:r>
              <w:t>综合事务管理工作完成率</w:t>
            </w:r>
          </w:p>
        </w:tc>
        <w:tc>
          <w:tcPr>
            <w:tcW w:w="2551" w:type="dxa"/>
            <w:vAlign w:val="center"/>
          </w:tcPr>
          <w:p>
            <w:pPr>
              <w:pStyle w:val="18"/>
            </w:pPr>
            <w:r>
              <w:t>≥</w:t>
            </w:r>
            <w:r>
              <w:rPr>
                <w:rFonts w:hint="eastAsia"/>
                <w:lang w:val="en-US" w:eastAsia="zh-CN"/>
              </w:rPr>
              <w:t>10</w:t>
            </w:r>
            <w:r>
              <w:t>0%</w:t>
            </w:r>
          </w:p>
        </w:tc>
        <w:tc>
          <w:tcPr>
            <w:tcW w:w="2268" w:type="dxa"/>
            <w:vAlign w:val="center"/>
          </w:tcPr>
          <w:p>
            <w:pPr>
              <w:pStyle w:val="18"/>
            </w:pPr>
            <w:r>
              <w:t>202</w:t>
            </w:r>
            <w:r>
              <w:rPr>
                <w:rFonts w:hint="eastAsia"/>
                <w:lang w:val="en-US" w:eastAsia="zh-CN"/>
              </w:rPr>
              <w:t>1</w:t>
            </w:r>
            <w: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工作完成及时性</w:t>
            </w:r>
          </w:p>
        </w:tc>
        <w:tc>
          <w:tcPr>
            <w:tcW w:w="2835" w:type="dxa"/>
            <w:vAlign w:val="center"/>
          </w:tcPr>
          <w:p>
            <w:pPr>
              <w:pStyle w:val="18"/>
            </w:pPr>
            <w:r>
              <w:t>工作完成及时性</w:t>
            </w:r>
          </w:p>
        </w:tc>
        <w:tc>
          <w:tcPr>
            <w:tcW w:w="2551" w:type="dxa"/>
            <w:vAlign w:val="center"/>
          </w:tcPr>
          <w:p>
            <w:pPr>
              <w:pStyle w:val="18"/>
            </w:pPr>
            <w:r>
              <w:t>12月31日前完成</w:t>
            </w:r>
          </w:p>
        </w:tc>
        <w:tc>
          <w:tcPr>
            <w:tcW w:w="2268" w:type="dxa"/>
            <w:vAlign w:val="center"/>
          </w:tcPr>
          <w:p>
            <w:pPr>
              <w:pStyle w:val="18"/>
            </w:pPr>
            <w:r>
              <w:t>202</w:t>
            </w:r>
            <w:r>
              <w:rPr>
                <w:rFonts w:hint="eastAsia"/>
                <w:lang w:val="en-US" w:eastAsia="zh-CN"/>
              </w:rPr>
              <w:t>1</w:t>
            </w:r>
            <w: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成本控制</w:t>
            </w:r>
          </w:p>
        </w:tc>
        <w:tc>
          <w:tcPr>
            <w:tcW w:w="2835" w:type="dxa"/>
            <w:vAlign w:val="center"/>
          </w:tcPr>
          <w:p>
            <w:pPr>
              <w:pStyle w:val="18"/>
            </w:pPr>
            <w:r>
              <w:t>成本控制不超项目预算</w:t>
            </w:r>
            <w:r>
              <w:rPr>
                <w:rFonts w:hint="eastAsia"/>
                <w:lang w:val="en-US" w:eastAsia="zh-CN"/>
              </w:rPr>
              <w:t>6.84</w:t>
            </w:r>
            <w:r>
              <w:t>万元</w:t>
            </w:r>
          </w:p>
        </w:tc>
        <w:tc>
          <w:tcPr>
            <w:tcW w:w="2551" w:type="dxa"/>
            <w:vAlign w:val="center"/>
          </w:tcPr>
          <w:p>
            <w:pPr>
              <w:pStyle w:val="18"/>
            </w:pPr>
            <w:r>
              <w:t>≤</w:t>
            </w:r>
            <w:r>
              <w:rPr>
                <w:rFonts w:hint="eastAsia"/>
                <w:lang w:val="en-US" w:eastAsia="zh-CN"/>
              </w:rPr>
              <w:t>6.84</w:t>
            </w:r>
            <w:r>
              <w:t>万元</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9"/>
            </w:pPr>
            <w:r>
              <w:rPr>
                <w:rFonts w:hint="eastAsia"/>
              </w:rPr>
              <w:t>服务对象满意度指标</w:t>
            </w:r>
          </w:p>
        </w:tc>
        <w:tc>
          <w:tcPr>
            <w:tcW w:w="2835" w:type="dxa"/>
            <w:vAlign w:val="center"/>
          </w:tcPr>
          <w:p>
            <w:pPr>
              <w:pStyle w:val="19"/>
            </w:pPr>
            <w:r>
              <w:rPr>
                <w:rFonts w:hint="eastAsia"/>
              </w:rPr>
              <w:t>机关工作人员满意度</w:t>
            </w:r>
          </w:p>
        </w:tc>
        <w:tc>
          <w:tcPr>
            <w:tcW w:w="2835" w:type="dxa"/>
            <w:vAlign w:val="center"/>
          </w:tcPr>
          <w:p>
            <w:pPr>
              <w:pStyle w:val="19"/>
            </w:pPr>
            <w:r>
              <w:rPr>
                <w:rFonts w:hint="eastAsia"/>
              </w:rPr>
              <w:t>机关工作人员满意度</w:t>
            </w:r>
          </w:p>
        </w:tc>
        <w:tc>
          <w:tcPr>
            <w:tcW w:w="2551" w:type="dxa"/>
            <w:vAlign w:val="center"/>
          </w:tcPr>
          <w:p>
            <w:pPr>
              <w:pStyle w:val="18"/>
            </w:pPr>
            <w:r>
              <w:t>≥</w:t>
            </w:r>
            <w:r>
              <w:rPr>
                <w:rFonts w:hint="eastAsia"/>
                <w:lang w:val="en-US" w:eastAsia="zh-CN"/>
              </w:rPr>
              <w:t>100</w:t>
            </w:r>
            <w:r>
              <w:t>%</w:t>
            </w:r>
          </w:p>
        </w:tc>
        <w:tc>
          <w:tcPr>
            <w:tcW w:w="2268" w:type="dxa"/>
            <w:vAlign w:val="center"/>
          </w:tcPr>
          <w:p>
            <w:pPr>
              <w:pStyle w:val="18"/>
              <w:rPr>
                <w:lang w:eastAsia="zh-CN"/>
              </w:rPr>
            </w:pPr>
            <w:r>
              <w:rPr>
                <w:rFonts w:hint="eastAsia"/>
                <w:lang w:eastAsia="zh-CN"/>
              </w:rPr>
              <w:t>202</w:t>
            </w:r>
            <w:r>
              <w:rPr>
                <w:rFonts w:hint="eastAsia"/>
                <w:lang w:val="en-US" w:eastAsia="zh-CN"/>
              </w:rPr>
              <w:t>1</w:t>
            </w:r>
            <w:r>
              <w:rPr>
                <w:rFonts w:hint="eastAsia"/>
                <w:lang w:eastAsia="zh-CN"/>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社会效益指标</w:t>
            </w:r>
          </w:p>
        </w:tc>
        <w:tc>
          <w:tcPr>
            <w:tcW w:w="2835" w:type="dxa"/>
            <w:vAlign w:val="center"/>
          </w:tcPr>
          <w:p>
            <w:pPr>
              <w:pStyle w:val="18"/>
            </w:pPr>
            <w:r>
              <w:t>保障安全生产</w:t>
            </w:r>
          </w:p>
        </w:tc>
        <w:tc>
          <w:tcPr>
            <w:tcW w:w="2835" w:type="dxa"/>
            <w:vAlign w:val="center"/>
          </w:tcPr>
          <w:p>
            <w:pPr>
              <w:pStyle w:val="18"/>
            </w:pPr>
            <w:r>
              <w:t>保障机关安全生产</w:t>
            </w:r>
          </w:p>
        </w:tc>
        <w:tc>
          <w:tcPr>
            <w:tcW w:w="2551" w:type="dxa"/>
            <w:vAlign w:val="center"/>
          </w:tcPr>
          <w:p>
            <w:pPr>
              <w:pStyle w:val="18"/>
            </w:pPr>
            <w:r>
              <w:t>不发生安全生产事故</w:t>
            </w:r>
          </w:p>
        </w:tc>
        <w:tc>
          <w:tcPr>
            <w:tcW w:w="2268" w:type="dxa"/>
            <w:vAlign w:val="center"/>
          </w:tcPr>
          <w:p>
            <w:pPr>
              <w:pStyle w:val="18"/>
            </w:pPr>
            <w:r>
              <w:t>县政府关于安全生产工作要求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业务工作可持续性</w:t>
            </w:r>
          </w:p>
        </w:tc>
        <w:tc>
          <w:tcPr>
            <w:tcW w:w="2835" w:type="dxa"/>
            <w:vAlign w:val="center"/>
          </w:tcPr>
          <w:p>
            <w:pPr>
              <w:pStyle w:val="18"/>
            </w:pPr>
            <w:r>
              <w:t>业务工作可持续性</w:t>
            </w:r>
          </w:p>
        </w:tc>
        <w:tc>
          <w:tcPr>
            <w:tcW w:w="2551" w:type="dxa"/>
            <w:vAlign w:val="center"/>
          </w:tcPr>
          <w:p>
            <w:pPr>
              <w:pStyle w:val="18"/>
            </w:pPr>
            <w:r>
              <w:t>≥1年</w:t>
            </w:r>
          </w:p>
        </w:tc>
        <w:tc>
          <w:tcPr>
            <w:tcW w:w="2268" w:type="dxa"/>
            <w:vAlign w:val="center"/>
          </w:tcPr>
          <w:p>
            <w:pPr>
              <w:pStyle w:val="18"/>
            </w:pPr>
            <w:r>
              <w:t>202</w:t>
            </w:r>
            <w:r>
              <w:rPr>
                <w:rFonts w:hint="eastAsia"/>
                <w:lang w:val="en-US" w:eastAsia="zh-CN"/>
              </w:rPr>
              <w:t>1</w:t>
            </w:r>
            <w: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w:t>
            </w:r>
            <w:r>
              <w:rPr>
                <w:rFonts w:hint="eastAsia"/>
                <w:lang w:val="en-US" w:eastAsia="zh-CN"/>
              </w:rPr>
              <w:t>100</w:t>
            </w:r>
            <w:r>
              <w:t>%</w:t>
            </w:r>
          </w:p>
        </w:tc>
        <w:tc>
          <w:tcPr>
            <w:tcW w:w="2268" w:type="dxa"/>
            <w:vAlign w:val="center"/>
          </w:tcPr>
          <w:p>
            <w:pPr>
              <w:pStyle w:val="18"/>
            </w:pPr>
            <w:r>
              <w:t>202</w:t>
            </w:r>
            <w:r>
              <w:rPr>
                <w:rFonts w:hint="eastAsia"/>
                <w:lang w:val="en-US" w:eastAsia="zh-CN"/>
              </w:rPr>
              <w:t>1</w:t>
            </w:r>
            <w:r>
              <w:t>年工作计划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7901"/>
      <w:r>
        <w:rPr>
          <w:rFonts w:ascii="黑体" w:hAnsi="黑体" w:eastAsia="黑体" w:cs="黑体"/>
          <w:color w:val="000000"/>
          <w:sz w:val="32"/>
        </w:rPr>
        <w:t>六、政府采购预算情况</w:t>
      </w:r>
      <w:bookmarkEnd w:id="14"/>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1</w:t>
      </w:r>
      <w:r>
        <w:rPr>
          <w:rFonts w:hint="eastAsia" w:eastAsia="方正仿宋_GBK"/>
          <w:color w:val="000000"/>
          <w:sz w:val="28"/>
          <w:lang w:eastAsia="zh-CN"/>
        </w:rPr>
        <w:t>年本部门无政府采购预算，空表列示。</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9"/>
        <w:tblW w:w="145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5"/>
        <w:gridCol w:w="903"/>
        <w:gridCol w:w="1062"/>
        <w:gridCol w:w="1062"/>
        <w:gridCol w:w="664"/>
        <w:gridCol w:w="796"/>
        <w:gridCol w:w="798"/>
        <w:gridCol w:w="903"/>
        <w:gridCol w:w="903"/>
        <w:gridCol w:w="903"/>
        <w:gridCol w:w="903"/>
        <w:gridCol w:w="903"/>
        <w:gridCol w:w="903"/>
        <w:gridCol w:w="903"/>
        <w:gridCol w:w="905"/>
        <w:gridCol w:w="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30" w:type="dxa"/>
            <w:gridSpan w:val="7"/>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382 中共涞水县委机构编制委员会办公室</w:t>
            </w:r>
          </w:p>
        </w:tc>
        <w:tc>
          <w:tcPr>
            <w:tcW w:w="8129"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48" w:type="dxa"/>
            <w:gridSpan w:val="2"/>
            <w:vAlign w:val="center"/>
          </w:tcPr>
          <w:p>
            <w:pPr>
              <w:pStyle w:val="16"/>
            </w:pPr>
            <w:r>
              <w:t>政府采购项目来源</w:t>
            </w:r>
          </w:p>
        </w:tc>
        <w:tc>
          <w:tcPr>
            <w:tcW w:w="1062" w:type="dxa"/>
            <w:vMerge w:val="restart"/>
            <w:vAlign w:val="center"/>
          </w:tcPr>
          <w:p>
            <w:pPr>
              <w:pStyle w:val="16"/>
            </w:pPr>
            <w:r>
              <w:t>采购物品名称</w:t>
            </w:r>
          </w:p>
        </w:tc>
        <w:tc>
          <w:tcPr>
            <w:tcW w:w="1062" w:type="dxa"/>
            <w:vMerge w:val="restart"/>
            <w:vAlign w:val="center"/>
          </w:tcPr>
          <w:p>
            <w:pPr>
              <w:pStyle w:val="16"/>
            </w:pPr>
            <w:r>
              <w:t>政府采购目录序号</w:t>
            </w:r>
          </w:p>
        </w:tc>
        <w:tc>
          <w:tcPr>
            <w:tcW w:w="664" w:type="dxa"/>
            <w:vMerge w:val="restart"/>
            <w:vAlign w:val="center"/>
          </w:tcPr>
          <w:p>
            <w:pPr>
              <w:pStyle w:val="16"/>
            </w:pPr>
            <w:r>
              <w:t>计量  单位</w:t>
            </w:r>
          </w:p>
        </w:tc>
        <w:tc>
          <w:tcPr>
            <w:tcW w:w="796" w:type="dxa"/>
            <w:vMerge w:val="restart"/>
            <w:vAlign w:val="center"/>
          </w:tcPr>
          <w:p>
            <w:pPr>
              <w:pStyle w:val="16"/>
            </w:pPr>
            <w:r>
              <w:t>数量</w:t>
            </w:r>
          </w:p>
        </w:tc>
        <w:tc>
          <w:tcPr>
            <w:tcW w:w="798" w:type="dxa"/>
            <w:vMerge w:val="restart"/>
            <w:vAlign w:val="center"/>
          </w:tcPr>
          <w:p>
            <w:pPr>
              <w:pStyle w:val="16"/>
            </w:pPr>
            <w:r>
              <w:t>单价</w:t>
            </w:r>
          </w:p>
        </w:tc>
        <w:tc>
          <w:tcPr>
            <w:tcW w:w="7226" w:type="dxa"/>
            <w:gridSpan w:val="8"/>
            <w:vAlign w:val="center"/>
          </w:tcPr>
          <w:p>
            <w:pPr>
              <w:pStyle w:val="16"/>
            </w:pPr>
            <w:r>
              <w:t>政府采购金额（当年部门预算安排资金）</w:t>
            </w:r>
          </w:p>
        </w:tc>
        <w:tc>
          <w:tcPr>
            <w:tcW w:w="903" w:type="dxa"/>
            <w:vMerge w:val="restart"/>
            <w:vAlign w:val="center"/>
          </w:tcPr>
          <w:p>
            <w:pPr>
              <w:pStyle w:val="16"/>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45" w:type="dxa"/>
            <w:vAlign w:val="center"/>
          </w:tcPr>
          <w:p>
            <w:pPr>
              <w:pStyle w:val="16"/>
            </w:pPr>
            <w:r>
              <w:t>项目名称</w:t>
            </w:r>
          </w:p>
        </w:tc>
        <w:tc>
          <w:tcPr>
            <w:tcW w:w="903" w:type="dxa"/>
            <w:vAlign w:val="center"/>
          </w:tcPr>
          <w:p>
            <w:pPr>
              <w:pStyle w:val="16"/>
            </w:pPr>
            <w:r>
              <w:t>预算    资金</w:t>
            </w:r>
          </w:p>
        </w:tc>
        <w:tc>
          <w:tcPr>
            <w:tcW w:w="1062" w:type="dxa"/>
            <w:vMerge w:val="continue"/>
          </w:tcPr>
          <w:p/>
        </w:tc>
        <w:tc>
          <w:tcPr>
            <w:tcW w:w="1062" w:type="dxa"/>
            <w:vMerge w:val="continue"/>
          </w:tcPr>
          <w:p/>
        </w:tc>
        <w:tc>
          <w:tcPr>
            <w:tcW w:w="664" w:type="dxa"/>
            <w:vMerge w:val="continue"/>
          </w:tcPr>
          <w:p/>
        </w:tc>
        <w:tc>
          <w:tcPr>
            <w:tcW w:w="796" w:type="dxa"/>
            <w:vMerge w:val="continue"/>
          </w:tcPr>
          <w:p/>
        </w:tc>
        <w:tc>
          <w:tcPr>
            <w:tcW w:w="798" w:type="dxa"/>
            <w:vMerge w:val="continue"/>
          </w:tcPr>
          <w:p/>
        </w:tc>
        <w:tc>
          <w:tcPr>
            <w:tcW w:w="903" w:type="dxa"/>
            <w:vAlign w:val="center"/>
          </w:tcPr>
          <w:p>
            <w:pPr>
              <w:pStyle w:val="16"/>
            </w:pPr>
            <w:r>
              <w:t>合计</w:t>
            </w:r>
          </w:p>
        </w:tc>
        <w:tc>
          <w:tcPr>
            <w:tcW w:w="903" w:type="dxa"/>
            <w:vAlign w:val="center"/>
          </w:tcPr>
          <w:p>
            <w:pPr>
              <w:pStyle w:val="16"/>
            </w:pPr>
            <w:r>
              <w:t>一般公共预算拨款</w:t>
            </w:r>
          </w:p>
        </w:tc>
        <w:tc>
          <w:tcPr>
            <w:tcW w:w="903" w:type="dxa"/>
            <w:vAlign w:val="center"/>
          </w:tcPr>
          <w:p>
            <w:pPr>
              <w:pStyle w:val="16"/>
            </w:pPr>
            <w:r>
              <w:t>基金预算拨款</w:t>
            </w:r>
          </w:p>
        </w:tc>
        <w:tc>
          <w:tcPr>
            <w:tcW w:w="903" w:type="dxa"/>
            <w:vAlign w:val="center"/>
          </w:tcPr>
          <w:p>
            <w:pPr>
              <w:pStyle w:val="16"/>
            </w:pPr>
            <w:r>
              <w:t>国有资本经营预算拨款</w:t>
            </w:r>
          </w:p>
        </w:tc>
        <w:tc>
          <w:tcPr>
            <w:tcW w:w="903" w:type="dxa"/>
            <w:vAlign w:val="center"/>
          </w:tcPr>
          <w:p>
            <w:pPr>
              <w:pStyle w:val="16"/>
            </w:pPr>
            <w:r>
              <w:t>财政专户核拨</w:t>
            </w:r>
          </w:p>
        </w:tc>
        <w:tc>
          <w:tcPr>
            <w:tcW w:w="903" w:type="dxa"/>
            <w:vAlign w:val="center"/>
          </w:tcPr>
          <w:p>
            <w:pPr>
              <w:pStyle w:val="16"/>
            </w:pPr>
            <w:r>
              <w:t>单位    资金</w:t>
            </w:r>
          </w:p>
        </w:tc>
        <w:tc>
          <w:tcPr>
            <w:tcW w:w="903" w:type="dxa"/>
            <w:vAlign w:val="center"/>
          </w:tcPr>
          <w:p>
            <w:pPr>
              <w:pStyle w:val="16"/>
            </w:pPr>
            <w:r>
              <w:t>财政拨    款结转</w:t>
            </w:r>
          </w:p>
        </w:tc>
        <w:tc>
          <w:tcPr>
            <w:tcW w:w="905" w:type="dxa"/>
            <w:vAlign w:val="center"/>
          </w:tcPr>
          <w:p>
            <w:pPr>
              <w:pStyle w:val="16"/>
            </w:pPr>
            <w:r>
              <w:t>非财政    拨款结    转结余</w:t>
            </w:r>
          </w:p>
        </w:tc>
        <w:tc>
          <w:tcPr>
            <w:tcW w:w="9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jc w:val="center"/>
        </w:trPr>
        <w:tc>
          <w:tcPr>
            <w:tcW w:w="1145" w:type="dxa"/>
            <w:vAlign w:val="center"/>
          </w:tcPr>
          <w:p>
            <w:pPr>
              <w:pStyle w:val="20"/>
            </w:pPr>
            <w:r>
              <w:t>合  计</w:t>
            </w:r>
          </w:p>
        </w:tc>
        <w:tc>
          <w:tcPr>
            <w:tcW w:w="903" w:type="dxa"/>
            <w:vAlign w:val="center"/>
          </w:tcPr>
          <w:p>
            <w:pPr>
              <w:pStyle w:val="21"/>
            </w:pPr>
          </w:p>
        </w:tc>
        <w:tc>
          <w:tcPr>
            <w:tcW w:w="1062" w:type="dxa"/>
            <w:vAlign w:val="center"/>
          </w:tcPr>
          <w:p>
            <w:pPr>
              <w:pStyle w:val="22"/>
            </w:pPr>
          </w:p>
        </w:tc>
        <w:tc>
          <w:tcPr>
            <w:tcW w:w="1062" w:type="dxa"/>
            <w:vAlign w:val="center"/>
          </w:tcPr>
          <w:p>
            <w:pPr>
              <w:pStyle w:val="22"/>
            </w:pPr>
          </w:p>
        </w:tc>
        <w:tc>
          <w:tcPr>
            <w:tcW w:w="664" w:type="dxa"/>
            <w:vAlign w:val="center"/>
          </w:tcPr>
          <w:p>
            <w:pPr>
              <w:pStyle w:val="20"/>
            </w:pPr>
          </w:p>
        </w:tc>
        <w:tc>
          <w:tcPr>
            <w:tcW w:w="796" w:type="dxa"/>
            <w:vAlign w:val="center"/>
          </w:tcPr>
          <w:p>
            <w:pPr>
              <w:pStyle w:val="21"/>
            </w:pPr>
          </w:p>
        </w:tc>
        <w:tc>
          <w:tcPr>
            <w:tcW w:w="798"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2" w:hRule="atLeast"/>
          <w:jc w:val="center"/>
        </w:trPr>
        <w:tc>
          <w:tcPr>
            <w:tcW w:w="1145" w:type="dxa"/>
            <w:vAlign w:val="center"/>
          </w:tcPr>
          <w:p>
            <w:pPr>
              <w:pStyle w:val="20"/>
            </w:pPr>
          </w:p>
        </w:tc>
        <w:tc>
          <w:tcPr>
            <w:tcW w:w="903" w:type="dxa"/>
            <w:vAlign w:val="center"/>
          </w:tcPr>
          <w:p>
            <w:pPr>
              <w:pStyle w:val="21"/>
            </w:pPr>
          </w:p>
        </w:tc>
        <w:tc>
          <w:tcPr>
            <w:tcW w:w="1062" w:type="dxa"/>
            <w:vAlign w:val="center"/>
          </w:tcPr>
          <w:p>
            <w:pPr>
              <w:pStyle w:val="22"/>
            </w:pPr>
          </w:p>
        </w:tc>
        <w:tc>
          <w:tcPr>
            <w:tcW w:w="1062" w:type="dxa"/>
            <w:vAlign w:val="center"/>
          </w:tcPr>
          <w:p>
            <w:pPr>
              <w:pStyle w:val="22"/>
            </w:pPr>
          </w:p>
        </w:tc>
        <w:tc>
          <w:tcPr>
            <w:tcW w:w="664" w:type="dxa"/>
            <w:vAlign w:val="center"/>
          </w:tcPr>
          <w:p>
            <w:pPr>
              <w:pStyle w:val="20"/>
            </w:pPr>
          </w:p>
        </w:tc>
        <w:tc>
          <w:tcPr>
            <w:tcW w:w="796" w:type="dxa"/>
            <w:vAlign w:val="center"/>
          </w:tcPr>
          <w:p>
            <w:pPr>
              <w:pStyle w:val="21"/>
            </w:pPr>
          </w:p>
        </w:tc>
        <w:tc>
          <w:tcPr>
            <w:tcW w:w="798"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r>
    </w:tbl>
    <w:p>
      <w:pPr>
        <w:spacing w:before="10" w:after="10"/>
        <w:ind w:firstLine="640"/>
        <w:outlineLvl w:val="2"/>
        <w:rPr>
          <w:rFonts w:ascii="黑体" w:hAnsi="黑体" w:eastAsia="黑体" w:cs="黑体"/>
          <w:color w:val="000000"/>
          <w:sz w:val="32"/>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同一采购目录序号的物品，其单价会因配置规格不同而变动，均符合资产配置标准。涉密采购事项按照相关规定执行。</w:t>
      </w: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eastAsia="zh-CN"/>
        </w:rPr>
        <w:t>部门政府采购预算</w:t>
      </w:r>
      <w:r>
        <w:rPr>
          <w:rFonts w:ascii="方正书宋_GBK" w:hAnsi="方正书宋_GBK" w:eastAsia="方正书宋_GBK" w:cs="方正书宋_GBK"/>
          <w:color w:val="000000"/>
          <w:sz w:val="21"/>
        </w:rPr>
        <w:t>情况，空表列示</w:t>
      </w:r>
    </w:p>
    <w:p>
      <w:pPr>
        <w:spacing w:before="10" w:after="10"/>
        <w:ind w:firstLine="640"/>
        <w:outlineLvl w:val="2"/>
        <w:rPr>
          <w:rFonts w:hint="eastAsia" w:ascii="黑体" w:hAnsi="黑体" w:eastAsia="黑体" w:cs="黑体"/>
          <w:color w:val="000000"/>
          <w:sz w:val="32"/>
          <w:lang w:eastAsia="zh-CN"/>
        </w:rPr>
      </w:pPr>
      <w:bookmarkStart w:id="15" w:name="_Toc14440"/>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5"/>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中共涞水县委机构编制委员会办公室</w:t>
      </w:r>
      <w:r>
        <w:rPr>
          <w:rFonts w:eastAsia="方正仿宋_GBK"/>
          <w:color w:val="000000"/>
          <w:sz w:val="28"/>
        </w:rPr>
        <w:t>（含所属单位）上年末固定资产金额为</w:t>
      </w:r>
      <w:r>
        <w:rPr>
          <w:rFonts w:hint="eastAsia" w:eastAsia="方正仿宋_GBK"/>
          <w:color w:val="000000"/>
          <w:sz w:val="28"/>
          <w:lang w:val="en-US" w:eastAsia="zh-CN"/>
        </w:rPr>
        <w:t>2.52</w:t>
      </w:r>
      <w:r>
        <w:rPr>
          <w:rFonts w:eastAsia="方正仿宋_GBK"/>
          <w:color w:val="000000"/>
          <w:sz w:val="28"/>
        </w:rPr>
        <w:t>万元（</w:t>
      </w:r>
      <w:r>
        <w:rPr>
          <w:rFonts w:hint="eastAsia" w:eastAsia="方正仿宋_GBK"/>
          <w:color w:val="000000"/>
          <w:sz w:val="28"/>
          <w:lang w:eastAsia="zh-CN"/>
        </w:rPr>
        <w:t>详见下表）。202</w:t>
      </w:r>
      <w:r>
        <w:rPr>
          <w:rFonts w:hint="eastAsia" w:eastAsia="方正仿宋_GBK"/>
          <w:color w:val="000000"/>
          <w:sz w:val="28"/>
          <w:lang w:val="en-US" w:eastAsia="zh-CN"/>
        </w:rPr>
        <w:t>1</w:t>
      </w:r>
      <w:r>
        <w:rPr>
          <w:rFonts w:hint="eastAsia" w:eastAsia="方正仿宋_GBK"/>
          <w:color w:val="000000"/>
          <w:sz w:val="28"/>
          <w:lang w:eastAsia="zh-CN"/>
        </w:rPr>
        <w:t>年无拟购置固定资产计划。已按要求列入政府采购预算，详见政府采购预算表。</w:t>
      </w:r>
    </w:p>
    <w:p>
      <w:pPr>
        <w:spacing w:line="520" w:lineRule="exact"/>
        <w:ind w:firstLine="560" w:firstLineChars="200"/>
        <w:rPr>
          <w:rFonts w:eastAsia="方正仿宋_GBK"/>
          <w:color w:val="000000"/>
          <w:sz w:val="28"/>
          <w:lang w:eastAsia="zh-CN"/>
        </w:rPr>
      </w:pPr>
    </w:p>
    <w:p>
      <w:pPr>
        <w:pStyle w:val="8"/>
        <w:shd w:val="clear" w:color="auto" w:fill="FFFFFF"/>
        <w:spacing w:before="0" w:beforeAutospacing="0" w:after="0" w:afterAutospacing="0" w:line="520" w:lineRule="exact"/>
        <w:ind w:firstLine="640"/>
        <w:jc w:val="center"/>
        <w:rPr>
          <w:rFonts w:hint="eastAsia" w:ascii="仿宋" w:hAnsi="仿宋" w:eastAsia="仿宋" w:cs="仿宋"/>
          <w:b/>
          <w:sz w:val="32"/>
          <w:szCs w:val="32"/>
        </w:rPr>
      </w:pPr>
      <w:r>
        <w:rPr>
          <w:rFonts w:hint="eastAsia" w:ascii="仿宋" w:hAnsi="仿宋" w:eastAsia="仿宋" w:cs="仿宋"/>
          <w:b/>
          <w:sz w:val="32"/>
          <w:szCs w:val="32"/>
        </w:rPr>
        <w:t>固定资产占用情况表</w:t>
      </w:r>
    </w:p>
    <w:p>
      <w:pPr>
        <w:rPr>
          <w:rFonts w:ascii="方正小标宋_GBK" w:hAnsi="方正小标宋_GBK" w:eastAsia="方正小标宋_GBK" w:cs="方正小标宋_GBK"/>
          <w:color w:val="000000"/>
          <w:sz w:val="36"/>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w:t>
      </w:r>
      <w:r>
        <w:rPr>
          <w:rFonts w:hint="eastAsia" w:ascii="仿宋" w:hAnsi="仿宋" w:eastAsia="仿宋" w:cs="仿宋"/>
          <w:bCs/>
          <w:color w:val="000000"/>
          <w:sz w:val="32"/>
          <w:szCs w:val="32"/>
          <w:lang w:val="en-US" w:eastAsia="zh-CN"/>
        </w:rPr>
        <w:t>0</w:t>
      </w:r>
      <w:r>
        <w:rPr>
          <w:rFonts w:hint="eastAsia" w:ascii="仿宋" w:hAnsi="仿宋" w:eastAsia="仿宋" w:cs="仿宋"/>
          <w:bCs/>
          <w:color w:val="000000"/>
          <w:sz w:val="32"/>
          <w:szCs w:val="32"/>
        </w:rPr>
        <w:t>年12月31日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0"/>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项　　目</w:t>
            </w:r>
          </w:p>
        </w:tc>
        <w:tc>
          <w:tcPr>
            <w:tcW w:w="1304"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数量</w:t>
            </w:r>
          </w:p>
        </w:tc>
        <w:tc>
          <w:tcPr>
            <w:tcW w:w="3631"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固定资产总额</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1、房屋（平方米）</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其中：办公用房（平方米）</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2、车辆（台、辆）</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3、单价在20万元以上的设备</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4、其他固定资产</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val="en-US" w:eastAsia="zh-CN"/>
              </w:rPr>
              <w:t>2.52</w:t>
            </w:r>
          </w:p>
        </w:tc>
      </w:tr>
    </w:tbl>
    <w:p>
      <w:pPr>
        <w:ind w:firstLine="640"/>
      </w:pPr>
      <w:r>
        <w:rPr>
          <w:rFonts w:eastAsia="方正仿宋_GBK"/>
          <w:color w:val="000000"/>
          <w:sz w:val="32"/>
        </w:rPr>
        <w:t xml:space="preserve"> </w:t>
      </w:r>
    </w:p>
    <w:p>
      <w:pPr>
        <w:spacing w:before="10" w:after="10"/>
        <w:ind w:firstLine="640"/>
        <w:outlineLvl w:val="2"/>
      </w:pPr>
      <w:bookmarkStart w:id="16" w:name="_Toc6561"/>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2902"/>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2"/>
      </w:rPr>
    </w:pPr>
    <w:r>
      <w:fldChar w:fldCharType="begin"/>
    </w:r>
    <w:r>
      <w:rPr>
        <w:rStyle w:val="12"/>
      </w:rPr>
      <w:instrText xml:space="preserve">PAGE  </w:instrText>
    </w:r>
    <w:r>
      <w:fldChar w:fldCharType="separate"/>
    </w:r>
    <w:r>
      <w:rPr>
        <w:rStyle w:val="12"/>
      </w:rPr>
      <w:t>21</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E455A"/>
    <w:multiLevelType w:val="singleLevel"/>
    <w:tmpl w:val="A53E455A"/>
    <w:lvl w:ilvl="0" w:tentative="0">
      <w:start w:val="2"/>
      <w:numFmt w:val="decimal"/>
      <w:suff w:val="nothing"/>
      <w:lvlText w:val="%1、"/>
      <w:lvlJc w:val="left"/>
      <w:pPr>
        <w:ind w:left="-80"/>
      </w:pPr>
    </w:lvl>
  </w:abstractNum>
  <w:abstractNum w:abstractNumId="1">
    <w:nsid w:val="DE51BD5E"/>
    <w:multiLevelType w:val="singleLevel"/>
    <w:tmpl w:val="DE51BD5E"/>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jMDFhM2EwMTc3NmIzMGMyZDZmNjU0YTRkOGJkNWEifQ=="/>
  </w:docVars>
  <w:rsids>
    <w:rsidRoot w:val="00781D3A"/>
    <w:rsid w:val="001027A6"/>
    <w:rsid w:val="00146FC9"/>
    <w:rsid w:val="00167E1F"/>
    <w:rsid w:val="00197CA8"/>
    <w:rsid w:val="001C0AE6"/>
    <w:rsid w:val="001D7814"/>
    <w:rsid w:val="002D347F"/>
    <w:rsid w:val="00472F0F"/>
    <w:rsid w:val="006B610F"/>
    <w:rsid w:val="006F498C"/>
    <w:rsid w:val="00781D3A"/>
    <w:rsid w:val="00790FA2"/>
    <w:rsid w:val="00791CF2"/>
    <w:rsid w:val="007D0B98"/>
    <w:rsid w:val="00821C63"/>
    <w:rsid w:val="008236D4"/>
    <w:rsid w:val="00824069"/>
    <w:rsid w:val="009C206B"/>
    <w:rsid w:val="00A560CA"/>
    <w:rsid w:val="00BB1408"/>
    <w:rsid w:val="00BB6202"/>
    <w:rsid w:val="00BC0518"/>
    <w:rsid w:val="00C551BF"/>
    <w:rsid w:val="00C84C2E"/>
    <w:rsid w:val="00C92AE3"/>
    <w:rsid w:val="00CA59D1"/>
    <w:rsid w:val="00CB6BE0"/>
    <w:rsid w:val="00CF6148"/>
    <w:rsid w:val="00D42B1A"/>
    <w:rsid w:val="00DC041D"/>
    <w:rsid w:val="00DE32C6"/>
    <w:rsid w:val="00DF7C5F"/>
    <w:rsid w:val="00E6241B"/>
    <w:rsid w:val="00ED2EDE"/>
    <w:rsid w:val="00F37B70"/>
    <w:rsid w:val="028B201D"/>
    <w:rsid w:val="03C15925"/>
    <w:rsid w:val="054B4674"/>
    <w:rsid w:val="070A6B90"/>
    <w:rsid w:val="0D295F98"/>
    <w:rsid w:val="0F5C64E6"/>
    <w:rsid w:val="0FE65409"/>
    <w:rsid w:val="152E6419"/>
    <w:rsid w:val="153D46E4"/>
    <w:rsid w:val="170D2487"/>
    <w:rsid w:val="17691477"/>
    <w:rsid w:val="191243EA"/>
    <w:rsid w:val="19D83220"/>
    <w:rsid w:val="1A2D0BE5"/>
    <w:rsid w:val="1C50642A"/>
    <w:rsid w:val="1F001077"/>
    <w:rsid w:val="20D06CC0"/>
    <w:rsid w:val="20E97AC1"/>
    <w:rsid w:val="230C5CE8"/>
    <w:rsid w:val="24474D05"/>
    <w:rsid w:val="26911DAC"/>
    <w:rsid w:val="26992D6A"/>
    <w:rsid w:val="27AA0124"/>
    <w:rsid w:val="29023E15"/>
    <w:rsid w:val="297B78C8"/>
    <w:rsid w:val="2A895E70"/>
    <w:rsid w:val="2AED28A3"/>
    <w:rsid w:val="2CE5782E"/>
    <w:rsid w:val="2D2D2A3B"/>
    <w:rsid w:val="2D7B022F"/>
    <w:rsid w:val="2D975422"/>
    <w:rsid w:val="2DAD2ACA"/>
    <w:rsid w:val="2F8C503F"/>
    <w:rsid w:val="32244352"/>
    <w:rsid w:val="327613D0"/>
    <w:rsid w:val="337F7F5C"/>
    <w:rsid w:val="33817DD0"/>
    <w:rsid w:val="36F471F6"/>
    <w:rsid w:val="37CF26CA"/>
    <w:rsid w:val="388C0398"/>
    <w:rsid w:val="3AE35129"/>
    <w:rsid w:val="3B2D1AC7"/>
    <w:rsid w:val="3DAD062C"/>
    <w:rsid w:val="3DC34688"/>
    <w:rsid w:val="3E844030"/>
    <w:rsid w:val="415B3C6B"/>
    <w:rsid w:val="451553B3"/>
    <w:rsid w:val="484477A4"/>
    <w:rsid w:val="487954FA"/>
    <w:rsid w:val="48BA73C9"/>
    <w:rsid w:val="4A6E08DD"/>
    <w:rsid w:val="4BD411EA"/>
    <w:rsid w:val="4C2061DD"/>
    <w:rsid w:val="4C433C79"/>
    <w:rsid w:val="4C852DC9"/>
    <w:rsid w:val="4D7B0BFC"/>
    <w:rsid w:val="4F8675C0"/>
    <w:rsid w:val="518C55E7"/>
    <w:rsid w:val="52AE78A0"/>
    <w:rsid w:val="52C5363A"/>
    <w:rsid w:val="55AF1E2F"/>
    <w:rsid w:val="56A17F1A"/>
    <w:rsid w:val="56DD7DD0"/>
    <w:rsid w:val="57D4431F"/>
    <w:rsid w:val="59B166C6"/>
    <w:rsid w:val="5B01542B"/>
    <w:rsid w:val="5C7A36E7"/>
    <w:rsid w:val="5DA974CB"/>
    <w:rsid w:val="618868A7"/>
    <w:rsid w:val="627D5CDF"/>
    <w:rsid w:val="64982006"/>
    <w:rsid w:val="65975655"/>
    <w:rsid w:val="691A2556"/>
    <w:rsid w:val="6AF00F3A"/>
    <w:rsid w:val="6B661525"/>
    <w:rsid w:val="6CA84B57"/>
    <w:rsid w:val="6EE13CB3"/>
    <w:rsid w:val="703419A7"/>
    <w:rsid w:val="73531018"/>
    <w:rsid w:val="755723C0"/>
    <w:rsid w:val="75D24853"/>
    <w:rsid w:val="77C17FC5"/>
    <w:rsid w:val="7812625E"/>
    <w:rsid w:val="789254BD"/>
    <w:rsid w:val="7CE45CCE"/>
    <w:rsid w:val="7D690EE2"/>
    <w:rsid w:val="7DE87376"/>
    <w:rsid w:val="7EF742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uiPriority w:val="0"/>
    <w:pPr>
      <w:spacing w:before="100" w:beforeAutospacing="1" w:after="100" w:afterAutospacing="1"/>
    </w:pPr>
    <w:rPr>
      <w:rFonts w:ascii="宋体" w:hAnsi="宋体" w:eastAsia="宋体" w:cs="宋体"/>
      <w:lang w:eastAsia="zh-CN"/>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nhideWhenUsed/>
    <w:qFormat/>
    <w:uiPriority w:val="99"/>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lang w:eastAsia="uk-UA"/>
    </w:rPr>
  </w:style>
  <w:style w:type="character" w:customStyle="1" w:styleId="36">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Props1.xml><?xml version="1.0" encoding="utf-8"?>
<ds:datastoreItem xmlns:ds="http://schemas.openxmlformats.org/officeDocument/2006/customXml" ds:itemID="{BC8B0B68-B399-4D6D-AE2B-284CCF1A5CB6}">
  <ds:schemaRefs/>
</ds:datastoreItem>
</file>

<file path=customXml/itemProps10.xml><?xml version="1.0" encoding="utf-8"?>
<ds:datastoreItem xmlns:ds="http://schemas.openxmlformats.org/officeDocument/2006/customXml" ds:itemID="{9B2DCA2B-261B-4FC5-92E2-74D6E9C53092}">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B9E9C162-3959-4E09-8552-3788A3BCB94D}">
  <ds:schemaRefs/>
</ds:datastoreItem>
</file>

<file path=customXml/itemProps13.xml><?xml version="1.0" encoding="utf-8"?>
<ds:datastoreItem xmlns:ds="http://schemas.openxmlformats.org/officeDocument/2006/customXml" ds:itemID="{5EFC46A3-03BA-4ECF-B65E-51918400F753}">
  <ds:schemaRefs/>
</ds:datastoreItem>
</file>

<file path=customXml/itemProps14.xml><?xml version="1.0" encoding="utf-8"?>
<ds:datastoreItem xmlns:ds="http://schemas.openxmlformats.org/officeDocument/2006/customXml" ds:itemID="{F2B0114A-1BF3-408C-A937-DBD594359DD7}">
  <ds:schemaRefs/>
</ds:datastoreItem>
</file>

<file path=customXml/itemProps15.xml><?xml version="1.0" encoding="utf-8"?>
<ds:datastoreItem xmlns:ds="http://schemas.openxmlformats.org/officeDocument/2006/customXml" ds:itemID="{82063DCE-E0D9-4D45-94AB-06A5849F123C}">
  <ds:schemaRefs/>
</ds:datastoreItem>
</file>

<file path=customXml/itemProps16.xml><?xml version="1.0" encoding="utf-8"?>
<ds:datastoreItem xmlns:ds="http://schemas.openxmlformats.org/officeDocument/2006/customXml" ds:itemID="{DFFE41CD-7795-417D-8B3D-7B7E92ADCE28}">
  <ds:schemaRefs/>
</ds:datastoreItem>
</file>

<file path=customXml/itemProps17.xml><?xml version="1.0" encoding="utf-8"?>
<ds:datastoreItem xmlns:ds="http://schemas.openxmlformats.org/officeDocument/2006/customXml" ds:itemID="{127F30A9-AC64-4000-970B-04BBBAF6782F}">
  <ds:schemaRefs/>
</ds:datastoreItem>
</file>

<file path=customXml/itemProps18.xml><?xml version="1.0" encoding="utf-8"?>
<ds:datastoreItem xmlns:ds="http://schemas.openxmlformats.org/officeDocument/2006/customXml" ds:itemID="{989DA21E-0CDF-4E3D-84F6-1D172BF7F4B9}">
  <ds:schemaRefs/>
</ds:datastoreItem>
</file>

<file path=customXml/itemProps19.xml><?xml version="1.0" encoding="utf-8"?>
<ds:datastoreItem xmlns:ds="http://schemas.openxmlformats.org/officeDocument/2006/customXml" ds:itemID="{8807E301-CE3E-48B0-8F1B-BE48F29E1736}">
  <ds:schemaRefs/>
</ds:datastoreItem>
</file>

<file path=customXml/itemProps2.xml><?xml version="1.0" encoding="utf-8"?>
<ds:datastoreItem xmlns:ds="http://schemas.openxmlformats.org/officeDocument/2006/customXml" ds:itemID="{7DA1E944-597F-4D9A-ADC8-E3A5D62388E9}">
  <ds:schemaRefs/>
</ds:datastoreItem>
</file>

<file path=customXml/itemProps20.xml><?xml version="1.0" encoding="utf-8"?>
<ds:datastoreItem xmlns:ds="http://schemas.openxmlformats.org/officeDocument/2006/customXml" ds:itemID="{DD8D39B1-E032-4B64-9020-66CD65ABCD3B}">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66CC41B6-D28D-4EED-B564-F0D3D013B8B1}">
  <ds:schemaRefs/>
</ds:datastoreItem>
</file>

<file path=customXml/itemProps23.xml><?xml version="1.0" encoding="utf-8"?>
<ds:datastoreItem xmlns:ds="http://schemas.openxmlformats.org/officeDocument/2006/customXml" ds:itemID="{BF249A3C-5046-4792-B1C7-86A45BD0F7B3}">
  <ds:schemaRefs/>
</ds:datastoreItem>
</file>

<file path=customXml/itemProps24.xml><?xml version="1.0" encoding="utf-8"?>
<ds:datastoreItem xmlns:ds="http://schemas.openxmlformats.org/officeDocument/2006/customXml" ds:itemID="{3300B263-A8B2-4577-A8B1-07D060066AC1}">
  <ds:schemaRefs/>
</ds:datastoreItem>
</file>

<file path=customXml/itemProps25.xml><?xml version="1.0" encoding="utf-8"?>
<ds:datastoreItem xmlns:ds="http://schemas.openxmlformats.org/officeDocument/2006/customXml" ds:itemID="{328F8FAA-F9B6-48DE-ABD9-772610F9386F}">
  <ds:schemaRefs/>
</ds:datastoreItem>
</file>

<file path=customXml/itemProps26.xml><?xml version="1.0" encoding="utf-8"?>
<ds:datastoreItem xmlns:ds="http://schemas.openxmlformats.org/officeDocument/2006/customXml" ds:itemID="{1C4E702D-2594-4689-8404-84AFD7E73E52}">
  <ds:schemaRefs/>
</ds:datastoreItem>
</file>

<file path=customXml/itemProps27.xml><?xml version="1.0" encoding="utf-8"?>
<ds:datastoreItem xmlns:ds="http://schemas.openxmlformats.org/officeDocument/2006/customXml" ds:itemID="{C864F1CC-9C8C-41E6-8FD8-C85E12A44050}">
  <ds:schemaRefs/>
</ds:datastoreItem>
</file>

<file path=customXml/itemProps28.xml><?xml version="1.0" encoding="utf-8"?>
<ds:datastoreItem xmlns:ds="http://schemas.openxmlformats.org/officeDocument/2006/customXml" ds:itemID="{E56AD1C2-FB4D-4572-86C7-2470DBB3943B}">
  <ds:schemaRefs/>
</ds:datastoreItem>
</file>

<file path=customXml/itemProps29.xml><?xml version="1.0" encoding="utf-8"?>
<ds:datastoreItem xmlns:ds="http://schemas.openxmlformats.org/officeDocument/2006/customXml" ds:itemID="{907DF196-29BA-4F64-A2E6-9B891D8DA970}">
  <ds:schemaRefs/>
</ds:datastoreItem>
</file>

<file path=customXml/itemProps3.xml><?xml version="1.0" encoding="utf-8"?>
<ds:datastoreItem xmlns:ds="http://schemas.openxmlformats.org/officeDocument/2006/customXml" ds:itemID="{FF40C868-CD10-4565-BD6F-28B55B247751}">
  <ds:schemaRefs/>
</ds:datastoreItem>
</file>

<file path=customXml/itemProps30.xml><?xml version="1.0" encoding="utf-8"?>
<ds:datastoreItem xmlns:ds="http://schemas.openxmlformats.org/officeDocument/2006/customXml" ds:itemID="{6C8F0DDD-DA95-49D7-BEC9-54BED6023821}">
  <ds:schemaRefs/>
</ds:datastoreItem>
</file>

<file path=customXml/itemProps31.xml><?xml version="1.0" encoding="utf-8"?>
<ds:datastoreItem xmlns:ds="http://schemas.openxmlformats.org/officeDocument/2006/customXml" ds:itemID="{927546BB-28A9-4183-9889-130B2B46E760}">
  <ds:schemaRefs/>
</ds:datastoreItem>
</file>

<file path=customXml/itemProps32.xml><?xml version="1.0" encoding="utf-8"?>
<ds:datastoreItem xmlns:ds="http://schemas.openxmlformats.org/officeDocument/2006/customXml" ds:itemID="{CB6B8C05-D526-4E72-8AB4-B1FB0F487636}">
  <ds:schemaRefs/>
</ds:datastoreItem>
</file>

<file path=customXml/itemProps33.xml><?xml version="1.0" encoding="utf-8"?>
<ds:datastoreItem xmlns:ds="http://schemas.openxmlformats.org/officeDocument/2006/customXml" ds:itemID="{C486A553-0F69-4945-B340-E49BCA32411A}">
  <ds:schemaRefs/>
</ds:datastoreItem>
</file>

<file path=customXml/itemProps34.xml><?xml version="1.0" encoding="utf-8"?>
<ds:datastoreItem xmlns:ds="http://schemas.openxmlformats.org/officeDocument/2006/customXml" ds:itemID="{335668B4-649C-41E0-BC80-7D94ABF681A2}">
  <ds:schemaRefs/>
</ds:datastoreItem>
</file>

<file path=customXml/itemProps35.xml><?xml version="1.0" encoding="utf-8"?>
<ds:datastoreItem xmlns:ds="http://schemas.openxmlformats.org/officeDocument/2006/customXml" ds:itemID="{B52E45D6-0F3C-4B21-B161-FA591631F8EB}">
  <ds:schemaRefs/>
</ds:datastoreItem>
</file>

<file path=customXml/itemProps36.xml><?xml version="1.0" encoding="utf-8"?>
<ds:datastoreItem xmlns:ds="http://schemas.openxmlformats.org/officeDocument/2006/customXml" ds:itemID="{A388E387-0708-4454-A623-7DC7A3B31BD5}">
  <ds:schemaRefs/>
</ds:datastoreItem>
</file>

<file path=customXml/itemProps37.xml><?xml version="1.0" encoding="utf-8"?>
<ds:datastoreItem xmlns:ds="http://schemas.openxmlformats.org/officeDocument/2006/customXml" ds:itemID="{55A60376-5F1A-4B58-BE70-A0B8CD8AC393}">
  <ds:schemaRefs/>
</ds:datastoreItem>
</file>

<file path=customXml/itemProps38.xml><?xml version="1.0" encoding="utf-8"?>
<ds:datastoreItem xmlns:ds="http://schemas.openxmlformats.org/officeDocument/2006/customXml" ds:itemID="{4D21B174-EFD5-481F-8023-ECD2C99EA6A5}">
  <ds:schemaRefs/>
</ds:datastoreItem>
</file>

<file path=customXml/itemProps39.xml><?xml version="1.0" encoding="utf-8"?>
<ds:datastoreItem xmlns:ds="http://schemas.openxmlformats.org/officeDocument/2006/customXml" ds:itemID="{BAA19A8D-5B92-489B-B169-BAD91A103344}">
  <ds:schemaRefs/>
</ds:datastoreItem>
</file>

<file path=customXml/itemProps4.xml><?xml version="1.0" encoding="utf-8"?>
<ds:datastoreItem xmlns:ds="http://schemas.openxmlformats.org/officeDocument/2006/customXml" ds:itemID="{240D75C0-5405-407A-9D88-451A6C53325C}">
  <ds:schemaRefs/>
</ds:datastoreItem>
</file>

<file path=customXml/itemProps5.xml><?xml version="1.0" encoding="utf-8"?>
<ds:datastoreItem xmlns:ds="http://schemas.openxmlformats.org/officeDocument/2006/customXml" ds:itemID="{9E39FA8A-0D5E-4C72-88C2-A4A5C9D016A3}">
  <ds:schemaRefs/>
</ds:datastoreItem>
</file>

<file path=customXml/itemProps6.xml><?xml version="1.0" encoding="utf-8"?>
<ds:datastoreItem xmlns:ds="http://schemas.openxmlformats.org/officeDocument/2006/customXml" ds:itemID="{4074F53B-6AA8-493B-96FF-0D7EB858216C}">
  <ds:schemaRefs/>
</ds:datastoreItem>
</file>

<file path=customXml/itemProps7.xml><?xml version="1.0" encoding="utf-8"?>
<ds:datastoreItem xmlns:ds="http://schemas.openxmlformats.org/officeDocument/2006/customXml" ds:itemID="{526561F4-D429-4474-A75E-30A59CF88000}">
  <ds:schemaRefs/>
</ds:datastoreItem>
</file>

<file path=customXml/itemProps8.xml><?xml version="1.0" encoding="utf-8"?>
<ds:datastoreItem xmlns:ds="http://schemas.openxmlformats.org/officeDocument/2006/customXml" ds:itemID="{D5DDAF8B-C90E-40EE-B940-CCD547411B81}">
  <ds:schemaRefs/>
</ds:datastoreItem>
</file>

<file path=customXml/itemProps9.xml><?xml version="1.0" encoding="utf-8"?>
<ds:datastoreItem xmlns:ds="http://schemas.openxmlformats.org/officeDocument/2006/customXml" ds:itemID="{B8034E79-3EC9-4FB4-8900-8DB566ED87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7868</Words>
  <Characters>8934</Characters>
  <Lines>84</Lines>
  <Paragraphs>23</Paragraphs>
  <TotalTime>20</TotalTime>
  <ScaleCrop>false</ScaleCrop>
  <LinksUpToDate>false</LinksUpToDate>
  <CharactersWithSpaces>9145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一点儿浩然气</cp:lastModifiedBy>
  <dcterms:modified xsi:type="dcterms:W3CDTF">2023-11-10T01:39:29Z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