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涞水县司法局</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2020年部门预算信息公开</w:t>
      </w:r>
    </w:p>
    <w:p>
      <w:pPr>
        <w:spacing w:line="560" w:lineRule="exact"/>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w:t>
      </w:r>
      <w:bookmarkStart w:id="2" w:name="_GoBack"/>
      <w:bookmarkEnd w:id="2"/>
      <w:r>
        <w:rPr>
          <w:rFonts w:hint="eastAsia" w:ascii="仿宋_GB2312" w:hAnsi="仿宋_GB2312" w:eastAsia="仿宋_GB2312" w:cs="仿宋_GB2312"/>
          <w:sz w:val="32"/>
          <w:szCs w:val="32"/>
        </w:rPr>
        <w:t>预算法》、《地方预决算公开操作规程》和《河北省省级 预算公开办法》规定，现将司法局 2020 年部门预算公开如下：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一、部门职责、机构设置等基本情况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根据《涞水县司法局职能配置、内设机构和人员编制规定》， 涞水县司法局的主要职责是：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（一）贯彻执行司法行政工作的法律、法规、方针、政策和司法行政地方性法规、规章；拟订全县司法行政工作发展规划及年度计划并组织监督实施。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（二）制定全县普及法律常识规划和法治宣传教育计划并组织实施，指导县级各行业、县属各部门及乡镇（街道）的法治宣传工作。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（三）负责指导监督律师工作、公证工作并承担相应责任，监督全县律师机构、公证机构活动；指导监督企事业法律顾问工作。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（四）监督管理全县法律援助工作。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（五）指导、监督、管理乡镇（街道）司法所建设和人民调解、基层法律服务、帮教安置工作。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（六）指导管理全县社区矫正工作。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（七）管理、监督、指导全县面向社会服务的司法鉴定工作。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（八）负责全县司法行政系统的队伍建设、思想政治、对外宣传和交流工作。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（九）承办县委、县政府交办的其它事项。</w:t>
      </w:r>
    </w:p>
    <w:tbl>
      <w:tblPr>
        <w:tblStyle w:val="6"/>
        <w:tblpPr w:leftFromText="180" w:rightFromText="180" w:vertAnchor="text" w:horzAnchor="page" w:tblpXSpec="center" w:tblpY="702"/>
        <w:tblOverlap w:val="never"/>
        <w:tblW w:w="9267"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
      <w:tblGrid>
        <w:gridCol w:w="3545"/>
        <w:gridCol w:w="1416"/>
        <w:gridCol w:w="1560"/>
        <w:gridCol w:w="2746"/>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10" w:hRule="exact"/>
          <w:jc w:val="center"/>
        </w:trPr>
        <w:tc>
          <w:tcPr>
            <w:tcW w:w="35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单位名称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单位性质</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单位规格</w:t>
            </w:r>
          </w:p>
        </w:tc>
        <w:tc>
          <w:tcPr>
            <w:tcW w:w="274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经费保障形式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60" w:hRule="exact"/>
          <w:jc w:val="center"/>
        </w:trPr>
        <w:tc>
          <w:tcPr>
            <w:tcW w:w="35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涞水县司法局</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行政</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正科级</w:t>
            </w:r>
          </w:p>
        </w:tc>
        <w:tc>
          <w:tcPr>
            <w:tcW w:w="274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财政拨款</w:t>
            </w:r>
          </w:p>
        </w:tc>
      </w:tr>
    </w:tbl>
    <w:p>
      <w:pPr>
        <w:spacing w:line="560" w:lineRule="exact"/>
        <w:jc w:val="center"/>
        <w:rPr>
          <w:rFonts w:ascii="黑体" w:hAnsi="黑体" w:eastAsia="黑体" w:cs="黑体"/>
          <w:b/>
          <w:bCs/>
          <w:sz w:val="32"/>
          <w:szCs w:val="32"/>
        </w:rPr>
      </w:pPr>
      <w:r>
        <w:rPr>
          <w:rFonts w:hint="eastAsia" w:ascii="宋体" w:hAnsi="宋体" w:eastAsia="宋体" w:cs="宋体"/>
          <w:b/>
          <w:bCs/>
          <w:sz w:val="32"/>
          <w:szCs w:val="32"/>
        </w:rPr>
        <w:t>部门机构设置情况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二、部门预算安排总体情况</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（一）收入说明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反映本部门当年全部收入。2020年预算总收入528.19万元其中：</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财政拨款收入528.19万元，基金预算收入0 万元 ，财政专户核拨收入 0 万元，其他来源收入  0 万元。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2、支出说明 收支预算总表支出栏、基本支出表、项目支出表按经济分类和支出功能分类科目编制，反映我部门预算中支出预算的总体情况。</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（二）支出说明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总支出528.19万元基本支出421.19万元，包括人员经费321.44万元和日常公用经费99.75万元；项目支出107万元，2020年基层公检法司转移支付资冀财政法【2019】23号资金23万元、2020年社区矫正补助资金冀财政法【2019】19号5.38万元、2020年中央政法纪检监察转移支付资金【2019】22号43万元、法律援助项目资金1万元、法制办项目经费3万元、律师公证管理0.32万元、普法宣传10万元、人民调解以案定补5万元、社区矫正4万元、司法鉴定0.3万元、政府法律顾问经费12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（三）比上年增减情况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预算收支安排452.83万元，2020年预算安排528.19万元，较上年增加75.36万元。其中：基本支出中人员经费增加61.46万元，（增加劳务派遣人员劳务费47.95万元，增加自收自支人员经费13万元），项目支出2019年93.1万元，2020年107万元。增加了13.9万元，主要原因是2020年增加政府法律顾问经费12万元，法制办项目经费3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2020年一般公共预算拨款日常公用经费99.75万元。其中： 办公费12万元、邮电费0.36万元、差旅费2.8万元、公务接待费0.60万元、工会经费2.45万元、公务用车运行维护费15万元、其他交通费用13.74万元、福利费4.17万元，劳务费47.95万元。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四、2020年一般公共预算拨款“三公”经费预算情况</w:t>
      </w:r>
    </w:p>
    <w:p>
      <w:pPr>
        <w:spacing w:line="560" w:lineRule="exact"/>
        <w:ind w:firstLine="640" w:firstLineChars="200"/>
        <w:rPr>
          <w:rFonts w:ascii="宋体" w:hAnsi="宋体" w:eastAsia="宋体" w:cs="宋体"/>
          <w:sz w:val="24"/>
          <w:szCs w:val="24"/>
        </w:rPr>
        <w:sectPr>
          <w:footerReference r:id="rId3" w:type="default"/>
          <w:pgSz w:w="11907" w:h="16839"/>
          <w:pgMar w:top="1440" w:right="1800" w:bottom="1440" w:left="1800" w:header="851" w:footer="992" w:gutter="0"/>
          <w:pgNumType w:fmt="numberInDash" w:start="1"/>
          <w:cols w:space="425" w:num="1"/>
          <w:docGrid w:type="lines" w:linePitch="312" w:charSpace="0"/>
        </w:sectPr>
      </w:pPr>
      <w:r>
        <w:rPr>
          <w:rFonts w:hint="eastAsia" w:ascii="仿宋_GB2312" w:hAnsi="仿宋_GB2312" w:eastAsia="仿宋_GB2312" w:cs="仿宋_GB2312"/>
          <w:sz w:val="32"/>
          <w:szCs w:val="32"/>
        </w:rPr>
        <w:t>2019年一般公共预算拨款“三公”经费预算18.8万元，其中公务用车运行维护费18万元，公务接待费0.8万元。2020年一般公共预算拨款“三公”经费预算15.6万元，同比减少23.33%。其中公务用车运行维护费15万元，同比减少20%。公务接待费0.6万元，与2019年减少33.33%。预计接待8批次，63人次。无因公出国（境）费。</w:t>
      </w:r>
    </w:p>
    <w:p>
      <w:pPr>
        <w:spacing w:line="560" w:lineRule="exact"/>
        <w:jc w:val="center"/>
        <w:rPr>
          <w:rFonts w:ascii="宋体" w:hAnsi="宋体" w:eastAsia="宋体" w:cs="宋体"/>
          <w:sz w:val="24"/>
          <w:szCs w:val="24"/>
        </w:rPr>
      </w:pPr>
      <w:r>
        <w:rPr>
          <w:rFonts w:hint="eastAsia" w:ascii="宋体" w:hAnsi="宋体" w:eastAsia="宋体" w:cs="宋体"/>
          <w:sz w:val="24"/>
          <w:szCs w:val="24"/>
        </w:rPr>
        <w:t>涞水县司法局三公经费预算情况及增减变化原因</w:t>
      </w:r>
    </w:p>
    <w:p>
      <w:pPr>
        <w:spacing w:line="560" w:lineRule="exact"/>
        <w:jc w:val="right"/>
        <w:rPr>
          <w:rFonts w:ascii="宋体" w:hAnsi="宋体" w:eastAsia="宋体" w:cs="宋体"/>
          <w:sz w:val="24"/>
          <w:szCs w:val="24"/>
        </w:rPr>
      </w:pPr>
      <w:r>
        <w:rPr>
          <w:rFonts w:hint="eastAsia" w:ascii="宋体" w:hAnsi="宋体" w:eastAsia="宋体" w:cs="宋体"/>
          <w:sz w:val="24"/>
          <w:szCs w:val="24"/>
        </w:rPr>
        <w:t>单位：万元</w:t>
      </w:r>
    </w:p>
    <w:tbl>
      <w:tblPr>
        <w:tblStyle w:val="6"/>
        <w:tblW w:w="831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1455"/>
        <w:gridCol w:w="1485"/>
        <w:gridCol w:w="102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25" w:type="dxa"/>
            <w:tcBorders>
              <w:right w:val="nil"/>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项目名称</w:t>
            </w:r>
          </w:p>
        </w:tc>
        <w:tc>
          <w:tcPr>
            <w:tcW w:w="1455" w:type="dxa"/>
            <w:tcBorders>
              <w:right w:val="nil"/>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2019年度</w:t>
            </w:r>
          </w:p>
          <w:p>
            <w:pPr>
              <w:spacing w:line="400" w:lineRule="exact"/>
              <w:jc w:val="center"/>
              <w:rPr>
                <w:rFonts w:ascii="宋体" w:hAnsi="宋体" w:eastAsia="宋体" w:cs="宋体"/>
                <w:sz w:val="24"/>
                <w:szCs w:val="24"/>
              </w:rPr>
            </w:pPr>
            <w:r>
              <w:rPr>
                <w:rFonts w:hint="eastAsia" w:ascii="宋体" w:hAnsi="宋体" w:eastAsia="宋体" w:cs="宋体"/>
                <w:sz w:val="24"/>
                <w:szCs w:val="24"/>
              </w:rPr>
              <w:t>预算</w:t>
            </w:r>
          </w:p>
        </w:tc>
        <w:tc>
          <w:tcPr>
            <w:tcW w:w="1485" w:type="dxa"/>
            <w:tcBorders>
              <w:right w:val="nil"/>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2020年度</w:t>
            </w:r>
          </w:p>
          <w:p>
            <w:pPr>
              <w:spacing w:line="400" w:lineRule="exact"/>
              <w:jc w:val="center"/>
              <w:rPr>
                <w:rFonts w:ascii="宋体" w:hAnsi="宋体" w:eastAsia="宋体" w:cs="宋体"/>
                <w:sz w:val="24"/>
                <w:szCs w:val="24"/>
              </w:rPr>
            </w:pPr>
            <w:r>
              <w:rPr>
                <w:rFonts w:hint="eastAsia" w:ascii="宋体" w:hAnsi="宋体" w:eastAsia="宋体" w:cs="宋体"/>
                <w:sz w:val="24"/>
                <w:szCs w:val="24"/>
              </w:rPr>
              <w:t>预算</w:t>
            </w:r>
          </w:p>
        </w:tc>
        <w:tc>
          <w:tcPr>
            <w:tcW w:w="1020" w:type="dxa"/>
            <w:tcBorders>
              <w:right w:val="nil"/>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增减</w:t>
            </w:r>
          </w:p>
          <w:p>
            <w:pPr>
              <w:spacing w:line="400" w:lineRule="exact"/>
              <w:jc w:val="center"/>
              <w:rPr>
                <w:rFonts w:ascii="宋体" w:hAnsi="宋体" w:eastAsia="宋体" w:cs="宋体"/>
                <w:sz w:val="24"/>
                <w:szCs w:val="24"/>
              </w:rPr>
            </w:pPr>
            <w:r>
              <w:rPr>
                <w:rFonts w:hint="eastAsia" w:ascii="宋体" w:hAnsi="宋体" w:eastAsia="宋体" w:cs="宋体"/>
                <w:sz w:val="24"/>
                <w:szCs w:val="24"/>
              </w:rPr>
              <w:t>金额</w:t>
            </w:r>
          </w:p>
        </w:tc>
        <w:tc>
          <w:tcPr>
            <w:tcW w:w="2025" w:type="dxa"/>
            <w:tcBorders>
              <w:right w:val="single" w:color="auto" w:sz="4" w:space="0"/>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因公出国经费</w:t>
            </w:r>
          </w:p>
        </w:tc>
        <w:tc>
          <w:tcPr>
            <w:tcW w:w="145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w:t>
            </w:r>
          </w:p>
        </w:tc>
        <w:tc>
          <w:tcPr>
            <w:tcW w:w="148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w:t>
            </w:r>
          </w:p>
        </w:tc>
        <w:tc>
          <w:tcPr>
            <w:tcW w:w="1020"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w:t>
            </w:r>
          </w:p>
        </w:tc>
        <w:tc>
          <w:tcPr>
            <w:tcW w:w="202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325"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公务用车购置经费</w:t>
            </w:r>
          </w:p>
        </w:tc>
        <w:tc>
          <w:tcPr>
            <w:tcW w:w="1455"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w:t>
            </w:r>
          </w:p>
        </w:tc>
        <w:tc>
          <w:tcPr>
            <w:tcW w:w="1485"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w:t>
            </w:r>
          </w:p>
        </w:tc>
        <w:tc>
          <w:tcPr>
            <w:tcW w:w="1020"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公务用车运行经费</w:t>
            </w:r>
          </w:p>
        </w:tc>
        <w:tc>
          <w:tcPr>
            <w:tcW w:w="145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18</w:t>
            </w:r>
          </w:p>
        </w:tc>
        <w:tc>
          <w:tcPr>
            <w:tcW w:w="148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15</w:t>
            </w:r>
          </w:p>
        </w:tc>
        <w:tc>
          <w:tcPr>
            <w:tcW w:w="1020"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-3</w:t>
            </w:r>
          </w:p>
        </w:tc>
        <w:tc>
          <w:tcPr>
            <w:tcW w:w="202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按要求压减开支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公务接待费支出</w:t>
            </w:r>
          </w:p>
        </w:tc>
        <w:tc>
          <w:tcPr>
            <w:tcW w:w="145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0.8</w:t>
            </w:r>
          </w:p>
        </w:tc>
        <w:tc>
          <w:tcPr>
            <w:tcW w:w="148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0.6</w:t>
            </w:r>
          </w:p>
        </w:tc>
        <w:tc>
          <w:tcPr>
            <w:tcW w:w="1020"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-0.2</w:t>
            </w:r>
          </w:p>
        </w:tc>
        <w:tc>
          <w:tcPr>
            <w:tcW w:w="202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按要求压减开支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合计</w:t>
            </w:r>
          </w:p>
        </w:tc>
        <w:tc>
          <w:tcPr>
            <w:tcW w:w="145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18.8</w:t>
            </w:r>
          </w:p>
        </w:tc>
        <w:tc>
          <w:tcPr>
            <w:tcW w:w="148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15.6</w:t>
            </w:r>
          </w:p>
        </w:tc>
        <w:tc>
          <w:tcPr>
            <w:tcW w:w="1020"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-3.2</w:t>
            </w:r>
          </w:p>
        </w:tc>
        <w:tc>
          <w:tcPr>
            <w:tcW w:w="202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按要求压减开支</w:t>
            </w:r>
          </w:p>
        </w:tc>
      </w:tr>
    </w:tbl>
    <w:p>
      <w:pPr>
        <w:spacing w:line="560" w:lineRule="exact"/>
        <w:jc w:val="center"/>
        <w:rPr>
          <w:rFonts w:ascii="宋体" w:hAnsi="宋体" w:eastAsia="宋体" w:cs="宋体"/>
          <w:sz w:val="24"/>
          <w:szCs w:val="2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五、绩效预算信息情况</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第一部分  部门整体绩效目标 </w:t>
      </w:r>
      <w:r>
        <w:rPr>
          <w:rFonts w:hint="eastAsia" w:ascii="仿宋_GB2312" w:hAnsi="仿宋_GB2312" w:eastAsia="仿宋_GB2312" w:cs="仿宋_GB2312"/>
          <w:sz w:val="32"/>
          <w:szCs w:val="32"/>
        </w:rPr>
        <w:t xml:space="preserve"> </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（一）总体绩效目标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涞水县司法局根据财政预算项目资金为保障涞水县普法宣传、知法守法，保障弱势群体农民工合法权益，县域和谐稳定、经济发展取得良好效果。司法局将在县委、县政府的正确领导下，以习近平新时代中国特色社会主义思想为指导，全面贯彻党的十九届四中全会、习近平总书记系列重要讲话精神，巩固“不忘初心、牢记使命”主题教育成果，认真落实各级政法工作、司法行政工作会议精神，紧紧围绕全市中心工作，充分发挥司法行政各项职能作用，为全县经济社会发展和平安法治建设提供优质高效的法治保障。加强依法治县工作,推进依法行政工作,做好行政复议应诉工作,深化普法宣传教育,强化社区矫正监管,夯实基层基础工作,规范法律服务工作,加强干部队伍建设。</w:t>
      </w:r>
    </w:p>
    <w:p>
      <w:pPr>
        <w:spacing w:line="560" w:lineRule="exact"/>
        <w:ind w:firstLine="640" w:firstLineChars="200"/>
        <w:rPr>
          <w:rFonts w:ascii="黑体" w:hAnsi="黑体" w:eastAsia="黑体" w:cs="黑体"/>
          <w:sz w:val="32"/>
          <w:szCs w:val="32"/>
        </w:rPr>
      </w:pPr>
      <w:r>
        <w:rPr>
          <w:rFonts w:hint="eastAsia" w:ascii="楷体_GB2312" w:hAnsi="楷体_GB2312" w:eastAsia="楷体_GB2312" w:cs="楷体_GB2312"/>
          <w:sz w:val="32"/>
          <w:szCs w:val="32"/>
        </w:rPr>
        <w:t>（二）分项绩效目标</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1、普法宣传：开展全县法治宣传、依法治理工作；开展法治宣传报道。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绩效目标：提高全县人民法律意识和法律素质，增强法治化管理水平，促进全县民主与法制建设。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绩效指标：宣传资料印刷数量(宣传资料印刷份数）大于等于30000份；组织主题宣传活动场次，5次以上；普法考核通过率（通过普法考核的人数占考核总人数的比率）达到85%。</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2、律师公证管理：开展律师公证工作并承担相应责任。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绩效目标：充分发挥法律服务职能，规范律师、公证行业管理。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绩效指标：提供法律咨询数量（宗）。每年提供法律咨询数量达到200件为中；每年提供法律咨询数量低于200件。</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3、基层司法业务：负责全县社区矫正、人民调解、安置帮教、基层法律服务和基层司法所工作；指导人民调解员协会工作；承担市安置帮教办公室、县社区矫正办公室的日常工作。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绩效目标：深化人民调解、社区矫正和安置帮教工作，最大限度降低重新违法犯罪和社会不稳定因素发生率。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服刑人员信息核查率（已核查信息服刑人员数量占应核查服刑人员数量比例），达到100%；社区矫正人数，累计接收社区矫正人员达到172人；人民调解案件数。达到600件为优；再犯罪减低率（刑满释放人员再犯罪人数占全部刑满释放人员的比例，比去年同期减低幅度）。小于0.2%。</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4、法律援助：办理法律援助案件，政府购买法律援助服务。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绩效目标：扩大法律援助覆盖面，推动全县法律援助工作长足发展。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绩效指标：法律援助案件办结率（已办结的法律援助案件占受理的法律援助案件比例）达到95%。</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5、司法鉴定：完成全县司法鉴定人和司法鉴定机构登记管理工作。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绩效目标：规范司法鉴定机构和司法鉴定人的管理，提高司法鉴定人员素质，促进司法鉴定的公正、公平。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绩效指标：司法鉴定机构年检率（参加年检的司法鉴定机构占应年检机构的比例），达到100%；司法鉴定人员培训人次。每年组织全县司法鉴定人员培训必须达到2人次。</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6、依法治县：指导、监督县政府各部门、各乡（镇、办事处）政府依法行政工作。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绩效目标：负责做好法治政府工作，指导、监督全县行政复议和行政应诉工作。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绩效指标：行政复议案件办结率（已办结的行政复议案件占受理的行政复议案件比例）达到97%。</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（三）工作保障措施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1、加强依法治县工作。</w:t>
      </w:r>
      <w:r>
        <w:rPr>
          <w:rFonts w:hint="eastAsia" w:ascii="仿宋_GB2312" w:hAnsi="仿宋_GB2312" w:eastAsia="仿宋_GB2312" w:cs="仿宋_GB2312"/>
          <w:sz w:val="32"/>
          <w:szCs w:val="32"/>
        </w:rPr>
        <w:t>充分发挥中共涞水县委全面依法治县委员会办公室工作职能，建立健全我县依法治市督查机制，统筹协调司法、执法、守法普法三个协调小组，加强对法治政府示范建设各项任务的督导检查。建立依法治县信息报送机制，推进各相关单位法治信息报送常态化，深度挖掘并打造我县法治政府建设工作中的亮点。按照全国市县法治政府建设示范指标体系评分标准104项的要求，全面推进法治政府建设再上新台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2、推进依法行政工作。</w:t>
      </w:r>
      <w:r>
        <w:rPr>
          <w:rFonts w:hint="eastAsia" w:ascii="仿宋_GB2312" w:hAnsi="仿宋_GB2312" w:eastAsia="仿宋_GB2312" w:cs="仿宋_GB2312"/>
          <w:sz w:val="32"/>
          <w:szCs w:val="32"/>
        </w:rPr>
        <w:t>按照《河北省行政执法公示办法》、《河北省行政执法全过程记录办法》、《河北省重大行政执法决定法制审核办法》要求，深入推进全县行政执法三项制度落实，规范各部门行政执法行为。严格执法证件管理，建立公共法律知识题库，通过网上考试的方式建立公平公正的评判系统，推动严格规范公正文明执法体系建设。以法治政府示范创建为抓手，与相关部门积极协调对接，进一步完善我县重大行政决策程序制度。</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3、做好行政复议应诉工作。</w:t>
      </w:r>
      <w:r>
        <w:rPr>
          <w:rFonts w:hint="eastAsia" w:ascii="仿宋_GB2312" w:hAnsi="仿宋_GB2312" w:eastAsia="仿宋_GB2312" w:cs="仿宋_GB2312"/>
          <w:sz w:val="32"/>
          <w:szCs w:val="32"/>
        </w:rPr>
        <w:t>充分利用法律顾问，进一步做好行政应诉工作。认真践行以人民为中心的工作思想，在行政复议工作中，热情接待群众，对符合受理条件的依法受理，需补正的告知申请人补正，并按法定程序公正办理行政复议案件。加强提出行政复议意见工作，及时制作行政复议意见书，积极建议有关机关纠正行政违法行为或者做好善后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4、深化普法宣传教育。</w:t>
      </w:r>
      <w:r>
        <w:rPr>
          <w:rFonts w:hint="eastAsia" w:ascii="仿宋_GB2312" w:hAnsi="仿宋_GB2312" w:eastAsia="仿宋_GB2312" w:cs="仿宋_GB2312"/>
          <w:sz w:val="32"/>
          <w:szCs w:val="32"/>
        </w:rPr>
        <w:t>全力做好“七五”普法验收准备工作和“八五”普法规划启动工作。利用节点日期开展多种形式的普法宣传活动。继续加强“法律九进”和“法治九建”工作，完成保定市级民主法治示范村创建工作，打造一批高水平的基层普法精品。重点完成法治公园建设，打造传统与现代有机结合、法治元素与文化元素融为一体的法治文化公园。</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5、强化社区矫正监管。</w:t>
      </w:r>
      <w:r>
        <w:rPr>
          <w:rFonts w:hint="eastAsia" w:ascii="仿宋_GB2312" w:hAnsi="仿宋_GB2312" w:eastAsia="仿宋_GB2312" w:cs="仿宋_GB2312"/>
          <w:sz w:val="32"/>
          <w:szCs w:val="32"/>
        </w:rPr>
        <w:t>以《中华人民共和国社区矫正法》实施为契机，健全社区矫正机制、完善制度、严格管理。按照司法部社区矫正中心建设规范，建设我县标准化社区矫正中心和劳动基地。招录司法所劳务派遣人员，充实社区矫正中心工作。开展社区矫正工作人员的业务培训，提高整个社区矫正工作队伍的综合素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6、夯实基层基础工作。</w:t>
      </w:r>
      <w:r>
        <w:rPr>
          <w:rFonts w:hint="eastAsia" w:ascii="仿宋_GB2312" w:hAnsi="仿宋_GB2312" w:eastAsia="仿宋_GB2312" w:cs="仿宋_GB2312"/>
          <w:sz w:val="32"/>
          <w:szCs w:val="32"/>
        </w:rPr>
        <w:t>进一步推进司法所规范化建设，提升软硬件水平，再创一个省级规范化司法所。推进行业性专业性调委会建设，充分发挥行业主管部门职能作用。坚持经常排查与重点排查相结合，努力将民间矛盾纠纷发现在萌芽，化解在初始。完善诉前调解机制，在县法院及基层法庭设立诉前调解中心（室），配备专职调解员，负责集中受理立案庭分流的适宜用人民调解方式解决的民商事纠纷和民间纠纷。</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7、规范法律服务工作。</w:t>
      </w:r>
      <w:r>
        <w:rPr>
          <w:rFonts w:hint="eastAsia" w:ascii="仿宋_GB2312" w:hAnsi="仿宋_GB2312" w:eastAsia="仿宋_GB2312" w:cs="仿宋_GB2312"/>
          <w:sz w:val="32"/>
          <w:szCs w:val="32"/>
        </w:rPr>
        <w:t>严格依法管理律师队伍，从严处理违法执业，规范律师党建，发展律师党员，确保党内各项制度经常化，规范化，打造律师事务所典型。将“一村一法律顾问”的法律服务人员进行调整，加大培训力度提高法律服务队伍整体素质。规范公证工作制度，采取多种便民措施，调动公证员工作的积极性，有效提高公证效率和质量。在基层司法所建立法律援助工作站，提高法律援助办案质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8、加强干部队伍建设。</w:t>
      </w:r>
      <w:r>
        <w:rPr>
          <w:rFonts w:hint="eastAsia" w:ascii="仿宋_GB2312" w:hAnsi="仿宋_GB2312" w:eastAsia="仿宋_GB2312" w:cs="仿宋_GB2312"/>
          <w:sz w:val="32"/>
          <w:szCs w:val="32"/>
        </w:rPr>
        <w:t>严格落实党组理论</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中心组学习制度，进一步加强十九届四中全会、习近平总书记系列重要讲话和中央省市重要会议精神的学习，教育引导全系统干部不断增强“四个意识”。巩固“不忘初心、牢记使命”主题教育成果，加强干部队伍教育培训，认真落实两个责任，严格党风廉政建设，努力造就政治坚定、纪律严明、作风优良的司法行政干部队伍。</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第二部分  专项资金绩效目标</w:t>
      </w:r>
    </w:p>
    <w:p>
      <w:pPr>
        <w:spacing w:line="560" w:lineRule="exact"/>
        <w:rPr>
          <w:rFonts w:ascii="仿宋_GB2312" w:hAnsi="仿宋_GB2312" w:eastAsia="仿宋_GB2312" w:cs="仿宋_GB2312"/>
          <w:sz w:val="32"/>
          <w:szCs w:val="32"/>
        </w:rPr>
      </w:pPr>
      <w:r>
        <w:rPr>
          <w:rFonts w:hint="eastAsia" w:ascii="宋体" w:hAnsi="宋体" w:eastAsia="宋体" w:cs="宋体"/>
          <w:sz w:val="24"/>
          <w:szCs w:val="24"/>
        </w:rPr>
        <w:t>1、2020年基层公检法司转移支付资金冀财政法[2019]23号绩效目标表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TC </w:instrText>
      </w:r>
      <w:bookmarkStart w:id="0" w:name="_Toc30060673"/>
      <w:r>
        <w:rPr>
          <w:rFonts w:hint="eastAsia" w:ascii="仿宋_GB2312" w:hAnsi="仿宋_GB2312" w:eastAsia="仿宋_GB2312" w:cs="仿宋_GB2312"/>
          <w:sz w:val="32"/>
          <w:szCs w:val="32"/>
        </w:rPr>
        <w:instrText xml:space="preserve">1、2020年基层公检法司转移支付资金冀财政法[2019]23号绩效目标表</w:instrText>
      </w:r>
      <w:bookmarkEnd w:id="0"/>
      <w:r>
        <w:rPr>
          <w:rFonts w:hint="eastAsia" w:ascii="仿宋_GB2312" w:hAnsi="仿宋_GB2312" w:eastAsia="仿宋_GB2312" w:cs="仿宋_GB2312"/>
          <w:sz w:val="32"/>
          <w:szCs w:val="32"/>
        </w:rPr>
        <w:instrText xml:space="preserve"> \f C \l 1 </w:instrText>
      </w:r>
      <w:r>
        <w:rPr>
          <w:rFonts w:hint="eastAsia" w:ascii="仿宋_GB2312" w:hAnsi="仿宋_GB2312" w:eastAsia="仿宋_GB2312" w:cs="仿宋_GB2312"/>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315-0501-YBN-2QSN</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2020年基层公检法司转移支付资金冀财政法[2019]23号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23.00</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23.00</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用于2020年涞水县司法局人民调解，普法宣传、社区矫正、法制建设、安置帮教等基层司法业务支出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1、维护涞水县和谐稳定，促进经济发展</w:t>
            </w:r>
          </w:p>
          <w:p>
            <w:pPr>
              <w:spacing w:line="400" w:lineRule="exact"/>
              <w:rPr>
                <w:rFonts w:ascii="宋体" w:hAnsi="宋体" w:eastAsia="宋体" w:cs="宋体"/>
                <w:sz w:val="24"/>
                <w:szCs w:val="24"/>
              </w:rPr>
            </w:pPr>
            <w:r>
              <w:rPr>
                <w:rFonts w:hint="eastAsia" w:ascii="宋体" w:hAnsi="宋体" w:eastAsia="宋体" w:cs="宋体"/>
                <w:sz w:val="24"/>
                <w:szCs w:val="24"/>
              </w:rPr>
              <w:t>2、普及法律知识，提高公民法律意识，创造良好的法制环境</w:t>
            </w:r>
          </w:p>
        </w:tc>
      </w:tr>
    </w:tbl>
    <w:tbl>
      <w:tblPr>
        <w:tblStyle w:val="6"/>
        <w:tblpPr w:leftFromText="180" w:rightFromText="180" w:vertAnchor="text" w:horzAnchor="page" w:tblpX="1352" w:tblpY="49"/>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开展外宣活动数量</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反映开展外宣活动情况</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≥30次数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质量指标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人民调解调解成功率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反应人民调解工作状况</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社会稳定水平</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通过人民调解工作政策促进社会稳定水平逐步提高</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可持续影响指标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长期使用性</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能够长期较好地开展展演、展映、展播、展示，长期满足人民群众对法律知识，法律意识的需求。</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群众对当基层死噶行政工作的整体满意度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400" w:lineRule="exact"/>
        <w:rPr>
          <w:rFonts w:ascii="宋体" w:hAnsi="宋体" w:eastAsia="宋体" w:cs="宋体"/>
          <w:sz w:val="24"/>
          <w:szCs w:val="24"/>
        </w:rPr>
      </w:pPr>
      <w:r>
        <w:rPr>
          <w:rFonts w:hint="eastAsia" w:ascii="宋体" w:hAnsi="宋体" w:eastAsia="宋体" w:cs="宋体"/>
          <w:sz w:val="24"/>
          <w:szCs w:val="24"/>
        </w:rPr>
        <w:t xml:space="preserve"> </w:t>
      </w:r>
    </w:p>
    <w:p>
      <w:pPr>
        <w:spacing w:line="40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400" w:lineRule="exact"/>
        <w:rPr>
          <w:rFonts w:ascii="宋体" w:hAnsi="宋体" w:eastAsia="宋体" w:cs="宋体"/>
          <w:sz w:val="24"/>
          <w:szCs w:val="24"/>
        </w:rPr>
      </w:pPr>
      <w:r>
        <w:rPr>
          <w:rFonts w:hint="eastAsia" w:ascii="宋体" w:hAnsi="宋体" w:eastAsia="宋体" w:cs="宋体"/>
          <w:sz w:val="24"/>
          <w:szCs w:val="24"/>
        </w:rPr>
        <w:t>2、2020年社区矫正补助资金冀财政法[2019]19号绩效目标表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315-0501-YBN-CSS6</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2020年社区矫正补助资金冀财政法[2019]19号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5.38</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5.38</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深化社区矫正和安置帮教工作，最大限度降低重新违法犯罪和社会不稳定因素发生率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50.00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1、深化社区矫正和安置帮教工作，最大限度降低重新违法犯罪和社会不稳定因素发生率</w:t>
            </w:r>
          </w:p>
          <w:p>
            <w:pPr>
              <w:spacing w:line="400" w:lineRule="exact"/>
              <w:rPr>
                <w:rFonts w:ascii="宋体" w:hAnsi="宋体" w:eastAsia="宋体" w:cs="宋体"/>
                <w:sz w:val="24"/>
                <w:szCs w:val="24"/>
              </w:rPr>
            </w:pPr>
            <w:r>
              <w:rPr>
                <w:rFonts w:hint="eastAsia" w:ascii="宋体" w:hAnsi="宋体" w:eastAsia="宋体" w:cs="宋体"/>
                <w:sz w:val="24"/>
                <w:szCs w:val="24"/>
              </w:rPr>
              <w:t>2、深化社区矫正和安置帮教工作，最大限度降低重新违法犯罪和社会不稳定因素发生率</w:t>
            </w:r>
          </w:p>
        </w:tc>
      </w:tr>
    </w:tbl>
    <w:tbl>
      <w:tblPr>
        <w:tblStyle w:val="6"/>
        <w:tblpPr w:leftFromText="180" w:rightFromText="180" w:vertAnchor="text" w:horzAnchor="page" w:tblpX="1367" w:tblpY="72"/>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开展外宣活动数量</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反映开展外宣活动情况</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≥10次数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时效指标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完成率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按照要求和计划完成研究任务的项目在所有立项项目中的比例（百分比）</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社会影响力</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通过社区矫正监管工作，减少重新犯罪，得到广大受众的充分认可。</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经济效益指标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外宣品发放使用量占生产量的比例（%）</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反映外宣品的使用程度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群众满意数量占总数的比例。</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40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400" w:lineRule="exact"/>
        <w:rPr>
          <w:rFonts w:ascii="宋体" w:hAnsi="宋体" w:eastAsia="宋体" w:cs="宋体"/>
          <w:sz w:val="24"/>
          <w:szCs w:val="24"/>
        </w:rPr>
      </w:pPr>
      <w:r>
        <w:rPr>
          <w:rFonts w:hint="eastAsia" w:ascii="宋体" w:hAnsi="宋体" w:eastAsia="宋体" w:cs="宋体"/>
          <w:sz w:val="24"/>
          <w:szCs w:val="24"/>
        </w:rPr>
        <w:t>3、2020年中央政法纪检监察转移支付资金冀财政法[2019]22号绩效目标表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315-0501-YBN-EOWB</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2020年中央政法纪检监察转移支付资金冀财政法[2019]22号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43.00</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43.00</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用于2020年涞水县司法局人民调解，普法宣传、社区矫正、法制建设、安置帮教等基层司法业务支出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1、维护涞水县和谐稳定，促进经济发展</w:t>
            </w:r>
          </w:p>
          <w:p>
            <w:pPr>
              <w:spacing w:line="400" w:lineRule="exact"/>
              <w:rPr>
                <w:rFonts w:ascii="宋体" w:hAnsi="宋体" w:eastAsia="宋体" w:cs="宋体"/>
                <w:sz w:val="24"/>
                <w:szCs w:val="24"/>
              </w:rPr>
            </w:pPr>
            <w:r>
              <w:rPr>
                <w:rFonts w:hint="eastAsia" w:ascii="宋体" w:hAnsi="宋体" w:eastAsia="宋体" w:cs="宋体"/>
                <w:sz w:val="24"/>
                <w:szCs w:val="24"/>
              </w:rPr>
              <w:t>2、普及法律知识，提高公民法律意识，创造良好的法制环境</w:t>
            </w:r>
          </w:p>
        </w:tc>
      </w:tr>
    </w:tbl>
    <w:tbl>
      <w:tblPr>
        <w:tblStyle w:val="6"/>
        <w:tblpPr w:leftFromText="180" w:rightFromText="180" w:vertAnchor="text" w:horzAnchor="page" w:tblpX="1337" w:tblpY="241"/>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开展外宣活动数量</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反映开展外宣活动情况</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≥30次数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质量指标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人民调解调解成功率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反应人民调解工作状况</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社会稳定水平</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通过人民调解工作政策促进社会稳定水平逐步提高</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可持续影响指标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长期使用性</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能够长期较好地开展展演、展映、展播、展示，长期满足人民群众对法律知识，法律意识的需求。</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群众对当基层死噶行政工作的整体满意度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400" w:lineRule="exact"/>
        <w:rPr>
          <w:rFonts w:ascii="宋体" w:hAnsi="宋体" w:eastAsia="宋体" w:cs="宋体"/>
          <w:sz w:val="24"/>
          <w:szCs w:val="24"/>
        </w:rPr>
      </w:pPr>
      <w:r>
        <w:rPr>
          <w:rFonts w:hint="eastAsia" w:ascii="宋体" w:hAnsi="宋体" w:eastAsia="宋体" w:cs="宋体"/>
          <w:sz w:val="24"/>
          <w:szCs w:val="24"/>
        </w:rPr>
        <w:t xml:space="preserve"> </w:t>
      </w:r>
    </w:p>
    <w:p>
      <w:pPr>
        <w:spacing w:line="40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400" w:lineRule="exact"/>
        <w:rPr>
          <w:rFonts w:ascii="宋体" w:hAnsi="宋体" w:eastAsia="宋体" w:cs="宋体"/>
          <w:sz w:val="24"/>
          <w:szCs w:val="24"/>
        </w:rPr>
      </w:pPr>
      <w:r>
        <w:rPr>
          <w:rFonts w:hint="eastAsia" w:ascii="宋体" w:hAnsi="宋体" w:eastAsia="宋体" w:cs="宋体"/>
          <w:sz w:val="24"/>
          <w:szCs w:val="24"/>
        </w:rPr>
        <w:t>4、法律援助绩效目标表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315-0404-YBN-GY1P</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法律援助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法律援助社会弱势群体，维护当事人合法权益，我县每年办理法律援助案件80余件。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1、规划法律援助事业发展布局，组织指导全县社会组织和志愿者开展法律援助工作</w:t>
            </w:r>
          </w:p>
          <w:p>
            <w:pPr>
              <w:spacing w:line="400" w:lineRule="exact"/>
              <w:rPr>
                <w:rFonts w:ascii="宋体" w:hAnsi="宋体" w:eastAsia="宋体" w:cs="宋体"/>
                <w:sz w:val="24"/>
                <w:szCs w:val="24"/>
              </w:rPr>
            </w:pPr>
            <w:r>
              <w:rPr>
                <w:rFonts w:hint="eastAsia" w:ascii="宋体" w:hAnsi="宋体" w:eastAsia="宋体" w:cs="宋体"/>
                <w:sz w:val="24"/>
                <w:szCs w:val="24"/>
              </w:rPr>
              <w:t>2、办理法律援助案件，政府购买法律援助服务，使法律援助对象的合法权益得到有效保障</w:t>
            </w:r>
          </w:p>
        </w:tc>
      </w:tr>
    </w:tbl>
    <w:tbl>
      <w:tblPr>
        <w:tblStyle w:val="6"/>
        <w:tblpPr w:leftFromText="180" w:rightFromText="180" w:vertAnchor="text" w:horzAnchor="page" w:tblpX="1367" w:tblpY="169"/>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法律援案件结案率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维护社会弱势群体合法权益</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≥95百分比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质量指标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符合条件申报对象覆盖率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享受扶助政策人数占符合条件申报对象总数的比例</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社会影响力</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在全国或全省产生的重要影响，得到广大受众的充分认可。</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≥97百分比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可持续影响指标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外宣品发放使用量占生产量的比例（%）</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反映外宣品的使用程度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≥97百分比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群众对当年法律援助工作的整体满意度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40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400" w:lineRule="exact"/>
        <w:rPr>
          <w:rFonts w:ascii="宋体" w:hAnsi="宋体" w:eastAsia="宋体" w:cs="宋体"/>
          <w:sz w:val="24"/>
          <w:szCs w:val="24"/>
        </w:rPr>
      </w:pPr>
      <w:r>
        <w:rPr>
          <w:rFonts w:hint="eastAsia" w:ascii="宋体" w:hAnsi="宋体" w:eastAsia="宋体" w:cs="宋体"/>
          <w:sz w:val="24"/>
          <w:szCs w:val="24"/>
        </w:rPr>
        <w:t>5、法制办工作经费绩效目标表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315-0501-YBN-6HUR</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法制办工作经费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3.00</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3.00</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组织协调有关方面提出全面依法治县中长期规划建议，组织协调有关方面提出全面依法治县中长期规划建议，负责有关重大决策部署督察工作。指导、监督县政府各部门、各乡（镇、办事处）政府依法行政工作；组织开展全县执法人员学习培训，负责综合协调行政执法，承担推进行政执法体制改革有关工作，推进严格规范公正文明执法；指导、监督全县行政复议和行政应诉工作；依法承办行政复议案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1、负责有关重大决策部署督察工作。指导、监督县政府各部门、各乡（镇、办事处）政府依法行政工作；</w:t>
            </w:r>
          </w:p>
          <w:p>
            <w:pPr>
              <w:spacing w:line="400" w:lineRule="exact"/>
              <w:rPr>
                <w:rFonts w:ascii="宋体" w:hAnsi="宋体" w:eastAsia="宋体" w:cs="宋体"/>
                <w:sz w:val="24"/>
                <w:szCs w:val="24"/>
              </w:rPr>
            </w:pPr>
            <w:r>
              <w:rPr>
                <w:rFonts w:hint="eastAsia" w:ascii="宋体" w:hAnsi="宋体" w:eastAsia="宋体" w:cs="宋体"/>
                <w:sz w:val="24"/>
                <w:szCs w:val="24"/>
              </w:rPr>
              <w:t>2、组织开展全县执法人员学习培训，负责综合协调行政执法，承担推进行政执法体制改革有关工作，推进严格规范公正文明执法；指导、监督全县行政复议和行政应诉工作；依法承办行政复议案件；</w:t>
            </w:r>
          </w:p>
        </w:tc>
      </w:tr>
    </w:tbl>
    <w:tbl>
      <w:tblPr>
        <w:tblStyle w:val="6"/>
        <w:tblpPr w:leftFromText="180" w:rightFromText="180" w:vertAnchor="text" w:horzAnchor="page" w:tblpX="1352" w:tblpY="318"/>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规范化培训在培人数</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年度内实际参加执法范化培训的人数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≥1000人数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质量指标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规范化培训在培人数合格率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执法人员合格率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确保资助项目执法导向正确</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资助项目不出现上级通报的象征执法重大问题（个）</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≤2次数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可持续影响指标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长期使用性</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能够长期较好地开展展演、展映、展播、展示，对行政执法认可。</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群众满意数量占总数的比例。</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冀财行【2009】23号文件</w:t>
            </w:r>
          </w:p>
        </w:tc>
      </w:tr>
    </w:tbl>
    <w:p>
      <w:pPr>
        <w:spacing w:line="400" w:lineRule="exact"/>
        <w:rPr>
          <w:rFonts w:ascii="宋体" w:hAnsi="宋体" w:eastAsia="宋体" w:cs="宋体"/>
          <w:sz w:val="24"/>
          <w:szCs w:val="24"/>
        </w:rPr>
      </w:pPr>
      <w:r>
        <w:rPr>
          <w:rFonts w:hint="eastAsia" w:ascii="宋体" w:hAnsi="宋体" w:eastAsia="宋体" w:cs="宋体"/>
          <w:sz w:val="24"/>
          <w:szCs w:val="24"/>
        </w:rPr>
        <w:t xml:space="preserve"> </w:t>
      </w:r>
    </w:p>
    <w:p>
      <w:pPr>
        <w:spacing w:line="40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400" w:lineRule="exact"/>
        <w:rPr>
          <w:rFonts w:ascii="宋体" w:hAnsi="宋体" w:eastAsia="宋体" w:cs="宋体"/>
          <w:sz w:val="24"/>
          <w:szCs w:val="24"/>
        </w:rPr>
      </w:pPr>
      <w:r>
        <w:rPr>
          <w:rFonts w:hint="eastAsia" w:ascii="宋体" w:hAnsi="宋体" w:eastAsia="宋体" w:cs="宋体"/>
          <w:sz w:val="24"/>
          <w:szCs w:val="24"/>
        </w:rPr>
        <w:t>6、律师公证管理绩效目标表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315-0402-YBN-C31T</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律师公证管理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0.32</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0.32</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指导、监督律师、公证的法律法规和政策的执行工作；指导、监督机关团体、企事业单位的法律顾问工作；依照有关程序和规定审核审批律师事务机构及公证机构的设置；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1、指导、监督律师、公证的法律法规和政策的执行工作；指导、监督机关团体、企事业单位的法律顾问工作</w:t>
            </w:r>
          </w:p>
          <w:p>
            <w:pPr>
              <w:spacing w:line="400" w:lineRule="exact"/>
              <w:rPr>
                <w:rFonts w:ascii="宋体" w:hAnsi="宋体" w:eastAsia="宋体" w:cs="宋体"/>
                <w:sz w:val="24"/>
                <w:szCs w:val="24"/>
              </w:rPr>
            </w:pPr>
            <w:r>
              <w:rPr>
                <w:rFonts w:hint="eastAsia" w:ascii="宋体" w:hAnsi="宋体" w:eastAsia="宋体" w:cs="宋体"/>
                <w:sz w:val="24"/>
                <w:szCs w:val="24"/>
              </w:rPr>
              <w:t>2、依照有关程序和规定审核审批律师事务机构及公证机构的设置；</w:t>
            </w:r>
          </w:p>
        </w:tc>
      </w:tr>
    </w:tbl>
    <w:tbl>
      <w:tblPr>
        <w:tblStyle w:val="6"/>
        <w:tblpPr w:leftFromText="180" w:rightFromText="180" w:vertAnchor="text" w:horzAnchor="page" w:tblpX="1367" w:tblpY="279"/>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公证员培训次数，律师培训次数</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提高公证员、律师业务水平</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≥3次数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质量指标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办理公证案件合格率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提高公证案件水平，保障公正当时人合法权益</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社会稳定水平</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通过公证业务，律师管理工作，加强队伍建设、促进社会稳定水平逐步提高</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≥95百分比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经济效益指标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涞水县公证员、律师执业人数</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通过公证业务，律师管理工作，加强队伍建设、促进社会稳定水平逐步提高</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≥50人数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群众对公证员、律师的整体满意度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400" w:lineRule="exact"/>
        <w:rPr>
          <w:rFonts w:ascii="宋体" w:hAnsi="宋体" w:eastAsia="宋体" w:cs="宋体"/>
          <w:sz w:val="24"/>
          <w:szCs w:val="24"/>
        </w:rPr>
      </w:pPr>
      <w:r>
        <w:rPr>
          <w:rFonts w:hint="eastAsia" w:ascii="宋体" w:hAnsi="宋体" w:eastAsia="宋体" w:cs="宋体"/>
          <w:sz w:val="24"/>
          <w:szCs w:val="24"/>
        </w:rPr>
        <w:t xml:space="preserve"> </w:t>
      </w:r>
    </w:p>
    <w:p>
      <w:pPr>
        <w:spacing w:line="40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400" w:lineRule="exact"/>
        <w:rPr>
          <w:rFonts w:ascii="宋体" w:hAnsi="宋体" w:eastAsia="宋体" w:cs="宋体"/>
          <w:sz w:val="24"/>
          <w:szCs w:val="24"/>
        </w:rPr>
      </w:pPr>
      <w:r>
        <w:rPr>
          <w:rFonts w:hint="eastAsia" w:ascii="宋体" w:hAnsi="宋体" w:eastAsia="宋体" w:cs="宋体"/>
          <w:sz w:val="24"/>
          <w:szCs w:val="24"/>
        </w:rPr>
        <w:t>7、普法宣传绩效目标表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315-0401-YBN-Y8LX</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普法宣传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按照全面依法治国新要求，深入开展法治宣传教育，扎实推进依法治理和法治创建，弘扬社会主义法治精神，建设社会主义法治文化，推进法治宣传教育与法治实践相结合，健全普法宣传教育机制，推动工作创新，充分发挥法治宣传教育在全面依法治国中的基础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1、按照全面依法治国新要求，深入开展法治宣传教育，扎实推进依法治理和法治创建，弘扬社会主义法治精神，建设社会主义法治文化，</w:t>
            </w:r>
          </w:p>
          <w:p>
            <w:pPr>
              <w:spacing w:line="400" w:lineRule="exact"/>
              <w:rPr>
                <w:rFonts w:ascii="宋体" w:hAnsi="宋体" w:eastAsia="宋体" w:cs="宋体"/>
                <w:sz w:val="24"/>
                <w:szCs w:val="24"/>
              </w:rPr>
            </w:pPr>
            <w:r>
              <w:rPr>
                <w:rFonts w:hint="eastAsia" w:ascii="宋体" w:hAnsi="宋体" w:eastAsia="宋体" w:cs="宋体"/>
                <w:sz w:val="24"/>
                <w:szCs w:val="24"/>
              </w:rPr>
              <w:t>2、健全普法宣传教育机制，推动工作创新，充分发挥法治宣传教育在全面依法治国中的基础作用，</w:t>
            </w:r>
          </w:p>
        </w:tc>
      </w:tr>
    </w:tbl>
    <w:tbl>
      <w:tblPr>
        <w:tblStyle w:val="6"/>
        <w:tblpPr w:leftFromText="180" w:rightFromText="180" w:vertAnchor="text" w:horzAnchor="page" w:tblpX="1367" w:tblpY="97"/>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开展宣传方式的品种或数量（次或种）</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反映开展对外宣传形式的多样性</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≥15次数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质量指标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优良率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普法先进村优良率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≥97百分比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社会稳定水平</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通过普及法律知识，提高公守法意识，促进社会稳定水平逐步提高</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可持续影响指标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长期使用性</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能够长期较好地开展展演、展映、展播、展示提高法制建设的需求。</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群众对当年普噶宣传的整体满意度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400" w:lineRule="exact"/>
        <w:rPr>
          <w:rFonts w:ascii="宋体" w:hAnsi="宋体" w:eastAsia="宋体" w:cs="宋体"/>
          <w:sz w:val="24"/>
          <w:szCs w:val="24"/>
        </w:rPr>
      </w:pPr>
      <w:r>
        <w:rPr>
          <w:rFonts w:hint="eastAsia" w:ascii="宋体" w:hAnsi="宋体" w:eastAsia="宋体" w:cs="宋体"/>
          <w:sz w:val="24"/>
          <w:szCs w:val="24"/>
        </w:rPr>
        <w:t xml:space="preserve"> </w:t>
      </w:r>
    </w:p>
    <w:p>
      <w:pPr>
        <w:spacing w:line="40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400" w:lineRule="exact"/>
        <w:rPr>
          <w:rFonts w:ascii="宋体" w:hAnsi="宋体" w:eastAsia="宋体" w:cs="宋体"/>
          <w:sz w:val="24"/>
          <w:szCs w:val="24"/>
        </w:rPr>
      </w:pPr>
      <w:r>
        <w:rPr>
          <w:rFonts w:hint="eastAsia" w:ascii="宋体" w:hAnsi="宋体" w:eastAsia="宋体" w:cs="宋体"/>
          <w:sz w:val="24"/>
          <w:szCs w:val="24"/>
        </w:rPr>
        <w:t>8、人民调解以案定补绩效目标表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315-0403-YBN-C4SV</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人民调解以案定补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5.00</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5.00</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负责指导人民调解工作，化解矛盾纠纷，维护社会和谐稳定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1、指导人民调解工作，化解矛盾纠纷</w:t>
            </w:r>
          </w:p>
          <w:p>
            <w:pPr>
              <w:spacing w:line="400" w:lineRule="exact"/>
              <w:rPr>
                <w:rFonts w:ascii="宋体" w:hAnsi="宋体" w:eastAsia="宋体" w:cs="宋体"/>
                <w:sz w:val="24"/>
                <w:szCs w:val="24"/>
              </w:rPr>
            </w:pPr>
            <w:r>
              <w:rPr>
                <w:rFonts w:hint="eastAsia" w:ascii="宋体" w:hAnsi="宋体" w:eastAsia="宋体" w:cs="宋体"/>
                <w:sz w:val="24"/>
                <w:szCs w:val="24"/>
              </w:rPr>
              <w:t>2、维护社会和谐稳定</w:t>
            </w:r>
          </w:p>
        </w:tc>
      </w:tr>
    </w:tbl>
    <w:tbl>
      <w:tblPr>
        <w:tblStyle w:val="6"/>
        <w:tblpPr w:leftFromText="180" w:rightFromText="180" w:vertAnchor="text" w:horzAnchor="page" w:tblpX="1352" w:tblpY="224"/>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调解案件数</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指导人民调解工作，化解矛盾纠纷</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≥2000人数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质量指标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调解成功率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维护社会和谐稳定</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参与政府决策活动次数</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参与决策咨询活动次数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≥3次数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经济效益指标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社会稳定水平</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通过实施人民调解以案定补政策促进社会稳定水平逐步提高</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网络评估满意率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培训学员通过网络评估系统对培训班满意率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≥98百分比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400" w:lineRule="exact"/>
        <w:rPr>
          <w:rFonts w:ascii="宋体" w:hAnsi="宋体" w:eastAsia="宋体" w:cs="宋体"/>
          <w:sz w:val="24"/>
          <w:szCs w:val="24"/>
        </w:rPr>
      </w:pPr>
      <w:r>
        <w:rPr>
          <w:rFonts w:hint="eastAsia" w:ascii="宋体" w:hAnsi="宋体" w:eastAsia="宋体" w:cs="宋体"/>
          <w:sz w:val="24"/>
          <w:szCs w:val="24"/>
        </w:rPr>
        <w:t xml:space="preserve"> </w:t>
      </w:r>
    </w:p>
    <w:p>
      <w:pPr>
        <w:spacing w:line="40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400" w:lineRule="exact"/>
        <w:rPr>
          <w:rFonts w:ascii="宋体" w:hAnsi="宋体" w:eastAsia="宋体" w:cs="宋体"/>
          <w:sz w:val="24"/>
          <w:szCs w:val="24"/>
        </w:rPr>
      </w:pPr>
      <w:r>
        <w:rPr>
          <w:rFonts w:hint="eastAsia" w:ascii="宋体" w:hAnsi="宋体" w:eastAsia="宋体" w:cs="宋体"/>
          <w:sz w:val="24"/>
          <w:szCs w:val="24"/>
        </w:rPr>
        <w:t>9、社区矫正绩效目标表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315-0403-YBN-LWWS</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社区矫正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深化社区矫正和安置帮教工作，最大限度降低重新违法犯罪和社会不稳定因素发生率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50.00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1、深化社区矫正和安置帮教工作，最大限度降低重新违法犯罪和社会不稳定因素发生率</w:t>
            </w:r>
          </w:p>
          <w:p>
            <w:pPr>
              <w:spacing w:line="400" w:lineRule="exact"/>
              <w:rPr>
                <w:rFonts w:ascii="宋体" w:hAnsi="宋体" w:eastAsia="宋体" w:cs="宋体"/>
                <w:sz w:val="24"/>
                <w:szCs w:val="24"/>
              </w:rPr>
            </w:pPr>
            <w:r>
              <w:rPr>
                <w:rFonts w:hint="eastAsia" w:ascii="宋体" w:hAnsi="宋体" w:eastAsia="宋体" w:cs="宋体"/>
                <w:sz w:val="24"/>
                <w:szCs w:val="24"/>
              </w:rPr>
              <w:t>2、深化社区矫正和安置帮教工作，最大限度降低重新违法犯罪和社会不稳定因素发生率</w:t>
            </w:r>
          </w:p>
        </w:tc>
      </w:tr>
    </w:tbl>
    <w:tbl>
      <w:tblPr>
        <w:tblStyle w:val="6"/>
        <w:tblpPr w:leftFromText="180" w:rightFromText="180" w:vertAnchor="text" w:horzAnchor="page" w:tblpX="1352" w:tblpY="117"/>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开展外宣活动数量</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反映开展外宣活动情况</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≥10次数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时效指标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完成率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按照要求和计划完成研究任务的项目在所有立项项目中的比例（百分比）</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社会影响力</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通过社区矫正监管工作，减少重新犯罪，得到广大受众的充分认可。</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经济效益指标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外宣品发放使用量占生产量的比例（%）</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反映外宣品的使用程度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群众满意数量占总数的比例。</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400" w:lineRule="exact"/>
        <w:rPr>
          <w:rFonts w:ascii="宋体" w:hAnsi="宋体" w:eastAsia="宋体" w:cs="宋体"/>
          <w:sz w:val="24"/>
          <w:szCs w:val="24"/>
        </w:rPr>
      </w:pPr>
      <w:r>
        <w:rPr>
          <w:rFonts w:hint="eastAsia" w:ascii="宋体" w:hAnsi="宋体" w:eastAsia="宋体" w:cs="宋体"/>
          <w:sz w:val="24"/>
          <w:szCs w:val="24"/>
        </w:rPr>
        <w:t xml:space="preserve"> </w:t>
      </w:r>
    </w:p>
    <w:p>
      <w:pPr>
        <w:spacing w:line="40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400" w:lineRule="exact"/>
        <w:rPr>
          <w:rFonts w:ascii="宋体" w:hAnsi="宋体" w:eastAsia="宋体" w:cs="宋体"/>
          <w:sz w:val="24"/>
          <w:szCs w:val="24"/>
        </w:rPr>
      </w:pPr>
      <w:r>
        <w:rPr>
          <w:rFonts w:hint="eastAsia" w:ascii="宋体" w:hAnsi="宋体" w:eastAsia="宋体" w:cs="宋体"/>
          <w:sz w:val="24"/>
          <w:szCs w:val="24"/>
        </w:rPr>
        <w:t>10、司法鉴定绩效目标表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315-0405-YBN-5WL2</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司法鉴定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0.30</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0.30</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40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8278" w:type="dxa"/>
            <w:gridSpan w:val="6"/>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对涞水司法医学鉴定中心进行业务指导，受理鉴定当事人投诉案件，确保涞水县司法鉴定中心正常运转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40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40.00</w:t>
            </w:r>
          </w:p>
        </w:tc>
        <w:tc>
          <w:tcPr>
            <w:tcW w:w="1304" w:type="dxa"/>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1、对涞水司法医学鉴定中心进行业务指导，</w:t>
            </w:r>
          </w:p>
          <w:p>
            <w:pPr>
              <w:spacing w:line="400" w:lineRule="exact"/>
              <w:rPr>
                <w:rFonts w:ascii="宋体" w:hAnsi="宋体" w:eastAsia="宋体" w:cs="宋体"/>
                <w:sz w:val="24"/>
                <w:szCs w:val="24"/>
              </w:rPr>
            </w:pPr>
            <w:r>
              <w:rPr>
                <w:rFonts w:hint="eastAsia" w:ascii="宋体" w:hAnsi="宋体" w:eastAsia="宋体" w:cs="宋体"/>
                <w:sz w:val="24"/>
                <w:szCs w:val="24"/>
              </w:rPr>
              <w:t>2、受理鉴定当事人投诉案件，确保涞水县司法鉴定中心正常运转</w:t>
            </w:r>
          </w:p>
        </w:tc>
      </w:tr>
    </w:tbl>
    <w:tbl>
      <w:tblPr>
        <w:tblStyle w:val="6"/>
        <w:tblpPr w:leftFromText="180" w:rightFromText="180" w:vertAnchor="text" w:horzAnchor="page" w:tblpX="1352" w:tblpY="100"/>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受理司法鉴定案件数</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确保鉴定质量</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≥300人数</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质量指标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受理司法鉴定案件合格率</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确保鉴定质量</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鉴定当事人满意度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通过实策促进社会稳定水平逐步提高</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400" w:lineRule="exact"/>
              <w:rPr>
                <w:rFonts w:ascii="宋体" w:hAnsi="宋体" w:eastAsia="宋体" w:cs="宋体"/>
                <w:sz w:val="24"/>
                <w:szCs w:val="24"/>
              </w:rPr>
            </w:pP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可持续影响指标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长期使用性</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能够长期较好地开展展演、展映、展播、展示，长期满足人民群众对司法鉴定认识度。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群众满意度</w:t>
            </w:r>
          </w:p>
        </w:tc>
        <w:tc>
          <w:tcPr>
            <w:tcW w:w="289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群众对司法鉴定案件的整体满意度</w:t>
            </w:r>
          </w:p>
        </w:tc>
        <w:tc>
          <w:tcPr>
            <w:tcW w:w="1276"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≥99百分比</w:t>
            </w:r>
          </w:p>
        </w:tc>
        <w:tc>
          <w:tcPr>
            <w:tcW w:w="1701" w:type="dxa"/>
            <w:shd w:val="clear" w:color="auto" w:fill="auto"/>
            <w:vAlign w:val="center"/>
          </w:tcPr>
          <w:p>
            <w:pPr>
              <w:spacing w:line="40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400" w:lineRule="exact"/>
        <w:rPr>
          <w:rFonts w:ascii="宋体" w:hAnsi="宋体" w:eastAsia="宋体" w:cs="宋体"/>
          <w:sz w:val="24"/>
          <w:szCs w:val="24"/>
        </w:rPr>
      </w:pPr>
      <w:r>
        <w:rPr>
          <w:rFonts w:hint="eastAsia" w:ascii="宋体" w:hAnsi="宋体" w:eastAsia="宋体" w:cs="宋体"/>
          <w:sz w:val="24"/>
          <w:szCs w:val="24"/>
        </w:rPr>
        <w:t xml:space="preserve"> </w:t>
      </w:r>
    </w:p>
    <w:p>
      <w:pPr>
        <w:spacing w:line="560" w:lineRule="exact"/>
        <w:rPr>
          <w:rFonts w:ascii="宋体" w:hAnsi="宋体" w:eastAsia="宋体" w:cs="宋体"/>
          <w:sz w:val="24"/>
          <w:szCs w:val="24"/>
        </w:rPr>
        <w:sectPr>
          <w:pgSz w:w="11907" w:h="16839"/>
          <w:pgMar w:top="1440" w:right="1800" w:bottom="1440" w:left="1800" w:header="851" w:footer="992" w:gutter="0"/>
          <w:pgNumType w:fmt="numberInDash"/>
          <w:cols w:space="425" w:num="1"/>
          <w:docGrid w:type="lines" w:linePitch="312" w:charSpace="0"/>
        </w:sectPr>
      </w:pPr>
    </w:p>
    <w:p>
      <w:pPr>
        <w:spacing w:line="560" w:lineRule="exact"/>
        <w:rPr>
          <w:rFonts w:ascii="宋体" w:hAnsi="宋体" w:eastAsia="宋体" w:cs="宋体"/>
          <w:sz w:val="24"/>
          <w:szCs w:val="24"/>
        </w:rPr>
      </w:pPr>
      <w:r>
        <w:rPr>
          <w:rFonts w:hint="eastAsia" w:ascii="宋体" w:hAnsi="宋体" w:eastAsia="宋体" w:cs="宋体"/>
          <w:sz w:val="24"/>
          <w:szCs w:val="24"/>
        </w:rPr>
        <w:t>11、政府法律顾问费绩效目标表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315002涞水县司法局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项目编码</w:t>
            </w:r>
          </w:p>
        </w:tc>
        <w:tc>
          <w:tcPr>
            <w:tcW w:w="2410" w:type="dxa"/>
            <w:gridSpan w:val="2"/>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315-0501-YBN-VBDO</w:t>
            </w:r>
          </w:p>
        </w:tc>
        <w:tc>
          <w:tcPr>
            <w:tcW w:w="1587"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项目名称</w:t>
            </w:r>
          </w:p>
        </w:tc>
        <w:tc>
          <w:tcPr>
            <w:tcW w:w="4281" w:type="dxa"/>
            <w:gridSpan w:val="3"/>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政府法律顾问费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预算规模及资金用途</w:t>
            </w:r>
          </w:p>
        </w:tc>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预算数</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12.00</w:t>
            </w:r>
          </w:p>
        </w:tc>
        <w:tc>
          <w:tcPr>
            <w:tcW w:w="1587"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其中：财政资金</w:t>
            </w:r>
          </w:p>
        </w:tc>
        <w:tc>
          <w:tcPr>
            <w:tcW w:w="130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12.00</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其他资金</w:t>
            </w:r>
          </w:p>
        </w:tc>
        <w:tc>
          <w:tcPr>
            <w:tcW w:w="1701" w:type="dxa"/>
            <w:shd w:val="clear" w:color="auto" w:fill="auto"/>
            <w:vAlign w:val="center"/>
          </w:tcPr>
          <w:p>
            <w:pPr>
              <w:spacing w:line="560" w:lineRule="exac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560" w:lineRule="exact"/>
              <w:rPr>
                <w:rFonts w:ascii="宋体" w:hAnsi="宋体" w:eastAsia="宋体" w:cs="宋体"/>
                <w:sz w:val="24"/>
                <w:szCs w:val="24"/>
              </w:rPr>
            </w:pPr>
          </w:p>
        </w:tc>
        <w:tc>
          <w:tcPr>
            <w:tcW w:w="8278" w:type="dxa"/>
            <w:gridSpan w:val="6"/>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组织协调有关方面提出全面依法治县中长期规划建议，负责有关重大决策部署督察工作。指导、监督县政府各部门、各乡（镇、办事处）政府依法行政工作；组织开展全县执法人员学习培训，负责综合协调行政执法，承担推进行政执法体制改革有关工作，推进严格规范公正文明执法；指导、监督全县行政复议和行政应诉工作；依法承办行政复议案件；受县政府委托，代理行政诉讼案件的应诉及代理由保定市人民政府审理的行政复议裁决案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资金支出计划（%）</w:t>
            </w:r>
          </w:p>
        </w:tc>
        <w:tc>
          <w:tcPr>
            <w:tcW w:w="2410" w:type="dxa"/>
            <w:gridSpan w:val="2"/>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3月底</w:t>
            </w:r>
          </w:p>
        </w:tc>
        <w:tc>
          <w:tcPr>
            <w:tcW w:w="1587"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6月底</w:t>
            </w:r>
          </w:p>
        </w:tc>
        <w:tc>
          <w:tcPr>
            <w:tcW w:w="130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10月底</w:t>
            </w:r>
          </w:p>
        </w:tc>
        <w:tc>
          <w:tcPr>
            <w:tcW w:w="2977" w:type="dxa"/>
            <w:gridSpan w:val="2"/>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560" w:lineRule="exact"/>
              <w:rPr>
                <w:rFonts w:ascii="宋体" w:hAnsi="宋体" w:eastAsia="宋体" w:cs="宋体"/>
                <w:sz w:val="24"/>
                <w:szCs w:val="24"/>
              </w:rPr>
            </w:pPr>
          </w:p>
        </w:tc>
        <w:tc>
          <w:tcPr>
            <w:tcW w:w="2410" w:type="dxa"/>
            <w:gridSpan w:val="2"/>
            <w:tcBorders>
              <w:bottom w:val="single" w:color="000000" w:sz="6" w:space="0"/>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20.00</w:t>
            </w:r>
          </w:p>
        </w:tc>
        <w:tc>
          <w:tcPr>
            <w:tcW w:w="1587" w:type="dxa"/>
            <w:tcBorders>
              <w:bottom w:val="single" w:color="000000" w:sz="6" w:space="0"/>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40.00</w:t>
            </w:r>
          </w:p>
        </w:tc>
        <w:tc>
          <w:tcPr>
            <w:tcW w:w="1304" w:type="dxa"/>
            <w:tcBorders>
              <w:bottom w:val="single" w:color="000000" w:sz="6" w:space="0"/>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80.00</w:t>
            </w:r>
          </w:p>
        </w:tc>
        <w:tc>
          <w:tcPr>
            <w:tcW w:w="2977" w:type="dxa"/>
            <w:gridSpan w:val="2"/>
            <w:tcBorders>
              <w:bottom w:val="single" w:color="000000" w:sz="6" w:space="0"/>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绩效目标</w:t>
            </w:r>
          </w:p>
        </w:tc>
        <w:tc>
          <w:tcPr>
            <w:tcW w:w="8278" w:type="dxa"/>
            <w:gridSpan w:val="6"/>
            <w:tcBorders>
              <w:bottom w:val="nil"/>
            </w:tcBorders>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1、组织协调有关方面提出全面依法治县中长期规划建议，负责有关重大决策部署督察工作。指导、监督县政府各部门、各乡（镇、办事处）政府依法行政工作；</w:t>
            </w:r>
          </w:p>
          <w:p>
            <w:pPr>
              <w:spacing w:line="560" w:lineRule="exact"/>
              <w:rPr>
                <w:rFonts w:ascii="宋体" w:hAnsi="宋体" w:eastAsia="宋体" w:cs="宋体"/>
                <w:sz w:val="24"/>
                <w:szCs w:val="24"/>
              </w:rPr>
            </w:pPr>
            <w:r>
              <w:rPr>
                <w:rFonts w:hint="eastAsia" w:ascii="宋体" w:hAnsi="宋体" w:eastAsia="宋体" w:cs="宋体"/>
                <w:sz w:val="24"/>
                <w:szCs w:val="24"/>
              </w:rPr>
              <w:t>2、依法承办行政复议案件；受县政府委托，代理行政诉讼案件的应诉及代理由保定市人民政府审理的行政复议裁决案件。</w:t>
            </w:r>
          </w:p>
        </w:tc>
      </w:tr>
    </w:tbl>
    <w:tbl>
      <w:tblPr>
        <w:tblStyle w:val="6"/>
        <w:tblpPr w:leftFromText="180" w:rightFromText="180" w:vertAnchor="text" w:horzAnchor="page" w:tblpX="1367" w:tblpY="64"/>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一级指标</w:t>
            </w:r>
          </w:p>
        </w:tc>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二级指标</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三级指标</w:t>
            </w:r>
          </w:p>
        </w:tc>
        <w:tc>
          <w:tcPr>
            <w:tcW w:w="289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绩效指标描述</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指标值</w:t>
            </w:r>
          </w:p>
        </w:tc>
        <w:tc>
          <w:tcPr>
            <w:tcW w:w="170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产出指标</w:t>
            </w:r>
          </w:p>
        </w:tc>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数量指标</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承担政府法律案件</w:t>
            </w:r>
          </w:p>
        </w:tc>
        <w:tc>
          <w:tcPr>
            <w:tcW w:w="289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依法完成政府委托法律案件数量</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≥10代理行政复议案件数量</w:t>
            </w:r>
          </w:p>
        </w:tc>
        <w:tc>
          <w:tcPr>
            <w:tcW w:w="170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560" w:lineRule="exact"/>
              <w:rPr>
                <w:rFonts w:ascii="宋体" w:hAnsi="宋体" w:eastAsia="宋体" w:cs="宋体"/>
                <w:sz w:val="24"/>
                <w:szCs w:val="24"/>
              </w:rPr>
            </w:pPr>
          </w:p>
        </w:tc>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质量指标</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代理行政复议案件</w:t>
            </w:r>
          </w:p>
        </w:tc>
        <w:tc>
          <w:tcPr>
            <w:tcW w:w="289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代理行政复议案件胜诉率</w:t>
            </w:r>
          </w:p>
          <w:p>
            <w:pPr>
              <w:spacing w:line="560" w:lineRule="exact"/>
              <w:rPr>
                <w:rFonts w:ascii="宋体" w:hAnsi="宋体" w:eastAsia="宋体" w:cs="宋体"/>
                <w:sz w:val="24"/>
                <w:szCs w:val="24"/>
              </w:rPr>
            </w:pP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≥99代理案件百分比</w:t>
            </w:r>
          </w:p>
        </w:tc>
        <w:tc>
          <w:tcPr>
            <w:tcW w:w="170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restart"/>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效果指标</w:t>
            </w:r>
          </w:p>
        </w:tc>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社会效益指标</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确保资助项目法律导向正确</w:t>
            </w:r>
          </w:p>
        </w:tc>
        <w:tc>
          <w:tcPr>
            <w:tcW w:w="289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资助项目不出现上级通报的重大问题（个）</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≥2重大案件数量</w:t>
            </w:r>
          </w:p>
        </w:tc>
        <w:tc>
          <w:tcPr>
            <w:tcW w:w="170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vMerge w:val="continue"/>
            <w:shd w:val="clear" w:color="auto" w:fill="auto"/>
            <w:vAlign w:val="center"/>
          </w:tcPr>
          <w:p>
            <w:pPr>
              <w:spacing w:line="560" w:lineRule="exact"/>
              <w:rPr>
                <w:rFonts w:ascii="宋体" w:hAnsi="宋体" w:eastAsia="宋体" w:cs="宋体"/>
                <w:sz w:val="24"/>
                <w:szCs w:val="24"/>
              </w:rPr>
            </w:pPr>
          </w:p>
        </w:tc>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可持续影响指标</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长期使用性</w:t>
            </w:r>
          </w:p>
        </w:tc>
        <w:tc>
          <w:tcPr>
            <w:tcW w:w="289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能够长期较好地开展法制教育，法制宣传满足经济展需求。</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≥99代理案件百分比</w:t>
            </w:r>
          </w:p>
        </w:tc>
        <w:tc>
          <w:tcPr>
            <w:tcW w:w="170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满意度指标</w:t>
            </w:r>
          </w:p>
        </w:tc>
        <w:tc>
          <w:tcPr>
            <w:tcW w:w="1134"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服务对象满意度指标</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服务对象满意度</w:t>
            </w:r>
          </w:p>
        </w:tc>
        <w:tc>
          <w:tcPr>
            <w:tcW w:w="289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接受法律服务提供服务的满意程度</w:t>
            </w:r>
          </w:p>
        </w:tc>
        <w:tc>
          <w:tcPr>
            <w:tcW w:w="1276"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≥99群众满意度百分比</w:t>
            </w:r>
          </w:p>
        </w:tc>
        <w:tc>
          <w:tcPr>
            <w:tcW w:w="1701" w:type="dxa"/>
            <w:shd w:val="clear" w:color="auto" w:fill="auto"/>
            <w:vAlign w:val="center"/>
          </w:tcPr>
          <w:p>
            <w:pPr>
              <w:spacing w:line="560" w:lineRule="exact"/>
              <w:rPr>
                <w:rFonts w:ascii="宋体" w:hAnsi="宋体" w:eastAsia="宋体" w:cs="宋体"/>
                <w:sz w:val="24"/>
                <w:szCs w:val="24"/>
              </w:rPr>
            </w:pPr>
            <w:r>
              <w:rPr>
                <w:rFonts w:hint="eastAsia" w:ascii="宋体" w:hAnsi="宋体" w:eastAsia="宋体" w:cs="宋体"/>
                <w:sz w:val="24"/>
                <w:szCs w:val="24"/>
              </w:rPr>
              <w:t>冀财行【2009】23号</w:t>
            </w:r>
          </w:p>
        </w:tc>
      </w:tr>
    </w:tbl>
    <w:p>
      <w:pPr>
        <w:spacing w:line="560" w:lineRule="exact"/>
        <w:rPr>
          <w:rFonts w:ascii="宋体" w:hAnsi="宋体" w:eastAsia="宋体" w:cs="宋体"/>
          <w:sz w:val="24"/>
          <w:szCs w:val="24"/>
        </w:rPr>
      </w:pPr>
      <w:r>
        <w:rPr>
          <w:rFonts w:hint="eastAsia" w:ascii="宋体" w:hAnsi="宋体" w:eastAsia="宋体" w:cs="宋体"/>
          <w:sz w:val="24"/>
          <w:szCs w:val="24"/>
        </w:rPr>
        <w:t xml:space="preserve"> </w:t>
      </w:r>
    </w:p>
    <w:p>
      <w:pPr>
        <w:spacing w:line="560" w:lineRule="exact"/>
        <w:rPr>
          <w:rFonts w:ascii="仿宋_GB2312" w:hAnsi="仿宋_GB2312" w:eastAsia="仿宋_GB2312" w:cs="仿宋_GB2312"/>
          <w:sz w:val="32"/>
          <w:szCs w:val="32"/>
        </w:rPr>
        <w:sectPr>
          <w:pgSz w:w="11907" w:h="16839"/>
          <w:pgMar w:top="1440" w:right="1800" w:bottom="1440" w:left="1800" w:header="851" w:footer="992" w:gutter="0"/>
          <w:pgNumType w:fmt="numberInDash"/>
          <w:cols w:space="425" w:num="1"/>
          <w:docGrid w:type="lines" w:linePitch="312" w:charSpace="0"/>
        </w:sect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六、政府采购预算情况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2020年我部门没有政府采购预算。</w:t>
      </w:r>
    </w:p>
    <w:p>
      <w:pPr>
        <w:ind w:firstLine="602" w:firstLineChars="200"/>
        <w:jc w:val="center"/>
        <w:outlineLvl w:val="0"/>
        <w:rPr>
          <w:rFonts w:ascii="Times New Roman" w:hAnsi="宋体"/>
          <w:sz w:val="18"/>
          <w:szCs w:val="18"/>
        </w:rPr>
      </w:pPr>
      <w:r>
        <w:rPr>
          <w:rFonts w:hint="eastAsia" w:ascii="仿宋_GB2312" w:hAnsi="仿宋_GB2312" w:eastAsia="仿宋_GB2312" w:cs="仿宋_GB2312"/>
          <w:b/>
          <w:bCs/>
          <w:sz w:val="30"/>
          <w:szCs w:val="30"/>
        </w:rPr>
        <w:t>部门政府采购预算</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 w:name="_Toc30009658"/>
      <w:r>
        <w:rPr>
          <w:rFonts w:hint="eastAsia" w:ascii="方正小标宋_GBK" w:eastAsia="方正小标宋_GBK"/>
          <w:sz w:val="18"/>
          <w:szCs w:val="18"/>
        </w:rPr>
        <w:instrText xml:space="preserve">部门政府采购预算</w:instrText>
      </w:r>
      <w:bookmarkEnd w:id="1"/>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6"/>
        <w:tblW w:w="9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8"/>
        <w:gridCol w:w="714"/>
        <w:gridCol w:w="618"/>
        <w:gridCol w:w="1017"/>
        <w:gridCol w:w="498"/>
        <w:gridCol w:w="335"/>
        <w:gridCol w:w="435"/>
        <w:gridCol w:w="563"/>
        <w:gridCol w:w="853"/>
        <w:gridCol w:w="705"/>
        <w:gridCol w:w="665"/>
        <w:gridCol w:w="1121"/>
        <w:gridCol w:w="11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6" w:hRule="atLeast"/>
          <w:tblHeader/>
          <w:jc w:val="center"/>
        </w:trPr>
        <w:tc>
          <w:tcPr>
            <w:tcW w:w="416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heme="minorEastAsia" w:hAnsiTheme="minorEastAsia" w:cstheme="minorEastAsia"/>
                <w:sz w:val="18"/>
                <w:szCs w:val="18"/>
              </w:rPr>
            </w:pPr>
          </w:p>
        </w:tc>
        <w:tc>
          <w:tcPr>
            <w:tcW w:w="5055"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cstheme="minorEastAsia"/>
                <w:sz w:val="18"/>
                <w:szCs w:val="18"/>
              </w:rPr>
            </w:pPr>
            <w:r>
              <w:rPr>
                <w:rFonts w:hint="eastAsia" w:asciiTheme="minorEastAsia" w:hAnsi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tblHeader/>
          <w:jc w:val="center"/>
        </w:trPr>
        <w:tc>
          <w:tcPr>
            <w:tcW w:w="1262" w:type="dxa"/>
            <w:gridSpan w:val="2"/>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政府采购项目来源</w:t>
            </w:r>
          </w:p>
        </w:tc>
        <w:tc>
          <w:tcPr>
            <w:tcW w:w="618" w:type="dxa"/>
            <w:vMerge w:val="restart"/>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采购</w:t>
            </w:r>
          </w:p>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物品</w:t>
            </w:r>
          </w:p>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1017" w:type="dxa"/>
            <w:vMerge w:val="restart"/>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w:t>
            </w:r>
          </w:p>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目录序号</w:t>
            </w:r>
          </w:p>
        </w:tc>
        <w:tc>
          <w:tcPr>
            <w:tcW w:w="498" w:type="dxa"/>
            <w:vMerge w:val="restart"/>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计量  单位</w:t>
            </w:r>
          </w:p>
        </w:tc>
        <w:tc>
          <w:tcPr>
            <w:tcW w:w="335" w:type="dxa"/>
            <w:vMerge w:val="restart"/>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数量</w:t>
            </w:r>
          </w:p>
        </w:tc>
        <w:tc>
          <w:tcPr>
            <w:tcW w:w="435" w:type="dxa"/>
            <w:vMerge w:val="restart"/>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单价</w:t>
            </w:r>
          </w:p>
        </w:tc>
        <w:tc>
          <w:tcPr>
            <w:tcW w:w="5055" w:type="dxa"/>
            <w:gridSpan w:val="6"/>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8" w:hRule="atLeast"/>
          <w:tblHeader/>
          <w:jc w:val="center"/>
        </w:trPr>
        <w:tc>
          <w:tcPr>
            <w:tcW w:w="548" w:type="dxa"/>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项目</w:t>
            </w:r>
          </w:p>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714" w:type="dxa"/>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预算</w:t>
            </w:r>
          </w:p>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资金</w:t>
            </w:r>
          </w:p>
        </w:tc>
        <w:tc>
          <w:tcPr>
            <w:tcW w:w="618" w:type="dxa"/>
            <w:vMerge w:val="continue"/>
            <w:shd w:val="clear" w:color="auto" w:fill="auto"/>
            <w:vAlign w:val="center"/>
          </w:tcPr>
          <w:p>
            <w:pPr>
              <w:spacing w:line="300" w:lineRule="exact"/>
              <w:jc w:val="left"/>
              <w:outlineLvl w:val="0"/>
              <w:rPr>
                <w:rFonts w:asciiTheme="minorEastAsia" w:hAnsiTheme="minorEastAsia" w:cstheme="minorEastAsia"/>
                <w:sz w:val="18"/>
                <w:szCs w:val="18"/>
              </w:rPr>
            </w:pPr>
          </w:p>
        </w:tc>
        <w:tc>
          <w:tcPr>
            <w:tcW w:w="1017" w:type="dxa"/>
            <w:vMerge w:val="continue"/>
            <w:shd w:val="clear" w:color="auto" w:fill="auto"/>
            <w:vAlign w:val="center"/>
          </w:tcPr>
          <w:p>
            <w:pPr>
              <w:spacing w:line="300" w:lineRule="exact"/>
              <w:jc w:val="left"/>
              <w:outlineLvl w:val="0"/>
              <w:rPr>
                <w:rFonts w:asciiTheme="minorEastAsia" w:hAnsiTheme="minorEastAsia" w:cstheme="minorEastAsia"/>
                <w:sz w:val="18"/>
                <w:szCs w:val="18"/>
              </w:rPr>
            </w:pPr>
          </w:p>
        </w:tc>
        <w:tc>
          <w:tcPr>
            <w:tcW w:w="498" w:type="dxa"/>
            <w:vMerge w:val="continue"/>
            <w:shd w:val="clear" w:color="auto" w:fill="auto"/>
            <w:vAlign w:val="center"/>
          </w:tcPr>
          <w:p>
            <w:pPr>
              <w:spacing w:line="300" w:lineRule="exact"/>
              <w:jc w:val="left"/>
              <w:outlineLvl w:val="0"/>
              <w:rPr>
                <w:rFonts w:asciiTheme="minorEastAsia" w:hAnsiTheme="minorEastAsia" w:cstheme="minorEastAsia"/>
                <w:sz w:val="18"/>
                <w:szCs w:val="18"/>
              </w:rPr>
            </w:pPr>
          </w:p>
        </w:tc>
        <w:tc>
          <w:tcPr>
            <w:tcW w:w="335" w:type="dxa"/>
            <w:vMerge w:val="continue"/>
            <w:shd w:val="clear" w:color="auto" w:fill="auto"/>
            <w:vAlign w:val="center"/>
          </w:tcPr>
          <w:p>
            <w:pPr>
              <w:spacing w:line="300" w:lineRule="exact"/>
              <w:jc w:val="left"/>
              <w:outlineLvl w:val="0"/>
              <w:rPr>
                <w:rFonts w:asciiTheme="minorEastAsia" w:hAnsiTheme="minorEastAsia" w:cstheme="minorEastAsia"/>
                <w:sz w:val="18"/>
                <w:szCs w:val="18"/>
              </w:rPr>
            </w:pPr>
          </w:p>
        </w:tc>
        <w:tc>
          <w:tcPr>
            <w:tcW w:w="435" w:type="dxa"/>
            <w:vMerge w:val="continue"/>
            <w:shd w:val="clear" w:color="auto" w:fill="auto"/>
            <w:vAlign w:val="center"/>
          </w:tcPr>
          <w:p>
            <w:pPr>
              <w:spacing w:line="300" w:lineRule="exact"/>
              <w:jc w:val="left"/>
              <w:outlineLvl w:val="0"/>
              <w:rPr>
                <w:rFonts w:asciiTheme="minorEastAsia" w:hAnsiTheme="minorEastAsia" w:cstheme="minorEastAsia"/>
                <w:sz w:val="18"/>
                <w:szCs w:val="18"/>
              </w:rPr>
            </w:pPr>
          </w:p>
        </w:tc>
        <w:tc>
          <w:tcPr>
            <w:tcW w:w="563" w:type="dxa"/>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合计</w:t>
            </w:r>
          </w:p>
        </w:tc>
        <w:tc>
          <w:tcPr>
            <w:tcW w:w="853" w:type="dxa"/>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一般公共预算拨款</w:t>
            </w:r>
          </w:p>
        </w:tc>
        <w:tc>
          <w:tcPr>
            <w:tcW w:w="705" w:type="dxa"/>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基金预算拨款</w:t>
            </w:r>
          </w:p>
        </w:tc>
        <w:tc>
          <w:tcPr>
            <w:tcW w:w="665" w:type="dxa"/>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国有资本经营预算拨款</w:t>
            </w:r>
          </w:p>
        </w:tc>
        <w:tc>
          <w:tcPr>
            <w:tcW w:w="1121" w:type="dxa"/>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财政专户核拨</w:t>
            </w:r>
          </w:p>
        </w:tc>
        <w:tc>
          <w:tcPr>
            <w:tcW w:w="1148" w:type="dxa"/>
            <w:shd w:val="clear" w:color="auto" w:fill="auto"/>
            <w:vAlign w:val="center"/>
          </w:tcPr>
          <w:p>
            <w:pPr>
              <w:spacing w:line="3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2" w:hRule="atLeast"/>
          <w:jc w:val="center"/>
        </w:trPr>
        <w:tc>
          <w:tcPr>
            <w:tcW w:w="548" w:type="dxa"/>
            <w:shd w:val="clear" w:color="auto" w:fill="auto"/>
            <w:vAlign w:val="center"/>
          </w:tcPr>
          <w:p>
            <w:pPr>
              <w:spacing w:line="300" w:lineRule="exact"/>
              <w:jc w:val="center"/>
              <w:rPr>
                <w:rFonts w:asciiTheme="minorEastAsia" w:hAnsiTheme="minorEastAsia" w:cstheme="minorEastAsia"/>
                <w:b/>
                <w:sz w:val="18"/>
                <w:szCs w:val="18"/>
              </w:rPr>
            </w:pPr>
          </w:p>
        </w:tc>
        <w:tc>
          <w:tcPr>
            <w:tcW w:w="714" w:type="dxa"/>
            <w:shd w:val="clear" w:color="auto" w:fill="auto"/>
            <w:vAlign w:val="center"/>
          </w:tcPr>
          <w:p>
            <w:pPr>
              <w:spacing w:line="300" w:lineRule="exact"/>
              <w:jc w:val="right"/>
              <w:rPr>
                <w:rFonts w:asciiTheme="minorEastAsia" w:hAnsiTheme="minorEastAsia" w:cstheme="minorEastAsia"/>
                <w:b/>
                <w:sz w:val="18"/>
                <w:szCs w:val="18"/>
              </w:rPr>
            </w:pPr>
          </w:p>
        </w:tc>
        <w:tc>
          <w:tcPr>
            <w:tcW w:w="618" w:type="dxa"/>
            <w:shd w:val="clear" w:color="auto" w:fill="auto"/>
            <w:vAlign w:val="center"/>
          </w:tcPr>
          <w:p>
            <w:pPr>
              <w:spacing w:line="300" w:lineRule="exact"/>
              <w:jc w:val="left"/>
              <w:rPr>
                <w:rFonts w:asciiTheme="minorEastAsia" w:hAnsiTheme="minorEastAsia" w:cstheme="minorEastAsia"/>
                <w:b/>
                <w:sz w:val="18"/>
                <w:szCs w:val="18"/>
              </w:rPr>
            </w:pPr>
          </w:p>
        </w:tc>
        <w:tc>
          <w:tcPr>
            <w:tcW w:w="1017" w:type="dxa"/>
            <w:shd w:val="clear" w:color="auto" w:fill="auto"/>
            <w:vAlign w:val="center"/>
          </w:tcPr>
          <w:p>
            <w:pPr>
              <w:spacing w:line="300" w:lineRule="exact"/>
              <w:jc w:val="left"/>
              <w:rPr>
                <w:rFonts w:asciiTheme="minorEastAsia" w:hAnsiTheme="minorEastAsia" w:cstheme="minorEastAsia"/>
                <w:b/>
                <w:sz w:val="18"/>
                <w:szCs w:val="18"/>
              </w:rPr>
            </w:pPr>
          </w:p>
        </w:tc>
        <w:tc>
          <w:tcPr>
            <w:tcW w:w="498" w:type="dxa"/>
            <w:shd w:val="clear" w:color="auto" w:fill="auto"/>
            <w:vAlign w:val="center"/>
          </w:tcPr>
          <w:p>
            <w:pPr>
              <w:spacing w:line="300" w:lineRule="exact"/>
              <w:jc w:val="center"/>
              <w:rPr>
                <w:rFonts w:asciiTheme="minorEastAsia" w:hAnsiTheme="minorEastAsia" w:cstheme="minorEastAsia"/>
                <w:b/>
                <w:sz w:val="18"/>
                <w:szCs w:val="18"/>
              </w:rPr>
            </w:pPr>
          </w:p>
        </w:tc>
        <w:tc>
          <w:tcPr>
            <w:tcW w:w="335" w:type="dxa"/>
            <w:shd w:val="clear" w:color="auto" w:fill="auto"/>
            <w:vAlign w:val="center"/>
          </w:tcPr>
          <w:p>
            <w:pPr>
              <w:spacing w:line="300" w:lineRule="exact"/>
              <w:jc w:val="right"/>
              <w:rPr>
                <w:rFonts w:asciiTheme="minorEastAsia" w:hAnsiTheme="minorEastAsia" w:cstheme="minorEastAsia"/>
                <w:b/>
                <w:sz w:val="18"/>
                <w:szCs w:val="18"/>
              </w:rPr>
            </w:pPr>
          </w:p>
        </w:tc>
        <w:tc>
          <w:tcPr>
            <w:tcW w:w="435" w:type="dxa"/>
            <w:shd w:val="clear" w:color="auto" w:fill="auto"/>
            <w:vAlign w:val="center"/>
          </w:tcPr>
          <w:p>
            <w:pPr>
              <w:spacing w:line="300" w:lineRule="exact"/>
              <w:jc w:val="right"/>
              <w:rPr>
                <w:rFonts w:asciiTheme="minorEastAsia" w:hAnsiTheme="minorEastAsia" w:cstheme="minorEastAsia"/>
                <w:b/>
                <w:sz w:val="18"/>
                <w:szCs w:val="18"/>
              </w:rPr>
            </w:pPr>
          </w:p>
        </w:tc>
        <w:tc>
          <w:tcPr>
            <w:tcW w:w="563" w:type="dxa"/>
            <w:shd w:val="clear" w:color="auto" w:fill="auto"/>
            <w:vAlign w:val="center"/>
          </w:tcPr>
          <w:p>
            <w:pPr>
              <w:spacing w:line="300" w:lineRule="exact"/>
              <w:jc w:val="right"/>
              <w:rPr>
                <w:rFonts w:asciiTheme="minorEastAsia" w:hAnsiTheme="minorEastAsia" w:cstheme="minorEastAsia"/>
                <w:b/>
                <w:sz w:val="18"/>
                <w:szCs w:val="18"/>
              </w:rPr>
            </w:pPr>
          </w:p>
        </w:tc>
        <w:tc>
          <w:tcPr>
            <w:tcW w:w="853" w:type="dxa"/>
            <w:shd w:val="clear" w:color="auto" w:fill="auto"/>
            <w:vAlign w:val="center"/>
          </w:tcPr>
          <w:p>
            <w:pPr>
              <w:spacing w:line="300" w:lineRule="exact"/>
              <w:rPr>
                <w:rFonts w:asciiTheme="minorEastAsia" w:hAnsiTheme="minorEastAsia" w:cstheme="minorEastAsia"/>
                <w:b/>
                <w:sz w:val="18"/>
                <w:szCs w:val="18"/>
              </w:rPr>
            </w:pPr>
          </w:p>
        </w:tc>
        <w:tc>
          <w:tcPr>
            <w:tcW w:w="705" w:type="dxa"/>
            <w:shd w:val="clear" w:color="auto" w:fill="auto"/>
            <w:vAlign w:val="center"/>
          </w:tcPr>
          <w:p>
            <w:pPr>
              <w:spacing w:line="300" w:lineRule="exact"/>
              <w:jc w:val="right"/>
              <w:rPr>
                <w:rFonts w:asciiTheme="minorEastAsia" w:hAnsiTheme="minorEastAsia" w:cstheme="minorEastAsia"/>
                <w:b/>
                <w:sz w:val="18"/>
                <w:szCs w:val="18"/>
              </w:rPr>
            </w:pPr>
          </w:p>
        </w:tc>
        <w:tc>
          <w:tcPr>
            <w:tcW w:w="665" w:type="dxa"/>
            <w:shd w:val="clear" w:color="auto" w:fill="auto"/>
            <w:vAlign w:val="center"/>
          </w:tcPr>
          <w:p>
            <w:pPr>
              <w:spacing w:line="300" w:lineRule="exact"/>
              <w:jc w:val="right"/>
              <w:rPr>
                <w:rFonts w:asciiTheme="minorEastAsia" w:hAnsiTheme="minorEastAsia" w:cstheme="minorEastAsia"/>
                <w:b/>
                <w:sz w:val="18"/>
                <w:szCs w:val="18"/>
              </w:rPr>
            </w:pPr>
          </w:p>
        </w:tc>
        <w:tc>
          <w:tcPr>
            <w:tcW w:w="1121" w:type="dxa"/>
            <w:shd w:val="clear" w:color="auto" w:fill="auto"/>
            <w:vAlign w:val="center"/>
          </w:tcPr>
          <w:p>
            <w:pPr>
              <w:spacing w:line="300" w:lineRule="exact"/>
              <w:jc w:val="right"/>
              <w:rPr>
                <w:rFonts w:asciiTheme="minorEastAsia" w:hAnsiTheme="minorEastAsia" w:cstheme="minorEastAsia"/>
                <w:b/>
                <w:sz w:val="18"/>
                <w:szCs w:val="18"/>
              </w:rPr>
            </w:pPr>
          </w:p>
        </w:tc>
        <w:tc>
          <w:tcPr>
            <w:tcW w:w="1148" w:type="dxa"/>
            <w:shd w:val="clear" w:color="auto" w:fill="auto"/>
            <w:vAlign w:val="center"/>
          </w:tcPr>
          <w:p>
            <w:pPr>
              <w:spacing w:line="300" w:lineRule="exact"/>
              <w:jc w:val="right"/>
              <w:rPr>
                <w:rFonts w:asciiTheme="minorEastAsia" w:hAnsi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8" w:hRule="atLeast"/>
          <w:jc w:val="center"/>
        </w:trPr>
        <w:tc>
          <w:tcPr>
            <w:tcW w:w="548" w:type="dxa"/>
            <w:shd w:val="clear" w:color="auto" w:fill="auto"/>
            <w:vAlign w:val="center"/>
          </w:tcPr>
          <w:p>
            <w:pPr>
              <w:spacing w:line="300" w:lineRule="exact"/>
              <w:jc w:val="left"/>
              <w:rPr>
                <w:rFonts w:asciiTheme="minorEastAsia" w:hAnsiTheme="minorEastAsia" w:cstheme="minorEastAsia"/>
                <w:sz w:val="18"/>
                <w:szCs w:val="18"/>
              </w:rPr>
            </w:pPr>
          </w:p>
        </w:tc>
        <w:tc>
          <w:tcPr>
            <w:tcW w:w="714" w:type="dxa"/>
            <w:shd w:val="clear" w:color="auto" w:fill="auto"/>
            <w:vAlign w:val="center"/>
          </w:tcPr>
          <w:p>
            <w:pPr>
              <w:spacing w:line="300" w:lineRule="exact"/>
              <w:jc w:val="right"/>
              <w:rPr>
                <w:rFonts w:asciiTheme="minorEastAsia" w:hAnsiTheme="minorEastAsia" w:cstheme="minorEastAsia"/>
                <w:sz w:val="18"/>
                <w:szCs w:val="18"/>
              </w:rPr>
            </w:pPr>
          </w:p>
        </w:tc>
        <w:tc>
          <w:tcPr>
            <w:tcW w:w="618" w:type="dxa"/>
            <w:shd w:val="clear" w:color="auto" w:fill="auto"/>
            <w:vAlign w:val="center"/>
          </w:tcPr>
          <w:p>
            <w:pPr>
              <w:spacing w:line="300" w:lineRule="exact"/>
              <w:jc w:val="left"/>
              <w:rPr>
                <w:rFonts w:asciiTheme="minorEastAsia" w:hAnsiTheme="minorEastAsia" w:cstheme="minorEastAsia"/>
                <w:sz w:val="18"/>
                <w:szCs w:val="18"/>
              </w:rPr>
            </w:pPr>
          </w:p>
        </w:tc>
        <w:tc>
          <w:tcPr>
            <w:tcW w:w="1017" w:type="dxa"/>
            <w:shd w:val="clear" w:color="auto" w:fill="auto"/>
            <w:vAlign w:val="center"/>
          </w:tcPr>
          <w:p>
            <w:pPr>
              <w:spacing w:line="300" w:lineRule="exact"/>
              <w:jc w:val="left"/>
              <w:rPr>
                <w:rFonts w:asciiTheme="minorEastAsia" w:hAnsiTheme="minorEastAsia" w:cstheme="minorEastAsia"/>
                <w:sz w:val="18"/>
                <w:szCs w:val="18"/>
              </w:rPr>
            </w:pPr>
          </w:p>
        </w:tc>
        <w:tc>
          <w:tcPr>
            <w:tcW w:w="498" w:type="dxa"/>
            <w:shd w:val="clear" w:color="auto" w:fill="auto"/>
            <w:vAlign w:val="center"/>
          </w:tcPr>
          <w:p>
            <w:pPr>
              <w:spacing w:line="300" w:lineRule="exact"/>
              <w:jc w:val="center"/>
              <w:rPr>
                <w:rFonts w:asciiTheme="minorEastAsia" w:hAnsiTheme="minorEastAsia" w:cstheme="minorEastAsia"/>
                <w:sz w:val="18"/>
                <w:szCs w:val="18"/>
              </w:rPr>
            </w:pPr>
          </w:p>
        </w:tc>
        <w:tc>
          <w:tcPr>
            <w:tcW w:w="335" w:type="dxa"/>
            <w:shd w:val="clear" w:color="auto" w:fill="auto"/>
            <w:vAlign w:val="center"/>
          </w:tcPr>
          <w:p>
            <w:pPr>
              <w:spacing w:line="300" w:lineRule="exact"/>
              <w:jc w:val="right"/>
              <w:rPr>
                <w:rFonts w:asciiTheme="minorEastAsia" w:hAnsiTheme="minorEastAsia" w:cstheme="minorEastAsia"/>
                <w:sz w:val="18"/>
                <w:szCs w:val="18"/>
              </w:rPr>
            </w:pPr>
          </w:p>
        </w:tc>
        <w:tc>
          <w:tcPr>
            <w:tcW w:w="435" w:type="dxa"/>
            <w:shd w:val="clear" w:color="auto" w:fill="auto"/>
            <w:vAlign w:val="center"/>
          </w:tcPr>
          <w:p>
            <w:pPr>
              <w:spacing w:line="300" w:lineRule="exact"/>
              <w:jc w:val="right"/>
              <w:rPr>
                <w:rFonts w:asciiTheme="minorEastAsia" w:hAnsiTheme="minorEastAsia" w:cstheme="minorEastAsia"/>
                <w:sz w:val="18"/>
                <w:szCs w:val="18"/>
              </w:rPr>
            </w:pPr>
          </w:p>
        </w:tc>
        <w:tc>
          <w:tcPr>
            <w:tcW w:w="563" w:type="dxa"/>
            <w:shd w:val="clear" w:color="auto" w:fill="auto"/>
            <w:vAlign w:val="center"/>
          </w:tcPr>
          <w:p>
            <w:pPr>
              <w:spacing w:line="300" w:lineRule="exact"/>
              <w:jc w:val="right"/>
              <w:rPr>
                <w:rFonts w:asciiTheme="minorEastAsia" w:hAnsiTheme="minorEastAsia" w:cstheme="minorEastAsia"/>
                <w:sz w:val="18"/>
                <w:szCs w:val="18"/>
              </w:rPr>
            </w:pPr>
          </w:p>
        </w:tc>
        <w:tc>
          <w:tcPr>
            <w:tcW w:w="853" w:type="dxa"/>
            <w:shd w:val="clear" w:color="auto" w:fill="auto"/>
            <w:vAlign w:val="center"/>
          </w:tcPr>
          <w:p>
            <w:pPr>
              <w:spacing w:line="300" w:lineRule="exact"/>
              <w:jc w:val="right"/>
              <w:rPr>
                <w:rFonts w:asciiTheme="minorEastAsia" w:hAnsiTheme="minorEastAsia" w:cstheme="minorEastAsia"/>
                <w:sz w:val="18"/>
                <w:szCs w:val="18"/>
              </w:rPr>
            </w:pPr>
          </w:p>
        </w:tc>
        <w:tc>
          <w:tcPr>
            <w:tcW w:w="705" w:type="dxa"/>
            <w:shd w:val="clear" w:color="auto" w:fill="auto"/>
            <w:vAlign w:val="center"/>
          </w:tcPr>
          <w:p>
            <w:pPr>
              <w:spacing w:line="300" w:lineRule="exact"/>
              <w:jc w:val="right"/>
              <w:rPr>
                <w:rFonts w:asciiTheme="minorEastAsia" w:hAnsiTheme="minorEastAsia" w:cstheme="minorEastAsia"/>
                <w:sz w:val="18"/>
                <w:szCs w:val="18"/>
              </w:rPr>
            </w:pPr>
          </w:p>
        </w:tc>
        <w:tc>
          <w:tcPr>
            <w:tcW w:w="665" w:type="dxa"/>
            <w:shd w:val="clear" w:color="auto" w:fill="auto"/>
            <w:vAlign w:val="center"/>
          </w:tcPr>
          <w:p>
            <w:pPr>
              <w:spacing w:line="300" w:lineRule="exact"/>
              <w:jc w:val="right"/>
              <w:rPr>
                <w:rFonts w:asciiTheme="minorEastAsia" w:hAnsiTheme="minorEastAsia" w:cstheme="minorEastAsia"/>
                <w:sz w:val="18"/>
                <w:szCs w:val="18"/>
              </w:rPr>
            </w:pPr>
          </w:p>
        </w:tc>
        <w:tc>
          <w:tcPr>
            <w:tcW w:w="1121" w:type="dxa"/>
            <w:shd w:val="clear" w:color="auto" w:fill="auto"/>
            <w:vAlign w:val="center"/>
          </w:tcPr>
          <w:p>
            <w:pPr>
              <w:spacing w:line="300" w:lineRule="exact"/>
              <w:jc w:val="right"/>
              <w:rPr>
                <w:rFonts w:asciiTheme="minorEastAsia" w:hAnsiTheme="minorEastAsia" w:cstheme="minorEastAsia"/>
                <w:sz w:val="18"/>
                <w:szCs w:val="18"/>
              </w:rPr>
            </w:pPr>
          </w:p>
        </w:tc>
        <w:tc>
          <w:tcPr>
            <w:tcW w:w="1148" w:type="dxa"/>
            <w:shd w:val="clear" w:color="auto" w:fill="auto"/>
            <w:vAlign w:val="center"/>
          </w:tcPr>
          <w:p>
            <w:pPr>
              <w:spacing w:line="300" w:lineRule="exact"/>
              <w:jc w:val="right"/>
              <w:rPr>
                <w:rFonts w:asciiTheme="minorEastAsia" w:hAnsiTheme="minorEastAsia" w:cstheme="minorEastAsia"/>
                <w:sz w:val="18"/>
                <w:szCs w:val="18"/>
              </w:rPr>
            </w:pPr>
          </w:p>
        </w:tc>
      </w:tr>
    </w:tbl>
    <w:p>
      <w:pPr>
        <w:rPr>
          <w:rFonts w:ascii="仿宋_GB2312" w:hAnsi="仿宋_GB2312" w:eastAsia="仿宋_GB2312" w:cs="仿宋_GB2312"/>
          <w:sz w:val="32"/>
          <w:szCs w:val="32"/>
        </w:rPr>
      </w:pPr>
      <w:r>
        <w:rPr>
          <w:rFonts w:hint="eastAsia" w:ascii="楷体_GB2312" w:hAnsi="楷体_GB2312" w:eastAsia="楷体_GB2312" w:cs="楷体_GB2312"/>
          <w:b/>
          <w:bCs/>
          <w:sz w:val="28"/>
          <w:szCs w:val="28"/>
        </w:rPr>
        <w:t>注：无政府采购预算，空表列示。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七、国有资产信息情况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涞水县司法局2019年末固定资产总金额238.1万元（详见下表）。 2020年拟购置固定资产为零。</w:t>
      </w:r>
    </w:p>
    <w:tbl>
      <w:tblPr>
        <w:tblStyle w:val="6"/>
        <w:tblW w:w="9675" w:type="dxa"/>
        <w:tblInd w:w="-464" w:type="dxa"/>
        <w:tblLayout w:type="fixed"/>
        <w:tblCellMar>
          <w:top w:w="0" w:type="dxa"/>
          <w:left w:w="108" w:type="dxa"/>
          <w:bottom w:w="0" w:type="dxa"/>
          <w:right w:w="108" w:type="dxa"/>
        </w:tblCellMar>
      </w:tblPr>
      <w:tblGrid>
        <w:gridCol w:w="4503"/>
        <w:gridCol w:w="1648"/>
        <w:gridCol w:w="3524"/>
      </w:tblGrid>
      <w:tr>
        <w:tblPrEx>
          <w:tblCellMar>
            <w:top w:w="0" w:type="dxa"/>
            <w:left w:w="108" w:type="dxa"/>
            <w:bottom w:w="0" w:type="dxa"/>
            <w:right w:w="108" w:type="dxa"/>
          </w:tblCellMar>
        </w:tblPrEx>
        <w:trPr>
          <w:trHeight w:val="532" w:hRule="atLeast"/>
        </w:trPr>
        <w:tc>
          <w:tcPr>
            <w:tcW w:w="9675" w:type="dxa"/>
            <w:gridSpan w:val="3"/>
            <w:tcBorders>
              <w:top w:val="nil"/>
              <w:left w:val="nil"/>
              <w:bottom w:val="nil"/>
              <w:right w:val="nil"/>
            </w:tcBorders>
            <w:vAlign w:val="center"/>
          </w:tcPr>
          <w:p>
            <w:pPr>
              <w:spacing w:line="560" w:lineRule="exact"/>
              <w:rPr>
                <w:rFonts w:ascii="仿宋_GB2312" w:hAnsi="仿宋_GB2312" w:eastAsia="仿宋_GB2312" w:cs="仿宋_GB2312"/>
                <w:sz w:val="32"/>
                <w:szCs w:val="32"/>
              </w:rPr>
            </w:pPr>
          </w:p>
        </w:tc>
      </w:tr>
      <w:tr>
        <w:tblPrEx>
          <w:tblCellMar>
            <w:top w:w="0" w:type="dxa"/>
            <w:left w:w="108" w:type="dxa"/>
            <w:bottom w:w="0" w:type="dxa"/>
            <w:right w:w="108" w:type="dxa"/>
          </w:tblCellMar>
        </w:tblPrEx>
        <w:trPr>
          <w:trHeight w:val="441" w:hRule="atLeast"/>
        </w:trPr>
        <w:tc>
          <w:tcPr>
            <w:tcW w:w="9675" w:type="dxa"/>
            <w:gridSpan w:val="3"/>
            <w:tcBorders>
              <w:top w:val="nil"/>
              <w:left w:val="nil"/>
              <w:bottom w:val="single" w:color="auto" w:sz="4" w:space="0"/>
              <w:right w:val="nil"/>
            </w:tcBorders>
            <w:vAlign w:val="center"/>
          </w:tcPr>
          <w:p>
            <w:pPr>
              <w:spacing w:line="560" w:lineRule="exact"/>
              <w:rPr>
                <w:rFonts w:ascii="仿宋_GB2312" w:hAnsi="仿宋_GB2312" w:eastAsia="仿宋_GB2312" w:cs="仿宋_GB2312"/>
                <w:sz w:val="32"/>
                <w:szCs w:val="32"/>
              </w:rPr>
            </w:pPr>
            <w:r>
              <w:rPr>
                <w:rFonts w:hint="eastAsia" w:ascii="宋体" w:hAnsi="宋体" w:eastAsia="宋体" w:cs="宋体"/>
                <w:sz w:val="24"/>
                <w:szCs w:val="24"/>
              </w:rPr>
              <w:t>涞水县司法局                                 截止时间：2019年12月31</w:t>
            </w:r>
            <w:r>
              <w:rPr>
                <w:rFonts w:hint="eastAsia" w:ascii="仿宋_GB2312" w:hAnsi="仿宋_GB2312" w:eastAsia="仿宋_GB2312" w:cs="仿宋_GB2312"/>
                <w:sz w:val="32"/>
                <w:szCs w:val="32"/>
              </w:rPr>
              <w:t>日</w:t>
            </w:r>
          </w:p>
        </w:tc>
      </w:tr>
      <w:tr>
        <w:tblPrEx>
          <w:tblCellMar>
            <w:top w:w="0" w:type="dxa"/>
            <w:left w:w="108" w:type="dxa"/>
            <w:bottom w:w="0" w:type="dxa"/>
            <w:right w:w="108" w:type="dxa"/>
          </w:tblCellMar>
        </w:tblPrEx>
        <w:trPr>
          <w:trHeight w:val="449" w:hRule="atLeast"/>
        </w:trPr>
        <w:tc>
          <w:tcPr>
            <w:tcW w:w="4503" w:type="dxa"/>
            <w:tcBorders>
              <w:top w:val="nil"/>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项　　目</w:t>
            </w:r>
          </w:p>
        </w:tc>
        <w:tc>
          <w:tcPr>
            <w:tcW w:w="1648"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数量</w:t>
            </w:r>
          </w:p>
        </w:tc>
        <w:tc>
          <w:tcPr>
            <w:tcW w:w="3524"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价值（单位：万元）</w:t>
            </w:r>
          </w:p>
        </w:tc>
      </w:tr>
      <w:tr>
        <w:tblPrEx>
          <w:tblCellMar>
            <w:top w:w="0" w:type="dxa"/>
            <w:left w:w="108" w:type="dxa"/>
            <w:bottom w:w="0" w:type="dxa"/>
            <w:right w:w="108" w:type="dxa"/>
          </w:tblCellMar>
        </w:tblPrEx>
        <w:trPr>
          <w:trHeight w:val="670" w:hRule="exact"/>
        </w:trPr>
        <w:tc>
          <w:tcPr>
            <w:tcW w:w="4503" w:type="dxa"/>
            <w:tcBorders>
              <w:top w:val="nil"/>
              <w:left w:val="single" w:color="auto" w:sz="4" w:space="0"/>
              <w:bottom w:val="single" w:color="auto" w:sz="4" w:space="0"/>
              <w:right w:val="single" w:color="auto" w:sz="4" w:space="0"/>
            </w:tcBorders>
            <w:vAlign w:val="center"/>
          </w:tcPr>
          <w:p>
            <w:pPr>
              <w:spacing w:line="560" w:lineRule="exact"/>
              <w:jc w:val="left"/>
              <w:rPr>
                <w:rFonts w:ascii="宋体" w:hAnsi="宋体" w:eastAsia="宋体" w:cs="宋体"/>
                <w:sz w:val="24"/>
                <w:szCs w:val="24"/>
              </w:rPr>
            </w:pPr>
            <w:r>
              <w:rPr>
                <w:rFonts w:hint="eastAsia" w:ascii="宋体" w:hAnsi="宋体" w:eastAsia="宋体" w:cs="宋体"/>
                <w:sz w:val="24"/>
                <w:szCs w:val="24"/>
              </w:rPr>
              <w:t>固定资产总额</w:t>
            </w:r>
          </w:p>
        </w:tc>
        <w:tc>
          <w:tcPr>
            <w:tcW w:w="1648"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w:t>
            </w:r>
          </w:p>
        </w:tc>
        <w:tc>
          <w:tcPr>
            <w:tcW w:w="3524"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238.1</w:t>
            </w:r>
          </w:p>
        </w:tc>
      </w:tr>
      <w:tr>
        <w:tblPrEx>
          <w:tblCellMar>
            <w:top w:w="0" w:type="dxa"/>
            <w:left w:w="108" w:type="dxa"/>
            <w:bottom w:w="0" w:type="dxa"/>
            <w:right w:w="108" w:type="dxa"/>
          </w:tblCellMar>
        </w:tblPrEx>
        <w:trPr>
          <w:trHeight w:val="670" w:hRule="exact"/>
        </w:trPr>
        <w:tc>
          <w:tcPr>
            <w:tcW w:w="4503" w:type="dxa"/>
            <w:tcBorders>
              <w:top w:val="nil"/>
              <w:left w:val="single" w:color="auto" w:sz="4" w:space="0"/>
              <w:bottom w:val="single" w:color="auto" w:sz="4" w:space="0"/>
              <w:right w:val="single" w:color="auto" w:sz="4" w:space="0"/>
            </w:tcBorders>
            <w:vAlign w:val="center"/>
          </w:tcPr>
          <w:p>
            <w:pPr>
              <w:spacing w:line="560" w:lineRule="exact"/>
              <w:jc w:val="left"/>
              <w:rPr>
                <w:rFonts w:ascii="宋体" w:hAnsi="宋体" w:eastAsia="宋体" w:cs="宋体"/>
                <w:sz w:val="24"/>
                <w:szCs w:val="24"/>
              </w:rPr>
            </w:pPr>
            <w:r>
              <w:rPr>
                <w:rFonts w:hint="eastAsia" w:ascii="宋体" w:hAnsi="宋体" w:eastAsia="宋体" w:cs="宋体"/>
                <w:sz w:val="24"/>
                <w:szCs w:val="24"/>
              </w:rPr>
              <w:t>1、房屋（平方米）</w:t>
            </w:r>
          </w:p>
        </w:tc>
        <w:tc>
          <w:tcPr>
            <w:tcW w:w="1648"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1500</w:t>
            </w:r>
          </w:p>
        </w:tc>
        <w:tc>
          <w:tcPr>
            <w:tcW w:w="3524"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51</w:t>
            </w:r>
          </w:p>
        </w:tc>
      </w:tr>
      <w:tr>
        <w:tblPrEx>
          <w:tblCellMar>
            <w:top w:w="0" w:type="dxa"/>
            <w:left w:w="108" w:type="dxa"/>
            <w:bottom w:w="0" w:type="dxa"/>
            <w:right w:w="108" w:type="dxa"/>
          </w:tblCellMar>
        </w:tblPrEx>
        <w:trPr>
          <w:trHeight w:val="670" w:hRule="exact"/>
        </w:trPr>
        <w:tc>
          <w:tcPr>
            <w:tcW w:w="450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eastAsia="宋体" w:cs="宋体"/>
                <w:sz w:val="24"/>
                <w:szCs w:val="24"/>
              </w:rPr>
            </w:pPr>
            <w:r>
              <w:rPr>
                <w:rFonts w:hint="eastAsia" w:ascii="宋体" w:hAnsi="宋体" w:eastAsia="宋体" w:cs="宋体"/>
                <w:sz w:val="24"/>
                <w:szCs w:val="24"/>
              </w:rPr>
              <w:t>其中：办公用房（平方米）</w:t>
            </w:r>
          </w:p>
        </w:tc>
        <w:tc>
          <w:tcPr>
            <w:tcW w:w="1648" w:type="dxa"/>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p>
        </w:tc>
        <w:tc>
          <w:tcPr>
            <w:tcW w:w="3524" w:type="dxa"/>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670" w:hRule="exact"/>
        </w:trPr>
        <w:tc>
          <w:tcPr>
            <w:tcW w:w="4503" w:type="dxa"/>
            <w:tcBorders>
              <w:top w:val="nil"/>
              <w:left w:val="single" w:color="auto" w:sz="4" w:space="0"/>
              <w:bottom w:val="single" w:color="auto" w:sz="4" w:space="0"/>
              <w:right w:val="single" w:color="auto" w:sz="4" w:space="0"/>
            </w:tcBorders>
            <w:vAlign w:val="center"/>
          </w:tcPr>
          <w:p>
            <w:pPr>
              <w:spacing w:line="560" w:lineRule="exact"/>
              <w:jc w:val="left"/>
              <w:rPr>
                <w:rFonts w:ascii="宋体" w:hAnsi="宋体" w:eastAsia="宋体" w:cs="宋体"/>
                <w:sz w:val="24"/>
                <w:szCs w:val="24"/>
              </w:rPr>
            </w:pPr>
            <w:r>
              <w:rPr>
                <w:rFonts w:hint="eastAsia" w:ascii="宋体" w:hAnsi="宋体" w:eastAsia="宋体" w:cs="宋体"/>
                <w:sz w:val="24"/>
                <w:szCs w:val="24"/>
              </w:rPr>
              <w:t>2、车辆（台、辆）</w:t>
            </w:r>
          </w:p>
        </w:tc>
        <w:tc>
          <w:tcPr>
            <w:tcW w:w="1648"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4</w:t>
            </w:r>
          </w:p>
        </w:tc>
        <w:tc>
          <w:tcPr>
            <w:tcW w:w="3524"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67.18</w:t>
            </w:r>
          </w:p>
        </w:tc>
      </w:tr>
      <w:tr>
        <w:tblPrEx>
          <w:tblCellMar>
            <w:top w:w="0" w:type="dxa"/>
            <w:left w:w="108" w:type="dxa"/>
            <w:bottom w:w="0" w:type="dxa"/>
            <w:right w:w="108" w:type="dxa"/>
          </w:tblCellMar>
        </w:tblPrEx>
        <w:trPr>
          <w:trHeight w:val="670" w:hRule="exact"/>
        </w:trPr>
        <w:tc>
          <w:tcPr>
            <w:tcW w:w="4503" w:type="dxa"/>
            <w:tcBorders>
              <w:top w:val="nil"/>
              <w:left w:val="single" w:color="auto" w:sz="4" w:space="0"/>
              <w:bottom w:val="single" w:color="auto" w:sz="4" w:space="0"/>
              <w:right w:val="single" w:color="auto" w:sz="4" w:space="0"/>
            </w:tcBorders>
            <w:vAlign w:val="center"/>
          </w:tcPr>
          <w:p>
            <w:pPr>
              <w:spacing w:line="560" w:lineRule="exact"/>
              <w:jc w:val="left"/>
              <w:rPr>
                <w:rFonts w:ascii="宋体" w:hAnsi="宋体" w:eastAsia="宋体" w:cs="宋体"/>
                <w:sz w:val="24"/>
                <w:szCs w:val="24"/>
              </w:rPr>
            </w:pPr>
            <w:r>
              <w:rPr>
                <w:rFonts w:hint="eastAsia" w:ascii="宋体" w:hAnsi="宋体" w:eastAsia="宋体" w:cs="宋体"/>
                <w:sz w:val="24"/>
                <w:szCs w:val="24"/>
              </w:rPr>
              <w:t>3、单价在20万元以上的设备</w:t>
            </w:r>
          </w:p>
        </w:tc>
        <w:tc>
          <w:tcPr>
            <w:tcW w:w="1648"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w:t>
            </w:r>
          </w:p>
        </w:tc>
        <w:tc>
          <w:tcPr>
            <w:tcW w:w="3524" w:type="dxa"/>
            <w:tcBorders>
              <w:top w:val="nil"/>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678" w:hRule="exact"/>
        </w:trPr>
        <w:tc>
          <w:tcPr>
            <w:tcW w:w="450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eastAsia="宋体" w:cs="宋体"/>
                <w:sz w:val="24"/>
                <w:szCs w:val="24"/>
              </w:rPr>
            </w:pPr>
            <w:r>
              <w:rPr>
                <w:rFonts w:hint="eastAsia" w:ascii="宋体" w:hAnsi="宋体" w:eastAsia="宋体" w:cs="宋体"/>
                <w:sz w:val="24"/>
                <w:szCs w:val="24"/>
              </w:rPr>
              <w:t>4、其他固定资产</w:t>
            </w:r>
          </w:p>
        </w:tc>
        <w:tc>
          <w:tcPr>
            <w:tcW w:w="1648" w:type="dxa"/>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w:t>
            </w:r>
          </w:p>
        </w:tc>
        <w:tc>
          <w:tcPr>
            <w:tcW w:w="3524" w:type="dxa"/>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119.92</w:t>
            </w:r>
          </w:p>
        </w:tc>
      </w:tr>
    </w:tbl>
    <w:p>
      <w:pPr>
        <w:spacing w:line="520" w:lineRule="exact"/>
        <w:ind w:firstLine="640" w:firstLineChars="200"/>
        <w:rPr>
          <w:rFonts w:ascii="黑体" w:hAnsi="黑体" w:eastAsia="黑体" w:cs="黑体"/>
          <w:sz w:val="32"/>
          <w:szCs w:val="32"/>
        </w:rPr>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八、专业名词解释</w:t>
      </w:r>
    </w:p>
    <w:p>
      <w:pPr>
        <w:spacing w:line="5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（一）一般公共预算财政拨款收入：</w:t>
      </w:r>
      <w:r>
        <w:rPr>
          <w:rFonts w:hint="eastAsia" w:ascii="仿宋_GB2312" w:hAnsi="仿宋_GB2312" w:eastAsia="仿宋_GB2312" w:cs="仿宋_GB2312"/>
          <w:sz w:val="32"/>
          <w:szCs w:val="32"/>
        </w:rPr>
        <w:t>县级财政当年拨付的资金。</w:t>
      </w:r>
    </w:p>
    <w:p>
      <w:pPr>
        <w:spacing w:line="5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（二）其他收入：</w:t>
      </w:r>
      <w:r>
        <w:rPr>
          <w:rFonts w:hint="eastAsia" w:ascii="仿宋_GB2312" w:hAnsi="仿宋_GB2312" w:eastAsia="仿宋_GB2312" w:cs="仿宋_GB2312"/>
          <w:sz w:val="32"/>
          <w:szCs w:val="32"/>
        </w:rPr>
        <w:t>指除上述财政拨款收入以外的收入。主要是存款利息收入。</w:t>
      </w:r>
    </w:p>
    <w:p>
      <w:pPr>
        <w:spacing w:line="5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（三）基本支出：</w:t>
      </w:r>
      <w:r>
        <w:rPr>
          <w:rFonts w:hint="eastAsia" w:ascii="仿宋_GB2312" w:hAnsi="仿宋_GB2312" w:eastAsia="仿宋_GB2312" w:cs="仿宋_GB2312"/>
          <w:sz w:val="32"/>
          <w:szCs w:val="32"/>
        </w:rPr>
        <w:t>指为保障机构正常运转、完成日常工作任务而发生的人员支出和公用支出。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（四）项目支出：</w:t>
      </w:r>
      <w:r>
        <w:rPr>
          <w:rFonts w:hint="eastAsia" w:ascii="仿宋_GB2312" w:hAnsi="仿宋_GB2312" w:eastAsia="仿宋_GB2312" w:cs="仿宋_GB2312"/>
          <w:sz w:val="32"/>
          <w:szCs w:val="32"/>
        </w:rPr>
        <w:t>指在基本支出之外为完成特定行政任务和事业发展目标所发生的支出。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（五）“三公”经费：</w:t>
      </w:r>
      <w:r>
        <w:rPr>
          <w:rFonts w:hint="eastAsia" w:ascii="仿宋_GB2312" w:hAnsi="仿宋_GB2312" w:eastAsia="仿宋_GB2312" w:cs="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（六）机关运行经费：</w:t>
      </w:r>
      <w:r>
        <w:rPr>
          <w:rFonts w:hint="eastAsia" w:ascii="仿宋_GB2312" w:hAnsi="仿宋_GB2312" w:eastAsia="仿宋_GB2312" w:cs="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九、其他需要说明的事项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我部门无政府性基金预算及国有资本经营预算，空表列示。</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Style w:val="9"/>
                    <w:rFonts w:ascii="宋体" w:hAnsi="宋体" w:eastAsia="宋体" w:cs="宋体"/>
                    <w:sz w:val="28"/>
                    <w:szCs w:val="28"/>
                  </w:rPr>
                </w:pP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Style w:val="9"/>
                    <w:rFonts w:hint="eastAsia" w:ascii="宋体" w:hAnsi="宋体" w:eastAsia="宋体" w:cs="宋体"/>
                    <w:sz w:val="28"/>
                    <w:szCs w:val="28"/>
                  </w:rPr>
                  <w:fldChar w:fldCharType="separate"/>
                </w:r>
                <w:r>
                  <w:rPr>
                    <w:rStyle w:val="9"/>
                    <w:rFonts w:ascii="宋体" w:hAnsi="宋体" w:eastAsia="宋体" w:cs="宋体"/>
                    <w:sz w:val="28"/>
                    <w:szCs w:val="28"/>
                  </w:rPr>
                  <w:t>- 1 -</w:t>
                </w:r>
                <w:r>
                  <w:rPr>
                    <w:rStyle w:val="9"/>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- 25 -</w:t>
                </w:r>
                <w:r>
                  <w:rPr>
                    <w:rStyle w:val="9"/>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1NmZhZWQ5NjAzODgxMDk4YjhkMTE4Y2I3YTBjZmQifQ=="/>
  </w:docVars>
  <w:rsids>
    <w:rsidRoot w:val="009A0384"/>
    <w:rsid w:val="004219BC"/>
    <w:rsid w:val="006950DC"/>
    <w:rsid w:val="009354F2"/>
    <w:rsid w:val="009A0384"/>
    <w:rsid w:val="00E0230E"/>
    <w:rsid w:val="00E85B4D"/>
    <w:rsid w:val="01AF4189"/>
    <w:rsid w:val="024970CD"/>
    <w:rsid w:val="02CB7B37"/>
    <w:rsid w:val="02E843B4"/>
    <w:rsid w:val="038E11F9"/>
    <w:rsid w:val="03A11622"/>
    <w:rsid w:val="044371B5"/>
    <w:rsid w:val="04542798"/>
    <w:rsid w:val="0481545E"/>
    <w:rsid w:val="053D30FE"/>
    <w:rsid w:val="05753AEF"/>
    <w:rsid w:val="060E2208"/>
    <w:rsid w:val="068B218C"/>
    <w:rsid w:val="07316D03"/>
    <w:rsid w:val="080C24B1"/>
    <w:rsid w:val="083E56AD"/>
    <w:rsid w:val="089124F0"/>
    <w:rsid w:val="08A0444B"/>
    <w:rsid w:val="09BA3EC0"/>
    <w:rsid w:val="09CE07D9"/>
    <w:rsid w:val="0A73650D"/>
    <w:rsid w:val="0A8A39F9"/>
    <w:rsid w:val="0B343001"/>
    <w:rsid w:val="0B6B1263"/>
    <w:rsid w:val="0BB8314F"/>
    <w:rsid w:val="0BF3259F"/>
    <w:rsid w:val="0BFB0A9C"/>
    <w:rsid w:val="0C827379"/>
    <w:rsid w:val="0CE26400"/>
    <w:rsid w:val="0D036C1C"/>
    <w:rsid w:val="0EAA2337"/>
    <w:rsid w:val="0EC36FF9"/>
    <w:rsid w:val="0ED142EB"/>
    <w:rsid w:val="0F284CCC"/>
    <w:rsid w:val="0F3A05A6"/>
    <w:rsid w:val="0F8B092E"/>
    <w:rsid w:val="109C2714"/>
    <w:rsid w:val="117E7452"/>
    <w:rsid w:val="119A24D4"/>
    <w:rsid w:val="11D0328F"/>
    <w:rsid w:val="1232511F"/>
    <w:rsid w:val="12337992"/>
    <w:rsid w:val="1252570D"/>
    <w:rsid w:val="13494AC9"/>
    <w:rsid w:val="13B71D54"/>
    <w:rsid w:val="14031C11"/>
    <w:rsid w:val="14204B28"/>
    <w:rsid w:val="14815578"/>
    <w:rsid w:val="14CE287B"/>
    <w:rsid w:val="168924EC"/>
    <w:rsid w:val="16A22FBB"/>
    <w:rsid w:val="173949F9"/>
    <w:rsid w:val="181A3F5D"/>
    <w:rsid w:val="184C3278"/>
    <w:rsid w:val="18513D55"/>
    <w:rsid w:val="18F019DB"/>
    <w:rsid w:val="19E06FBB"/>
    <w:rsid w:val="1AE70BE4"/>
    <w:rsid w:val="1B111E6E"/>
    <w:rsid w:val="1BAE4FFA"/>
    <w:rsid w:val="1DCB2A96"/>
    <w:rsid w:val="1EB84463"/>
    <w:rsid w:val="1F081B06"/>
    <w:rsid w:val="1F2D6F29"/>
    <w:rsid w:val="1F3B33DA"/>
    <w:rsid w:val="1FB52EE4"/>
    <w:rsid w:val="20E97F77"/>
    <w:rsid w:val="21104AEF"/>
    <w:rsid w:val="21823600"/>
    <w:rsid w:val="22A1369D"/>
    <w:rsid w:val="22D224CF"/>
    <w:rsid w:val="233F264E"/>
    <w:rsid w:val="23C8038F"/>
    <w:rsid w:val="24096BD3"/>
    <w:rsid w:val="24D92726"/>
    <w:rsid w:val="2505392E"/>
    <w:rsid w:val="254D19B9"/>
    <w:rsid w:val="25A730B2"/>
    <w:rsid w:val="261B3C5E"/>
    <w:rsid w:val="26D925B8"/>
    <w:rsid w:val="27087DCE"/>
    <w:rsid w:val="273009BA"/>
    <w:rsid w:val="27B83AED"/>
    <w:rsid w:val="27DD6D65"/>
    <w:rsid w:val="28754994"/>
    <w:rsid w:val="293308F2"/>
    <w:rsid w:val="297F5448"/>
    <w:rsid w:val="2A2A7F71"/>
    <w:rsid w:val="2A6A6B8A"/>
    <w:rsid w:val="2B6018F4"/>
    <w:rsid w:val="2B754057"/>
    <w:rsid w:val="2CAD6AF6"/>
    <w:rsid w:val="2CFE3FD4"/>
    <w:rsid w:val="2D17249E"/>
    <w:rsid w:val="2D9407EF"/>
    <w:rsid w:val="2E95606C"/>
    <w:rsid w:val="2E9769B9"/>
    <w:rsid w:val="30051F63"/>
    <w:rsid w:val="303B3986"/>
    <w:rsid w:val="30891CD2"/>
    <w:rsid w:val="313B76C8"/>
    <w:rsid w:val="322223DF"/>
    <w:rsid w:val="326C034F"/>
    <w:rsid w:val="3390527C"/>
    <w:rsid w:val="33AB2103"/>
    <w:rsid w:val="33CA53D1"/>
    <w:rsid w:val="34D471E8"/>
    <w:rsid w:val="34F456CD"/>
    <w:rsid w:val="35A3273E"/>
    <w:rsid w:val="35B23538"/>
    <w:rsid w:val="35CB4B43"/>
    <w:rsid w:val="36396756"/>
    <w:rsid w:val="37280811"/>
    <w:rsid w:val="387509AF"/>
    <w:rsid w:val="39046603"/>
    <w:rsid w:val="39665953"/>
    <w:rsid w:val="3A032784"/>
    <w:rsid w:val="3BBB3E67"/>
    <w:rsid w:val="3BBD3450"/>
    <w:rsid w:val="3C930A20"/>
    <w:rsid w:val="3CFA06CF"/>
    <w:rsid w:val="3D2155BF"/>
    <w:rsid w:val="3D505D33"/>
    <w:rsid w:val="3D970B3A"/>
    <w:rsid w:val="3E2845B3"/>
    <w:rsid w:val="3E3F3B82"/>
    <w:rsid w:val="3E3F5EA2"/>
    <w:rsid w:val="3EA670EE"/>
    <w:rsid w:val="40574C5C"/>
    <w:rsid w:val="41C0622E"/>
    <w:rsid w:val="42176841"/>
    <w:rsid w:val="438B2338"/>
    <w:rsid w:val="43B1018D"/>
    <w:rsid w:val="441279E1"/>
    <w:rsid w:val="441529FD"/>
    <w:rsid w:val="44F848FB"/>
    <w:rsid w:val="45B3024F"/>
    <w:rsid w:val="45C637D3"/>
    <w:rsid w:val="473C20CC"/>
    <w:rsid w:val="48AD2DA7"/>
    <w:rsid w:val="49D436B8"/>
    <w:rsid w:val="49E57399"/>
    <w:rsid w:val="4A0A08C2"/>
    <w:rsid w:val="4A2B7415"/>
    <w:rsid w:val="4A86410E"/>
    <w:rsid w:val="4A8942AB"/>
    <w:rsid w:val="4A98396D"/>
    <w:rsid w:val="4CCA678F"/>
    <w:rsid w:val="4CE32800"/>
    <w:rsid w:val="4D4263C5"/>
    <w:rsid w:val="4D437B6A"/>
    <w:rsid w:val="4E3F2C33"/>
    <w:rsid w:val="4E605326"/>
    <w:rsid w:val="4FA67B18"/>
    <w:rsid w:val="4FEB79BB"/>
    <w:rsid w:val="50112FC5"/>
    <w:rsid w:val="50697DDA"/>
    <w:rsid w:val="50717023"/>
    <w:rsid w:val="516037D0"/>
    <w:rsid w:val="52DC6AB1"/>
    <w:rsid w:val="53646465"/>
    <w:rsid w:val="53827726"/>
    <w:rsid w:val="54C44357"/>
    <w:rsid w:val="55424235"/>
    <w:rsid w:val="5730162F"/>
    <w:rsid w:val="573B599F"/>
    <w:rsid w:val="5764135E"/>
    <w:rsid w:val="5788020C"/>
    <w:rsid w:val="58916BE9"/>
    <w:rsid w:val="58A26C29"/>
    <w:rsid w:val="58CF1100"/>
    <w:rsid w:val="595B33E9"/>
    <w:rsid w:val="596B081F"/>
    <w:rsid w:val="59866C6D"/>
    <w:rsid w:val="59BE73CD"/>
    <w:rsid w:val="59C900EC"/>
    <w:rsid w:val="5A294E10"/>
    <w:rsid w:val="5AA3155C"/>
    <w:rsid w:val="5ABE1293"/>
    <w:rsid w:val="5ABE1639"/>
    <w:rsid w:val="5ACC18FB"/>
    <w:rsid w:val="5B2C1317"/>
    <w:rsid w:val="5C5357C9"/>
    <w:rsid w:val="5D5638FA"/>
    <w:rsid w:val="5E076777"/>
    <w:rsid w:val="5E3A4AA3"/>
    <w:rsid w:val="5F133259"/>
    <w:rsid w:val="5FCA2F00"/>
    <w:rsid w:val="5FF371D5"/>
    <w:rsid w:val="600A339A"/>
    <w:rsid w:val="605C0A5F"/>
    <w:rsid w:val="6065428C"/>
    <w:rsid w:val="61CD2ADD"/>
    <w:rsid w:val="61EC3092"/>
    <w:rsid w:val="62EE52B7"/>
    <w:rsid w:val="631337FC"/>
    <w:rsid w:val="631B63EE"/>
    <w:rsid w:val="63F007ED"/>
    <w:rsid w:val="641C64DC"/>
    <w:rsid w:val="64952A67"/>
    <w:rsid w:val="64D4597F"/>
    <w:rsid w:val="65BD59CE"/>
    <w:rsid w:val="67AF2C70"/>
    <w:rsid w:val="67C20E4E"/>
    <w:rsid w:val="686437C2"/>
    <w:rsid w:val="68BB1EE2"/>
    <w:rsid w:val="6AD65200"/>
    <w:rsid w:val="6ADD0F95"/>
    <w:rsid w:val="6C472EB6"/>
    <w:rsid w:val="6C7E3B40"/>
    <w:rsid w:val="6DBC45F0"/>
    <w:rsid w:val="6DF85866"/>
    <w:rsid w:val="6E57668C"/>
    <w:rsid w:val="70171342"/>
    <w:rsid w:val="705F4324"/>
    <w:rsid w:val="70AC0D87"/>
    <w:rsid w:val="70B042E1"/>
    <w:rsid w:val="712B4401"/>
    <w:rsid w:val="71B529C6"/>
    <w:rsid w:val="71F4226A"/>
    <w:rsid w:val="72DF034E"/>
    <w:rsid w:val="73645BA1"/>
    <w:rsid w:val="743463E1"/>
    <w:rsid w:val="746B0AC9"/>
    <w:rsid w:val="75032A2E"/>
    <w:rsid w:val="754C580C"/>
    <w:rsid w:val="754E3D04"/>
    <w:rsid w:val="75CB2A67"/>
    <w:rsid w:val="763100C5"/>
    <w:rsid w:val="76564889"/>
    <w:rsid w:val="76F1203D"/>
    <w:rsid w:val="775F46B7"/>
    <w:rsid w:val="778566C3"/>
    <w:rsid w:val="792C030D"/>
    <w:rsid w:val="794F5146"/>
    <w:rsid w:val="79A71E50"/>
    <w:rsid w:val="7AC66F98"/>
    <w:rsid w:val="7BE77FD2"/>
    <w:rsid w:val="7C0744C5"/>
    <w:rsid w:val="7D982FCB"/>
    <w:rsid w:val="7DA261E7"/>
    <w:rsid w:val="7DDF5603"/>
    <w:rsid w:val="7F73665F"/>
    <w:rsid w:val="7F8527AB"/>
    <w:rsid w:val="7FE21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spacing w:before="181"/>
      <w:ind w:left="103"/>
      <w:outlineLvl w:val="1"/>
    </w:pPr>
    <w:rPr>
      <w:rFonts w:ascii="仿宋" w:hAnsi="仿宋" w:eastAsia="仿宋"/>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ascii="Calibri" w:hAnsi="Calibri" w:eastAsia="宋体" w:cs="Times New Roman"/>
      <w:kern w:val="0"/>
      <w:sz w:val="24"/>
    </w:rPr>
  </w:style>
  <w:style w:type="character" w:styleId="8">
    <w:name w:val="Strong"/>
    <w:qFormat/>
    <w:uiPriority w:val="0"/>
    <w:rPr>
      <w:b/>
    </w:rPr>
  </w:style>
  <w:style w:type="character" w:styleId="9">
    <w:name w:val="page number"/>
    <w:basedOn w:val="7"/>
    <w:unhideWhenUsed/>
    <w:qFormat/>
    <w:uiPriority w:val="99"/>
  </w:style>
  <w:style w:type="character" w:customStyle="1" w:styleId="10">
    <w:name w:val="页脚 字符"/>
    <w:basedOn w:val="7"/>
    <w:link w:val="3"/>
    <w:semiHidden/>
    <w:qFormat/>
    <w:uiPriority w:val="99"/>
    <w:rPr>
      <w:sz w:val="18"/>
      <w:szCs w:val="18"/>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1939</Words>
  <Characters>11055</Characters>
  <Lines>92</Lines>
  <Paragraphs>25</Paragraphs>
  <TotalTime>0</TotalTime>
  <ScaleCrop>false</ScaleCrop>
  <LinksUpToDate>false</LinksUpToDate>
  <CharactersWithSpaces>12969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2020-02-03T06:24:00Z</dcterms:created>
  <dc:creator>lenovo</dc:creator>
  <cp:lastModifiedBy>Administrator</cp:lastModifiedBy>
  <dcterms:modified xsi:type="dcterms:W3CDTF">2024-01-26T07:34:24Z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AB9101EB62B94315A3A7E157AA4A48F4_12</vt:lpwstr>
  </property>
</Properties>
</file>